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FF86FF3">
      <w:pPr>
        <w:rPr>
          <w:b/>
          <w:color w:val="auto"/>
          <w:sz w:val="32"/>
          <w:szCs w:val="32"/>
          <w:highlight w:val="none"/>
        </w:rPr>
      </w:pPr>
      <w:bookmarkStart w:id="0" w:name="_Toc217446030"/>
      <w:bookmarkStart w:id="1" w:name="_Toc183682338"/>
      <w:r>
        <w:rPr>
          <w:rFonts w:hint="eastAsia"/>
          <w:color w:val="auto"/>
          <w:highlight w:val="none"/>
        </w:rPr>
        <w:drawing>
          <wp:anchor distT="0" distB="0" distL="114300" distR="114300" simplePos="0" relativeHeight="251660288" behindDoc="1" locked="0" layoutInCell="1" allowOverlap="1">
            <wp:simplePos x="0" y="0"/>
            <wp:positionH relativeFrom="column">
              <wp:posOffset>-935355</wp:posOffset>
            </wp:positionH>
            <wp:positionV relativeFrom="paragraph">
              <wp:posOffset>-895985</wp:posOffset>
            </wp:positionV>
            <wp:extent cx="7131685" cy="10714355"/>
            <wp:effectExtent l="0" t="0" r="2540" b="1270"/>
            <wp:wrapNone/>
            <wp:docPr id="3"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2-2-3辅助图形3白底"/>
                    <pic:cNvPicPr>
                      <a:picLocks noChangeAspect="1"/>
                    </pic:cNvPicPr>
                  </pic:nvPicPr>
                  <pic:blipFill>
                    <a:blip r:embed="rId24"/>
                    <a:stretch>
                      <a:fillRect/>
                    </a:stretch>
                  </pic:blipFill>
                  <pic:spPr>
                    <a:xfrm>
                      <a:off x="0" y="0"/>
                      <a:ext cx="7131685" cy="10714355"/>
                    </a:xfrm>
                    <a:prstGeom prst="rect">
                      <a:avLst/>
                    </a:prstGeom>
                    <a:noFill/>
                    <a:ln>
                      <a:noFill/>
                    </a:ln>
                  </pic:spPr>
                </pic:pic>
              </a:graphicData>
            </a:graphic>
          </wp:anchor>
        </w:drawing>
      </w:r>
    </w:p>
    <w:p w14:paraId="7A8248FB">
      <w:pPr>
        <w:rPr>
          <w:b/>
          <w:color w:val="auto"/>
          <w:sz w:val="32"/>
          <w:szCs w:val="32"/>
          <w:highlight w:val="none"/>
        </w:rPr>
      </w:pPr>
    </w:p>
    <w:p w14:paraId="7EDE089A">
      <w:pPr>
        <w:ind w:firstLine="210" w:firstLineChars="100"/>
        <w:jc w:val="center"/>
        <w:rPr>
          <w:b/>
          <w:color w:val="auto"/>
          <w:sz w:val="32"/>
          <w:szCs w:val="32"/>
          <w:highlight w:val="none"/>
        </w:rPr>
      </w:pPr>
      <w:r>
        <w:rPr>
          <w:rFonts w:hint="eastAsia"/>
          <w:color w:val="auto"/>
          <w:highlight w:val="none"/>
        </w:rPr>
        <w:drawing>
          <wp:anchor distT="0" distB="0" distL="114300" distR="114300" simplePos="0" relativeHeight="251659264" behindDoc="0" locked="0" layoutInCell="1" allowOverlap="1">
            <wp:simplePos x="0" y="0"/>
            <wp:positionH relativeFrom="column">
              <wp:posOffset>495935</wp:posOffset>
            </wp:positionH>
            <wp:positionV relativeFrom="paragraph">
              <wp:posOffset>193040</wp:posOffset>
            </wp:positionV>
            <wp:extent cx="4654550" cy="584200"/>
            <wp:effectExtent l="0" t="0" r="3175" b="6350"/>
            <wp:wrapNone/>
            <wp:docPr id="1"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1-2-1LOGO中英文全称横式"/>
                    <pic:cNvPicPr>
                      <a:picLocks noChangeAspect="1"/>
                    </pic:cNvPicPr>
                  </pic:nvPicPr>
                  <pic:blipFill>
                    <a:blip r:embed="rId25"/>
                    <a:stretch>
                      <a:fillRect/>
                    </a:stretch>
                  </pic:blipFill>
                  <pic:spPr>
                    <a:xfrm>
                      <a:off x="0" y="0"/>
                      <a:ext cx="4654550" cy="584200"/>
                    </a:xfrm>
                    <a:prstGeom prst="rect">
                      <a:avLst/>
                    </a:prstGeom>
                    <a:noFill/>
                    <a:ln>
                      <a:noFill/>
                    </a:ln>
                  </pic:spPr>
                </pic:pic>
              </a:graphicData>
            </a:graphic>
          </wp:anchor>
        </w:drawing>
      </w:r>
    </w:p>
    <w:p w14:paraId="594F55CB">
      <w:pPr>
        <w:widowControl/>
        <w:jc w:val="center"/>
        <w:rPr>
          <w:color w:val="auto"/>
          <w:highlight w:val="none"/>
        </w:rPr>
      </w:pPr>
    </w:p>
    <w:p w14:paraId="2A0656AC">
      <w:pPr>
        <w:widowControl/>
        <w:jc w:val="center"/>
        <w:rPr>
          <w:color w:val="auto"/>
          <w:highlight w:val="none"/>
        </w:rPr>
      </w:pPr>
    </w:p>
    <w:p w14:paraId="197CFF85">
      <w:pPr>
        <w:widowControl/>
        <w:jc w:val="center"/>
        <w:rPr>
          <w:color w:val="auto"/>
          <w:highlight w:val="none"/>
        </w:rPr>
      </w:pPr>
    </w:p>
    <w:p w14:paraId="41FAF823">
      <w:pPr>
        <w:widowControl/>
        <w:jc w:val="center"/>
        <w:rPr>
          <w:color w:val="auto"/>
          <w:highlight w:val="none"/>
        </w:rPr>
      </w:pPr>
    </w:p>
    <w:p w14:paraId="736E1CFC">
      <w:pPr>
        <w:widowControl/>
        <w:jc w:val="center"/>
        <w:rPr>
          <w:color w:val="auto"/>
          <w:highlight w:val="none"/>
        </w:rPr>
      </w:pPr>
    </w:p>
    <w:p w14:paraId="32288CD3">
      <w:pPr>
        <w:widowControl/>
        <w:jc w:val="center"/>
        <w:rPr>
          <w:color w:val="auto"/>
          <w:highlight w:val="none"/>
        </w:rPr>
      </w:pPr>
    </w:p>
    <w:p w14:paraId="3AD86F6B">
      <w:pPr>
        <w:widowControl/>
        <w:jc w:val="center"/>
        <w:rPr>
          <w:color w:val="auto"/>
          <w:highlight w:val="none"/>
        </w:rPr>
      </w:pPr>
    </w:p>
    <w:p w14:paraId="7EA01671">
      <w:pPr>
        <w:widowControl/>
        <w:jc w:val="center"/>
        <w:rPr>
          <w:color w:val="auto"/>
          <w:highlight w:val="none"/>
        </w:rPr>
      </w:pPr>
    </w:p>
    <w:p w14:paraId="6525F226">
      <w:pPr>
        <w:widowControl/>
        <w:jc w:val="center"/>
        <w:rPr>
          <w:color w:val="auto"/>
          <w:highlight w:val="none"/>
        </w:rPr>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4404"/>
      </w:tblGrid>
      <w:tr w14:paraId="0644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6457" w:type="dxa"/>
            <w:gridSpan w:val="2"/>
            <w:tcBorders>
              <w:top w:val="nil"/>
              <w:left w:val="nil"/>
              <w:right w:val="nil"/>
            </w:tcBorders>
          </w:tcPr>
          <w:p w14:paraId="23C21C23">
            <w:pPr>
              <w:snapToGrid w:val="0"/>
              <w:spacing w:line="240" w:lineRule="atLeast"/>
              <w:jc w:val="center"/>
              <w:rPr>
                <w:b/>
                <w:color w:val="auto"/>
                <w:sz w:val="13"/>
                <w:szCs w:val="13"/>
                <w:highlight w:val="none"/>
              </w:rPr>
            </w:pPr>
            <w:r>
              <w:rPr>
                <w:rFonts w:hint="eastAsia"/>
                <w:b/>
                <w:color w:val="auto"/>
                <w:sz w:val="72"/>
                <w:szCs w:val="72"/>
                <w:highlight w:val="none"/>
              </w:rPr>
              <w:t>采购文件</w:t>
            </w:r>
          </w:p>
        </w:tc>
      </w:tr>
      <w:tr w14:paraId="0689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vAlign w:val="center"/>
          </w:tcPr>
          <w:p w14:paraId="499E9EBE">
            <w:pPr>
              <w:rPr>
                <w:b/>
                <w:color w:val="auto"/>
                <w:sz w:val="32"/>
                <w:szCs w:val="32"/>
                <w:highlight w:val="none"/>
              </w:rPr>
            </w:pPr>
            <w:r>
              <w:rPr>
                <w:b/>
                <w:color w:val="auto"/>
                <w:sz w:val="32"/>
                <w:szCs w:val="32"/>
                <w:highlight w:val="none"/>
              </w:rPr>
              <w:t>项目名称：</w:t>
            </w:r>
          </w:p>
        </w:tc>
        <w:tc>
          <w:tcPr>
            <w:tcW w:w="4404" w:type="dxa"/>
            <w:vAlign w:val="center"/>
          </w:tcPr>
          <w:p w14:paraId="272676B5">
            <w:pPr>
              <w:rPr>
                <w:b/>
                <w:color w:val="auto"/>
                <w:sz w:val="32"/>
                <w:szCs w:val="32"/>
                <w:highlight w:val="none"/>
              </w:rPr>
            </w:pPr>
            <w:r>
              <w:rPr>
                <w:rFonts w:hint="eastAsia"/>
                <w:b/>
                <w:color w:val="auto"/>
                <w:sz w:val="32"/>
                <w:szCs w:val="32"/>
                <w:highlight w:val="none"/>
              </w:rPr>
              <w:t>实验室检测试剂及耗材采购</w:t>
            </w:r>
          </w:p>
        </w:tc>
      </w:tr>
      <w:tr w14:paraId="2CFA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vAlign w:val="center"/>
          </w:tcPr>
          <w:p w14:paraId="0D3FF261">
            <w:pPr>
              <w:rPr>
                <w:b/>
                <w:color w:val="auto"/>
                <w:sz w:val="32"/>
                <w:szCs w:val="32"/>
                <w:highlight w:val="none"/>
              </w:rPr>
            </w:pPr>
            <w:r>
              <w:rPr>
                <w:b/>
                <w:color w:val="auto"/>
                <w:sz w:val="32"/>
                <w:szCs w:val="32"/>
                <w:highlight w:val="none"/>
              </w:rPr>
              <w:t>项目编号：</w:t>
            </w:r>
          </w:p>
        </w:tc>
        <w:tc>
          <w:tcPr>
            <w:tcW w:w="4404" w:type="dxa"/>
            <w:vAlign w:val="center"/>
          </w:tcPr>
          <w:p w14:paraId="001B4955">
            <w:pPr>
              <w:rPr>
                <w:rFonts w:hint="eastAsia" w:eastAsia="宋体"/>
                <w:b/>
                <w:color w:val="auto"/>
                <w:sz w:val="32"/>
                <w:szCs w:val="32"/>
                <w:highlight w:val="none"/>
                <w:lang w:eastAsia="zh-CN"/>
              </w:rPr>
            </w:pPr>
            <w:r>
              <w:rPr>
                <w:rFonts w:hint="eastAsia"/>
                <w:b/>
                <w:color w:val="auto"/>
                <w:sz w:val="32"/>
                <w:szCs w:val="32"/>
                <w:highlight w:val="none"/>
                <w:lang w:eastAsia="zh-CN"/>
              </w:rPr>
              <w:t>FCZC2026-J1-990178-JDZB</w:t>
            </w:r>
          </w:p>
        </w:tc>
      </w:tr>
      <w:tr w14:paraId="2482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vAlign w:val="center"/>
          </w:tcPr>
          <w:p w14:paraId="58977C31">
            <w:pPr>
              <w:rPr>
                <w:b/>
                <w:color w:val="auto"/>
                <w:sz w:val="32"/>
                <w:szCs w:val="32"/>
                <w:highlight w:val="none"/>
              </w:rPr>
            </w:pPr>
            <w:r>
              <w:rPr>
                <w:b/>
                <w:color w:val="auto"/>
                <w:sz w:val="32"/>
                <w:szCs w:val="32"/>
                <w:highlight w:val="none"/>
              </w:rPr>
              <w:t>联系电话：</w:t>
            </w:r>
          </w:p>
        </w:tc>
        <w:tc>
          <w:tcPr>
            <w:tcW w:w="4404" w:type="dxa"/>
            <w:vAlign w:val="center"/>
          </w:tcPr>
          <w:p w14:paraId="0A16ABD5">
            <w:pPr>
              <w:rPr>
                <w:b/>
                <w:color w:val="auto"/>
                <w:sz w:val="32"/>
                <w:szCs w:val="32"/>
                <w:highlight w:val="none"/>
              </w:rPr>
            </w:pPr>
            <w:r>
              <w:rPr>
                <w:rFonts w:hint="eastAsia"/>
                <w:b/>
                <w:color w:val="auto"/>
                <w:sz w:val="32"/>
                <w:szCs w:val="32"/>
                <w:highlight w:val="none"/>
              </w:rPr>
              <w:t>17677662572</w:t>
            </w:r>
          </w:p>
        </w:tc>
      </w:tr>
      <w:tr w14:paraId="646F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vAlign w:val="center"/>
          </w:tcPr>
          <w:p w14:paraId="5C6CFC7F">
            <w:pPr>
              <w:rPr>
                <w:b/>
                <w:color w:val="auto"/>
                <w:sz w:val="32"/>
                <w:szCs w:val="32"/>
                <w:highlight w:val="none"/>
              </w:rPr>
            </w:pPr>
            <w:r>
              <w:rPr>
                <w:rFonts w:hint="eastAsia"/>
                <w:b/>
                <w:color w:val="auto"/>
                <w:sz w:val="32"/>
                <w:szCs w:val="32"/>
                <w:highlight w:val="none"/>
              </w:rPr>
              <w:t>采购方式</w:t>
            </w:r>
          </w:p>
        </w:tc>
        <w:tc>
          <w:tcPr>
            <w:tcW w:w="4404" w:type="dxa"/>
            <w:vAlign w:val="center"/>
          </w:tcPr>
          <w:p w14:paraId="44BB37CB">
            <w:pPr>
              <w:rPr>
                <w:b/>
                <w:color w:val="auto"/>
                <w:sz w:val="32"/>
                <w:szCs w:val="32"/>
                <w:highlight w:val="none"/>
              </w:rPr>
            </w:pPr>
            <w:r>
              <w:rPr>
                <w:rFonts w:hint="eastAsia"/>
                <w:b/>
                <w:color w:val="auto"/>
                <w:sz w:val="32"/>
                <w:szCs w:val="32"/>
                <w:highlight w:val="none"/>
              </w:rPr>
              <w:t>竞争性谈判</w:t>
            </w:r>
          </w:p>
        </w:tc>
      </w:tr>
    </w:tbl>
    <w:p w14:paraId="5F069ECB">
      <w:pPr>
        <w:widowControl/>
        <w:jc w:val="center"/>
        <w:rPr>
          <w:color w:val="auto"/>
          <w:highlight w:val="none"/>
        </w:rPr>
      </w:pPr>
    </w:p>
    <w:p w14:paraId="6D9FBF54">
      <w:pPr>
        <w:widowControl/>
        <w:jc w:val="center"/>
        <w:rPr>
          <w:color w:val="auto"/>
          <w:highlight w:val="none"/>
        </w:rPr>
      </w:pPr>
    </w:p>
    <w:p w14:paraId="4CEAA0DF">
      <w:pPr>
        <w:widowControl/>
        <w:jc w:val="center"/>
        <w:rPr>
          <w:color w:val="auto"/>
          <w:highlight w:val="none"/>
        </w:rPr>
      </w:pPr>
    </w:p>
    <w:p w14:paraId="57609826">
      <w:pPr>
        <w:widowControl/>
        <w:jc w:val="center"/>
        <w:rPr>
          <w:color w:val="auto"/>
          <w:highlight w:val="none"/>
        </w:rPr>
      </w:pPr>
    </w:p>
    <w:p w14:paraId="04D92673">
      <w:pPr>
        <w:widowControl/>
        <w:jc w:val="center"/>
        <w:rPr>
          <w:color w:val="auto"/>
          <w:highlight w:val="none"/>
        </w:rPr>
      </w:pPr>
    </w:p>
    <w:p w14:paraId="7A35A290">
      <w:pPr>
        <w:widowControl/>
        <w:jc w:val="center"/>
        <w:rPr>
          <w:color w:val="auto"/>
          <w:highlight w:val="none"/>
        </w:rPr>
      </w:pPr>
    </w:p>
    <w:p w14:paraId="593BAFFF">
      <w:pPr>
        <w:widowControl/>
        <w:jc w:val="center"/>
        <w:rPr>
          <w:color w:val="auto"/>
          <w:highlight w:val="none"/>
        </w:rPr>
      </w:pPr>
    </w:p>
    <w:p w14:paraId="04D68AE8">
      <w:pPr>
        <w:widowControl/>
        <w:jc w:val="center"/>
        <w:rPr>
          <w:color w:val="auto"/>
          <w:highlight w:val="none"/>
        </w:rPr>
      </w:pPr>
    </w:p>
    <w:p w14:paraId="3432CD98">
      <w:pPr>
        <w:rPr>
          <w:color w:val="auto"/>
          <w:highlight w:val="none"/>
        </w:rPr>
      </w:pPr>
    </w:p>
    <w:p w14:paraId="0D45025A">
      <w:pPr>
        <w:rPr>
          <w:color w:val="auto"/>
          <w:highlight w:val="none"/>
        </w:rPr>
      </w:pPr>
    </w:p>
    <w:p w14:paraId="3D988E41">
      <w:pPr>
        <w:rPr>
          <w:color w:val="auto"/>
          <w:highlight w:val="none"/>
        </w:rPr>
      </w:pPr>
    </w:p>
    <w:p w14:paraId="311F09DF">
      <w:pPr>
        <w:rPr>
          <w:color w:val="auto"/>
          <w:highlight w:val="none"/>
        </w:rPr>
      </w:pPr>
    </w:p>
    <w:p w14:paraId="1435427F">
      <w:pPr>
        <w:rPr>
          <w:color w:val="auto"/>
          <w:highlight w:val="none"/>
        </w:rPr>
      </w:pPr>
    </w:p>
    <w:tbl>
      <w:tblPr>
        <w:tblStyle w:val="51"/>
        <w:tblW w:w="0" w:type="auto"/>
        <w:jc w:val="center"/>
        <w:tblLayout w:type="fixed"/>
        <w:tblCellMar>
          <w:top w:w="0" w:type="dxa"/>
          <w:left w:w="108" w:type="dxa"/>
          <w:bottom w:w="0" w:type="dxa"/>
          <w:right w:w="108" w:type="dxa"/>
        </w:tblCellMar>
      </w:tblPr>
      <w:tblGrid>
        <w:gridCol w:w="2707"/>
        <w:gridCol w:w="6"/>
        <w:gridCol w:w="5571"/>
      </w:tblGrid>
      <w:tr w14:paraId="1F9E905F">
        <w:tblPrEx>
          <w:tblCellMar>
            <w:top w:w="0" w:type="dxa"/>
            <w:left w:w="108" w:type="dxa"/>
            <w:bottom w:w="0" w:type="dxa"/>
            <w:right w:w="108" w:type="dxa"/>
          </w:tblCellMar>
        </w:tblPrEx>
        <w:trPr>
          <w:trHeight w:val="703" w:hRule="atLeast"/>
          <w:jc w:val="center"/>
        </w:trPr>
        <w:tc>
          <w:tcPr>
            <w:tcW w:w="2707" w:type="dxa"/>
            <w:vAlign w:val="center"/>
          </w:tcPr>
          <w:p w14:paraId="28A86ABC">
            <w:pPr>
              <w:autoSpaceDE w:val="0"/>
              <w:autoSpaceDN w:val="0"/>
              <w:adjustRightInd w:val="0"/>
              <w:jc w:val="right"/>
              <w:rPr>
                <w:b/>
                <w:color w:val="auto"/>
                <w:sz w:val="32"/>
                <w:szCs w:val="32"/>
                <w:highlight w:val="none"/>
              </w:rPr>
            </w:pPr>
            <w:r>
              <w:rPr>
                <w:b/>
                <w:color w:val="auto"/>
                <w:sz w:val="32"/>
                <w:szCs w:val="32"/>
                <w:highlight w:val="none"/>
              </w:rPr>
              <w:t xml:space="preserve">  采购人：</w:t>
            </w:r>
          </w:p>
        </w:tc>
        <w:tc>
          <w:tcPr>
            <w:tcW w:w="5577" w:type="dxa"/>
            <w:gridSpan w:val="2"/>
            <w:vAlign w:val="center"/>
          </w:tcPr>
          <w:p w14:paraId="33FB05B7">
            <w:pPr>
              <w:autoSpaceDE w:val="0"/>
              <w:autoSpaceDN w:val="0"/>
              <w:adjustRightInd w:val="0"/>
              <w:jc w:val="left"/>
              <w:rPr>
                <w:b/>
                <w:color w:val="auto"/>
                <w:sz w:val="32"/>
                <w:szCs w:val="32"/>
                <w:highlight w:val="none"/>
              </w:rPr>
            </w:pPr>
            <w:r>
              <w:rPr>
                <w:rFonts w:hint="eastAsia"/>
                <w:b/>
                <w:color w:val="auto"/>
                <w:sz w:val="32"/>
                <w:szCs w:val="32"/>
                <w:highlight w:val="none"/>
              </w:rPr>
              <w:t>防城港市疾病预防控制中心(防城港市卫生监督所)</w:t>
            </w:r>
          </w:p>
        </w:tc>
      </w:tr>
      <w:tr w14:paraId="7C3B5229">
        <w:tblPrEx>
          <w:tblCellMar>
            <w:top w:w="0" w:type="dxa"/>
            <w:left w:w="108" w:type="dxa"/>
            <w:bottom w:w="0" w:type="dxa"/>
            <w:right w:w="108" w:type="dxa"/>
          </w:tblCellMar>
        </w:tblPrEx>
        <w:trPr>
          <w:trHeight w:val="703" w:hRule="atLeast"/>
          <w:jc w:val="center"/>
        </w:trPr>
        <w:tc>
          <w:tcPr>
            <w:tcW w:w="2713" w:type="dxa"/>
            <w:gridSpan w:val="2"/>
          </w:tcPr>
          <w:p w14:paraId="3D960F96">
            <w:pPr>
              <w:autoSpaceDE w:val="0"/>
              <w:autoSpaceDN w:val="0"/>
              <w:adjustRightInd w:val="0"/>
              <w:jc w:val="right"/>
              <w:rPr>
                <w:b/>
                <w:color w:val="auto"/>
                <w:sz w:val="32"/>
                <w:szCs w:val="32"/>
                <w:highlight w:val="none"/>
              </w:rPr>
            </w:pPr>
            <w:r>
              <w:rPr>
                <w:b/>
                <w:color w:val="auto"/>
                <w:sz w:val="32"/>
                <w:szCs w:val="32"/>
                <w:highlight w:val="none"/>
              </w:rPr>
              <w:t>采购代理机构：</w:t>
            </w:r>
          </w:p>
        </w:tc>
        <w:tc>
          <w:tcPr>
            <w:tcW w:w="5571" w:type="dxa"/>
          </w:tcPr>
          <w:p w14:paraId="1C42DC7E">
            <w:pPr>
              <w:autoSpaceDE w:val="0"/>
              <w:autoSpaceDN w:val="0"/>
              <w:adjustRightInd w:val="0"/>
              <w:rPr>
                <w:b/>
                <w:color w:val="auto"/>
                <w:sz w:val="32"/>
                <w:szCs w:val="32"/>
                <w:highlight w:val="none"/>
                <w:u w:val="single"/>
              </w:rPr>
            </w:pPr>
            <w:r>
              <w:rPr>
                <w:b/>
                <w:color w:val="auto"/>
                <w:sz w:val="32"/>
                <w:szCs w:val="32"/>
                <w:highlight w:val="none"/>
              </w:rPr>
              <w:t>广西机电设备招标有限公司</w:t>
            </w:r>
          </w:p>
        </w:tc>
      </w:tr>
    </w:tbl>
    <w:p w14:paraId="40380524">
      <w:pPr>
        <w:rPr>
          <w:color w:val="auto"/>
          <w:highlight w:val="none"/>
        </w:rPr>
      </w:pPr>
    </w:p>
    <w:p w14:paraId="27F5B12E">
      <w:pPr>
        <w:ind w:firstLine="321" w:firstLineChars="100"/>
        <w:jc w:val="center"/>
        <w:rPr>
          <w:b/>
          <w:color w:val="auto"/>
          <w:sz w:val="32"/>
          <w:szCs w:val="32"/>
          <w:highlight w:val="none"/>
        </w:rPr>
      </w:pPr>
      <w:r>
        <w:rPr>
          <w:b/>
          <w:color w:val="auto"/>
          <w:sz w:val="32"/>
          <w:szCs w:val="32"/>
          <w:highlight w:val="none"/>
        </w:rPr>
        <w:t>202</w:t>
      </w:r>
      <w:r>
        <w:rPr>
          <w:rFonts w:hint="eastAsia"/>
          <w:b/>
          <w:color w:val="auto"/>
          <w:sz w:val="32"/>
          <w:szCs w:val="32"/>
          <w:highlight w:val="none"/>
        </w:rPr>
        <w:t>6</w:t>
      </w:r>
      <w:r>
        <w:rPr>
          <w:b/>
          <w:color w:val="auto"/>
          <w:sz w:val="32"/>
          <w:szCs w:val="32"/>
          <w:highlight w:val="none"/>
        </w:rPr>
        <w:t>年</w:t>
      </w:r>
      <w:r>
        <w:rPr>
          <w:rFonts w:hint="eastAsia"/>
          <w:b/>
          <w:color w:val="auto"/>
          <w:sz w:val="32"/>
          <w:szCs w:val="32"/>
          <w:highlight w:val="none"/>
          <w:lang w:val="en-US" w:eastAsia="zh-CN"/>
        </w:rPr>
        <w:t>9</w:t>
      </w:r>
      <w:r>
        <w:rPr>
          <w:b/>
          <w:color w:val="auto"/>
          <w:sz w:val="32"/>
          <w:szCs w:val="32"/>
          <w:highlight w:val="none"/>
        </w:rPr>
        <w:t>月</w:t>
      </w:r>
    </w:p>
    <w:p w14:paraId="7E9BEFBA">
      <w:pPr>
        <w:tabs>
          <w:tab w:val="left" w:pos="1710"/>
        </w:tabs>
        <w:rPr>
          <w:color w:val="auto"/>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246" w:left="1418" w:header="851" w:footer="992" w:gutter="0"/>
          <w:pgNumType w:start="0"/>
          <w:cols w:space="720" w:num="1"/>
          <w:titlePg/>
          <w:docGrid w:linePitch="312" w:charSpace="0"/>
        </w:sectPr>
      </w:pPr>
    </w:p>
    <w:p w14:paraId="57835658">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2" w:name="_Toc489863683"/>
      <w:bookmarkStart w:id="3" w:name="_Toc485803390"/>
      <w:r>
        <w:rPr>
          <w:rFonts w:ascii="Times New Roman" w:hAnsi="Times New Roman" w:cs="Times New Roman"/>
          <w:color w:val="auto"/>
          <w:sz w:val="32"/>
          <w:szCs w:val="32"/>
          <w:highlight w:val="none"/>
        </w:rPr>
        <w:t>目    录</w:t>
      </w:r>
      <w:bookmarkEnd w:id="2"/>
      <w:bookmarkEnd w:id="3"/>
    </w:p>
    <w:p w14:paraId="6DD61205">
      <w:pPr>
        <w:pStyle w:val="33"/>
        <w:ind w:firstLine="241"/>
        <w:rPr>
          <w:rFonts w:ascii="Times New Roman" w:hAnsi="Times New Roman"/>
          <w:b w:val="0"/>
          <w:bCs w:val="0"/>
          <w:caps w:val="0"/>
          <w:color w:val="auto"/>
          <w:sz w:val="21"/>
          <w:szCs w:val="22"/>
          <w:highlight w:val="none"/>
        </w:rPr>
      </w:pPr>
      <w:r>
        <w:rPr>
          <w:rFonts w:ascii="Times New Roman" w:hAnsi="Times New Roman"/>
          <w:color w:val="auto"/>
          <w:highlight w:val="none"/>
        </w:rPr>
        <w:fldChar w:fldCharType="begin"/>
      </w:r>
      <w:r>
        <w:rPr>
          <w:rStyle w:val="57"/>
          <w:rFonts w:ascii="Times New Roman" w:hAnsi="Times New Roman"/>
          <w:color w:val="auto"/>
          <w:highlight w:val="none"/>
        </w:rPr>
        <w:instrText xml:space="preserve"> TOC \o "1-1" \h \z \u </w:instrText>
      </w:r>
      <w:r>
        <w:rPr>
          <w:rFonts w:ascii="Times New Roman" w:hAnsi="Times New Roman"/>
          <w:color w:val="auto"/>
          <w:highlight w:val="none"/>
        </w:rPr>
        <w:fldChar w:fldCharType="separate"/>
      </w:r>
      <w:r>
        <w:rPr>
          <w:color w:val="auto"/>
          <w:highlight w:val="none"/>
        </w:rPr>
        <w:fldChar w:fldCharType="begin"/>
      </w:r>
      <w:r>
        <w:rPr>
          <w:color w:val="auto"/>
          <w:highlight w:val="none"/>
        </w:rPr>
        <w:instrText xml:space="preserve"> HYPERLINK \l "_Toc489863684" </w:instrText>
      </w:r>
      <w:r>
        <w:rPr>
          <w:color w:val="auto"/>
          <w:highlight w:val="none"/>
        </w:rPr>
        <w:fldChar w:fldCharType="separate"/>
      </w:r>
      <w:r>
        <w:rPr>
          <w:rStyle w:val="57"/>
          <w:rFonts w:ascii="Times New Roman" w:hAnsi="Times New Roman"/>
          <w:color w:val="auto"/>
          <w:highlight w:val="none"/>
        </w:rPr>
        <w:t>第一章  竞争性谈判公告</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_Toc489863684 \h </w:instrText>
      </w:r>
      <w:r>
        <w:rPr>
          <w:rFonts w:ascii="Times New Roman" w:hAnsi="Times New Roman"/>
          <w:color w:val="auto"/>
          <w:highlight w:val="none"/>
        </w:rPr>
        <w:fldChar w:fldCharType="separate"/>
      </w:r>
      <w:r>
        <w:rPr>
          <w:rFonts w:ascii="Times New Roman" w:hAnsi="Times New Roman"/>
          <w:color w:val="auto"/>
          <w:highlight w:val="none"/>
        </w:rPr>
        <w:t>1</w:t>
      </w:r>
      <w:r>
        <w:rPr>
          <w:rFonts w:ascii="Times New Roman" w:hAnsi="Times New Roman"/>
          <w:color w:val="auto"/>
          <w:highlight w:val="none"/>
        </w:rPr>
        <w:fldChar w:fldCharType="end"/>
      </w:r>
      <w:r>
        <w:rPr>
          <w:rFonts w:ascii="Times New Roman" w:hAnsi="Times New Roman"/>
          <w:color w:val="auto"/>
          <w:highlight w:val="none"/>
        </w:rPr>
        <w:fldChar w:fldCharType="end"/>
      </w:r>
    </w:p>
    <w:p w14:paraId="29084EAB">
      <w:pPr>
        <w:pStyle w:val="33"/>
        <w:ind w:firstLine="241"/>
        <w:rPr>
          <w:rFonts w:ascii="Times New Roman" w:hAnsi="Times New Roman"/>
          <w:b w:val="0"/>
          <w:bCs w:val="0"/>
          <w:caps w:val="0"/>
          <w:color w:val="auto"/>
          <w:sz w:val="21"/>
          <w:szCs w:val="22"/>
          <w:highlight w:val="none"/>
        </w:rPr>
      </w:pPr>
      <w:r>
        <w:rPr>
          <w:color w:val="auto"/>
          <w:highlight w:val="none"/>
        </w:rPr>
        <w:fldChar w:fldCharType="begin"/>
      </w:r>
      <w:r>
        <w:rPr>
          <w:color w:val="auto"/>
          <w:highlight w:val="none"/>
        </w:rPr>
        <w:instrText xml:space="preserve"> HYPERLINK \l "_Toc489863685" </w:instrText>
      </w:r>
      <w:r>
        <w:rPr>
          <w:color w:val="auto"/>
          <w:highlight w:val="none"/>
        </w:rPr>
        <w:fldChar w:fldCharType="separate"/>
      </w:r>
      <w:r>
        <w:rPr>
          <w:rStyle w:val="57"/>
          <w:rFonts w:ascii="Times New Roman" w:hAnsi="Times New Roman"/>
          <w:color w:val="auto"/>
          <w:highlight w:val="none"/>
        </w:rPr>
        <w:t>第二章  采购</w:t>
      </w:r>
      <w:bookmarkStart w:id="4" w:name="_Hlt9352718"/>
      <w:bookmarkStart w:id="5" w:name="_Hlt9352719"/>
      <w:r>
        <w:rPr>
          <w:rStyle w:val="57"/>
          <w:rFonts w:ascii="Times New Roman" w:hAnsi="Times New Roman"/>
          <w:color w:val="auto"/>
          <w:highlight w:val="none"/>
        </w:rPr>
        <w:t>需</w:t>
      </w:r>
      <w:bookmarkEnd w:id="4"/>
      <w:bookmarkEnd w:id="5"/>
      <w:r>
        <w:rPr>
          <w:rStyle w:val="57"/>
          <w:rFonts w:ascii="Times New Roman" w:hAnsi="Times New Roman"/>
          <w:color w:val="auto"/>
          <w:highlight w:val="none"/>
        </w:rPr>
        <w:t>求</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_Toc489863685 \h </w:instrText>
      </w:r>
      <w:r>
        <w:rPr>
          <w:rFonts w:ascii="Times New Roman" w:hAnsi="Times New Roman"/>
          <w:color w:val="auto"/>
          <w:highlight w:val="none"/>
        </w:rPr>
        <w:fldChar w:fldCharType="separate"/>
      </w:r>
      <w:r>
        <w:rPr>
          <w:rFonts w:ascii="Times New Roman" w:hAnsi="Times New Roman"/>
          <w:color w:val="auto"/>
          <w:highlight w:val="none"/>
        </w:rPr>
        <w:t>4</w:t>
      </w:r>
      <w:r>
        <w:rPr>
          <w:rFonts w:ascii="Times New Roman" w:hAnsi="Times New Roman"/>
          <w:color w:val="auto"/>
          <w:highlight w:val="none"/>
        </w:rPr>
        <w:fldChar w:fldCharType="end"/>
      </w:r>
      <w:r>
        <w:rPr>
          <w:rFonts w:ascii="Times New Roman" w:hAnsi="Times New Roman"/>
          <w:color w:val="auto"/>
          <w:highlight w:val="none"/>
        </w:rPr>
        <w:fldChar w:fldCharType="end"/>
      </w:r>
    </w:p>
    <w:p w14:paraId="2B4DDEA7">
      <w:pPr>
        <w:pStyle w:val="33"/>
        <w:ind w:firstLine="241"/>
        <w:rPr>
          <w:rFonts w:ascii="Times New Roman" w:hAnsi="Times New Roman"/>
          <w:b w:val="0"/>
          <w:bCs w:val="0"/>
          <w:caps w:val="0"/>
          <w:color w:val="auto"/>
          <w:sz w:val="21"/>
          <w:szCs w:val="22"/>
          <w:highlight w:val="none"/>
        </w:rPr>
      </w:pPr>
      <w:r>
        <w:rPr>
          <w:color w:val="auto"/>
          <w:highlight w:val="none"/>
        </w:rPr>
        <w:fldChar w:fldCharType="begin"/>
      </w:r>
      <w:r>
        <w:rPr>
          <w:color w:val="auto"/>
          <w:highlight w:val="none"/>
        </w:rPr>
        <w:instrText xml:space="preserve"> HYPERLINK \l "_Toc489863686" </w:instrText>
      </w:r>
      <w:r>
        <w:rPr>
          <w:color w:val="auto"/>
          <w:highlight w:val="none"/>
        </w:rPr>
        <w:fldChar w:fldCharType="separate"/>
      </w:r>
      <w:r>
        <w:rPr>
          <w:rStyle w:val="57"/>
          <w:rFonts w:ascii="Times New Roman" w:hAnsi="Times New Roman"/>
          <w:color w:val="auto"/>
          <w:highlight w:val="none"/>
        </w:rPr>
        <w:t>第三章  供应商须知</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_Toc489863686 \h </w:instrText>
      </w:r>
      <w:r>
        <w:rPr>
          <w:rFonts w:ascii="Times New Roman" w:hAnsi="Times New Roman"/>
          <w:color w:val="auto"/>
          <w:highlight w:val="none"/>
        </w:rPr>
        <w:fldChar w:fldCharType="separate"/>
      </w:r>
      <w:r>
        <w:rPr>
          <w:rFonts w:ascii="Times New Roman" w:hAnsi="Times New Roman"/>
          <w:color w:val="auto"/>
          <w:highlight w:val="none"/>
        </w:rPr>
        <w:t>81</w:t>
      </w:r>
      <w:r>
        <w:rPr>
          <w:rFonts w:ascii="Times New Roman" w:hAnsi="Times New Roman"/>
          <w:color w:val="auto"/>
          <w:highlight w:val="none"/>
        </w:rPr>
        <w:fldChar w:fldCharType="end"/>
      </w:r>
      <w:r>
        <w:rPr>
          <w:rFonts w:ascii="Times New Roman" w:hAnsi="Times New Roman"/>
          <w:color w:val="auto"/>
          <w:highlight w:val="none"/>
        </w:rPr>
        <w:fldChar w:fldCharType="end"/>
      </w:r>
    </w:p>
    <w:p w14:paraId="077102FB">
      <w:pPr>
        <w:pStyle w:val="33"/>
        <w:ind w:firstLine="241"/>
        <w:rPr>
          <w:rFonts w:ascii="Times New Roman" w:hAnsi="Times New Roman"/>
          <w:b w:val="0"/>
          <w:bCs w:val="0"/>
          <w:caps w:val="0"/>
          <w:color w:val="auto"/>
          <w:sz w:val="21"/>
          <w:szCs w:val="22"/>
          <w:highlight w:val="none"/>
        </w:rPr>
      </w:pPr>
      <w:r>
        <w:rPr>
          <w:color w:val="auto"/>
          <w:highlight w:val="none"/>
        </w:rPr>
        <w:fldChar w:fldCharType="begin"/>
      </w:r>
      <w:r>
        <w:rPr>
          <w:color w:val="auto"/>
          <w:highlight w:val="none"/>
        </w:rPr>
        <w:instrText xml:space="preserve"> HYPERLINK \l "_Toc489863687" </w:instrText>
      </w:r>
      <w:r>
        <w:rPr>
          <w:color w:val="auto"/>
          <w:highlight w:val="none"/>
        </w:rPr>
        <w:fldChar w:fldCharType="separate"/>
      </w:r>
      <w:r>
        <w:rPr>
          <w:rStyle w:val="57"/>
          <w:rFonts w:ascii="Times New Roman" w:hAnsi="Times New Roman"/>
          <w:color w:val="auto"/>
          <w:highlight w:val="none"/>
        </w:rPr>
        <w:t>第四章  评审方法及标准</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_Toc489863687 \h </w:instrText>
      </w:r>
      <w:r>
        <w:rPr>
          <w:rFonts w:ascii="Times New Roman" w:hAnsi="Times New Roman"/>
          <w:color w:val="auto"/>
          <w:highlight w:val="none"/>
        </w:rPr>
        <w:fldChar w:fldCharType="separate"/>
      </w:r>
      <w:r>
        <w:rPr>
          <w:rFonts w:ascii="Times New Roman" w:hAnsi="Times New Roman"/>
          <w:color w:val="auto"/>
          <w:highlight w:val="none"/>
        </w:rPr>
        <w:t>109</w:t>
      </w:r>
      <w:r>
        <w:rPr>
          <w:rFonts w:ascii="Times New Roman" w:hAnsi="Times New Roman"/>
          <w:color w:val="auto"/>
          <w:highlight w:val="none"/>
        </w:rPr>
        <w:fldChar w:fldCharType="end"/>
      </w:r>
      <w:r>
        <w:rPr>
          <w:rFonts w:ascii="Times New Roman" w:hAnsi="Times New Roman"/>
          <w:color w:val="auto"/>
          <w:highlight w:val="none"/>
        </w:rPr>
        <w:fldChar w:fldCharType="end"/>
      </w:r>
    </w:p>
    <w:p w14:paraId="2D649ED5">
      <w:pPr>
        <w:pStyle w:val="33"/>
        <w:ind w:firstLine="241"/>
        <w:rPr>
          <w:rFonts w:ascii="Times New Roman" w:hAnsi="Times New Roman"/>
          <w:b w:val="0"/>
          <w:bCs w:val="0"/>
          <w:caps w:val="0"/>
          <w:color w:val="auto"/>
          <w:sz w:val="21"/>
          <w:szCs w:val="22"/>
          <w:highlight w:val="none"/>
        </w:rPr>
      </w:pPr>
      <w:r>
        <w:rPr>
          <w:color w:val="auto"/>
          <w:highlight w:val="none"/>
        </w:rPr>
        <w:fldChar w:fldCharType="begin"/>
      </w:r>
      <w:r>
        <w:rPr>
          <w:color w:val="auto"/>
          <w:highlight w:val="none"/>
        </w:rPr>
        <w:instrText xml:space="preserve"> HYPERLINK \l "_Toc489863688" </w:instrText>
      </w:r>
      <w:r>
        <w:rPr>
          <w:color w:val="auto"/>
          <w:highlight w:val="none"/>
        </w:rPr>
        <w:fldChar w:fldCharType="separate"/>
      </w:r>
      <w:r>
        <w:rPr>
          <w:rStyle w:val="57"/>
          <w:rFonts w:ascii="Times New Roman" w:hAnsi="Times New Roman"/>
          <w:color w:val="auto"/>
          <w:highlight w:val="none"/>
        </w:rPr>
        <w:t>第五章  合同主要条款格式</w:t>
      </w:r>
      <w:r>
        <w:rPr>
          <w:rFonts w:ascii="Times New Roman" w:hAnsi="Times New Roman"/>
          <w:color w:val="auto"/>
          <w:highlight w:val="none"/>
        </w:rPr>
        <w:tab/>
      </w:r>
      <w:r>
        <w:rPr>
          <w:rFonts w:hint="eastAsia" w:ascii="Times New Roman" w:hAnsi="Times New Roman"/>
          <w:color w:val="auto"/>
          <w:highlight w:val="none"/>
        </w:rPr>
        <w:t>1</w:t>
      </w:r>
      <w:r>
        <w:rPr>
          <w:rFonts w:hint="eastAsia" w:ascii="Times New Roman" w:hAnsi="Times New Roman"/>
          <w:color w:val="auto"/>
          <w:highlight w:val="none"/>
        </w:rPr>
        <w:fldChar w:fldCharType="end"/>
      </w:r>
      <w:r>
        <w:rPr>
          <w:rStyle w:val="57"/>
          <w:rFonts w:hint="eastAsia" w:ascii="Times New Roman" w:hAnsi="Times New Roman"/>
          <w:color w:val="auto"/>
          <w:highlight w:val="none"/>
        </w:rPr>
        <w:t>11</w:t>
      </w:r>
    </w:p>
    <w:p w14:paraId="60C77461">
      <w:pPr>
        <w:pStyle w:val="33"/>
        <w:ind w:firstLine="241"/>
        <w:rPr>
          <w:rStyle w:val="57"/>
          <w:rFonts w:ascii="Times New Roman" w:hAnsi="Times New Roman"/>
          <w:color w:val="auto"/>
          <w:highlight w:val="none"/>
        </w:rPr>
        <w:sectPr>
          <w:headerReference r:id="rId10" w:type="first"/>
          <w:footerReference r:id="rId12" w:type="first"/>
          <w:headerReference r:id="rId9" w:type="default"/>
          <w:footerReference r:id="rId11" w:type="default"/>
          <w:pgSz w:w="11906" w:h="16838"/>
          <w:pgMar w:top="1135" w:right="1133" w:bottom="1246" w:left="1418" w:header="851" w:footer="903" w:gutter="0"/>
          <w:pgNumType w:start="1"/>
          <w:cols w:space="720" w:num="1"/>
          <w:docGrid w:linePitch="312" w:charSpace="0"/>
        </w:sectPr>
      </w:pPr>
      <w:r>
        <w:rPr>
          <w:color w:val="auto"/>
          <w:highlight w:val="none"/>
        </w:rPr>
        <w:fldChar w:fldCharType="begin"/>
      </w:r>
      <w:r>
        <w:rPr>
          <w:color w:val="auto"/>
          <w:highlight w:val="none"/>
        </w:rPr>
        <w:instrText xml:space="preserve"> HYPERLINK \l "_Toc489863689" </w:instrText>
      </w:r>
      <w:r>
        <w:rPr>
          <w:color w:val="auto"/>
          <w:highlight w:val="none"/>
        </w:rPr>
        <w:fldChar w:fldCharType="separate"/>
      </w:r>
      <w:r>
        <w:rPr>
          <w:rStyle w:val="57"/>
          <w:rFonts w:ascii="Times New Roman" w:hAnsi="Times New Roman"/>
          <w:color w:val="auto"/>
          <w:highlight w:val="none"/>
        </w:rPr>
        <w:t>第六章  响应文件格式</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_Toc489863689 \h </w:instrText>
      </w:r>
      <w:r>
        <w:rPr>
          <w:rFonts w:ascii="Times New Roman" w:hAnsi="Times New Roman"/>
          <w:color w:val="auto"/>
          <w:highlight w:val="none"/>
        </w:rPr>
        <w:fldChar w:fldCharType="separate"/>
      </w:r>
      <w:r>
        <w:rPr>
          <w:rFonts w:ascii="Times New Roman" w:hAnsi="Times New Roman"/>
          <w:color w:val="auto"/>
          <w:highlight w:val="none"/>
        </w:rPr>
        <w:t>117</w:t>
      </w:r>
      <w:r>
        <w:rPr>
          <w:rFonts w:ascii="Times New Roman" w:hAnsi="Times New Roman"/>
          <w:color w:val="auto"/>
          <w:highlight w:val="none"/>
        </w:rPr>
        <w:fldChar w:fldCharType="end"/>
      </w:r>
      <w:r>
        <w:rPr>
          <w:rFonts w:ascii="Times New Roman" w:hAnsi="Times New Roman"/>
          <w:color w:val="auto"/>
          <w:highlight w:val="none"/>
        </w:rPr>
        <w:fldChar w:fldCharType="end"/>
      </w:r>
    </w:p>
    <w:p w14:paraId="6746FDD4">
      <w:pPr>
        <w:pStyle w:val="26"/>
        <w:snapToGrid w:val="0"/>
        <w:spacing w:before="120" w:after="120" w:line="320" w:lineRule="exact"/>
        <w:jc w:val="center"/>
        <w:outlineLvl w:val="0"/>
        <w:rPr>
          <w:rFonts w:ascii="Times New Roman" w:hAnsi="Times New Roman" w:cs="Times New Roman"/>
          <w:color w:val="auto"/>
          <w:sz w:val="32"/>
          <w:szCs w:val="32"/>
          <w:highlight w:val="none"/>
        </w:rPr>
      </w:pPr>
      <w:r>
        <w:rPr>
          <w:rFonts w:ascii="Times New Roman" w:hAnsi="Times New Roman" w:cs="Times New Roman"/>
          <w:color w:val="auto"/>
          <w:szCs w:val="28"/>
          <w:highlight w:val="none"/>
        </w:rPr>
        <w:fldChar w:fldCharType="end"/>
      </w:r>
      <w:bookmarkStart w:id="6" w:name="_Toc254970630"/>
      <w:bookmarkStart w:id="7" w:name="_Toc254970489"/>
      <w:bookmarkStart w:id="8" w:name="_Toc489863684"/>
      <w:r>
        <w:rPr>
          <w:rFonts w:ascii="Times New Roman" w:hAnsi="Times New Roman" w:cs="Times New Roman"/>
          <w:color w:val="auto"/>
          <w:sz w:val="32"/>
          <w:szCs w:val="32"/>
          <w:highlight w:val="none"/>
        </w:rPr>
        <w:t>第一章  竞争性谈判公告</w:t>
      </w:r>
    </w:p>
    <w:bookmarkEnd w:id="6"/>
    <w:bookmarkEnd w:id="7"/>
    <w:bookmarkEnd w:id="8"/>
    <w:p w14:paraId="61DAF746">
      <w:pPr>
        <w:spacing w:line="400" w:lineRule="exact"/>
        <w:jc w:val="center"/>
        <w:rPr>
          <w:color w:val="auto"/>
          <w:kern w:val="0"/>
          <w:sz w:val="24"/>
          <w:highlight w:val="none"/>
        </w:rPr>
      </w:pPr>
      <w:r>
        <w:rPr>
          <w:color w:val="auto"/>
          <w:kern w:val="0"/>
          <w:sz w:val="24"/>
          <w:highlight w:val="none"/>
        </w:rPr>
        <w:t>广西机电设备招标有限公司关于</w:t>
      </w:r>
      <w:r>
        <w:rPr>
          <w:rFonts w:hint="eastAsia"/>
          <w:color w:val="auto"/>
          <w:kern w:val="0"/>
          <w:sz w:val="24"/>
          <w:highlight w:val="none"/>
        </w:rPr>
        <w:t>实验室检测试剂及耗材采购</w:t>
      </w:r>
    </w:p>
    <w:p w14:paraId="4CB9D54E">
      <w:pPr>
        <w:spacing w:line="400" w:lineRule="exact"/>
        <w:jc w:val="center"/>
        <w:rPr>
          <w:b/>
          <w:color w:val="auto"/>
          <w:sz w:val="24"/>
          <w:highlight w:val="none"/>
        </w:rPr>
      </w:pPr>
      <w:r>
        <w:rPr>
          <w:color w:val="auto"/>
          <w:sz w:val="24"/>
          <w:highlight w:val="none"/>
        </w:rPr>
        <w:t>(</w:t>
      </w:r>
      <w:r>
        <w:rPr>
          <w:rFonts w:hint="eastAsia"/>
          <w:color w:val="auto"/>
          <w:sz w:val="24"/>
          <w:highlight w:val="none"/>
          <w:lang w:eastAsia="zh-CN"/>
        </w:rPr>
        <w:t>FCZC2026-J1-990178-JDZB</w:t>
      </w:r>
      <w:r>
        <w:rPr>
          <w:color w:val="auto"/>
          <w:sz w:val="24"/>
          <w:highlight w:val="none"/>
        </w:rPr>
        <w:t>)</w:t>
      </w:r>
      <w:r>
        <w:rPr>
          <w:color w:val="auto"/>
          <w:kern w:val="0"/>
          <w:sz w:val="24"/>
          <w:highlight w:val="none"/>
        </w:rPr>
        <w:t>竞争性谈判公告</w:t>
      </w:r>
    </w:p>
    <w:p w14:paraId="3412ED3A">
      <w:pPr>
        <w:jc w:val="left"/>
        <w:rPr>
          <w:color w:val="auto"/>
          <w:kern w:val="0"/>
          <w:szCs w:val="21"/>
          <w:highlight w:val="none"/>
        </w:rPr>
      </w:pPr>
    </w:p>
    <w:p w14:paraId="101E2558">
      <w:pPr>
        <w:spacing w:line="312" w:lineRule="auto"/>
        <w:ind w:firstLine="420" w:firstLineChars="200"/>
        <w:jc w:val="left"/>
        <w:rPr>
          <w:b/>
          <w:bCs/>
          <w:color w:val="auto"/>
          <w:kern w:val="0"/>
          <w:sz w:val="22"/>
          <w:szCs w:val="22"/>
          <w:highlight w:val="none"/>
        </w:rPr>
      </w:pPr>
      <w:r>
        <w:rPr>
          <w:rFonts w:hint="eastAsia"/>
          <w:color w:val="auto"/>
          <w:szCs w:val="21"/>
          <w:highlight w:val="none"/>
        </w:rPr>
        <w:t>项目概况：实验室检测试剂及耗材采购的潜在供应商应在广西政府采购云平台（https://www.gcy.zfcg.gxzf.gov.cn/）获取采购文件，并于</w:t>
      </w:r>
      <w:r>
        <w:rPr>
          <w:rFonts w:hint="eastAsia"/>
          <w:color w:val="auto"/>
          <w:szCs w:val="21"/>
          <w:highlight w:val="none"/>
          <w:lang w:val="en-US" w:eastAsia="zh-CN"/>
        </w:rPr>
        <w:t>2026</w:t>
      </w:r>
      <w:r>
        <w:rPr>
          <w:rFonts w:hint="eastAsia"/>
          <w:color w:val="auto"/>
          <w:szCs w:val="21"/>
          <w:highlight w:val="none"/>
        </w:rPr>
        <w:t>年</w:t>
      </w:r>
      <w:r>
        <w:rPr>
          <w:rFonts w:hint="eastAsia"/>
          <w:color w:val="auto"/>
          <w:szCs w:val="21"/>
          <w:highlight w:val="none"/>
          <w:lang w:val="en-US" w:eastAsia="zh-CN"/>
        </w:rPr>
        <w:t>10</w:t>
      </w:r>
      <w:r>
        <w:rPr>
          <w:rFonts w:hint="eastAsia"/>
          <w:color w:val="auto"/>
          <w:szCs w:val="21"/>
          <w:highlight w:val="none"/>
        </w:rPr>
        <w:t>月</w:t>
      </w:r>
      <w:r>
        <w:rPr>
          <w:rFonts w:hint="eastAsia"/>
          <w:color w:val="auto"/>
          <w:szCs w:val="21"/>
          <w:highlight w:val="none"/>
          <w:lang w:val="en-US" w:eastAsia="zh-CN"/>
        </w:rPr>
        <w:t>15</w:t>
      </w:r>
      <w:r>
        <w:rPr>
          <w:rFonts w:hint="eastAsia"/>
          <w:color w:val="auto"/>
          <w:szCs w:val="21"/>
          <w:highlight w:val="none"/>
        </w:rPr>
        <w:t>日 09:30（北京时间）前提交响应文件。</w:t>
      </w:r>
    </w:p>
    <w:p w14:paraId="4CBD2313">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 xml:space="preserve">一、项目基本情况 </w:t>
      </w:r>
    </w:p>
    <w:p w14:paraId="5D03F699">
      <w:pPr>
        <w:spacing w:line="312" w:lineRule="auto"/>
        <w:ind w:firstLine="420" w:firstLineChars="200"/>
        <w:jc w:val="left"/>
        <w:rPr>
          <w:rFonts w:hint="eastAsia" w:eastAsia="宋体"/>
          <w:color w:val="auto"/>
          <w:kern w:val="0"/>
          <w:szCs w:val="21"/>
          <w:highlight w:val="none"/>
          <w:lang w:eastAsia="zh-CN"/>
        </w:rPr>
      </w:pPr>
      <w:r>
        <w:rPr>
          <w:color w:val="auto"/>
          <w:kern w:val="0"/>
          <w:szCs w:val="21"/>
          <w:highlight w:val="none"/>
        </w:rPr>
        <w:t>项目编号：</w:t>
      </w:r>
      <w:r>
        <w:rPr>
          <w:rFonts w:hint="eastAsia"/>
          <w:color w:val="auto"/>
          <w:kern w:val="0"/>
          <w:szCs w:val="21"/>
          <w:highlight w:val="none"/>
          <w:lang w:eastAsia="zh-CN"/>
        </w:rPr>
        <w:t>FCZC2026-J1-990178-JDZB</w:t>
      </w:r>
    </w:p>
    <w:p w14:paraId="5E1C50FF">
      <w:pPr>
        <w:spacing w:line="312" w:lineRule="auto"/>
        <w:ind w:firstLine="420" w:firstLineChars="200"/>
        <w:jc w:val="left"/>
        <w:rPr>
          <w:color w:val="auto"/>
          <w:kern w:val="0"/>
          <w:szCs w:val="21"/>
          <w:highlight w:val="none"/>
        </w:rPr>
      </w:pPr>
      <w:r>
        <w:rPr>
          <w:color w:val="auto"/>
          <w:kern w:val="0"/>
          <w:szCs w:val="21"/>
          <w:highlight w:val="none"/>
        </w:rPr>
        <w:t>项目名称：</w:t>
      </w:r>
      <w:r>
        <w:rPr>
          <w:rFonts w:hint="eastAsia"/>
          <w:color w:val="auto"/>
          <w:kern w:val="0"/>
          <w:szCs w:val="21"/>
          <w:highlight w:val="none"/>
        </w:rPr>
        <w:t>实验室检测试剂及耗材采购</w:t>
      </w:r>
    </w:p>
    <w:p w14:paraId="5DD23225">
      <w:pPr>
        <w:spacing w:line="312" w:lineRule="auto"/>
        <w:ind w:firstLine="420" w:firstLineChars="200"/>
        <w:jc w:val="left"/>
        <w:rPr>
          <w:color w:val="auto"/>
          <w:kern w:val="0"/>
          <w:szCs w:val="21"/>
          <w:highlight w:val="none"/>
        </w:rPr>
      </w:pPr>
      <w:r>
        <w:rPr>
          <w:rFonts w:hint="eastAsia"/>
          <w:color w:val="auto"/>
          <w:kern w:val="0"/>
          <w:szCs w:val="21"/>
          <w:highlight w:val="none"/>
        </w:rPr>
        <w:t>采购方式：竞争性谈判</w:t>
      </w:r>
    </w:p>
    <w:p w14:paraId="038B9C1E">
      <w:pPr>
        <w:spacing w:line="312" w:lineRule="auto"/>
        <w:ind w:firstLine="420" w:firstLineChars="200"/>
        <w:jc w:val="left"/>
        <w:rPr>
          <w:color w:val="auto"/>
          <w:kern w:val="0"/>
          <w:szCs w:val="21"/>
          <w:highlight w:val="none"/>
        </w:rPr>
      </w:pPr>
      <w:r>
        <w:rPr>
          <w:rFonts w:hint="eastAsia"/>
          <w:color w:val="auto"/>
          <w:kern w:val="0"/>
          <w:szCs w:val="21"/>
          <w:highlight w:val="none"/>
        </w:rPr>
        <w:t xml:space="preserve"> 预算总金额（元）：2421000.00</w:t>
      </w:r>
    </w:p>
    <w:p w14:paraId="1FEEDCD7">
      <w:pPr>
        <w:spacing w:line="312" w:lineRule="auto"/>
        <w:ind w:firstLine="420" w:firstLineChars="200"/>
        <w:jc w:val="left"/>
        <w:rPr>
          <w:color w:val="auto"/>
          <w:kern w:val="0"/>
          <w:szCs w:val="21"/>
          <w:highlight w:val="none"/>
        </w:rPr>
      </w:pPr>
      <w:r>
        <w:rPr>
          <w:rFonts w:hint="eastAsia"/>
          <w:color w:val="auto"/>
          <w:kern w:val="0"/>
          <w:szCs w:val="21"/>
          <w:highlight w:val="none"/>
        </w:rPr>
        <w:t>采购需求：</w:t>
      </w:r>
    </w:p>
    <w:p w14:paraId="5C3D5FCA">
      <w:pPr>
        <w:pStyle w:val="19"/>
        <w:ind w:firstLine="720" w:firstLineChars="300"/>
        <w:rPr>
          <w:color w:val="auto"/>
          <w:highlight w:val="none"/>
        </w:rPr>
      </w:pPr>
      <w:r>
        <w:rPr>
          <w:color w:val="auto"/>
          <w:highlight w:val="none"/>
        </w:rPr>
        <w:t>标项一</w:t>
      </w:r>
    </w:p>
    <w:p w14:paraId="6C484C8C">
      <w:pPr>
        <w:spacing w:line="312" w:lineRule="auto"/>
        <w:ind w:firstLine="735" w:firstLineChars="350"/>
        <w:jc w:val="left"/>
        <w:rPr>
          <w:color w:val="auto"/>
          <w:kern w:val="0"/>
          <w:szCs w:val="21"/>
          <w:highlight w:val="none"/>
        </w:rPr>
      </w:pPr>
      <w:r>
        <w:rPr>
          <w:rFonts w:hint="eastAsia"/>
          <w:color w:val="auto"/>
          <w:kern w:val="0"/>
          <w:szCs w:val="21"/>
          <w:highlight w:val="none"/>
        </w:rPr>
        <w:t>标项名称：试剂耗材（理化与其他类）采购</w:t>
      </w:r>
    </w:p>
    <w:p w14:paraId="266ABFE2">
      <w:pPr>
        <w:spacing w:line="312" w:lineRule="auto"/>
        <w:ind w:firstLine="735" w:firstLineChars="350"/>
        <w:jc w:val="left"/>
        <w:rPr>
          <w:color w:val="auto"/>
          <w:kern w:val="0"/>
          <w:szCs w:val="21"/>
          <w:highlight w:val="none"/>
        </w:rPr>
      </w:pPr>
      <w:r>
        <w:rPr>
          <w:rFonts w:hint="eastAsia"/>
          <w:color w:val="auto"/>
          <w:kern w:val="0"/>
          <w:szCs w:val="21"/>
          <w:highlight w:val="none"/>
        </w:rPr>
        <w:t>数量：1批</w:t>
      </w:r>
    </w:p>
    <w:p w14:paraId="1962C099">
      <w:pPr>
        <w:spacing w:line="312" w:lineRule="auto"/>
        <w:ind w:firstLine="735" w:firstLineChars="350"/>
        <w:jc w:val="left"/>
        <w:rPr>
          <w:color w:val="auto"/>
          <w:kern w:val="0"/>
          <w:szCs w:val="21"/>
          <w:highlight w:val="none"/>
        </w:rPr>
      </w:pPr>
      <w:r>
        <w:rPr>
          <w:rFonts w:hint="eastAsia"/>
          <w:color w:val="auto"/>
          <w:kern w:val="0"/>
          <w:szCs w:val="21"/>
          <w:highlight w:val="none"/>
        </w:rPr>
        <w:t>预算金额（元）：821000.00</w:t>
      </w:r>
    </w:p>
    <w:p w14:paraId="239A69C6">
      <w:pPr>
        <w:spacing w:line="312" w:lineRule="auto"/>
        <w:ind w:firstLine="735" w:firstLineChars="350"/>
        <w:jc w:val="left"/>
        <w:rPr>
          <w:color w:val="auto"/>
          <w:kern w:val="0"/>
          <w:szCs w:val="21"/>
          <w:highlight w:val="none"/>
        </w:rPr>
      </w:pPr>
      <w:r>
        <w:rPr>
          <w:rFonts w:hint="eastAsia"/>
          <w:color w:val="auto"/>
          <w:kern w:val="0"/>
          <w:szCs w:val="21"/>
          <w:highlight w:val="none"/>
        </w:rPr>
        <w:t>简要规格描述或项目基本概况介绍、用途：试剂耗材（理化与其他类）采购一批，详见采购需求。</w:t>
      </w:r>
    </w:p>
    <w:p w14:paraId="743A3E16">
      <w:pPr>
        <w:spacing w:line="312" w:lineRule="auto"/>
        <w:ind w:firstLine="735" w:firstLineChars="350"/>
        <w:jc w:val="left"/>
        <w:rPr>
          <w:color w:val="auto"/>
          <w:kern w:val="0"/>
          <w:szCs w:val="21"/>
          <w:highlight w:val="none"/>
        </w:rPr>
      </w:pPr>
      <w:r>
        <w:rPr>
          <w:color w:val="auto"/>
          <w:kern w:val="0"/>
          <w:szCs w:val="21"/>
          <w:highlight w:val="none"/>
        </w:rPr>
        <w:t>最高限价</w:t>
      </w:r>
      <w:r>
        <w:rPr>
          <w:rFonts w:hint="eastAsia"/>
          <w:color w:val="auto"/>
          <w:kern w:val="0"/>
          <w:szCs w:val="21"/>
          <w:highlight w:val="none"/>
        </w:rPr>
        <w:t>（如有）</w:t>
      </w:r>
      <w:r>
        <w:rPr>
          <w:color w:val="auto"/>
          <w:kern w:val="0"/>
          <w:szCs w:val="21"/>
          <w:highlight w:val="none"/>
        </w:rPr>
        <w:t>：</w:t>
      </w:r>
      <w:r>
        <w:rPr>
          <w:rFonts w:hint="eastAsia"/>
          <w:color w:val="auto"/>
          <w:kern w:val="0"/>
          <w:szCs w:val="21"/>
          <w:highlight w:val="none"/>
        </w:rPr>
        <w:t>821000.00</w:t>
      </w:r>
    </w:p>
    <w:p w14:paraId="36A05945">
      <w:pPr>
        <w:spacing w:line="312" w:lineRule="auto"/>
        <w:ind w:firstLine="735" w:firstLineChars="350"/>
        <w:jc w:val="left"/>
        <w:rPr>
          <w:color w:val="auto"/>
          <w:kern w:val="0"/>
          <w:szCs w:val="21"/>
          <w:highlight w:val="none"/>
        </w:rPr>
      </w:pPr>
      <w:r>
        <w:rPr>
          <w:rFonts w:hint="eastAsia"/>
          <w:color w:val="auto"/>
          <w:kern w:val="0"/>
          <w:szCs w:val="21"/>
          <w:highlight w:val="none"/>
        </w:rPr>
        <w:t>合同履约期限：</w:t>
      </w:r>
      <w:r>
        <w:rPr>
          <w:rFonts w:hint="eastAsia" w:ascii="宋体" w:hAnsi="宋体" w:cs="宋体"/>
          <w:color w:val="auto"/>
          <w:kern w:val="0"/>
          <w:szCs w:val="21"/>
          <w:highlight w:val="none"/>
          <w:lang w:val="zh-CN"/>
        </w:rPr>
        <w:t>按采购人提供的供货计划分批供货，接到配送计划后由供应商在10个工作日内配送到交货地点(或至实际采购金额支付满82.1万元止)</w:t>
      </w:r>
      <w:r>
        <w:rPr>
          <w:rFonts w:hint="eastAsia" w:ascii="宋体" w:hAnsi="宋体"/>
          <w:color w:val="auto"/>
          <w:szCs w:val="21"/>
          <w:highlight w:val="none"/>
        </w:rPr>
        <w:t>。</w:t>
      </w:r>
    </w:p>
    <w:p w14:paraId="3DC4C1EC">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rPr>
        <w:t>（</w:t>
      </w:r>
      <w:r>
        <w:rPr>
          <w:rFonts w:hint="eastAsia"/>
          <w:color w:val="auto"/>
          <w:szCs w:val="21"/>
          <w:highlight w:val="none"/>
        </w:rPr>
        <w:t>否</w:t>
      </w:r>
      <w:r>
        <w:rPr>
          <w:rFonts w:hint="eastAsia"/>
          <w:color w:val="auto"/>
          <w:kern w:val="0"/>
          <w:szCs w:val="21"/>
          <w:highlight w:val="none"/>
        </w:rPr>
        <w:t>）接受</w:t>
      </w:r>
      <w:r>
        <w:rPr>
          <w:color w:val="auto"/>
          <w:kern w:val="0"/>
          <w:szCs w:val="21"/>
          <w:highlight w:val="none"/>
        </w:rPr>
        <w:t>联合体。</w:t>
      </w:r>
    </w:p>
    <w:p w14:paraId="17E2DC41">
      <w:pPr>
        <w:spacing w:line="312" w:lineRule="auto"/>
        <w:ind w:firstLine="735" w:firstLineChars="350"/>
        <w:jc w:val="left"/>
        <w:rPr>
          <w:color w:val="auto"/>
          <w:kern w:val="0"/>
          <w:szCs w:val="21"/>
          <w:highlight w:val="none"/>
        </w:rPr>
      </w:pPr>
      <w:r>
        <w:rPr>
          <w:rFonts w:hint="eastAsia"/>
          <w:color w:val="auto"/>
          <w:kern w:val="0"/>
          <w:szCs w:val="21"/>
          <w:highlight w:val="none"/>
        </w:rPr>
        <w:t>备注：无</w:t>
      </w:r>
    </w:p>
    <w:p w14:paraId="1A343B2B">
      <w:pPr>
        <w:pStyle w:val="19"/>
        <w:ind w:firstLine="720" w:firstLineChars="300"/>
        <w:rPr>
          <w:color w:val="auto"/>
          <w:highlight w:val="none"/>
        </w:rPr>
      </w:pPr>
      <w:r>
        <w:rPr>
          <w:color w:val="auto"/>
          <w:highlight w:val="none"/>
        </w:rPr>
        <w:t>标项</w:t>
      </w:r>
      <w:r>
        <w:rPr>
          <w:rFonts w:hint="eastAsia"/>
          <w:color w:val="auto"/>
          <w:highlight w:val="none"/>
        </w:rPr>
        <w:t>二</w:t>
      </w:r>
    </w:p>
    <w:p w14:paraId="4497E042">
      <w:pPr>
        <w:spacing w:line="312" w:lineRule="auto"/>
        <w:ind w:firstLine="735" w:firstLineChars="350"/>
        <w:jc w:val="left"/>
        <w:rPr>
          <w:color w:val="auto"/>
          <w:kern w:val="0"/>
          <w:szCs w:val="21"/>
          <w:highlight w:val="none"/>
        </w:rPr>
      </w:pPr>
      <w:r>
        <w:rPr>
          <w:rFonts w:hint="eastAsia"/>
          <w:color w:val="auto"/>
          <w:kern w:val="0"/>
          <w:szCs w:val="21"/>
          <w:highlight w:val="none"/>
        </w:rPr>
        <w:t>标项名称：试剂耗材（PCR类）采购</w:t>
      </w:r>
    </w:p>
    <w:p w14:paraId="0402783F">
      <w:pPr>
        <w:spacing w:line="312" w:lineRule="auto"/>
        <w:ind w:firstLine="735" w:firstLineChars="350"/>
        <w:jc w:val="left"/>
        <w:rPr>
          <w:color w:val="auto"/>
          <w:kern w:val="0"/>
          <w:szCs w:val="21"/>
          <w:highlight w:val="none"/>
        </w:rPr>
      </w:pPr>
      <w:r>
        <w:rPr>
          <w:rFonts w:hint="eastAsia"/>
          <w:color w:val="auto"/>
          <w:kern w:val="0"/>
          <w:szCs w:val="21"/>
          <w:highlight w:val="none"/>
        </w:rPr>
        <w:t>数量：1批</w:t>
      </w:r>
    </w:p>
    <w:p w14:paraId="2B39A595">
      <w:pPr>
        <w:spacing w:line="312" w:lineRule="auto"/>
        <w:ind w:firstLine="735" w:firstLineChars="350"/>
        <w:jc w:val="left"/>
        <w:rPr>
          <w:color w:val="auto"/>
          <w:kern w:val="0"/>
          <w:szCs w:val="21"/>
          <w:highlight w:val="none"/>
        </w:rPr>
      </w:pPr>
      <w:r>
        <w:rPr>
          <w:rFonts w:hint="eastAsia"/>
          <w:color w:val="auto"/>
          <w:kern w:val="0"/>
          <w:szCs w:val="21"/>
          <w:highlight w:val="none"/>
        </w:rPr>
        <w:t>预算金额（元）：1600000.00</w:t>
      </w:r>
    </w:p>
    <w:p w14:paraId="53157637">
      <w:pPr>
        <w:spacing w:line="312" w:lineRule="auto"/>
        <w:ind w:firstLine="735" w:firstLineChars="350"/>
        <w:jc w:val="left"/>
        <w:rPr>
          <w:color w:val="auto"/>
          <w:kern w:val="0"/>
          <w:szCs w:val="21"/>
          <w:highlight w:val="none"/>
        </w:rPr>
      </w:pPr>
      <w:r>
        <w:rPr>
          <w:rFonts w:hint="eastAsia"/>
          <w:color w:val="auto"/>
          <w:kern w:val="0"/>
          <w:szCs w:val="21"/>
          <w:highlight w:val="none"/>
        </w:rPr>
        <w:t>简要规格描述或项目基本概况介绍、用途：试剂耗材（PCR类）采购一批，详见采购需求。</w:t>
      </w:r>
    </w:p>
    <w:p w14:paraId="3EEE5963">
      <w:pPr>
        <w:spacing w:line="312" w:lineRule="auto"/>
        <w:ind w:firstLine="735" w:firstLineChars="350"/>
        <w:jc w:val="left"/>
        <w:rPr>
          <w:color w:val="auto"/>
          <w:kern w:val="0"/>
          <w:szCs w:val="21"/>
          <w:highlight w:val="none"/>
        </w:rPr>
      </w:pPr>
      <w:r>
        <w:rPr>
          <w:color w:val="auto"/>
          <w:kern w:val="0"/>
          <w:szCs w:val="21"/>
          <w:highlight w:val="none"/>
        </w:rPr>
        <w:t>最高限价</w:t>
      </w:r>
      <w:r>
        <w:rPr>
          <w:rFonts w:hint="eastAsia"/>
          <w:color w:val="auto"/>
          <w:kern w:val="0"/>
          <w:szCs w:val="21"/>
          <w:highlight w:val="none"/>
        </w:rPr>
        <w:t>（如有）</w:t>
      </w:r>
      <w:r>
        <w:rPr>
          <w:color w:val="auto"/>
          <w:kern w:val="0"/>
          <w:szCs w:val="21"/>
          <w:highlight w:val="none"/>
        </w:rPr>
        <w:t>：</w:t>
      </w:r>
      <w:r>
        <w:rPr>
          <w:rFonts w:hint="eastAsia"/>
          <w:color w:val="auto"/>
          <w:kern w:val="0"/>
          <w:szCs w:val="21"/>
          <w:highlight w:val="none"/>
        </w:rPr>
        <w:t>1600000.00</w:t>
      </w:r>
    </w:p>
    <w:p w14:paraId="18A6683E">
      <w:pPr>
        <w:spacing w:line="312" w:lineRule="auto"/>
        <w:ind w:firstLine="735" w:firstLineChars="350"/>
        <w:jc w:val="left"/>
        <w:rPr>
          <w:rFonts w:ascii="宋体" w:hAnsi="宋体"/>
          <w:color w:val="auto"/>
          <w:szCs w:val="21"/>
          <w:highlight w:val="none"/>
        </w:rPr>
      </w:pPr>
      <w:r>
        <w:rPr>
          <w:rFonts w:hint="eastAsia"/>
          <w:color w:val="auto"/>
          <w:kern w:val="0"/>
          <w:szCs w:val="21"/>
          <w:highlight w:val="none"/>
        </w:rPr>
        <w:t>合同履约期限：</w:t>
      </w:r>
      <w:r>
        <w:rPr>
          <w:rFonts w:hint="eastAsia" w:ascii="宋体" w:hAnsi="宋体" w:cs="宋体"/>
          <w:color w:val="auto"/>
          <w:kern w:val="0"/>
          <w:szCs w:val="21"/>
          <w:highlight w:val="none"/>
          <w:lang w:val="zh-CN"/>
        </w:rPr>
        <w:t>按采购人提供的供货计划分批供货，接到配送计划后由供应商在10个工作日内配送到交货地点(或至实际采购金额支付满160万元止)</w:t>
      </w:r>
      <w:r>
        <w:rPr>
          <w:rFonts w:hint="eastAsia" w:ascii="宋体" w:hAnsi="宋体"/>
          <w:color w:val="auto"/>
          <w:szCs w:val="21"/>
          <w:highlight w:val="none"/>
        </w:rPr>
        <w:t>。</w:t>
      </w:r>
    </w:p>
    <w:p w14:paraId="68D00587">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rPr>
        <w:t>（</w:t>
      </w:r>
      <w:r>
        <w:rPr>
          <w:rFonts w:hint="eastAsia"/>
          <w:color w:val="auto"/>
          <w:szCs w:val="21"/>
          <w:highlight w:val="none"/>
        </w:rPr>
        <w:t>否</w:t>
      </w:r>
      <w:r>
        <w:rPr>
          <w:rFonts w:hint="eastAsia"/>
          <w:color w:val="auto"/>
          <w:kern w:val="0"/>
          <w:szCs w:val="21"/>
          <w:highlight w:val="none"/>
        </w:rPr>
        <w:t>）接受</w:t>
      </w:r>
      <w:r>
        <w:rPr>
          <w:color w:val="auto"/>
          <w:kern w:val="0"/>
          <w:szCs w:val="21"/>
          <w:highlight w:val="none"/>
        </w:rPr>
        <w:t>联合体。</w:t>
      </w:r>
    </w:p>
    <w:p w14:paraId="355595E7">
      <w:pPr>
        <w:spacing w:line="312" w:lineRule="auto"/>
        <w:ind w:firstLine="735" w:firstLineChars="350"/>
        <w:jc w:val="left"/>
        <w:rPr>
          <w:color w:val="auto"/>
          <w:kern w:val="0"/>
          <w:szCs w:val="21"/>
          <w:highlight w:val="none"/>
        </w:rPr>
      </w:pPr>
      <w:r>
        <w:rPr>
          <w:rFonts w:hint="eastAsia"/>
          <w:color w:val="auto"/>
          <w:kern w:val="0"/>
          <w:szCs w:val="21"/>
          <w:highlight w:val="none"/>
        </w:rPr>
        <w:t>备注：无</w:t>
      </w:r>
    </w:p>
    <w:p w14:paraId="54B0CDFD">
      <w:pPr>
        <w:spacing w:line="312" w:lineRule="auto"/>
        <w:ind w:firstLine="735" w:firstLineChars="350"/>
        <w:jc w:val="left"/>
        <w:rPr>
          <w:color w:val="auto"/>
          <w:kern w:val="0"/>
          <w:szCs w:val="21"/>
          <w:highlight w:val="none"/>
        </w:rPr>
      </w:pPr>
    </w:p>
    <w:p w14:paraId="685715AC">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二、申请人的资格要求</w:t>
      </w:r>
    </w:p>
    <w:p w14:paraId="194B0659">
      <w:pPr>
        <w:spacing w:line="312" w:lineRule="auto"/>
        <w:ind w:firstLine="420" w:firstLineChars="200"/>
        <w:jc w:val="left"/>
        <w:rPr>
          <w:color w:val="auto"/>
          <w:szCs w:val="21"/>
          <w:highlight w:val="none"/>
        </w:rPr>
      </w:pPr>
      <w:r>
        <w:rPr>
          <w:color w:val="auto"/>
          <w:kern w:val="0"/>
          <w:szCs w:val="21"/>
          <w:highlight w:val="none"/>
        </w:rPr>
        <w:t>1</w:t>
      </w:r>
      <w:r>
        <w:rPr>
          <w:rFonts w:hint="eastAsia"/>
          <w:color w:val="auto"/>
          <w:kern w:val="0"/>
          <w:szCs w:val="21"/>
          <w:highlight w:val="none"/>
        </w:rPr>
        <w:t>.满足</w:t>
      </w:r>
      <w:r>
        <w:rPr>
          <w:color w:val="auto"/>
          <w:kern w:val="0"/>
          <w:szCs w:val="21"/>
          <w:highlight w:val="none"/>
        </w:rPr>
        <w:t>《中华人民共和国政府采购法》第二十二条规定；</w:t>
      </w:r>
    </w:p>
    <w:p w14:paraId="46DFBB4E">
      <w:pPr>
        <w:spacing w:line="312" w:lineRule="auto"/>
        <w:ind w:firstLine="420" w:firstLineChars="200"/>
        <w:jc w:val="left"/>
        <w:rPr>
          <w:strike/>
          <w:color w:val="auto"/>
          <w:kern w:val="0"/>
          <w:szCs w:val="21"/>
          <w:highlight w:val="none"/>
        </w:rPr>
      </w:pPr>
      <w:r>
        <w:rPr>
          <w:rFonts w:hint="eastAsia"/>
          <w:color w:val="auto"/>
          <w:szCs w:val="21"/>
          <w:highlight w:val="none"/>
        </w:rPr>
        <w:t>2.落实政府采购政策需满足的资格要求：</w:t>
      </w:r>
      <w:bookmarkStart w:id="9" w:name="_Hlk132732708"/>
      <w:r>
        <w:rPr>
          <w:rFonts w:hint="eastAsia"/>
          <w:color w:val="auto"/>
          <w:kern w:val="0"/>
          <w:szCs w:val="21"/>
          <w:highlight w:val="none"/>
        </w:rPr>
        <w:t>无</w:t>
      </w:r>
      <w:bookmarkEnd w:id="9"/>
    </w:p>
    <w:p w14:paraId="5A972F17">
      <w:pPr>
        <w:spacing w:line="312" w:lineRule="auto"/>
        <w:ind w:firstLine="420" w:firstLineChars="200"/>
        <w:jc w:val="left"/>
        <w:rPr>
          <w:color w:val="auto"/>
          <w:kern w:val="0"/>
          <w:szCs w:val="21"/>
          <w:highlight w:val="none"/>
        </w:rPr>
      </w:pPr>
      <w:r>
        <w:rPr>
          <w:color w:val="auto"/>
          <w:kern w:val="0"/>
          <w:szCs w:val="21"/>
          <w:highlight w:val="none"/>
        </w:rPr>
        <w:t>3</w:t>
      </w:r>
      <w:r>
        <w:rPr>
          <w:rFonts w:hint="eastAsia"/>
          <w:color w:val="auto"/>
          <w:kern w:val="0"/>
          <w:szCs w:val="21"/>
          <w:highlight w:val="none"/>
        </w:rPr>
        <w:t>.本项目的特定资格要求：分标1： 供应商须具备有效的医疗器械经营许可证或第二类医疗器械经营备案凭证（按《医疗器械监督管理条例》免于经营备案和无需办理医疗器械经营许可或者备案的情形除外）、药品经营许可证；分标2：供应商须具备有效的医疗器械经营许可证或第二类医疗器械经营备案凭证（按《医疗器械监督管理条例》免于经营备案和无需办理医疗器械经营许可或者备案的情形除外）。</w:t>
      </w:r>
    </w:p>
    <w:p w14:paraId="760D4C96">
      <w:pPr>
        <w:spacing w:line="312" w:lineRule="auto"/>
        <w:ind w:firstLine="420" w:firstLineChars="200"/>
        <w:jc w:val="left"/>
        <w:rPr>
          <w:color w:val="auto"/>
          <w:kern w:val="0"/>
          <w:szCs w:val="21"/>
          <w:highlight w:val="none"/>
        </w:rPr>
      </w:pPr>
      <w:r>
        <w:rPr>
          <w:rFonts w:hint="eastAsia"/>
          <w:color w:val="auto"/>
          <w:kern w:val="0"/>
          <w:szCs w:val="21"/>
          <w:highlight w:val="none"/>
        </w:rPr>
        <w:t>4.</w:t>
      </w:r>
      <w:r>
        <w:rPr>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r>
        <w:rPr>
          <w:rFonts w:hint="eastAsia"/>
          <w:color w:val="auto"/>
          <w:kern w:val="0"/>
          <w:szCs w:val="21"/>
          <w:highlight w:val="none"/>
        </w:rPr>
        <w:t>。</w:t>
      </w:r>
    </w:p>
    <w:p w14:paraId="4D364DBA">
      <w:pPr>
        <w:spacing w:line="312" w:lineRule="auto"/>
        <w:ind w:firstLine="420" w:firstLineChars="200"/>
        <w:jc w:val="left"/>
        <w:rPr>
          <w:color w:val="auto"/>
          <w:kern w:val="0"/>
          <w:szCs w:val="21"/>
          <w:highlight w:val="none"/>
        </w:rPr>
      </w:pPr>
      <w:r>
        <w:rPr>
          <w:rFonts w:hint="eastAsia"/>
          <w:color w:val="auto"/>
          <w:kern w:val="0"/>
          <w:szCs w:val="21"/>
          <w:highlight w:val="none"/>
        </w:rPr>
        <w:t>5.</w:t>
      </w:r>
      <w:r>
        <w:rPr>
          <w:color w:val="auto"/>
          <w:kern w:val="0"/>
          <w:szCs w:val="21"/>
          <w:highlight w:val="none"/>
        </w:rPr>
        <w:t>未被列入失信被执行人、重大税收违法失信主体、政府采购严重违法失信行为记录名单。</w:t>
      </w:r>
    </w:p>
    <w:p w14:paraId="6D8ECF83">
      <w:pPr>
        <w:spacing w:line="312" w:lineRule="auto"/>
        <w:ind w:firstLine="420" w:firstLineChars="200"/>
        <w:jc w:val="left"/>
        <w:rPr>
          <w:color w:val="auto"/>
          <w:kern w:val="0"/>
          <w:szCs w:val="21"/>
          <w:highlight w:val="none"/>
        </w:rPr>
      </w:pPr>
      <w:r>
        <w:rPr>
          <w:rFonts w:hint="eastAsia"/>
          <w:color w:val="auto"/>
          <w:kern w:val="0"/>
          <w:szCs w:val="21"/>
          <w:highlight w:val="none"/>
        </w:rPr>
        <w:t>6..本项目不允许分公司参与响应。</w:t>
      </w:r>
    </w:p>
    <w:p w14:paraId="22B80B1B">
      <w:pPr>
        <w:spacing w:line="312" w:lineRule="auto"/>
        <w:ind w:firstLine="420" w:firstLineChars="200"/>
        <w:jc w:val="left"/>
        <w:rPr>
          <w:color w:val="auto"/>
          <w:kern w:val="0"/>
          <w:szCs w:val="21"/>
          <w:highlight w:val="none"/>
        </w:rPr>
      </w:pPr>
      <w:bookmarkStart w:id="10" w:name="_Hlk132732817"/>
      <w:r>
        <w:rPr>
          <w:rFonts w:hint="eastAsia"/>
          <w:color w:val="auto"/>
          <w:szCs w:val="21"/>
          <w:highlight w:val="none"/>
        </w:rPr>
        <w:t>7..</w:t>
      </w:r>
      <w:r>
        <w:rPr>
          <w:rFonts w:hint="eastAsia"/>
          <w:color w:val="auto"/>
          <w:kern w:val="0"/>
          <w:szCs w:val="21"/>
          <w:highlight w:val="none"/>
        </w:rPr>
        <w:t>本项目不允许分包。</w:t>
      </w:r>
    </w:p>
    <w:p w14:paraId="0A54171D">
      <w:pPr>
        <w:spacing w:line="312" w:lineRule="auto"/>
        <w:ind w:firstLine="420" w:firstLineChars="200"/>
        <w:jc w:val="left"/>
        <w:rPr>
          <w:color w:val="auto"/>
          <w:szCs w:val="21"/>
          <w:highlight w:val="none"/>
        </w:rPr>
      </w:pPr>
      <w:r>
        <w:rPr>
          <w:rFonts w:hint="eastAsia"/>
          <w:color w:val="auto"/>
          <w:kern w:val="0"/>
          <w:szCs w:val="21"/>
          <w:highlight w:val="none"/>
        </w:rPr>
        <w:t>8.</w:t>
      </w:r>
      <w:r>
        <w:rPr>
          <w:color w:val="auto"/>
          <w:kern w:val="0"/>
          <w:szCs w:val="21"/>
          <w:highlight w:val="none"/>
        </w:rPr>
        <w:t>本项目不接受联合体。</w:t>
      </w:r>
      <w:bookmarkEnd w:id="10"/>
    </w:p>
    <w:p w14:paraId="5E4F4C5B">
      <w:pPr>
        <w:spacing w:line="312" w:lineRule="auto"/>
        <w:ind w:firstLine="420" w:firstLineChars="200"/>
        <w:jc w:val="left"/>
        <w:rPr>
          <w:color w:val="auto"/>
          <w:kern w:val="0"/>
          <w:szCs w:val="21"/>
          <w:highlight w:val="none"/>
        </w:rPr>
      </w:pPr>
      <w:r>
        <w:rPr>
          <w:rFonts w:hint="eastAsia"/>
          <w:color w:val="auto"/>
          <w:kern w:val="0"/>
          <w:szCs w:val="21"/>
          <w:highlight w:val="none"/>
        </w:rPr>
        <w:t>9.</w:t>
      </w:r>
      <w:r>
        <w:rPr>
          <w:color w:val="auto"/>
          <w:kern w:val="0"/>
          <w:szCs w:val="21"/>
          <w:highlight w:val="none"/>
        </w:rPr>
        <w:t>按照</w:t>
      </w:r>
      <w:r>
        <w:rPr>
          <w:rFonts w:hint="eastAsia"/>
          <w:color w:val="auto"/>
          <w:highlight w:val="none"/>
        </w:rPr>
        <w:t>谈判</w:t>
      </w:r>
      <w:r>
        <w:rPr>
          <w:color w:val="auto"/>
          <w:kern w:val="0"/>
          <w:szCs w:val="21"/>
          <w:highlight w:val="none"/>
        </w:rPr>
        <w:t>公告的规定获得</w:t>
      </w:r>
      <w:r>
        <w:rPr>
          <w:rFonts w:hint="eastAsia"/>
          <w:color w:val="auto"/>
          <w:highlight w:val="none"/>
        </w:rPr>
        <w:t>采购文件</w:t>
      </w:r>
      <w:r>
        <w:rPr>
          <w:color w:val="auto"/>
          <w:kern w:val="0"/>
          <w:szCs w:val="21"/>
          <w:highlight w:val="none"/>
        </w:rPr>
        <w:t>。</w:t>
      </w:r>
      <w:bookmarkStart w:id="11" w:name="_Hlk92967676"/>
      <w:r>
        <w:rPr>
          <w:rFonts w:hint="eastAsia"/>
          <w:color w:val="auto"/>
          <w:kern w:val="0"/>
          <w:szCs w:val="21"/>
          <w:highlight w:val="none"/>
        </w:rPr>
        <w:t>采购文件有规定时按要求提交谈判保证金。</w:t>
      </w:r>
      <w:bookmarkEnd w:id="11"/>
    </w:p>
    <w:p w14:paraId="50475A8F">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三、获取采购文件</w:t>
      </w:r>
    </w:p>
    <w:p w14:paraId="799398F5">
      <w:pPr>
        <w:spacing w:line="312" w:lineRule="auto"/>
        <w:ind w:firstLine="420" w:firstLineChars="200"/>
        <w:jc w:val="left"/>
        <w:rPr>
          <w:color w:val="auto"/>
          <w:highlight w:val="none"/>
        </w:rPr>
      </w:pPr>
      <w:r>
        <w:rPr>
          <w:rFonts w:hint="eastAsia"/>
          <w:color w:val="auto"/>
          <w:highlight w:val="none"/>
        </w:rPr>
        <w:t>时间：</w:t>
      </w:r>
      <w:bookmarkStart w:id="12" w:name="_Hlk89179551"/>
      <w:r>
        <w:rPr>
          <w:color w:val="auto"/>
          <w:highlight w:val="none"/>
          <w:u w:val="single"/>
        </w:rPr>
        <w:t>20</w:t>
      </w:r>
      <w:r>
        <w:rPr>
          <w:rFonts w:hint="eastAsia"/>
          <w:color w:val="auto"/>
          <w:highlight w:val="none"/>
          <w:u w:val="single"/>
        </w:rPr>
        <w:t>26年</w:t>
      </w:r>
      <w:r>
        <w:rPr>
          <w:rFonts w:hint="eastAsia"/>
          <w:color w:val="auto"/>
          <w:highlight w:val="none"/>
          <w:u w:val="single"/>
          <w:lang w:val="en-US" w:eastAsia="zh-CN"/>
        </w:rPr>
        <w:t>9</w:t>
      </w:r>
      <w:r>
        <w:rPr>
          <w:rFonts w:hint="eastAsia"/>
          <w:color w:val="auto"/>
          <w:highlight w:val="none"/>
          <w:u w:val="single"/>
        </w:rPr>
        <w:t>月</w:t>
      </w:r>
      <w:r>
        <w:rPr>
          <w:rFonts w:hint="eastAsia"/>
          <w:color w:val="auto"/>
          <w:highlight w:val="none"/>
          <w:u w:val="single"/>
          <w:lang w:val="en-US" w:eastAsia="zh-CN"/>
        </w:rPr>
        <w:t>30</w:t>
      </w:r>
      <w:r>
        <w:rPr>
          <w:rFonts w:hint="eastAsia"/>
          <w:color w:val="auto"/>
          <w:highlight w:val="none"/>
          <w:u w:val="single"/>
        </w:rPr>
        <w:t>日起至2</w:t>
      </w:r>
      <w:r>
        <w:rPr>
          <w:color w:val="auto"/>
          <w:highlight w:val="none"/>
          <w:u w:val="single"/>
        </w:rPr>
        <w:t>0</w:t>
      </w:r>
      <w:r>
        <w:rPr>
          <w:rFonts w:hint="eastAsia"/>
          <w:color w:val="auto"/>
          <w:highlight w:val="none"/>
          <w:u w:val="single"/>
        </w:rPr>
        <w:t>26年</w:t>
      </w:r>
      <w:r>
        <w:rPr>
          <w:rFonts w:hint="eastAsia"/>
          <w:color w:val="auto"/>
          <w:highlight w:val="none"/>
          <w:u w:val="single"/>
          <w:lang w:val="en-US" w:eastAsia="zh-CN"/>
        </w:rPr>
        <w:t>10</w:t>
      </w:r>
      <w:r>
        <w:rPr>
          <w:rFonts w:hint="eastAsia"/>
          <w:color w:val="auto"/>
          <w:highlight w:val="none"/>
          <w:u w:val="single"/>
        </w:rPr>
        <w:t>月</w:t>
      </w:r>
      <w:r>
        <w:rPr>
          <w:rFonts w:hint="eastAsia"/>
          <w:color w:val="auto"/>
          <w:highlight w:val="none"/>
          <w:u w:val="single"/>
          <w:lang w:val="en-US" w:eastAsia="zh-CN"/>
        </w:rPr>
        <w:t>10</w:t>
      </w:r>
      <w:r>
        <w:rPr>
          <w:rFonts w:hint="eastAsia"/>
          <w:color w:val="auto"/>
          <w:highlight w:val="none"/>
          <w:u w:val="single"/>
        </w:rPr>
        <w:t>日</w:t>
      </w:r>
      <w:r>
        <w:rPr>
          <w:rFonts w:hint="eastAsia"/>
          <w:color w:val="auto"/>
          <w:highlight w:val="none"/>
        </w:rPr>
        <w:t>，每天上午</w:t>
      </w:r>
      <w:bookmarkEnd w:id="12"/>
      <w:r>
        <w:rPr>
          <w:rFonts w:hint="eastAsia"/>
          <w:color w:val="auto"/>
          <w:highlight w:val="none"/>
          <w:u w:val="single"/>
          <w:lang w:val="en-US" w:eastAsia="zh-CN"/>
        </w:rPr>
        <w:t>00：00</w:t>
      </w:r>
      <w:r>
        <w:rPr>
          <w:rFonts w:hint="eastAsia"/>
          <w:color w:val="auto"/>
          <w:highlight w:val="none"/>
          <w:u w:val="single"/>
        </w:rPr>
        <w:t>至</w:t>
      </w:r>
      <w:r>
        <w:rPr>
          <w:rFonts w:hint="eastAsia"/>
          <w:color w:val="auto"/>
          <w:highlight w:val="none"/>
          <w:u w:val="single"/>
          <w:lang w:val="en-US" w:eastAsia="zh-CN"/>
        </w:rPr>
        <w:t>11：59</w:t>
      </w:r>
      <w:r>
        <w:rPr>
          <w:rFonts w:hint="eastAsia"/>
          <w:color w:val="auto"/>
          <w:highlight w:val="none"/>
          <w:u w:val="single"/>
        </w:rPr>
        <w:t>，下午</w:t>
      </w:r>
      <w:r>
        <w:rPr>
          <w:rFonts w:hint="eastAsia"/>
          <w:color w:val="auto"/>
          <w:highlight w:val="none"/>
          <w:u w:val="single"/>
          <w:lang w:val="en-US" w:eastAsia="zh-CN"/>
        </w:rPr>
        <w:t>12：00</w:t>
      </w:r>
      <w:r>
        <w:rPr>
          <w:rFonts w:hint="eastAsia"/>
          <w:color w:val="auto"/>
          <w:highlight w:val="none"/>
          <w:u w:val="single"/>
        </w:rPr>
        <w:t>至</w:t>
      </w:r>
      <w:r>
        <w:rPr>
          <w:rFonts w:hint="eastAsia"/>
          <w:color w:val="auto"/>
          <w:highlight w:val="none"/>
          <w:u w:val="single"/>
          <w:lang w:val="en-US" w:eastAsia="zh-CN"/>
        </w:rPr>
        <w:t>23：59</w:t>
      </w:r>
      <w:r>
        <w:rPr>
          <w:rFonts w:hint="eastAsia"/>
          <w:color w:val="auto"/>
          <w:highlight w:val="none"/>
        </w:rPr>
        <w:t>（北京时间，法定节假日除外）。</w:t>
      </w:r>
    </w:p>
    <w:p w14:paraId="145D91EC">
      <w:pPr>
        <w:spacing w:line="312" w:lineRule="auto"/>
        <w:ind w:firstLine="420" w:firstLineChars="200"/>
        <w:jc w:val="left"/>
        <w:rPr>
          <w:color w:val="auto"/>
          <w:szCs w:val="21"/>
          <w:highlight w:val="none"/>
        </w:rPr>
      </w:pPr>
      <w:bookmarkStart w:id="13" w:name="_Hlk89179558"/>
      <w:r>
        <w:rPr>
          <w:rFonts w:hint="eastAsia"/>
          <w:color w:val="auto"/>
          <w:highlight w:val="none"/>
        </w:rPr>
        <w:t>地点（网址）：</w:t>
      </w:r>
      <w:r>
        <w:rPr>
          <w:rFonts w:hint="eastAsia"/>
          <w:color w:val="auto"/>
          <w:szCs w:val="21"/>
          <w:highlight w:val="none"/>
        </w:rPr>
        <w:t xml:space="preserve">广西政府采购云平台 </w:t>
      </w:r>
      <w:bookmarkStart w:id="14" w:name="_Hlk160186238"/>
      <w:r>
        <w:rPr>
          <w:rFonts w:hint="eastAsia"/>
          <w:color w:val="auto"/>
          <w:szCs w:val="21"/>
          <w:highlight w:val="none"/>
        </w:rPr>
        <w:t>（</w:t>
      </w:r>
      <w:r>
        <w:rPr>
          <w:color w:val="auto"/>
          <w:highlight w:val="none"/>
        </w:rPr>
        <w:fldChar w:fldCharType="begin"/>
      </w:r>
      <w:r>
        <w:rPr>
          <w:color w:val="auto"/>
          <w:highlight w:val="none"/>
        </w:rPr>
        <w:instrText xml:space="preserve"> HYPERLINK "https://www.gcy.zfcg.gxzf.gov.cn/" </w:instrText>
      </w:r>
      <w:r>
        <w:rPr>
          <w:color w:val="auto"/>
          <w:highlight w:val="none"/>
        </w:rPr>
        <w:fldChar w:fldCharType="separate"/>
      </w:r>
      <w:r>
        <w:rPr>
          <w:rStyle w:val="57"/>
          <w:color w:val="auto"/>
          <w:szCs w:val="21"/>
          <w:highlight w:val="none"/>
        </w:rPr>
        <w:t>https://www.gcy.zfcg.gxzf.gov.cn/</w:t>
      </w:r>
      <w:r>
        <w:rPr>
          <w:rStyle w:val="57"/>
          <w:color w:val="auto"/>
          <w:szCs w:val="21"/>
          <w:highlight w:val="none"/>
        </w:rPr>
        <w:fldChar w:fldCharType="end"/>
      </w:r>
      <w:r>
        <w:rPr>
          <w:rFonts w:hint="eastAsia"/>
          <w:color w:val="auto"/>
          <w:szCs w:val="21"/>
          <w:highlight w:val="none"/>
        </w:rPr>
        <w:t>）</w:t>
      </w:r>
      <w:bookmarkEnd w:id="14"/>
    </w:p>
    <w:p w14:paraId="5F5F7F5E">
      <w:pPr>
        <w:spacing w:line="312" w:lineRule="auto"/>
        <w:ind w:firstLine="420" w:firstLineChars="200"/>
        <w:jc w:val="left"/>
        <w:rPr>
          <w:color w:val="auto"/>
          <w:highlight w:val="none"/>
        </w:rPr>
      </w:pPr>
      <w:r>
        <w:rPr>
          <w:rFonts w:hint="eastAsia"/>
          <w:color w:val="auto"/>
          <w:szCs w:val="21"/>
          <w:highlight w:val="none"/>
        </w:rPr>
        <w:t>方式：供应商登录广西政府采购云平台在线申请获取采购文件（进入“项目采购”应用，在获取采购文件菜单中选择项目，申请获取采购文件）</w:t>
      </w:r>
    </w:p>
    <w:p w14:paraId="0CA411CC">
      <w:pPr>
        <w:spacing w:line="312" w:lineRule="auto"/>
        <w:ind w:firstLine="420" w:firstLineChars="200"/>
        <w:jc w:val="left"/>
        <w:rPr>
          <w:color w:val="auto"/>
          <w:highlight w:val="none"/>
        </w:rPr>
      </w:pPr>
      <w:r>
        <w:rPr>
          <w:rFonts w:hint="eastAsia"/>
          <w:color w:val="auto"/>
          <w:highlight w:val="none"/>
        </w:rPr>
        <w:t>售价（元）：</w:t>
      </w:r>
      <w:r>
        <w:rPr>
          <w:color w:val="auto"/>
          <w:highlight w:val="none"/>
        </w:rPr>
        <w:t>0</w:t>
      </w:r>
    </w:p>
    <w:bookmarkEnd w:id="13"/>
    <w:p w14:paraId="72838D86">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四、响应文件提交</w:t>
      </w:r>
    </w:p>
    <w:p w14:paraId="4AC6B55E">
      <w:pPr>
        <w:spacing w:line="312" w:lineRule="auto"/>
        <w:ind w:firstLine="420" w:firstLineChars="200"/>
        <w:jc w:val="left"/>
        <w:rPr>
          <w:color w:val="auto"/>
          <w:kern w:val="0"/>
          <w:szCs w:val="21"/>
          <w:highlight w:val="none"/>
        </w:rPr>
      </w:pPr>
      <w:bookmarkStart w:id="15" w:name="_Hlk89179584"/>
      <w:r>
        <w:rPr>
          <w:rFonts w:hint="eastAsia"/>
          <w:color w:val="auto"/>
          <w:kern w:val="0"/>
          <w:szCs w:val="21"/>
          <w:highlight w:val="none"/>
        </w:rPr>
        <w:t>截止时间：</w:t>
      </w:r>
      <w:r>
        <w:rPr>
          <w:color w:val="auto"/>
          <w:kern w:val="0"/>
          <w:szCs w:val="21"/>
          <w:highlight w:val="none"/>
          <w:u w:val="single"/>
        </w:rPr>
        <w:t>20</w:t>
      </w:r>
      <w:r>
        <w:rPr>
          <w:rFonts w:hint="eastAsia"/>
          <w:color w:val="auto"/>
          <w:kern w:val="0"/>
          <w:szCs w:val="21"/>
          <w:highlight w:val="none"/>
          <w:u w:val="single"/>
        </w:rPr>
        <w:t>26</w:t>
      </w:r>
      <w:r>
        <w:rPr>
          <w:color w:val="auto"/>
          <w:kern w:val="0"/>
          <w:szCs w:val="21"/>
          <w:highlight w:val="none"/>
          <w:u w:val="single"/>
        </w:rPr>
        <w:t>年</w:t>
      </w:r>
      <w:r>
        <w:rPr>
          <w:rFonts w:hint="eastAsia"/>
          <w:color w:val="auto"/>
          <w:kern w:val="0"/>
          <w:szCs w:val="21"/>
          <w:highlight w:val="none"/>
          <w:u w:val="single"/>
          <w:lang w:val="en-US" w:eastAsia="zh-CN"/>
        </w:rPr>
        <w:t>10</w:t>
      </w:r>
      <w:r>
        <w:rPr>
          <w:color w:val="auto"/>
          <w:kern w:val="0"/>
          <w:szCs w:val="21"/>
          <w:highlight w:val="none"/>
          <w:u w:val="single"/>
        </w:rPr>
        <w:t>月</w:t>
      </w:r>
      <w:r>
        <w:rPr>
          <w:rFonts w:hint="eastAsia"/>
          <w:color w:val="auto"/>
          <w:kern w:val="0"/>
          <w:szCs w:val="21"/>
          <w:highlight w:val="none"/>
          <w:u w:val="single"/>
          <w:lang w:val="en-US" w:eastAsia="zh-CN"/>
        </w:rPr>
        <w:t>15</w:t>
      </w:r>
      <w:r>
        <w:rPr>
          <w:color w:val="auto"/>
          <w:kern w:val="0"/>
          <w:szCs w:val="21"/>
          <w:highlight w:val="none"/>
          <w:u w:val="single"/>
        </w:rPr>
        <w:t>日</w:t>
      </w:r>
      <w:r>
        <w:rPr>
          <w:rFonts w:hint="eastAsia"/>
          <w:color w:val="auto"/>
          <w:kern w:val="0"/>
          <w:szCs w:val="21"/>
          <w:highlight w:val="none"/>
          <w:u w:val="single"/>
          <w:lang w:val="en-US" w:eastAsia="zh-CN"/>
        </w:rPr>
        <w:t>9：30</w:t>
      </w:r>
      <w:r>
        <w:rPr>
          <w:rFonts w:hint="eastAsia"/>
          <w:color w:val="auto"/>
          <w:kern w:val="0"/>
          <w:szCs w:val="21"/>
          <w:highlight w:val="none"/>
        </w:rPr>
        <w:t>（北京时间）</w:t>
      </w:r>
    </w:p>
    <w:p w14:paraId="214E9D76">
      <w:pPr>
        <w:spacing w:line="312" w:lineRule="auto"/>
        <w:ind w:firstLine="420" w:firstLineChars="200"/>
        <w:jc w:val="left"/>
        <w:rPr>
          <w:color w:val="auto"/>
          <w:kern w:val="0"/>
          <w:szCs w:val="21"/>
          <w:highlight w:val="none"/>
        </w:rPr>
      </w:pPr>
      <w:r>
        <w:rPr>
          <w:rFonts w:hint="eastAsia"/>
          <w:color w:val="auto"/>
          <w:kern w:val="0"/>
          <w:szCs w:val="21"/>
          <w:highlight w:val="none"/>
        </w:rPr>
        <w:t>地点（网址）：</w:t>
      </w:r>
      <w:r>
        <w:rPr>
          <w:rFonts w:hint="eastAsia"/>
          <w:color w:val="auto"/>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w:t>
      </w:r>
      <w:r>
        <w:rPr>
          <w:color w:val="auto"/>
          <w:szCs w:val="21"/>
          <w:highlight w:val="none"/>
        </w:rPr>
        <w:t>A</w:t>
      </w:r>
      <w:r>
        <w:rPr>
          <w:rFonts w:hint="eastAsia"/>
          <w:color w:val="auto"/>
          <w:szCs w:val="21"/>
          <w:highlight w:val="none"/>
        </w:rPr>
        <w:t xml:space="preserve">认证编制、加密响应文件后在响应截止时间前上传至广西政府采购云平台，供应商在广西政府采购云平台提交电子版响应文件时，请填写参加远程截标活动经办人联系方式。 </w:t>
      </w:r>
    </w:p>
    <w:bookmarkEnd w:id="15"/>
    <w:p w14:paraId="1D4A8E7F">
      <w:pPr>
        <w:spacing w:line="276" w:lineRule="auto"/>
        <w:ind w:firstLine="442" w:firstLineChars="200"/>
        <w:jc w:val="left"/>
        <w:rPr>
          <w:b/>
          <w:bCs/>
          <w:color w:val="auto"/>
          <w:kern w:val="0"/>
          <w:sz w:val="22"/>
          <w:szCs w:val="22"/>
          <w:highlight w:val="none"/>
        </w:rPr>
      </w:pPr>
      <w:r>
        <w:rPr>
          <w:rFonts w:hint="eastAsia"/>
          <w:b/>
          <w:bCs/>
          <w:color w:val="auto"/>
          <w:kern w:val="0"/>
          <w:sz w:val="22"/>
          <w:szCs w:val="22"/>
          <w:highlight w:val="none"/>
        </w:rPr>
        <w:t>五、开启</w:t>
      </w:r>
    </w:p>
    <w:p w14:paraId="2DFB0D6E">
      <w:pPr>
        <w:spacing w:line="276" w:lineRule="auto"/>
        <w:ind w:firstLine="442" w:firstLineChars="200"/>
        <w:jc w:val="left"/>
        <w:rPr>
          <w:color w:val="auto"/>
          <w:kern w:val="0"/>
          <w:szCs w:val="21"/>
          <w:highlight w:val="none"/>
        </w:rPr>
      </w:pPr>
      <w:bookmarkStart w:id="16" w:name="_Hlk89179592"/>
      <w:r>
        <w:rPr>
          <w:rFonts w:hint="eastAsia"/>
          <w:b/>
          <w:bCs/>
          <w:color w:val="auto"/>
          <w:kern w:val="0"/>
          <w:sz w:val="22"/>
          <w:szCs w:val="22"/>
          <w:highlight w:val="none"/>
        </w:rPr>
        <w:t>开启时间：</w:t>
      </w:r>
      <w:r>
        <w:rPr>
          <w:color w:val="auto"/>
          <w:kern w:val="0"/>
          <w:szCs w:val="21"/>
          <w:highlight w:val="none"/>
        </w:rPr>
        <w:t>20</w:t>
      </w:r>
      <w:r>
        <w:rPr>
          <w:rFonts w:hint="eastAsia"/>
          <w:color w:val="auto"/>
          <w:kern w:val="0"/>
          <w:szCs w:val="21"/>
          <w:highlight w:val="none"/>
        </w:rPr>
        <w:t>26</w:t>
      </w:r>
      <w:r>
        <w:rPr>
          <w:color w:val="auto"/>
          <w:kern w:val="0"/>
          <w:szCs w:val="21"/>
          <w:highlight w:val="none"/>
        </w:rPr>
        <w:t>年</w:t>
      </w:r>
      <w:r>
        <w:rPr>
          <w:rFonts w:hint="eastAsia"/>
          <w:color w:val="auto"/>
          <w:kern w:val="0"/>
          <w:szCs w:val="21"/>
          <w:highlight w:val="none"/>
          <w:u w:val="single"/>
          <w:lang w:val="en-US" w:eastAsia="zh-CN"/>
        </w:rPr>
        <w:t>10</w:t>
      </w:r>
      <w:r>
        <w:rPr>
          <w:color w:val="auto"/>
          <w:kern w:val="0"/>
          <w:szCs w:val="21"/>
          <w:highlight w:val="none"/>
          <w:u w:val="single"/>
        </w:rPr>
        <w:t>月</w:t>
      </w:r>
      <w:r>
        <w:rPr>
          <w:rFonts w:hint="eastAsia"/>
          <w:color w:val="auto"/>
          <w:kern w:val="0"/>
          <w:szCs w:val="21"/>
          <w:highlight w:val="none"/>
          <w:u w:val="single"/>
          <w:lang w:val="en-US" w:eastAsia="zh-CN"/>
        </w:rPr>
        <w:t>15</w:t>
      </w:r>
      <w:r>
        <w:rPr>
          <w:color w:val="auto"/>
          <w:kern w:val="0"/>
          <w:szCs w:val="21"/>
          <w:highlight w:val="none"/>
          <w:u w:val="single"/>
        </w:rPr>
        <w:t>日</w:t>
      </w:r>
      <w:r>
        <w:rPr>
          <w:rFonts w:hint="eastAsia"/>
          <w:color w:val="auto"/>
          <w:kern w:val="0"/>
          <w:szCs w:val="21"/>
          <w:highlight w:val="none"/>
          <w:u w:val="single"/>
          <w:lang w:val="en-US" w:eastAsia="zh-CN"/>
        </w:rPr>
        <w:t>9：30</w:t>
      </w:r>
      <w:r>
        <w:rPr>
          <w:rFonts w:hint="eastAsia"/>
          <w:color w:val="auto"/>
          <w:kern w:val="0"/>
          <w:szCs w:val="21"/>
          <w:highlight w:val="none"/>
        </w:rPr>
        <w:t>（北京时间）</w:t>
      </w:r>
    </w:p>
    <w:p w14:paraId="08421009">
      <w:pPr>
        <w:spacing w:line="276" w:lineRule="auto"/>
        <w:ind w:firstLine="442" w:firstLineChars="200"/>
        <w:jc w:val="left"/>
        <w:rPr>
          <w:b/>
          <w:bCs/>
          <w:color w:val="auto"/>
          <w:kern w:val="0"/>
          <w:sz w:val="22"/>
          <w:szCs w:val="22"/>
          <w:highlight w:val="none"/>
        </w:rPr>
      </w:pPr>
      <w:r>
        <w:rPr>
          <w:rFonts w:hint="eastAsia"/>
          <w:b/>
          <w:bCs/>
          <w:color w:val="auto"/>
          <w:kern w:val="0"/>
          <w:sz w:val="22"/>
          <w:szCs w:val="22"/>
          <w:highlight w:val="none"/>
        </w:rPr>
        <w:t>地点：</w:t>
      </w:r>
      <w:r>
        <w:rPr>
          <w:rFonts w:hint="eastAsia"/>
          <w:color w:val="auto"/>
          <w:szCs w:val="21"/>
          <w:highlight w:val="none"/>
        </w:rPr>
        <w:t>供应商登录广西政府采购云平台电子开标大厅截标。</w:t>
      </w:r>
    </w:p>
    <w:bookmarkEnd w:id="16"/>
    <w:p w14:paraId="12084DC9">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六、公告期限</w:t>
      </w:r>
    </w:p>
    <w:p w14:paraId="4FAA14BE">
      <w:pPr>
        <w:spacing w:line="312" w:lineRule="auto"/>
        <w:ind w:firstLine="420" w:firstLineChars="200"/>
        <w:jc w:val="left"/>
        <w:rPr>
          <w:color w:val="auto"/>
          <w:kern w:val="0"/>
          <w:szCs w:val="21"/>
          <w:highlight w:val="none"/>
        </w:rPr>
      </w:pPr>
      <w:r>
        <w:rPr>
          <w:rFonts w:hint="eastAsia"/>
          <w:color w:val="auto"/>
          <w:kern w:val="0"/>
          <w:szCs w:val="21"/>
          <w:highlight w:val="none"/>
        </w:rPr>
        <w:t>自本公告发布之日起</w:t>
      </w:r>
      <w:r>
        <w:rPr>
          <w:color w:val="auto"/>
          <w:kern w:val="0"/>
          <w:szCs w:val="21"/>
          <w:highlight w:val="none"/>
        </w:rPr>
        <w:t>3</w:t>
      </w:r>
      <w:r>
        <w:rPr>
          <w:rFonts w:hint="eastAsia"/>
          <w:color w:val="auto"/>
          <w:kern w:val="0"/>
          <w:szCs w:val="21"/>
          <w:highlight w:val="none"/>
        </w:rPr>
        <w:t>个工作日。</w:t>
      </w:r>
    </w:p>
    <w:p w14:paraId="06AC4322">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七、其他补充事宜</w:t>
      </w:r>
    </w:p>
    <w:p w14:paraId="5313A8B0">
      <w:pPr>
        <w:spacing w:line="312" w:lineRule="auto"/>
        <w:ind w:firstLine="420" w:firstLineChars="200"/>
        <w:jc w:val="left"/>
        <w:rPr>
          <w:rFonts w:hint="eastAsia" w:eastAsia="宋体"/>
          <w:color w:val="auto"/>
          <w:kern w:val="0"/>
          <w:szCs w:val="21"/>
          <w:highlight w:val="none"/>
          <w:lang w:eastAsia="zh-CN"/>
        </w:rPr>
      </w:pPr>
      <w:r>
        <w:rPr>
          <w:rFonts w:hint="eastAsia"/>
          <w:color w:val="auto"/>
          <w:kern w:val="0"/>
          <w:szCs w:val="21"/>
          <w:highlight w:val="none"/>
        </w:rPr>
        <w:t>1</w:t>
      </w:r>
      <w:r>
        <w:rPr>
          <w:color w:val="auto"/>
          <w:kern w:val="0"/>
          <w:szCs w:val="21"/>
          <w:highlight w:val="none"/>
        </w:rPr>
        <w:t>.</w:t>
      </w:r>
      <w:r>
        <w:rPr>
          <w:rFonts w:hint="eastAsia"/>
          <w:color w:val="auto"/>
          <w:kern w:val="0"/>
          <w:szCs w:val="21"/>
          <w:highlight w:val="none"/>
        </w:rPr>
        <w:t>公告发布媒体：广西壮族自治区政府采购网、中国政府采购网、全国公共资源交易平台（广西·防城港）</w:t>
      </w:r>
    </w:p>
    <w:p w14:paraId="4CED7F1D">
      <w:pPr>
        <w:spacing w:line="312" w:lineRule="auto"/>
        <w:ind w:firstLine="420" w:firstLineChars="200"/>
        <w:jc w:val="left"/>
        <w:rPr>
          <w:color w:val="auto"/>
          <w:kern w:val="0"/>
          <w:szCs w:val="21"/>
          <w:highlight w:val="none"/>
        </w:rPr>
      </w:pPr>
      <w:r>
        <w:rPr>
          <w:rFonts w:hint="eastAsia"/>
          <w:color w:val="auto"/>
          <w:kern w:val="0"/>
          <w:szCs w:val="21"/>
          <w:highlight w:val="none"/>
        </w:rPr>
        <w:t>2</w:t>
      </w:r>
      <w:r>
        <w:rPr>
          <w:color w:val="auto"/>
          <w:kern w:val="0"/>
          <w:szCs w:val="21"/>
          <w:highlight w:val="none"/>
        </w:rPr>
        <w:t>.</w:t>
      </w:r>
      <w:r>
        <w:rPr>
          <w:rFonts w:hint="eastAsia"/>
          <w:color w:val="auto"/>
          <w:kern w:val="0"/>
          <w:szCs w:val="21"/>
          <w:highlight w:val="none"/>
        </w:rPr>
        <w:t xml:space="preserve"> 需落实的政府采购政策：</w:t>
      </w:r>
      <w:r>
        <w:rPr>
          <w:color w:val="auto"/>
          <w:kern w:val="0"/>
          <w:szCs w:val="21"/>
          <w:highlight w:val="none"/>
        </w:rPr>
        <w:t>政府采购促进中小企业、监狱企业发展、促进残疾人就业、</w:t>
      </w:r>
      <w:bookmarkStart w:id="17" w:name="_Hlk89179658"/>
      <w:r>
        <w:rPr>
          <w:color w:val="auto"/>
          <w:kern w:val="0"/>
          <w:szCs w:val="21"/>
          <w:highlight w:val="none"/>
        </w:rPr>
        <w:t>节能环保</w:t>
      </w:r>
      <w:bookmarkEnd w:id="17"/>
      <w:r>
        <w:rPr>
          <w:rFonts w:hint="eastAsia"/>
          <w:color w:val="auto"/>
          <w:kern w:val="0"/>
          <w:szCs w:val="21"/>
          <w:highlight w:val="none"/>
        </w:rPr>
        <w:t>、对本国产品的支持</w:t>
      </w:r>
      <w:r>
        <w:rPr>
          <w:color w:val="auto"/>
          <w:kern w:val="0"/>
          <w:szCs w:val="21"/>
          <w:highlight w:val="none"/>
        </w:rPr>
        <w:t>等有关政策，具体详见</w:t>
      </w:r>
      <w:r>
        <w:rPr>
          <w:rFonts w:hint="eastAsia"/>
          <w:color w:val="auto"/>
          <w:highlight w:val="none"/>
        </w:rPr>
        <w:t>采购文件</w:t>
      </w:r>
      <w:r>
        <w:rPr>
          <w:color w:val="auto"/>
          <w:kern w:val="0"/>
          <w:szCs w:val="21"/>
          <w:highlight w:val="none"/>
        </w:rPr>
        <w:t>。</w:t>
      </w:r>
    </w:p>
    <w:p w14:paraId="0B3A75A0">
      <w:pPr>
        <w:spacing w:line="312" w:lineRule="auto"/>
        <w:ind w:firstLine="420" w:firstLineChars="200"/>
        <w:jc w:val="left"/>
        <w:rPr>
          <w:color w:val="auto"/>
          <w:highlight w:val="none"/>
        </w:rPr>
      </w:pPr>
      <w:r>
        <w:rPr>
          <w:color w:val="auto"/>
          <w:kern w:val="0"/>
          <w:szCs w:val="21"/>
          <w:highlight w:val="none"/>
        </w:rPr>
        <w:t>3</w:t>
      </w:r>
      <w:r>
        <w:rPr>
          <w:rFonts w:hint="eastAsia"/>
          <w:color w:val="auto"/>
          <w:kern w:val="0"/>
          <w:szCs w:val="21"/>
          <w:highlight w:val="none"/>
        </w:rPr>
        <w:t>.本项目供应商的产生方式：</w:t>
      </w:r>
      <w:r>
        <w:rPr>
          <w:color w:val="auto"/>
          <w:highlight w:val="none"/>
        </w:rPr>
        <w:t>发布</w:t>
      </w:r>
      <w:r>
        <w:rPr>
          <w:rFonts w:hint="eastAsia"/>
          <w:color w:val="auto"/>
          <w:highlight w:val="none"/>
        </w:rPr>
        <w:t>公告征集；</w:t>
      </w:r>
    </w:p>
    <w:p w14:paraId="02BF0360">
      <w:pPr>
        <w:widowControl/>
        <w:spacing w:line="36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4.监督部门</w:t>
      </w:r>
    </w:p>
    <w:p w14:paraId="67531F96">
      <w:pPr>
        <w:widowControl/>
        <w:spacing w:line="36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名称：防城港市财政局 </w:t>
      </w:r>
    </w:p>
    <w:p w14:paraId="5DB19363">
      <w:pPr>
        <w:widowControl/>
        <w:spacing w:line="36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电话：0770-6102323</w:t>
      </w:r>
    </w:p>
    <w:p w14:paraId="4533F957">
      <w:pPr>
        <w:spacing w:line="312" w:lineRule="auto"/>
        <w:ind w:firstLine="420" w:firstLineChars="200"/>
        <w:jc w:val="left"/>
        <w:rPr>
          <w:color w:val="auto"/>
          <w:highlight w:val="none"/>
        </w:rPr>
      </w:pPr>
    </w:p>
    <w:p w14:paraId="1CEB9630">
      <w:pPr>
        <w:spacing w:line="312" w:lineRule="auto"/>
        <w:ind w:firstLine="420" w:firstLineChars="200"/>
        <w:rPr>
          <w:color w:val="auto"/>
          <w:kern w:val="0"/>
          <w:szCs w:val="21"/>
          <w:highlight w:val="none"/>
        </w:rPr>
      </w:pPr>
      <w:r>
        <w:rPr>
          <w:rFonts w:hint="eastAsia"/>
          <w:color w:val="auto"/>
          <w:kern w:val="0"/>
          <w:szCs w:val="21"/>
          <w:highlight w:val="none"/>
        </w:rPr>
        <w:t>5</w:t>
      </w:r>
      <w:r>
        <w:rPr>
          <w:color w:val="auto"/>
          <w:kern w:val="0"/>
          <w:szCs w:val="21"/>
          <w:highlight w:val="none"/>
        </w:rPr>
        <w:t>.</w:t>
      </w:r>
      <w:r>
        <w:rPr>
          <w:rFonts w:hint="eastAsia"/>
          <w:color w:val="auto"/>
          <w:kern w:val="0"/>
          <w:szCs w:val="21"/>
          <w:highlight w:val="none"/>
        </w:rPr>
        <w:t>注意事项：</w:t>
      </w:r>
    </w:p>
    <w:p w14:paraId="3966E739">
      <w:pPr>
        <w:spacing w:line="276" w:lineRule="auto"/>
        <w:ind w:firstLine="420" w:firstLineChars="200"/>
        <w:rPr>
          <w:color w:val="auto"/>
          <w:szCs w:val="21"/>
          <w:highlight w:val="none"/>
        </w:rPr>
      </w:pPr>
      <w:r>
        <w:rPr>
          <w:rFonts w:hint="eastAsia"/>
          <w:color w:val="auto"/>
          <w:kern w:val="0"/>
          <w:szCs w:val="21"/>
          <w:highlight w:val="none"/>
        </w:rPr>
        <w:t>（1）</w:t>
      </w:r>
      <w:r>
        <w:rPr>
          <w:rFonts w:hint="eastAsia"/>
          <w:color w:val="auto"/>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52B6140A">
      <w:pPr>
        <w:spacing w:line="276" w:lineRule="auto"/>
        <w:ind w:firstLine="420" w:firstLineChars="200"/>
        <w:rPr>
          <w:color w:val="auto"/>
          <w:kern w:val="0"/>
          <w:szCs w:val="21"/>
          <w:highlight w:val="none"/>
        </w:rPr>
      </w:pPr>
      <w:r>
        <w:rPr>
          <w:rFonts w:hint="eastAsia"/>
          <w:color w:val="auto"/>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53238CC3">
      <w:pPr>
        <w:spacing w:line="276" w:lineRule="auto"/>
        <w:ind w:firstLine="420" w:firstLineChars="200"/>
        <w:rPr>
          <w:b/>
          <w:bCs/>
          <w:color w:val="auto"/>
          <w:kern w:val="0"/>
          <w:sz w:val="22"/>
          <w:szCs w:val="22"/>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3</w:t>
      </w:r>
      <w:r>
        <w:rPr>
          <w:rFonts w:hint="eastAsia" w:ascii="宋体" w:hAnsi="宋体" w:cs="宋体"/>
          <w:color w:val="auto"/>
          <w:kern w:val="0"/>
          <w:szCs w:val="21"/>
          <w:highlight w:val="none"/>
        </w:rPr>
        <w:t>）若对项目采购电子交易系统操作有疑问，可登录广西政府采购云平台（https://www.gcy.zfcg.gxzf.gov.cn/），点击右侧咨询小采或帮助文档或拨打客服热线95763</w:t>
      </w:r>
    </w:p>
    <w:p w14:paraId="2869E584">
      <w:pPr>
        <w:spacing w:line="276" w:lineRule="auto"/>
        <w:ind w:firstLine="442" w:firstLineChars="200"/>
        <w:rPr>
          <w:b/>
          <w:bCs/>
          <w:color w:val="auto"/>
          <w:kern w:val="0"/>
          <w:sz w:val="22"/>
          <w:szCs w:val="22"/>
          <w:highlight w:val="none"/>
        </w:rPr>
      </w:pPr>
      <w:r>
        <w:rPr>
          <w:rFonts w:hint="eastAsia"/>
          <w:b/>
          <w:bCs/>
          <w:color w:val="auto"/>
          <w:kern w:val="0"/>
          <w:sz w:val="22"/>
          <w:szCs w:val="22"/>
          <w:highlight w:val="none"/>
        </w:rPr>
        <w:t>八、对本次采购提出询问，请按以下方式联系</w:t>
      </w:r>
    </w:p>
    <w:p w14:paraId="013A8AC9">
      <w:pPr>
        <w:spacing w:line="312" w:lineRule="auto"/>
        <w:ind w:firstLine="420" w:firstLineChars="200"/>
        <w:jc w:val="left"/>
        <w:rPr>
          <w:color w:val="auto"/>
          <w:kern w:val="0"/>
          <w:szCs w:val="21"/>
          <w:highlight w:val="none"/>
        </w:rPr>
      </w:pPr>
      <w:r>
        <w:rPr>
          <w:rFonts w:hint="eastAsia"/>
          <w:color w:val="auto"/>
          <w:kern w:val="0"/>
          <w:szCs w:val="21"/>
          <w:highlight w:val="none"/>
        </w:rPr>
        <w:t>1.采购人信息</w:t>
      </w:r>
    </w:p>
    <w:p w14:paraId="4B556BB2">
      <w:pPr>
        <w:spacing w:line="312" w:lineRule="auto"/>
        <w:ind w:firstLine="420" w:firstLineChars="200"/>
        <w:jc w:val="left"/>
        <w:rPr>
          <w:color w:val="auto"/>
          <w:kern w:val="0"/>
          <w:szCs w:val="21"/>
          <w:highlight w:val="none"/>
          <w:u w:val="single"/>
        </w:rPr>
      </w:pPr>
      <w:bookmarkStart w:id="18" w:name="_Hlk19048373"/>
      <w:r>
        <w:rPr>
          <w:rFonts w:hint="eastAsia"/>
          <w:color w:val="auto"/>
          <w:kern w:val="0"/>
          <w:szCs w:val="21"/>
          <w:highlight w:val="none"/>
        </w:rPr>
        <w:t>名称</w:t>
      </w:r>
      <w:r>
        <w:rPr>
          <w:color w:val="auto"/>
          <w:kern w:val="0"/>
          <w:szCs w:val="21"/>
          <w:highlight w:val="none"/>
        </w:rPr>
        <w:t>：</w:t>
      </w:r>
      <w:r>
        <w:rPr>
          <w:rFonts w:hint="eastAsia"/>
          <w:color w:val="auto"/>
          <w:kern w:val="0"/>
          <w:szCs w:val="21"/>
          <w:highlight w:val="none"/>
          <w:u w:val="single"/>
        </w:rPr>
        <w:t>防城港市疾病预防控制中心(防城港市卫生监督所)</w:t>
      </w:r>
    </w:p>
    <w:p w14:paraId="346A3CFA">
      <w:pPr>
        <w:spacing w:line="312" w:lineRule="auto"/>
        <w:ind w:firstLine="420" w:firstLineChars="200"/>
        <w:jc w:val="left"/>
        <w:rPr>
          <w:color w:val="auto"/>
          <w:kern w:val="0"/>
          <w:szCs w:val="21"/>
          <w:highlight w:val="none"/>
          <w:u w:val="single"/>
        </w:rPr>
      </w:pPr>
      <w:r>
        <w:rPr>
          <w:color w:val="auto"/>
          <w:kern w:val="0"/>
          <w:szCs w:val="21"/>
          <w:highlight w:val="none"/>
        </w:rPr>
        <w:t>地址：</w:t>
      </w:r>
      <w:r>
        <w:rPr>
          <w:rFonts w:hint="eastAsia"/>
          <w:color w:val="auto"/>
          <w:kern w:val="0"/>
          <w:szCs w:val="21"/>
          <w:highlight w:val="none"/>
          <w:u w:val="single"/>
        </w:rPr>
        <w:t>防城港市防城区防钦路 21 号</w:t>
      </w:r>
    </w:p>
    <w:p w14:paraId="6250252F">
      <w:pPr>
        <w:spacing w:line="312" w:lineRule="auto"/>
        <w:ind w:firstLine="420" w:firstLineChars="200"/>
        <w:jc w:val="left"/>
        <w:rPr>
          <w:color w:val="auto"/>
          <w:kern w:val="0"/>
          <w:szCs w:val="21"/>
          <w:highlight w:val="none"/>
          <w:u w:val="single"/>
        </w:rPr>
      </w:pPr>
      <w:r>
        <w:rPr>
          <w:rFonts w:hint="eastAsia"/>
          <w:color w:val="auto"/>
          <w:kern w:val="0"/>
          <w:szCs w:val="21"/>
          <w:highlight w:val="none"/>
        </w:rPr>
        <w:t>项目联系人：</w:t>
      </w:r>
      <w:r>
        <w:rPr>
          <w:rFonts w:hint="eastAsia"/>
          <w:color w:val="auto"/>
          <w:kern w:val="0"/>
          <w:szCs w:val="21"/>
          <w:highlight w:val="none"/>
          <w:u w:val="single"/>
        </w:rPr>
        <w:t>李工</w:t>
      </w:r>
    </w:p>
    <w:p w14:paraId="5F649CE4">
      <w:pPr>
        <w:spacing w:line="312" w:lineRule="auto"/>
        <w:ind w:firstLine="420" w:firstLineChars="200"/>
        <w:jc w:val="left"/>
        <w:rPr>
          <w:color w:val="auto"/>
          <w:kern w:val="0"/>
          <w:szCs w:val="21"/>
          <w:highlight w:val="none"/>
          <w:u w:val="single"/>
        </w:rPr>
      </w:pPr>
      <w:r>
        <w:rPr>
          <w:rFonts w:hint="eastAsia"/>
          <w:color w:val="auto"/>
          <w:kern w:val="0"/>
          <w:szCs w:val="21"/>
          <w:highlight w:val="none"/>
        </w:rPr>
        <w:t>项目</w:t>
      </w:r>
      <w:r>
        <w:rPr>
          <w:color w:val="auto"/>
          <w:kern w:val="0"/>
          <w:szCs w:val="21"/>
          <w:highlight w:val="none"/>
        </w:rPr>
        <w:t>联系</w:t>
      </w:r>
      <w:r>
        <w:rPr>
          <w:rFonts w:hint="eastAsia"/>
          <w:color w:val="auto"/>
          <w:kern w:val="0"/>
          <w:szCs w:val="21"/>
          <w:highlight w:val="none"/>
        </w:rPr>
        <w:t>方式</w:t>
      </w:r>
      <w:r>
        <w:rPr>
          <w:color w:val="auto"/>
          <w:kern w:val="0"/>
          <w:szCs w:val="21"/>
          <w:highlight w:val="none"/>
        </w:rPr>
        <w:t>：</w:t>
      </w:r>
      <w:r>
        <w:rPr>
          <w:rFonts w:hint="eastAsia"/>
          <w:color w:val="auto"/>
          <w:kern w:val="0"/>
          <w:szCs w:val="21"/>
          <w:highlight w:val="none"/>
        </w:rPr>
        <w:t>0770-3232832</w:t>
      </w:r>
    </w:p>
    <w:p w14:paraId="22636330">
      <w:pPr>
        <w:spacing w:line="312" w:lineRule="auto"/>
        <w:ind w:firstLine="420" w:firstLineChars="200"/>
        <w:jc w:val="left"/>
        <w:rPr>
          <w:color w:val="auto"/>
          <w:kern w:val="0"/>
          <w:szCs w:val="21"/>
          <w:highlight w:val="none"/>
        </w:rPr>
      </w:pPr>
      <w:r>
        <w:rPr>
          <w:rFonts w:hint="eastAsia"/>
          <w:color w:val="auto"/>
          <w:kern w:val="0"/>
          <w:szCs w:val="21"/>
          <w:highlight w:val="none"/>
        </w:rPr>
        <w:t>2.采购代理机构信息</w:t>
      </w:r>
    </w:p>
    <w:p w14:paraId="6192D184">
      <w:pPr>
        <w:spacing w:line="312" w:lineRule="auto"/>
        <w:ind w:firstLine="420" w:firstLineChars="200"/>
        <w:jc w:val="left"/>
        <w:rPr>
          <w:color w:val="auto"/>
          <w:kern w:val="0"/>
          <w:szCs w:val="21"/>
          <w:highlight w:val="none"/>
          <w:u w:val="single"/>
        </w:rPr>
      </w:pPr>
      <w:r>
        <w:rPr>
          <w:rFonts w:hint="eastAsia"/>
          <w:color w:val="auto"/>
          <w:kern w:val="0"/>
          <w:szCs w:val="21"/>
          <w:highlight w:val="none"/>
        </w:rPr>
        <w:t>名称</w:t>
      </w:r>
      <w:r>
        <w:rPr>
          <w:color w:val="auto"/>
          <w:kern w:val="0"/>
          <w:szCs w:val="21"/>
          <w:highlight w:val="none"/>
        </w:rPr>
        <w:t>：</w:t>
      </w:r>
      <w:r>
        <w:rPr>
          <w:color w:val="auto"/>
          <w:kern w:val="0"/>
          <w:szCs w:val="21"/>
          <w:highlight w:val="none"/>
          <w:u w:val="single"/>
        </w:rPr>
        <w:t>广西机电设备招标有限公司</w:t>
      </w:r>
    </w:p>
    <w:p w14:paraId="4920D905">
      <w:pPr>
        <w:spacing w:line="312" w:lineRule="auto"/>
        <w:ind w:firstLine="420" w:firstLineChars="200"/>
        <w:jc w:val="left"/>
        <w:rPr>
          <w:color w:val="auto"/>
          <w:kern w:val="0"/>
          <w:szCs w:val="21"/>
          <w:highlight w:val="none"/>
          <w:u w:val="single"/>
        </w:rPr>
      </w:pPr>
      <w:r>
        <w:rPr>
          <w:color w:val="auto"/>
          <w:kern w:val="0"/>
          <w:szCs w:val="21"/>
          <w:highlight w:val="none"/>
        </w:rPr>
        <w:t>地址：</w:t>
      </w:r>
      <w:bookmarkStart w:id="19" w:name="_Hlk43198245"/>
      <w:r>
        <w:rPr>
          <w:color w:val="auto"/>
          <w:highlight w:val="none"/>
          <w:u w:val="single"/>
        </w:rPr>
        <w:t>广西南宁市金湖路63号金源CBD现代城B座7层701</w:t>
      </w:r>
      <w:bookmarkEnd w:id="19"/>
    </w:p>
    <w:bookmarkEnd w:id="18"/>
    <w:p w14:paraId="7C781BBF">
      <w:pPr>
        <w:spacing w:line="312" w:lineRule="auto"/>
        <w:ind w:firstLine="420" w:firstLineChars="200"/>
        <w:jc w:val="left"/>
        <w:rPr>
          <w:color w:val="auto"/>
          <w:kern w:val="0"/>
          <w:szCs w:val="21"/>
          <w:highlight w:val="none"/>
          <w:u w:val="single"/>
        </w:rPr>
      </w:pPr>
      <w:r>
        <w:rPr>
          <w:color w:val="auto"/>
          <w:kern w:val="0"/>
          <w:szCs w:val="21"/>
          <w:highlight w:val="none"/>
        </w:rPr>
        <w:t>项目联系人：</w:t>
      </w:r>
      <w:r>
        <w:rPr>
          <w:rFonts w:hint="eastAsia"/>
          <w:color w:val="auto"/>
          <w:kern w:val="0"/>
          <w:szCs w:val="21"/>
          <w:highlight w:val="none"/>
          <w:u w:val="single"/>
        </w:rPr>
        <w:t>梁策</w:t>
      </w:r>
    </w:p>
    <w:p w14:paraId="15620B5E">
      <w:pPr>
        <w:spacing w:line="312" w:lineRule="auto"/>
        <w:ind w:right="420" w:firstLine="420" w:firstLineChars="200"/>
        <w:rPr>
          <w:color w:val="auto"/>
          <w:kern w:val="0"/>
          <w:szCs w:val="21"/>
          <w:highlight w:val="none"/>
        </w:rPr>
      </w:pPr>
      <w:r>
        <w:rPr>
          <w:rFonts w:hint="eastAsia"/>
          <w:color w:val="auto"/>
          <w:kern w:val="0"/>
          <w:szCs w:val="21"/>
          <w:highlight w:val="none"/>
        </w:rPr>
        <w:t>项目联系方式</w:t>
      </w:r>
      <w:r>
        <w:rPr>
          <w:color w:val="auto"/>
          <w:kern w:val="0"/>
          <w:szCs w:val="21"/>
          <w:highlight w:val="none"/>
        </w:rPr>
        <w:t>：</w:t>
      </w:r>
      <w:r>
        <w:rPr>
          <w:rFonts w:hint="eastAsia"/>
          <w:color w:val="auto"/>
          <w:kern w:val="0"/>
          <w:szCs w:val="21"/>
          <w:highlight w:val="none"/>
          <w:u w:val="single"/>
        </w:rPr>
        <w:t>17677662572</w:t>
      </w:r>
    </w:p>
    <w:p w14:paraId="0F0894CC">
      <w:pPr>
        <w:spacing w:line="312" w:lineRule="auto"/>
        <w:ind w:firstLine="420" w:firstLineChars="200"/>
        <w:jc w:val="right"/>
        <w:rPr>
          <w:color w:val="auto"/>
          <w:kern w:val="0"/>
          <w:szCs w:val="21"/>
          <w:highlight w:val="none"/>
        </w:rPr>
      </w:pPr>
      <w:r>
        <w:rPr>
          <w:color w:val="auto"/>
          <w:kern w:val="0"/>
          <w:szCs w:val="21"/>
          <w:highlight w:val="none"/>
        </w:rPr>
        <w:t>广西机电设备招标有限公司</w:t>
      </w:r>
    </w:p>
    <w:p w14:paraId="2442F59F">
      <w:pPr>
        <w:spacing w:line="312" w:lineRule="auto"/>
        <w:ind w:firstLine="420" w:firstLineChars="200"/>
        <w:jc w:val="right"/>
        <w:rPr>
          <w:color w:val="auto"/>
          <w:kern w:val="0"/>
          <w:sz w:val="18"/>
          <w:szCs w:val="18"/>
          <w:highlight w:val="none"/>
        </w:rPr>
      </w:pPr>
      <w:r>
        <w:rPr>
          <w:color w:val="auto"/>
          <w:kern w:val="0"/>
          <w:szCs w:val="21"/>
          <w:highlight w:val="none"/>
        </w:rPr>
        <w:t>2</w:t>
      </w:r>
      <w:r>
        <w:rPr>
          <w:rFonts w:hint="eastAsia"/>
          <w:color w:val="auto"/>
          <w:kern w:val="0"/>
          <w:szCs w:val="21"/>
          <w:highlight w:val="none"/>
        </w:rPr>
        <w:t>026</w:t>
      </w:r>
      <w:r>
        <w:rPr>
          <w:color w:val="auto"/>
          <w:kern w:val="0"/>
          <w:szCs w:val="21"/>
          <w:highlight w:val="none"/>
        </w:rPr>
        <w:t>年</w:t>
      </w:r>
      <w:r>
        <w:rPr>
          <w:rFonts w:hint="eastAsia"/>
          <w:color w:val="auto"/>
          <w:kern w:val="0"/>
          <w:szCs w:val="21"/>
          <w:highlight w:val="none"/>
          <w:lang w:val="en-US" w:eastAsia="zh-CN"/>
        </w:rPr>
        <w:t>9</w:t>
      </w:r>
      <w:r>
        <w:rPr>
          <w:color w:val="auto"/>
          <w:kern w:val="0"/>
          <w:szCs w:val="21"/>
          <w:highlight w:val="none"/>
        </w:rPr>
        <w:t>月</w:t>
      </w:r>
      <w:r>
        <w:rPr>
          <w:rFonts w:hint="eastAsia"/>
          <w:color w:val="auto"/>
          <w:kern w:val="0"/>
          <w:szCs w:val="21"/>
          <w:highlight w:val="none"/>
          <w:lang w:val="en-US" w:eastAsia="zh-CN"/>
        </w:rPr>
        <w:t>30</w:t>
      </w:r>
      <w:r>
        <w:rPr>
          <w:color w:val="auto"/>
          <w:kern w:val="0"/>
          <w:szCs w:val="21"/>
          <w:highlight w:val="none"/>
        </w:rPr>
        <w:t>日</w:t>
      </w:r>
    </w:p>
    <w:p w14:paraId="23FF98A6">
      <w:pPr>
        <w:pStyle w:val="26"/>
        <w:snapToGrid w:val="0"/>
        <w:spacing w:before="120" w:after="120" w:line="320" w:lineRule="exact"/>
        <w:outlineLvl w:val="0"/>
        <w:rPr>
          <w:rFonts w:ascii="Times New Roman" w:hAnsi="Times New Roman" w:cs="Times New Roman"/>
          <w:color w:val="auto"/>
          <w:highlight w:val="none"/>
        </w:rPr>
        <w:sectPr>
          <w:headerReference r:id="rId13" w:type="default"/>
          <w:pgSz w:w="11906" w:h="16838"/>
          <w:pgMar w:top="1135" w:right="1133" w:bottom="1246" w:left="1418" w:header="851" w:footer="903" w:gutter="0"/>
          <w:pgNumType w:start="1"/>
          <w:cols w:space="720" w:num="1"/>
          <w:docGrid w:linePitch="312" w:charSpace="0"/>
        </w:sectPr>
      </w:pPr>
    </w:p>
    <w:p w14:paraId="09A75F76">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20" w:name="_Toc489863685"/>
      <w:r>
        <w:rPr>
          <w:rFonts w:ascii="Times New Roman" w:hAnsi="Times New Roman" w:cs="Times New Roman"/>
          <w:color w:val="auto"/>
          <w:sz w:val="32"/>
          <w:szCs w:val="32"/>
          <w:highlight w:val="none"/>
        </w:rPr>
        <w:t>第二章  采购需求</w:t>
      </w:r>
      <w:bookmarkEnd w:id="20"/>
    </w:p>
    <w:p w14:paraId="680E641C">
      <w:pPr>
        <w:pStyle w:val="26"/>
        <w:snapToGrid w:val="0"/>
        <w:jc w:val="center"/>
        <w:rPr>
          <w:rFonts w:ascii="Times New Roman" w:hAnsi="Times New Roman" w:cs="Times New Roman"/>
          <w:b/>
          <w:color w:val="auto"/>
          <w:highlight w:val="none"/>
        </w:rPr>
      </w:pPr>
      <w:bookmarkStart w:id="21" w:name="_Toc254970631"/>
      <w:bookmarkStart w:id="22" w:name="_Toc254970490"/>
    </w:p>
    <w:p w14:paraId="31286326">
      <w:pPr>
        <w:spacing w:before="120"/>
        <w:rPr>
          <w:rFonts w:ascii="宋体" w:hAnsi="宋体" w:cs="宋体"/>
          <w:b/>
          <w:bCs/>
          <w:color w:val="auto"/>
          <w:sz w:val="28"/>
          <w:szCs w:val="28"/>
          <w:highlight w:val="none"/>
        </w:rPr>
      </w:pPr>
    </w:p>
    <w:p w14:paraId="49A547E9">
      <w:pPr>
        <w:spacing w:line="380" w:lineRule="exact"/>
        <w:rPr>
          <w:color w:val="auto"/>
          <w:sz w:val="24"/>
          <w:highlight w:val="none"/>
        </w:rPr>
      </w:pPr>
      <w:r>
        <w:rPr>
          <w:color w:val="auto"/>
          <w:sz w:val="24"/>
          <w:highlight w:val="none"/>
        </w:rPr>
        <w:t>标项一</w:t>
      </w:r>
      <w:r>
        <w:rPr>
          <w:rFonts w:hint="eastAsia"/>
          <w:color w:val="auto"/>
          <w:sz w:val="24"/>
          <w:highlight w:val="none"/>
        </w:rPr>
        <w:t>：试剂耗材（理化与其他类）采购</w:t>
      </w:r>
    </w:p>
    <w:p w14:paraId="06103B67">
      <w:pPr>
        <w:spacing w:line="380" w:lineRule="exact"/>
        <w:rPr>
          <w:color w:val="auto"/>
          <w:sz w:val="24"/>
          <w:highlight w:val="none"/>
        </w:rPr>
      </w:pPr>
    </w:p>
    <w:p w14:paraId="6CC4139D">
      <w:pPr>
        <w:spacing w:line="360" w:lineRule="auto"/>
        <w:jc w:val="left"/>
        <w:rPr>
          <w:rFonts w:ascii="宋体" w:hAnsi="宋体" w:cs="宋体"/>
          <w:b/>
          <w:color w:val="auto"/>
          <w:szCs w:val="21"/>
          <w:highlight w:val="none"/>
        </w:rPr>
      </w:pPr>
      <w:bookmarkStart w:id="23" w:name="_Hlk48036094"/>
      <w:r>
        <w:rPr>
          <w:rFonts w:hint="eastAsia" w:ascii="宋体" w:hAnsi="宋体" w:cs="宋体"/>
          <w:b/>
          <w:color w:val="auto"/>
          <w:szCs w:val="21"/>
          <w:highlight w:val="none"/>
        </w:rPr>
        <w:t>说明：</w:t>
      </w:r>
    </w:p>
    <w:p w14:paraId="6A0D3C93">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1、采购需求中如出现品牌、型号或者生产厂家等均仅起参考作用，不属于指定品牌、型号或者生产厂家的情形，供应商可参照或者选用其他相当的品牌、型号或者生产供应商替代。但供应商的产品实质上应相当于或优于本需求</w:t>
      </w:r>
      <w:r>
        <w:rPr>
          <w:rFonts w:hAnsi="宋体"/>
          <w:b/>
          <w:bCs/>
          <w:color w:val="auto"/>
          <w:highlight w:val="none"/>
        </w:rPr>
        <w:t>中</w:t>
      </w:r>
      <w:r>
        <w:rPr>
          <w:rFonts w:hint="eastAsia" w:hAnsi="宋体"/>
          <w:b/>
          <w:bCs/>
          <w:color w:val="auto"/>
          <w:highlight w:val="none"/>
        </w:rPr>
        <w:t>的技术要求。</w:t>
      </w:r>
    </w:p>
    <w:p w14:paraId="008ECD57">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2、</w:t>
      </w:r>
      <w:r>
        <w:rPr>
          <w:rFonts w:hAnsi="宋体"/>
          <w:b/>
          <w:bCs/>
          <w:color w:val="auto"/>
          <w:highlight w:val="none"/>
        </w:rPr>
        <w:t>凡在“</w:t>
      </w:r>
      <w:r>
        <w:rPr>
          <w:rFonts w:hint="eastAsia" w:hAnsi="宋体"/>
          <w:b/>
          <w:bCs/>
          <w:color w:val="auto"/>
          <w:highlight w:val="none"/>
        </w:rPr>
        <w:t>技术要求</w:t>
      </w:r>
      <w:r>
        <w:rPr>
          <w:rFonts w:hAnsi="宋体"/>
          <w:b/>
          <w:bCs/>
          <w:color w:val="auto"/>
          <w:highlight w:val="none"/>
        </w:rPr>
        <w:t>”中表述为“标配”或“标准配置”的设备，供应商应在</w:t>
      </w:r>
      <w:r>
        <w:rPr>
          <w:rFonts w:hint="eastAsia" w:hAnsi="宋体"/>
          <w:b/>
          <w:bCs/>
          <w:color w:val="auto"/>
          <w:highlight w:val="none"/>
        </w:rPr>
        <w:t>货物配置清单</w:t>
      </w:r>
      <w:r>
        <w:rPr>
          <w:rFonts w:hAnsi="宋体"/>
          <w:b/>
          <w:bCs/>
          <w:color w:val="auto"/>
          <w:highlight w:val="none"/>
        </w:rPr>
        <w:t>中将其标配参数详细列明。</w:t>
      </w:r>
    </w:p>
    <w:p w14:paraId="746CCC6C">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3、</w:t>
      </w:r>
      <w:r>
        <w:rPr>
          <w:rFonts w:hAnsi="宋体"/>
          <w:b/>
          <w:bCs/>
          <w:color w:val="auto"/>
          <w:highlight w:val="none"/>
        </w:rPr>
        <w:t>根据《财政部 发展改革委 生态环境部 市场监管总局关于调整优化节能产品、环境标志产品政府采购执行机制的通知》（财库〔2019〕9 号）和《关于印发节能产品政府采购品目清单的通知》（财库〔2019〕19 号）的规定，采购需求中的产品属于节能产品政府采购品目清单内标注“★”的（详见本章后附的节能产品政府采购品目清单），供应商的竞标货物必须使用政府强制采购的节能产品，否则响应文件作无效响应处理。</w:t>
      </w:r>
    </w:p>
    <w:p w14:paraId="250FF856">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4、如供应商竞标产品存在侵犯他人的知识产权或者专利成果行为的，由供应商自行承担相应法律责任。</w:t>
      </w:r>
    </w:p>
    <w:p w14:paraId="7C2E2276">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5、“实质性要求”是指竞争性谈判文件中已经指明不满足则响应无效的条款，或者不能负偏离的条款，或者采购需求中带“▲”的条款。注：技术要求评审中每分标除三角符号允许负偏离的条款数为3项</w:t>
      </w:r>
    </w:p>
    <w:p w14:paraId="6C6E0EFE">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6、供应商应根据自身实际情况如实响应竞争性谈判文件。</w:t>
      </w:r>
    </w:p>
    <w:p w14:paraId="4CD9ED8A">
      <w:pPr>
        <w:spacing w:line="312" w:lineRule="auto"/>
        <w:ind w:firstLine="738" w:firstLineChars="350"/>
        <w:jc w:val="left"/>
        <w:rPr>
          <w:rFonts w:hAnsi="宋体"/>
          <w:b/>
          <w:bCs/>
          <w:color w:val="auto"/>
          <w:highlight w:val="none"/>
        </w:rPr>
      </w:pPr>
      <w:r>
        <w:rPr>
          <w:rFonts w:hint="eastAsia" w:hAnsi="宋体"/>
          <w:b/>
          <w:bCs/>
          <w:color w:val="auto"/>
          <w:highlight w:val="none"/>
        </w:rPr>
        <w:t>分标1：（采购预算金额：</w:t>
      </w:r>
      <w:r>
        <w:rPr>
          <w:rFonts w:hint="eastAsia"/>
          <w:color w:val="auto"/>
          <w:kern w:val="0"/>
          <w:szCs w:val="21"/>
          <w:highlight w:val="none"/>
        </w:rPr>
        <w:t>821000.00</w:t>
      </w:r>
      <w:r>
        <w:rPr>
          <w:rFonts w:hint="eastAsia" w:hAnsi="宋体"/>
          <w:b/>
          <w:bCs/>
          <w:color w:val="auto"/>
          <w:highlight w:val="none"/>
        </w:rPr>
        <w:t>元；最高限价：</w:t>
      </w:r>
      <w:r>
        <w:rPr>
          <w:rFonts w:hint="eastAsia"/>
          <w:color w:val="auto"/>
          <w:kern w:val="0"/>
          <w:szCs w:val="21"/>
          <w:highlight w:val="none"/>
        </w:rPr>
        <w:t>821000.00</w:t>
      </w:r>
      <w:r>
        <w:rPr>
          <w:rFonts w:hint="eastAsia" w:hAnsi="宋体"/>
          <w:b/>
          <w:bCs/>
          <w:color w:val="auto"/>
          <w:highlight w:val="none"/>
        </w:rPr>
        <w:t>元）</w:t>
      </w:r>
    </w:p>
    <w:p w14:paraId="6B8A6FDE">
      <w:pPr>
        <w:spacing w:line="360" w:lineRule="exact"/>
        <w:ind w:left="-10" w:leftChars="-5" w:right="2" w:rightChars="1" w:firstLine="422" w:firstLineChars="200"/>
        <w:rPr>
          <w:rFonts w:hAnsi="宋体"/>
          <w:b/>
          <w:bCs/>
          <w:color w:val="auto"/>
          <w:highlight w:val="none"/>
        </w:rPr>
      </w:pPr>
    </w:p>
    <w:tbl>
      <w:tblPr>
        <w:tblStyle w:val="51"/>
        <w:tblW w:w="0" w:type="auto"/>
        <w:tblInd w:w="-112" w:type="dxa"/>
        <w:tblLayout w:type="fixed"/>
        <w:tblCellMar>
          <w:top w:w="0" w:type="dxa"/>
          <w:left w:w="108" w:type="dxa"/>
          <w:bottom w:w="0" w:type="dxa"/>
          <w:right w:w="108" w:type="dxa"/>
        </w:tblCellMar>
      </w:tblPr>
      <w:tblGrid>
        <w:gridCol w:w="650"/>
        <w:gridCol w:w="1746"/>
        <w:gridCol w:w="6158"/>
        <w:gridCol w:w="576"/>
        <w:gridCol w:w="553"/>
      </w:tblGrid>
      <w:tr w14:paraId="05AE3127">
        <w:tblPrEx>
          <w:tblCellMar>
            <w:top w:w="0" w:type="dxa"/>
            <w:left w:w="108" w:type="dxa"/>
            <w:bottom w:w="0" w:type="dxa"/>
            <w:right w:w="108" w:type="dxa"/>
          </w:tblCellMar>
        </w:tblPrEx>
        <w:trPr>
          <w:trHeight w:val="762" w:hRule="atLeast"/>
        </w:trPr>
        <w:tc>
          <w:tcPr>
            <w:tcW w:w="96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D045AD">
            <w:pPr>
              <w:widowControl/>
              <w:jc w:val="center"/>
              <w:textAlignment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一、技术要求表</w:t>
            </w:r>
          </w:p>
        </w:tc>
      </w:tr>
      <w:bookmarkEnd w:id="23"/>
      <w:tr w14:paraId="66B9498C">
        <w:tblPrEx>
          <w:tblCellMar>
            <w:top w:w="0" w:type="dxa"/>
            <w:left w:w="108" w:type="dxa"/>
            <w:bottom w:w="0" w:type="dxa"/>
            <w:right w:w="108" w:type="dxa"/>
          </w:tblCellMar>
        </w:tblPrEx>
        <w:trPr>
          <w:trHeight w:val="762"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BB99">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序号</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D2659">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产品名称</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CDCE">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项目要求及技术需求</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2B67D">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数量</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8507">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单位</w:t>
            </w:r>
          </w:p>
        </w:tc>
      </w:tr>
      <w:tr w14:paraId="540A00F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4C501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1746" w:type="dxa"/>
            <w:tcBorders>
              <w:top w:val="nil"/>
              <w:left w:val="single" w:color="000000" w:sz="4" w:space="0"/>
              <w:bottom w:val="single" w:color="000000" w:sz="4" w:space="0"/>
              <w:right w:val="single" w:color="000000" w:sz="4" w:space="0"/>
            </w:tcBorders>
            <w:shd w:val="clear" w:color="auto" w:fill="auto"/>
            <w:vAlign w:val="center"/>
          </w:tcPr>
          <w:p w14:paraId="30C029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75％医用酒精</w:t>
            </w:r>
          </w:p>
        </w:tc>
        <w:tc>
          <w:tcPr>
            <w:tcW w:w="6158" w:type="dxa"/>
            <w:tcBorders>
              <w:top w:val="nil"/>
              <w:left w:val="single" w:color="000000" w:sz="4" w:space="0"/>
              <w:bottom w:val="single" w:color="000000" w:sz="4" w:space="0"/>
              <w:right w:val="single" w:color="000000" w:sz="4" w:space="0"/>
            </w:tcBorders>
            <w:shd w:val="clear" w:color="auto" w:fill="auto"/>
            <w:noWrap/>
            <w:vAlign w:val="bottom"/>
          </w:tcPr>
          <w:p w14:paraId="07DA51D5">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500ml/瓶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EA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nil"/>
              <w:left w:val="single" w:color="000000" w:sz="4" w:space="0"/>
              <w:bottom w:val="single" w:color="000000" w:sz="4" w:space="0"/>
              <w:right w:val="single" w:color="000000" w:sz="4" w:space="0"/>
            </w:tcBorders>
            <w:shd w:val="clear" w:color="auto" w:fill="auto"/>
            <w:vAlign w:val="center"/>
          </w:tcPr>
          <w:p w14:paraId="77D3427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D9337E0">
        <w:tblPrEx>
          <w:tblCellMar>
            <w:top w:w="0" w:type="dxa"/>
            <w:left w:w="108" w:type="dxa"/>
            <w:bottom w:w="0" w:type="dxa"/>
            <w:right w:w="108" w:type="dxa"/>
          </w:tblCellMar>
        </w:tblPrEx>
        <w:trPr>
          <w:trHeight w:val="51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1CD3A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E9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84消毒液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60FB2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500ml/瓶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DD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0182">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0EBC6E46">
        <w:tblPrEx>
          <w:tblCellMar>
            <w:top w:w="0" w:type="dxa"/>
            <w:left w:w="108" w:type="dxa"/>
            <w:bottom w:w="0" w:type="dxa"/>
            <w:right w:w="108" w:type="dxa"/>
          </w:tblCellMar>
        </w:tblPrEx>
        <w:trPr>
          <w:trHeight w:val="484"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5A223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2F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过塑膜</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278A7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A4，10丝，</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100张/包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E7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D5B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包</w:t>
            </w:r>
          </w:p>
        </w:tc>
      </w:tr>
      <w:tr w14:paraId="59897ECC">
        <w:tblPrEx>
          <w:tblCellMar>
            <w:top w:w="0" w:type="dxa"/>
            <w:left w:w="108" w:type="dxa"/>
            <w:bottom w:w="0" w:type="dxa"/>
            <w:right w:w="108" w:type="dxa"/>
          </w:tblCellMar>
        </w:tblPrEx>
        <w:trPr>
          <w:trHeight w:val="52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B1B71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BA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冷冻管盒</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9D45D2">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100孔/个</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75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6C12">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个</w:t>
            </w:r>
          </w:p>
        </w:tc>
      </w:tr>
      <w:tr w14:paraId="6BEDFCF3">
        <w:tblPrEx>
          <w:tblCellMar>
            <w:top w:w="0" w:type="dxa"/>
            <w:left w:w="108" w:type="dxa"/>
            <w:bottom w:w="0" w:type="dxa"/>
            <w:right w:w="108" w:type="dxa"/>
          </w:tblCellMar>
        </w:tblPrEx>
        <w:trPr>
          <w:trHeight w:val="60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CE32E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A0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冷冻管盒</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18D58A">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81孔/个</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76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311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个</w:t>
            </w:r>
          </w:p>
        </w:tc>
      </w:tr>
      <w:tr w14:paraId="2B01B58B">
        <w:tblPrEx>
          <w:tblCellMar>
            <w:top w:w="0" w:type="dxa"/>
            <w:left w:w="108" w:type="dxa"/>
            <w:bottom w:w="0" w:type="dxa"/>
            <w:right w:w="108" w:type="dxa"/>
          </w:tblCellMar>
        </w:tblPrEx>
        <w:trPr>
          <w:trHeight w:val="51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205D6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2D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利器盒</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2D36DA">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3L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F26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F4C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个</w:t>
            </w:r>
          </w:p>
        </w:tc>
      </w:tr>
      <w:tr w14:paraId="6898C7E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44C38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94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甲型肝炎病毒IgM抗体检测试剂盒（酶联免疫法）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B2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96T/盒 12孔</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03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6F3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72176E97">
        <w:tblPrEx>
          <w:tblCellMar>
            <w:top w:w="0" w:type="dxa"/>
            <w:left w:w="108" w:type="dxa"/>
            <w:bottom w:w="0" w:type="dxa"/>
            <w:right w:w="108" w:type="dxa"/>
          </w:tblCellMar>
        </w:tblPrEx>
        <w:trPr>
          <w:trHeight w:val="63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C0E36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88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甲型肝炎病毒IgM抗体检测试剂盒HAV（免疫层析法）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4CEB2C">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20T/盒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9C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AFE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78D62997">
        <w:tblPrEx>
          <w:tblCellMar>
            <w:top w:w="0" w:type="dxa"/>
            <w:left w:w="108" w:type="dxa"/>
            <w:bottom w:w="0" w:type="dxa"/>
            <w:right w:w="108" w:type="dxa"/>
          </w:tblCellMar>
        </w:tblPrEx>
        <w:trPr>
          <w:trHeight w:val="61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AD7F9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43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戊型肝炎病毒IgM抗体检测试剂盒（捕获酶联免疫法）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5A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96T/盒 12孔</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97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FA0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143FEC8F">
        <w:tblPrEx>
          <w:tblCellMar>
            <w:top w:w="0" w:type="dxa"/>
            <w:left w:w="108" w:type="dxa"/>
            <w:bottom w:w="0" w:type="dxa"/>
            <w:right w:w="108" w:type="dxa"/>
          </w:tblCellMar>
        </w:tblPrEx>
        <w:trPr>
          <w:trHeight w:val="67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E45DA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8C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戊型肝炎病毒IgM抗体检测试剂盒HEV（免疫层析法）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462B90">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20T/盒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6D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D29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21966AB5">
        <w:tblPrEx>
          <w:tblCellMar>
            <w:top w:w="0" w:type="dxa"/>
            <w:left w:w="108" w:type="dxa"/>
            <w:bottom w:w="0" w:type="dxa"/>
            <w:right w:w="108" w:type="dxa"/>
          </w:tblCellMar>
        </w:tblPrEx>
        <w:trPr>
          <w:trHeight w:val="106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09176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51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抗A抗B血型定型试剂（单克隆抗体）</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488CD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2支*10ML/盒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C6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659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379792C7">
        <w:tblPrEx>
          <w:tblCellMar>
            <w:top w:w="0" w:type="dxa"/>
            <w:left w:w="108" w:type="dxa"/>
            <w:bottom w:w="0" w:type="dxa"/>
            <w:right w:w="108" w:type="dxa"/>
          </w:tblCellMar>
        </w:tblPrEx>
        <w:trPr>
          <w:trHeight w:val="60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CC7D1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92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乙肝表面抗原/抗体/e抗原/e抗体/核心抗体（胶体金法）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693F41">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25T/盒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AA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4E3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46EFC544">
        <w:tblPrEx>
          <w:tblCellMar>
            <w:top w:w="0" w:type="dxa"/>
            <w:left w:w="108" w:type="dxa"/>
            <w:bottom w:w="0" w:type="dxa"/>
            <w:right w:w="108" w:type="dxa"/>
          </w:tblCellMar>
        </w:tblPrEx>
        <w:trPr>
          <w:trHeight w:val="66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BA415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E5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乙型肝炎病毒表面抗原诊断试剂盒（酶联免疫法）HBsAb</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B5584E">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96T/盒 12孔</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53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B6D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231E523F">
        <w:tblPrEx>
          <w:tblCellMar>
            <w:top w:w="0" w:type="dxa"/>
            <w:left w:w="108" w:type="dxa"/>
            <w:bottom w:w="0" w:type="dxa"/>
            <w:right w:w="108" w:type="dxa"/>
          </w:tblCellMar>
        </w:tblPrEx>
        <w:trPr>
          <w:trHeight w:val="702"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1ACD6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62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乙型肝炎病毒表面抗原诊断试剂盒（酶联免疫法）HBsAb</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B8CF8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96T/盒 12孔</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68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3FF7">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3CD2DF9B">
        <w:tblPrEx>
          <w:tblCellMar>
            <w:top w:w="0" w:type="dxa"/>
            <w:left w:w="108" w:type="dxa"/>
            <w:bottom w:w="0" w:type="dxa"/>
            <w:right w:w="108" w:type="dxa"/>
          </w:tblCellMar>
        </w:tblPrEx>
        <w:trPr>
          <w:trHeight w:val="2904"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D1141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7B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丙型肝炎病毒抗体酶联免疫检测试剂盒(ELISA法)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521F">
            <w:pPr>
              <w:widowControl/>
              <w:jc w:val="left"/>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1.规格：96T/盒；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2.包被抗原为融合抗原，含有HCV的Core区，NS3区，NS4区，NS5区的特异性片段，水溶性好，性质稳定；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3.试剂盒内容：阴，阳性对照，洗涤浓缩液，酶标记工作液，终止液，96孔板1块，封板膜2张；</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4.精密性CV≤15%；</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5.分析灵敏度≤0.5NCU/ML；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6.特异性≥99%；</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7.说明书：附检测操作说明书；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▲8.具有国家药品监督管理局注册证；</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9.中国食品药品检定研究院批批检合格（在供货时须提供证明材料）。</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5A3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410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48966C4A">
        <w:tblPrEx>
          <w:tblCellMar>
            <w:top w:w="0" w:type="dxa"/>
            <w:left w:w="108" w:type="dxa"/>
            <w:bottom w:w="0" w:type="dxa"/>
            <w:right w:w="108" w:type="dxa"/>
          </w:tblCellMar>
        </w:tblPrEx>
        <w:trPr>
          <w:trHeight w:val="364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31F73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27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丙型肝炎病毒抗体酶联免疫检测试剂盒(ELISA法)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0D6B">
            <w:pPr>
              <w:widowControl/>
              <w:jc w:val="left"/>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1.规格：96T/盒；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2.包被抗原为融合抗原，含有HCV的Core区，NS3区，NS4区，NS5区的特异性片段，水溶性好，性质稳定；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3.试剂盒内容：阴，阳性对照，洗涤浓缩液，酶标记工作液，终止液，96孔板1块，封板膜2张；</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4.精密性CV≤15%；</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5.分析灵敏度≤0.5NCU/ML；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6.特异性≥99%；</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7.说明书：附检测操作说明书；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8.具有国家药品监督管理局注册证；</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9.中国食品药品检定研究院批批检合格（在供货时须提供证明材料）。                                                    ▲10.跟15行不能同一品牌</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13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E08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0060642C">
        <w:tblPrEx>
          <w:tblCellMar>
            <w:top w:w="0" w:type="dxa"/>
            <w:left w:w="108" w:type="dxa"/>
            <w:bottom w:w="0" w:type="dxa"/>
            <w:right w:w="108" w:type="dxa"/>
          </w:tblCellMar>
        </w:tblPrEx>
        <w:trPr>
          <w:trHeight w:val="90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846EA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32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丙型肝炎病毒(HCV)抗体检测试剂(胶体金法)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0FF21E">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50T/盒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71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010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1A0B7319">
        <w:tblPrEx>
          <w:tblCellMar>
            <w:top w:w="0" w:type="dxa"/>
            <w:left w:w="108" w:type="dxa"/>
            <w:bottom w:w="0" w:type="dxa"/>
            <w:right w:w="108" w:type="dxa"/>
          </w:tblCellMar>
        </w:tblPrEx>
        <w:trPr>
          <w:trHeight w:val="2904"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BAB17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43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人类免疫缺陷病毒HIV抗体检测试剂盒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(ELISA法)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1636">
            <w:pPr>
              <w:widowControl/>
              <w:jc w:val="left"/>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1.规格：96T/盒；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2.包被抗原：HIV 1+2型合成肽或基因重组蛋白，HIV-1 p24，gp41，gp120，HIV-2 gp36；</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3.内容物：反应板，HIV抗体阴性对照，HIV-1型阳性对照，HIV-2型阳性对照；</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4.方法：双抗原夹心法；</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5.敏感性=100%（参考2018-2020连续3年全国艾滋病病毒抗体诊断试剂临床质量评估报告）；</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6.特异性≥98.5%；</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7.具有国家药品监督管理局注册证；</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8.中国食品药品检定研究院批批检合格（在供货时须提供证明材料）。</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BA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658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34E1E2CE">
        <w:tblPrEx>
          <w:tblCellMar>
            <w:top w:w="0" w:type="dxa"/>
            <w:left w:w="108" w:type="dxa"/>
            <w:bottom w:w="0" w:type="dxa"/>
            <w:right w:w="108" w:type="dxa"/>
          </w:tblCellMar>
        </w:tblPrEx>
        <w:trPr>
          <w:trHeight w:val="342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89402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1B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人类免疫缺陷病毒HIV抗体检测试剂盒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(ELISA法)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1D19">
            <w:pPr>
              <w:widowControl/>
              <w:jc w:val="left"/>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1.规格：96T/盒；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2.包被抗原：HIV 1+2型合成肽或基因重组蛋白，HIV-1 p24，gp41，gp120，HIV-2 gp36；</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3.内容物：反应板，HIV抗体阴性对照，HIV-1型阳性对照，HIV-2型阳性对照；</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4.方法：双抗原夹心法；</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5.敏感性=100%（参考2018-2020连续3年全国艾滋病病毒抗体诊断试剂临床质量评估报告）；</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6.特异性≥98.5%；</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7.具有国家药品监督管理局注册证；</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8.中国食品药品检定研究院批批检合格（在供货时须提供证明材料）。                                              ▲9.跟18行不能同一品牌</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47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8CA0">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531F06B9">
        <w:tblPrEx>
          <w:tblCellMar>
            <w:top w:w="0" w:type="dxa"/>
            <w:left w:w="108" w:type="dxa"/>
            <w:bottom w:w="0" w:type="dxa"/>
            <w:right w:w="108" w:type="dxa"/>
          </w:tblCellMar>
        </w:tblPrEx>
        <w:trPr>
          <w:trHeight w:val="9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BD426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10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梅毒甲胺红不加热血清试验诊断试剂（TRUST）</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DE36">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1、规格：100T/盒                                         </w:t>
            </w:r>
          </w:p>
          <w:p w14:paraId="45BD40EA">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2、检测样本: 血清、血浆，免疫学                          </w:t>
            </w:r>
          </w:p>
          <w:p w14:paraId="54E42F56">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3、检验原理：凝集法                                       </w:t>
            </w:r>
          </w:p>
          <w:p w14:paraId="17B2CDBB">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4、临界值计算：肉眼可见的凝集判为阳性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5、连续三年敏感性≥95%，特异性≥95%（2017-2019）          </w:t>
            </w:r>
          </w:p>
          <w:p w14:paraId="02F241C6">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6、储存条件：2-8度，避光                                </w:t>
            </w:r>
          </w:p>
          <w:p w14:paraId="186F16D5">
            <w:pPr>
              <w:widowControl/>
              <w:jc w:val="left"/>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7、有效期：12个月</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6D7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033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015DD03E">
        <w:tblPrEx>
          <w:tblCellMar>
            <w:top w:w="0" w:type="dxa"/>
            <w:left w:w="108" w:type="dxa"/>
            <w:bottom w:w="0" w:type="dxa"/>
            <w:right w:w="108" w:type="dxa"/>
          </w:tblCellMar>
        </w:tblPrEx>
        <w:trPr>
          <w:trHeight w:val="824"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FA65C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4C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梅毒螺旋体抗体检测试剂（凝集法）---TPPA</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00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100人份/盒（20*5） 配U型板</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D9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1C7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759D1DEF">
        <w:tblPrEx>
          <w:tblCellMar>
            <w:top w:w="0" w:type="dxa"/>
            <w:left w:w="108" w:type="dxa"/>
            <w:bottom w:w="0" w:type="dxa"/>
            <w:right w:w="108" w:type="dxa"/>
          </w:tblCellMar>
        </w:tblPrEx>
        <w:trPr>
          <w:trHeight w:val="222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F5C14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71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梅毒螺旋体抗体检测试剂盒(ELISA法)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6829">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1、规格：96T/盒                                         </w:t>
            </w:r>
          </w:p>
          <w:p w14:paraId="7790053D">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2、检测样本: 血清、血浆，酶联免疫法                     </w:t>
            </w:r>
          </w:p>
          <w:p w14:paraId="1BBF0121">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3、检验原理： 夹心法                                    </w:t>
            </w:r>
          </w:p>
          <w:p w14:paraId="50A0724A">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4、临界值计算： 阴性对照孔OD平均值×2.8  阴性对照孔OD平均值小于0.05时以0.05计算</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5、测定波长： 单波长450nm或双波长450nm/630nm</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6、精密度： 以国家精密性参考品检定，CV(%)≤15%（N=10）</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7、特异性符合率100%，敏感性符合率99.5%，总符合率99.6%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8、连续三年敏感性≥96%，特异性≥99%（2017-2019）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9、储存条件：2-8度，避光                                </w:t>
            </w:r>
          </w:p>
          <w:p w14:paraId="6001E4F8">
            <w:pPr>
              <w:widowControl/>
              <w:jc w:val="left"/>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10、有效期：12个月</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62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5672">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6AD9889B">
        <w:tblPrEx>
          <w:tblCellMar>
            <w:top w:w="0" w:type="dxa"/>
            <w:left w:w="108" w:type="dxa"/>
            <w:bottom w:w="0" w:type="dxa"/>
            <w:right w:w="108" w:type="dxa"/>
          </w:tblCellMar>
        </w:tblPrEx>
        <w:trPr>
          <w:trHeight w:val="81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7589B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0C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梅毒螺旋体抗体检测试剂盒(ELISA法)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DA77">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1、规格：96T/盒                                         2、检测样本: 血清、血浆，酶联免疫法                       3、检验原理： 夹心法                                    4、临界值计算： 阴性对照孔OD平均值×2.8  阴性对照孔OD平均值小于0.05时以0.05计算</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5、测定波长： 单波长450nm或双波长450nm/630nm</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6、精密度： 以国家精密性参考品检定，CV(%)≤15%（N=10）</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7、特异性符合率100%，敏感性符合率99.5%，总符合率99.6%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8、连续三年敏感性≥96%，特异性≥99%（2017-2019）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9、储存条件：2-8度，避光                            </w:t>
            </w:r>
          </w:p>
          <w:p w14:paraId="14FCAD4A">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10、有效期：12个月                                    </w:t>
            </w:r>
          </w:p>
          <w:p w14:paraId="7262AA92">
            <w:pPr>
              <w:widowControl/>
              <w:jc w:val="left"/>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▲11.跟22行不能同一品牌</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48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81A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792556A2">
        <w:tblPrEx>
          <w:tblCellMar>
            <w:top w:w="0" w:type="dxa"/>
            <w:left w:w="108" w:type="dxa"/>
            <w:bottom w:w="0" w:type="dxa"/>
            <w:right w:w="108" w:type="dxa"/>
          </w:tblCellMar>
        </w:tblPrEx>
        <w:trPr>
          <w:trHeight w:val="671"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69095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30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丙氨酸氨基转移酶（ALT)</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1923">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（176ml）4*35+2*18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CC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BEC4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66C7E7EB">
        <w:tblPrEx>
          <w:tblCellMar>
            <w:top w:w="0" w:type="dxa"/>
            <w:left w:w="108" w:type="dxa"/>
            <w:bottom w:w="0" w:type="dxa"/>
            <w:right w:w="108" w:type="dxa"/>
          </w:tblCellMar>
        </w:tblPrEx>
        <w:trPr>
          <w:trHeight w:val="484"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84CB9A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F5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清洗液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8395">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10L/箱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A0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217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箱</w:t>
            </w:r>
          </w:p>
        </w:tc>
      </w:tr>
      <w:tr w14:paraId="4916F67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F87C1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C7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光路调试用质控微球</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64350F">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4*5ml/盒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3C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68A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1CEC4DD7">
        <w:tblPrEx>
          <w:tblCellMar>
            <w:top w:w="0" w:type="dxa"/>
            <w:left w:w="108" w:type="dxa"/>
            <w:bottom w:w="0" w:type="dxa"/>
            <w:right w:w="108" w:type="dxa"/>
          </w:tblCellMar>
        </w:tblPrEx>
        <w:trPr>
          <w:trHeight w:val="58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500F5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09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抗HIV-1标准物质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92445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0.5NCU/ml,1ml/支，5支/盒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CD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09F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3C2366E9">
        <w:tblPrEx>
          <w:tblCellMar>
            <w:top w:w="0" w:type="dxa"/>
            <w:left w:w="108" w:type="dxa"/>
            <w:bottom w:w="0" w:type="dxa"/>
            <w:right w:w="108" w:type="dxa"/>
          </w:tblCellMar>
        </w:tblPrEx>
        <w:trPr>
          <w:trHeight w:val="64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518A9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75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水系针式过滤器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018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孔径0.22um ф13mm，100个/包，PES</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B4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F6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412843B3">
        <w:tblPrEx>
          <w:tblCellMar>
            <w:top w:w="0" w:type="dxa"/>
            <w:left w:w="108" w:type="dxa"/>
            <w:bottom w:w="0" w:type="dxa"/>
            <w:right w:w="108" w:type="dxa"/>
          </w:tblCellMar>
        </w:tblPrEx>
        <w:trPr>
          <w:trHeight w:val="63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4A8AA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E6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疏水性针式过滤器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36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孔径0.22um ф13mm，100个/包，PES</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FA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62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28796B3E">
        <w:tblPrEx>
          <w:tblCellMar>
            <w:top w:w="0" w:type="dxa"/>
            <w:left w:w="108" w:type="dxa"/>
            <w:bottom w:w="0" w:type="dxa"/>
            <w:right w:w="108" w:type="dxa"/>
          </w:tblCellMar>
        </w:tblPrEx>
        <w:trPr>
          <w:trHeight w:val="112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23950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52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螺旋盖离心管（尖底）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D25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50ml，25支/袋</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0F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2B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24BB45B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DEF21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20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螺旋盖离心管（圆底）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13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50ml，25支/袋</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666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0D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080B439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72620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EC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18mm 螺纹口20ml透明圆底顶空样品瓶（带书写）</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FB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100只/纸盒 10纸盒/纸箱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F0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8F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ED74F2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7C168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97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10ul加长盒装滤芯吸头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F3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96个/盒 50盒/件，长45.7mm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8F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22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BC2CC9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212869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EB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100ul盒装滤芯吸头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4D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96个/盒，10盒/中盒，长50.55mm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F0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44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1D0CE1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B9FDC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AD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200ul特长盒装滤芯吸头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12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96个/盒，10盒/中盒，长：89mm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41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4C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5DF65E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847EF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BC3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1000ul带滤芯吸头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E4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 50盒/件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12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7E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6A52D9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C994F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B3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2ml塑料冻存盒</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96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100孔，可耐受-80度低温，PP,透明</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FB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1D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05B0C07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84979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F5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20ul盒装滤芯吸头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50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96支/盒，无菌，PC盒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EE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76B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4C814E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EAC2A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9B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移液管</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16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50ml，单标线 A级符合 GB/T12805-2011 和GB/T 12809-2015标准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01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B4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10B2C50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40B7E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94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移液管</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1D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25ml，单标线 A级符合 GB/T12805-2011 和GB/T 12809-2015标准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BD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5A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78EAA11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1A27C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AC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刻度吸管 </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E24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5ml，A级符合 GB/T12805-2011 和GB/T 12809-2015标准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E1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28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17B4E59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01E0B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E9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洗耳球(小)</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66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48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13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只</w:t>
            </w:r>
          </w:p>
        </w:tc>
      </w:tr>
      <w:tr w14:paraId="6A87E1A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BF2AC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CD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刻度吸管 </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06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10ml，A级符合 GB/T12805-2011 和GB/T 12809-2015标准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40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1B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3B5582B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B2029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1C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白容量瓶</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69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100ml A级，可检定合格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DF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C8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65D17DF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DB596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C9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白容量瓶</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75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250ml A级，可检定合格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5F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A9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42726C4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B8EBB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35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一次性医用丁腈橡胶检查手套(无粉，蓝色）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7F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中号，9寸，100只/盒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7D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B1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4F43DF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FC89F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C9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一次性医用丁腈橡胶检查手套(无粉，蓝色）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7D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小号，9寸，100只/盒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E4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AA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44C4E6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5AA51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50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烧杯(低型)</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08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 8只/盒 72只/件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C5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EF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0EABEDF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BE1B9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D4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玻璃烧杯(低型)</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4A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 6只/盒，36个/件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C0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F3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06AF4FB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30979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10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量筒1000ml</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74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1000ml，带刻度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B1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07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1FD15E2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EEA1D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77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量筒500ml</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1B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500ml，带刻度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9BD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28F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517ED69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9C78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E6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一次性滴管</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17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3ml 100支/袋  10000支/件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3A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4A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6D3E149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BE47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58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圆底带盖离心管(螺口)</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E71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10ml（100支/包）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2C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C5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51EB040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8D0E9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C3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一次性使用无菌注射器，带针</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EE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2ml（0.6*25），100支/盒，2000支/件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12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37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7C842D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F76CB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C8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一次性使用无菌注射器，带针</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60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5ml（0.6*25），100支/盒，2000支/件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51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4A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7F8DC2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89033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11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一次性使用无菌注射器，带针</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6E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10ml（0.7*32TWLB），100支/盒，2000支/件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A7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57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29F038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02E4B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28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医用防护口罩</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0DA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WN-N95，折叠式（M)，150mm*105mm 1只/袋，50袋/盒 16盒/箱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C2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CE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只</w:t>
            </w:r>
          </w:p>
        </w:tc>
      </w:tr>
      <w:tr w14:paraId="235F3A9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74855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42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玻璃试管</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AB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30*200 120ml容量</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16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78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03A66CB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A25C4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7D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乙醇消毒液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59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塑瓶500ml 75%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46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3D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146641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837A8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AF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84消毒液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13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500ml，30瓶/箱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31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27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7E7359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64B08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23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厨房纸巾</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08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75抽/包，210mm*222mm，12包/箱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90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58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519AD90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61A0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F5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无油真空泵</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7916">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 泵体部件采用聚苯硫醚或铝合金耐腐材料一次成型，使用寿命长。</w:t>
            </w:r>
          </w:p>
          <w:p w14:paraId="245D0B93">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 流量大，负（正）压力高，可满足大部分过滤器的要求。</w:t>
            </w:r>
          </w:p>
          <w:p w14:paraId="7AE43680">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 有正压、负压独立接口，适用于不同场合。</w:t>
            </w:r>
          </w:p>
          <w:p w14:paraId="433E70C1">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4. 无油型、效率高，噪音低，压力可调。</w:t>
            </w:r>
          </w:p>
          <w:p w14:paraId="69E5F91E">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5．真空压力（Kpa）： ≥80</w:t>
            </w:r>
          </w:p>
          <w:p w14:paraId="7C427C65">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6. 流量（L/min）： 10</w:t>
            </w:r>
          </w:p>
          <w:p w14:paraId="01DADDB0">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7. 功率（W）： 35</w:t>
            </w:r>
          </w:p>
          <w:p w14:paraId="3E3812D5">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8. 电源： AC220V/50Hz</w:t>
            </w:r>
          </w:p>
          <w:p w14:paraId="197BD7C1">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9. 重量（Kg）： 3.1</w:t>
            </w:r>
          </w:p>
          <w:p w14:paraId="74ABC0D9">
            <w:pPr>
              <w:widowControl/>
              <w:jc w:val="left"/>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 外型尺寸（mm）： 246W x 190H x 135D</w:t>
            </w:r>
          </w:p>
          <w:p w14:paraId="583A1351">
            <w:pPr>
              <w:widowControl/>
              <w:jc w:val="center"/>
              <w:textAlignment w:val="center"/>
              <w:rPr>
                <w:rFonts w:ascii="宋体" w:hAnsi="宋体" w:cs="宋体"/>
                <w:color w:val="auto"/>
                <w:sz w:val="18"/>
                <w:szCs w:val="18"/>
                <w:highlight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E1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3E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台</w:t>
            </w:r>
          </w:p>
        </w:tc>
      </w:tr>
      <w:tr w14:paraId="45615B9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C0822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CAE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活性炭采样管（溶剂解析）</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8B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6*120mm，100/50mg，20-40目，100支/盒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5F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BF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E5AC2C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57273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58D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镊子，弯头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05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12.5cm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B8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BB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把</w:t>
            </w:r>
          </w:p>
        </w:tc>
      </w:tr>
      <w:tr w14:paraId="79F728A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4D93F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2C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镊子，弯头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C5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18cm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06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35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把</w:t>
            </w:r>
          </w:p>
        </w:tc>
      </w:tr>
      <w:tr w14:paraId="3196C7A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3EAC0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2F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塑料洗瓶(红头)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26B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76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9D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14B5956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13C94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00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三角烧瓶（大口）</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43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 48个/件，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94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B5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40E72D8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DD14B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09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三角烧瓶（宽口）</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0D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250ml，10只/盒，80只/件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46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7F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55360B8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82414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19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透明顶空进样瓶 钳口圆平底 倒角</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62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20ml 100个/盒  </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E0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3E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34CC71B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41AE2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B0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钳口顶空瓶盖垫（20mm 钳口铝盖 配3.0mm厚度白膜白胶垫片）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D5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100个/包 配20ml顶空瓶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4A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CC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39A4849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7BCBC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8E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医用棉签</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C8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灭菌，A1 通用型12cm*20支/包，50包/中包  20中袋包/件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51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26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F692E7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C65D0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05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100ul盒装滤芯吸头，无菌，PC盒</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B9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96支/盒，10盒/中盒，5中盒/箱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97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2F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177A6A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3B3FE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27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10ul盒装滤芯吸头，无菌，PP盒</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A2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  50盒/箱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4B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DF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34A61E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6E96A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84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200ul加长滤芯吸头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23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96支/盒,50盒/箱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B5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5A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DD5FAB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17FA0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4B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抽纸大包纸巾</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20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整箱20包*500张</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E4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6C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箱</w:t>
            </w:r>
          </w:p>
        </w:tc>
      </w:tr>
      <w:tr w14:paraId="6024031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935BA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DC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水中氰成分分析标准物质（氰化物标准物质）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80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40ml，50μg/mL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D7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9D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0BD3018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40C5F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55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4-氨基安替比林</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75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GR25g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E6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E29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2F2088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B86F2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EA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溴化钾</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E9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光谱纯，SP25g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CC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3D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162F32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04E69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3B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水中硝酸盐氮溶液标准物质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AA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1000mg/L，20mL，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CD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150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691192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FE51D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91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L-半胱氨酸盐酸盐</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6B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0.04g/支*5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65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87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676996C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BB4BC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5C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丙三醇(甘油)</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6A7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AR500ml，10瓶/件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7A2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2C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5E9BEA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B7926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984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乙腈</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0A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HPLC 4L  4瓶/箱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80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73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CE4FBE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87ED0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B5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高锰酸钾滴定溶液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9C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 0.1mol/L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9A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71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C3DFD6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59540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B0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磷酸二氢铵</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A9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03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66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55937A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B6655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75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乙酸乙酯中脱氢乙酸溶液标准物质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44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E0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79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6AB3A7D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86F89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FD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苹果汁中脱氢乙酸</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19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50mL/瓶，塑料瓶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31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84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F15ED9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929C6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C0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碘容量分析用标准溶液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D7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500mL，0.05mol/L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0D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C8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677851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8BD9A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04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碘容量分析用标准溶液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C4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500ml，0.1004mol/L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B9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EA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110AA3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3D49A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D0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甲醇中五氯酚标准品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4D2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98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EC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4E8C69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AC3A3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FC0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滤膜中铅含量测定质控样品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B9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3片/套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6A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9F3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4736DD4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50BB3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ED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氢氧化钠滴定溶液 </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A0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500ML，0.1mol/l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BF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60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678753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86BA3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31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硫代硫酸钠容量分析用标准溶液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69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 0.1mol/l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B1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89A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AE34AF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368E0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94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四氯化碳</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CA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色谱级,≥99.0% 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FC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6A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D6C303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96D75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3E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水中亚硝酸盐氮成分分析标准物质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EC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 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65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DC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5C969F5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27EEB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11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标准物质/水中二氧化氮(以二氧化氮计)</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09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76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19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BDFFE3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461A5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93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标准品/二硫化碳中5种苯系物混标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4A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1000ug/ml ，1ml，/GB/T 11737-1989</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8B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2B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48C71D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CC727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659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质控样品/活性炭管中5种苯系物混标/GBZ/T 300.66-2017</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4B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2支/套，GBZ/T 300.66-2017</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66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DB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3D6E636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90469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63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二硫化碳中三氯乙烯标准物质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E74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9D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4E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D2BAC6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A7FFC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2F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水中挥发酚</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20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E3B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88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AE51C3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DAB23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80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质控样品/活性炭管中三氯乙烯</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47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2支/套，GBZ/T 300.78-2017</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92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E6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56A9D5B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5264C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61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标样/水质 总氰化物</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29E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07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06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596A35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9ACE2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4D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无苯二硫化碳</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6B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色谱纯（GC）500ml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01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6D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8A01AB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C6A5B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86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标准品/甲醇中5种苯系物混标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CB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B6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E3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52FCEFD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20FF6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6B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（冰袋运输）水中甲醛溶液标准物质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23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20mL，100μg/mL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DA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192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0DAF12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840C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13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标样/水中尿素(以尿素计)</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C4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20mL，0.451μg/mL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B0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DF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8612C8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FAC19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80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标准物质/水中尿素(以尿素计)</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809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1E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5F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F2720A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C0449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D6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标样/水质 高氯酸盐</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28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2C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86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1590A3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B63B1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31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异烟酸</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44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99%，AR500g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0D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CD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9E4B45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08BCC4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25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巴比妥酸</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4B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98.0%T，100g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39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2F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4F66B0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B55AE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0A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标准品/乙腈中16种多环芳烃混标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0B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  10ug/ml，SN/T 2203-2021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97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73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B3929A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71A47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2F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标准物质/甲醇中1,2,3-三氯苯</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06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C4E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A2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0A77EEB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39E24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9B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标准物质/丙酮中溴氰菊酯溶液标准物质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4EE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62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684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4459DEA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3B7C5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44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甲醇中四氯乙烯标准溶液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12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C5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9E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CD77E9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368A6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9E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水中甜蜜素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B3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F1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26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A5AD88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C4FAF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55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标准物质/甲醇中氯苯</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5A0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9CE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A9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B9BA05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E3518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81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硫代硫酸钠容量分析用标准物质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D3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20ml/瓶0.1003mol/L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054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0C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4E72FA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82A48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26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吐温 20</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DE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500ML，99% 生物技术级</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08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D6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D467BB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5D695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6C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标准物质/水中氰/介质:0.1mol/L氢氧化钠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E0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20ml，50mg/L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E4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59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5AE47D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9FCDF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E1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D6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AR500ml 20瓶/件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70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26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FE499B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AEBB3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A93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水中氨氮</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94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  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3F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27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672883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AA91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05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标准物质/水中高氯酸盐/介质：10mmol/L氢氧化钠/用于IC/介质:10mmol/L氢氧化钠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05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20ml,100mg/l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72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10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6FC6CC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3F834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38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标样/甲醇中三氯甲烷、四氯化碳质控样</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FC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1ml,三氯甲烷8.0ug/ml  四氯化碳0.5ug/ml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E1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B8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C781C4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6856C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8D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甲醇中二氯乙酸溶液标准物质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DB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37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65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EA8C8B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380F9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5A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甲醇中三氯乙酸溶液标准物质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19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82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13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1887D1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88E86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D8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标准物质/甲醇中1,1-二氯乙烯</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B8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2E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46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410F66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E0A89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98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甲醇中三氯乙烯标准溶液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6C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668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2C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212E54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549C0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2A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标样-阴离子表面活性剂/十二烷基苯磺酸钠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C9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4B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EB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3F36A2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126ED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BE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标准物质-阴离子表面活性剂（十二烷基本磺酸钠）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3F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B8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23A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22C3559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A444A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9C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磷酸二氢钠 一水合物</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6B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AR500g，≥98%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3C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3A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B1A489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4D85D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A7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酚酞</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57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IND25g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0A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34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2A7B85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7A842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77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对氨基苯磺酰胺(磺胺)</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DB3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AR500g  99.5%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DA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92F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FC79AF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6DC8B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6C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标样/水质 碘</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731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56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D5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784034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C22F3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05F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标样/水质 亚硝酸盐(以氮计)</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FFF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A4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3D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6DB448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A93E0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49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大米粉中的六种金属质控样（铅镉砷汞铬铝）</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197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50g，GB 5009.268-2016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79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0C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10CC04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D3601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33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水质监测阴离子表面活性剂（标样）</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EA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555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7CD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36F24B6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8F0BC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4DE9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阴离子表面活性剂（以十二烷基苯磺酸钠计）溶液标准物质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A7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15ml  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85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7B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88839E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CD74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CC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氯化钠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235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AR500g 20瓶/件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51C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6F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BE731C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89F5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1A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（牛大力）中药粉中粗多糖质控样品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03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3E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9F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18607A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BA590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038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基体改进剂硝酸钯溶液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5A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2C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99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3FCCEB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54BF3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EA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标准物质/水中7种多糖混标/GB/T/45733-2025/银耳中银耳多糖的测定方法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41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7D8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E8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C9F1F5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D528F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CD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乙腈中黄曲霉毒素B1标准品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55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1mL，100μg/mL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E0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EC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A0B7AD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D423A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5A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乙二胺四乙酸二钠容量分析用标准物质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7B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20ml/瓶，0.05mol/L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31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F2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82CC68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FBD8D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B8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粉尘中游离二氧化硅质控样品(焦磷酸法)</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9C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2支/套（2g/支）， 2组分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29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6D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1D3933D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8CAD4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F4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草酸钠容量分析用溶液标准物质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62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20ml，0.1000mol/L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FA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2E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0EB778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67A0E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30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食用盐中碘成分分析标准物质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2C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2*35g/套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11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4A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1FC3267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107EF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3B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活性炭管中5种苯系物质控样品（苯、甲苯、邻二甲苯、间二甲苯、对二甲苯）</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D3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10组分，2支/套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E5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8A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238C930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7DE1B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3A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水中氨氮成分分析标准物质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81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 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30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C3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7C3EE05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2A533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8A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水中氟、氯、硝酸根、硫酸根溶液标准物质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1D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50mL，100μg/mL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F7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16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4F102E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D8DC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FF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水中4种阴离子混合溶液标准物质（氟、氯、硫酸根、硝酸根）（标样）</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81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20ml，（4组份）</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0C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44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F9B003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35D8E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03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汞标准物质Hg</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EE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 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18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A3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1EF5BB1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AEAC65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39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硒单元素溶液标准物质Se</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86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80ml，100ug/ml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6A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3B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6EAB663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60409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EC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甲醇中三卤甲烷、四氯化碳混合溶液标准物质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FCD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2mL，不同浓度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C9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57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A25FA1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9B66E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B7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色度溶液标准物质(铂-钴标液)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BE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20ml，500度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23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32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183547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871275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A0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标准物质/甲醇中4种三卤甲烷混标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2C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 100μg/mL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A5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89B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E19D49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32156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68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流动注射 氰化物方法运维包</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3D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样品测试100次/套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83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6F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608A672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4B470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261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流动注射  挥发酚方法运维包</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B0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样品测试100次/套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3E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E3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6FA5E52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DEE2A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DF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流动注射 流动注射阴离子表面活性剂方法运维包</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7D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样品测试100次/套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CE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D4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5BFD528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CEBBA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E9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4D9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HPLC 4L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12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F5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817C5F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AC077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6A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水中碘（水碘）成分标准物质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93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40ml*2/套 62ug/L，7.9ug/L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C3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9A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4A1C8FA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58D7A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20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冻干人尿碘成分分析标准物质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8E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2瓶/套，(标准值：102ug/L，212ug/L）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B0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04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4FFF858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BBBC44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29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标准物质/2种金属混标/砷硒</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78D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20ml，4mg/L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21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A5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366314D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E6E3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1D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酒石酸钾钠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92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67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D7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12E105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BF8C5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9A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甲醇中二氯乙酸标准溶液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3F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1000ug/mL，1.2mL/支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6B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08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F3E121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E2753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5C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甲醇中三氯乙酸标准溶液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1B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1000ug/mL，1.2mL/支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8B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0A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2401BB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01921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FE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标样/甲醇中三氯甲烷，四氯化碳质控样</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89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1ml三氯甲烷，,8.0ug/ml四氯化碳0.5ug/ml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E1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26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65E9D8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DCDA4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3E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甲醇中二氯乙酸标准物质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A8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1000ug/mL，1.2mL/支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C5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D0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3B2493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042BA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32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甲醇中三氯乙酸标准物质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AE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1000ug/mL，1.2mL/支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A7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202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488916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F4083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69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甲醇中的三氯乙烯标准溶液,有证书</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01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A1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26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1CCE32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A85B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295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水中铅质控液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19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31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49B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26B0D68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7F216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E5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水中镉质控液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2F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21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B6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3209FDA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479CD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55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水中铝质控液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7C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6A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4C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09BE141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D1F3E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C7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水中砷质控液</w:t>
            </w:r>
          </w:p>
        </w:tc>
        <w:tc>
          <w:tcPr>
            <w:tcW w:w="6158" w:type="dxa"/>
            <w:tcBorders>
              <w:top w:val="single" w:color="000000" w:sz="4" w:space="0"/>
              <w:left w:val="single" w:color="000000" w:sz="4" w:space="0"/>
              <w:bottom w:val="nil"/>
              <w:right w:val="single" w:color="000000" w:sz="4" w:space="0"/>
            </w:tcBorders>
            <w:shd w:val="clear" w:color="auto" w:fill="auto"/>
            <w:vAlign w:val="center"/>
          </w:tcPr>
          <w:p w14:paraId="324444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491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nil"/>
              <w:right w:val="single" w:color="000000" w:sz="4" w:space="0"/>
            </w:tcBorders>
            <w:shd w:val="clear" w:color="auto" w:fill="auto"/>
            <w:vAlign w:val="center"/>
          </w:tcPr>
          <w:p w14:paraId="7A18C6A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D8EC2A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CD0F2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04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水中硒质控液，有证书</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3B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434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87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C7A289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CA83B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B0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水中汞质控液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9F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92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BE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BA9562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3C6F7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A3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纳氏试剂A</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B9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100ml，3组分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12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09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29F4BA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D9EED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A6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水中氨氮标准溶液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8C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  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169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78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30C193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47E4D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94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水中高氯酸标准溶液/介质：10mmol/氢氧化钠/用于IC/介质：10mmol/氢氧化钠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08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  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89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124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A2F9ED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32054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FC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甲醇中三氯甲烷四氯化碳混合标准溶液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30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6.01mg/L 、0.202mg/L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46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26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CD623B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2B7B6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B5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甲醇中二氯乙酸标准溶液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5F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1000ug/mL，1.2mL/支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8C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2F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4DBA0E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388D2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45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甲醇中三氯乙酸标准溶液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EE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1000ug/mL，1.2mL/支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EB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18C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7F1170D">
        <w:tblPrEx>
          <w:tblCellMar>
            <w:top w:w="0" w:type="dxa"/>
            <w:left w:w="108" w:type="dxa"/>
            <w:bottom w:w="0" w:type="dxa"/>
            <w:right w:w="108" w:type="dxa"/>
          </w:tblCellMar>
        </w:tblPrEx>
        <w:trPr>
          <w:trHeight w:val="52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2BF79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15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标样/甲醇中三氯甲烷，四氯化碳质控样</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361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1ml三氯甲烷，,8.0ug/ml四氯化碳0.5ug/ml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33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161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7E4D9C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8F674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19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4-氨基安替比林</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83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GR25g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52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897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7C0374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94FB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E1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溴化钾</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D9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光谱纯，SP25g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A7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25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84DCD9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75634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41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氢氧化钠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1A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GR500g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F0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1F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B13AD0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63003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46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磷酸二氢铵</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C1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DA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69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AFF0FB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0BD57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69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高锰酸钾滴定溶液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16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500ml,0.1mol/L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22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79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0487D2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69EF4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AE3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甲醇HPLC 4L</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3E5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甲醇HPLC 4L4瓶/箱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A2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F61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865712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3E67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D9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广泛试纸PH</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2EA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PH 1-14 20本/盒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17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EC09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0AAE98E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8A3A3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90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试纸PH</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527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PH 1-7， 100条/盒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11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1237">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25ED0ED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186AC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0B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试纸PH</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0E20">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PH7-14， 100条/盒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47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3A9B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61BAE93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CC14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6F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PH试剂</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7DEB">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100份/套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7A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21C6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套</w:t>
            </w:r>
          </w:p>
        </w:tc>
      </w:tr>
      <w:tr w14:paraId="42F2CD1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9A2DA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6C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标准物质/水中二氯乙酸/三氯乙酸混标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DFAA">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20mL，100μg/mL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01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9E59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BB5636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871F7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F6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异丙醇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D8A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AR500ml 20瓶/箱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DB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DF6B">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BB6769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BE352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34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乙二胺四乙酸二钠盐EDTA</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465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AR250g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F0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446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0A30C07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360F4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46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无水乙醇(玻瓶)</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71F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AR500ml，20瓶/箱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91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EB32">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7C782C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81785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BC2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盐酸羟胺(氯化羟胺)</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665B">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5E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E5F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7BD3BE5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FCAA9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9B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水中亚氯酸盐溶液标准物质，有证书</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3ED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EE4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1B0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700162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37F39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6F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溴酸钾-溴化钾溶液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BF9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5A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7AD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992EC4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38406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85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水中溴酸根标准溶液，有证书</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186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  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F7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074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63A54A0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7F78F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4C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硫酸汞</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2C2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AR100g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9A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E5E2">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74E2900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F2ACE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6C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硒单元素溶液标准物质Se</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64E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80ml，100ug/ml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5F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D059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03362C7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B759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2A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无水碳酸钠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8520">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D3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35E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63B6EE7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DDFED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D1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氯化钠(Nacl食盐)</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EA2B">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AR500g 20瓶/件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5AF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5DB0">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73B2F9D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BE31C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51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铜标准物质Cu</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D65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 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D63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5778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1D85612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D0E86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38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铁氰化钾(赤血盐)</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DD7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7D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C1A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07FA593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94CAAA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41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铁标准物质Fe</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054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 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93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9987">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7971315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7A073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5E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碳酸钠标准溶液500mL</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B70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c(1/2Na2C03)= 2 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EC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80B6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1284CF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589B0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30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L（+）-酒石酸钾钠，四水</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D51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AR500g，≥99.0%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09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5C7A">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7D3FE2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051B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3B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阴离子表面活性剂（以十二烷基苯磺酸钠计）溶液标准物质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2027">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15ml  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A1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7CA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35BCBA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042B5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AF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亚甲基蓝三水合物</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A1B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5g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B4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5C3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9705E5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B088B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F0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曲拉通X-100（OP乳化剂)</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0F7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CP500ml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22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D89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7C3AA5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385C0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89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水中氰成分分析标准物质（氰化物标准物质）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79A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40ml，50μg/mL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0D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95F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5625AF3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595B5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93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氢氧化钠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A6C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90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0C27">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B20DA3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DF442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C2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铅标准物质Pb</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A04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CC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C22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48320EC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96F40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A6E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硼酸</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CDE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97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640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00B54C5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6146F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F2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锰单元素溶液标准物质Mn</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AF30">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 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41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5DE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1C3CD5C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EFBD6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C7E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水中氯酸盐溶液标准物质，有证书</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1B8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1B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F52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FAD25C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AB488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28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水中CL氯根成分分析标准物质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67DB">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A8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A1B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499316B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65A6A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1E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氯化钠容量分析用标准物质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CC1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20ml，0.1mol/L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38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EF6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0ABA1A3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5BE59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910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氯化铵</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A720">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GR500g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60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1D7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7CB16D7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1ED5E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7ED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标准物质/水中硫酸盐-硫/以S计</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7EB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50mL，1000mg/L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48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75C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77A5E3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D203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42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抗坏血酸(维C)</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38A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AR25g，≥99.7%</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39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614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7814E40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EA928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9E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硫代硫酸钠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3E0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500g，99%,无水级</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EB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07E7">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3396F85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0341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53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无水磷酸氢二钠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1E4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99.99%,500g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92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90C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3F83053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681DB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D5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磷酸二氢铵</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65A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20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5FF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EC0A35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A0F11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C5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亚甲基蓝</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A07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AR25g  99%</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75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997A">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36A5526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6D8CD5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33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甲醛，水溶液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A34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773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7380">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EC6A9E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B3842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EA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水中4种阴离子混合溶液标准物质（氟、氯、硫酸根、硝酸根）（标样）</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0D85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20ml，（4组份）</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26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F762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360C2E3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6A3D9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67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乙酸钠缓冲液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404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纯度1m PH4.5 500ml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BD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597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633521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6C099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DC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铬天青S；媒染蓝29</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782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IND25g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E1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FB9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67D332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609A1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D2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铬酸钾</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D6C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88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2E57">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96555B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5CC72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0E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高锰酸钾容量分析用标准物质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03F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20ml，0.1007mol/L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ADE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AB10">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824EAA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29685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71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丙三醇(甘油)</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F17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AR500ml，10瓶/件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C7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DBC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F5EDB5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CD01C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43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水中F(氟成分分析)标准物质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288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20ml，1000mg/L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2E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420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0766CCA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59572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DCC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苯酚(石碳酸，酚)</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E90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AR500ml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DE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449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5DCFA8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9D0EB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7C8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二水合亚硝酸基铁氰化钠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90F0CC">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AR100g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C8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938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DEAA10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C6CA4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84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磷酸二氢钠(二水)(磷酸一钠)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7BC8A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78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1ABA">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FB10C3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CF011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0E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二苯碳酰二肼</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645D8F">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AR25g  98%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9FA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1C4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E00E8F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33CD4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20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对硝基酚</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E4A511">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AR100g，≥99.0%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56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718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7E58674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16FF3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CD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碘化钾</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B4C663">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55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ABC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5740D7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4BD2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15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草酸钠容量分析用溶液标准物质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BB0D0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20ml，0.1000mol/L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3F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290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6F7CCE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A6F46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A1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冰乙酸(冰醋酸)</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60C995">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E7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AEF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120155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D7794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3E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水中氨氮成分分析标准物质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61C1C4">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 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15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655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4069D10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F9E3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8B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标准物质/水中5种卤乙酸混标</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0EED3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1000μg/mL，1.2mL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22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0552">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7BE926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A8745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92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4-氨基安替比林</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2F2121">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GR25g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19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88D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779EDC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C938C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DD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甲醇中27种卤代烃混合溶液标准物质（GB/T5750.8-2023生活饮用水检验方法第8部分4.3）</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CF4AD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1.2mL ，不同浓度，-20℃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56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875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6595E19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513F8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FE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甲醇中一氯二溴甲烷标准物质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FB4C3D">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1.14mg/mL，2mL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E9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5AE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3C45022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F1F7C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B2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甲醇中二氯一溴甲烷标准物质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0C5B63">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2mL，1.01mg/mL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0D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BA1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6B94603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6EE6E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8E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水中亚氯酸盐标准物质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29FB5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67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091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3780006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47C67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52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水中氯酸盐标准物质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50D4C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C5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AAA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2FF56D4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930A6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AE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邻苯二甲酸氢钾PH标准物质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F91968">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10支/盒 PH=4.00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24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CFC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盒</w:t>
            </w:r>
          </w:p>
        </w:tc>
      </w:tr>
      <w:tr w14:paraId="5225B21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E021F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8B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硫代硫酸钠容量分析用标准物质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9D562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20ml/瓶0.1003mol/L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5D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8D0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5CFDE79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728BF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48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水质硫酸盐标准物质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BC7D15">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1F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316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15419D3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EB86E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71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水质氯化物标准物质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65D442">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68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16A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5938CF0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6D886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B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水质氟化物标准物质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36367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3A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13F2">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1C27D060">
        <w:tblPrEx>
          <w:tblCellMar>
            <w:top w:w="0" w:type="dxa"/>
            <w:left w:w="108" w:type="dxa"/>
            <w:bottom w:w="0" w:type="dxa"/>
            <w:right w:w="108" w:type="dxa"/>
          </w:tblCellMar>
        </w:tblPrEx>
        <w:trPr>
          <w:trHeight w:val="76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69A2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47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水质氰化物标准物质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29059B">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40ml，50μg/mL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EB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623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64769C1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51CD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AA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水质硝酸盐（以N计）标准物质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414BC8">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 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32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0C72">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5869BDC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0521A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FD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水质氨（以N计）标准物质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5DE66A">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 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46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25B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1224EBB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8E9C0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06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水质铁标准物质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00A98D">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 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3E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427CB">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45FD341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A85A9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3B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水质铝标准物质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8D004A">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80ml 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E5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84C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637F845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95956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F3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水质锰标准物质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27E02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 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E6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D08A">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14AB156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ACFD0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39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水质铜标准物质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64D1E5">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 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F5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B7A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54060E5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E1B5B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369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水质锌标准物质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F84AF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BF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0A9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7111D5C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55C9D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AE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水质砷标准物质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E81D12">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23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ABC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487BDB1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DFC2B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60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水质汞标准物质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6381E8">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 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69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48E3">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1C06CE1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8D8C1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76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水质镉标准物质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62B98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20ml，1000μg/mL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86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A9D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5A459AF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3283D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CA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水质六价铬标准物质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383DAC">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20ml/瓶 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BE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0C0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260F535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1AC71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A5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水质铅标准物质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C2F55A">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20ml，1000mg/L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58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5B6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7F99121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83C79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90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20mm银色硅胶隔垫铝盖</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849AE1">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100个/包 配20ml顶空瓶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85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A67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罐</w:t>
            </w:r>
          </w:p>
        </w:tc>
      </w:tr>
      <w:tr w14:paraId="75578A4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1999B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A0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抗坏血酸</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DDB0E4">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AR25g，≥99.7%</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CD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73A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9D0293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2F7C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A4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氢氧化钠(GR)</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C40ECB">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GR500g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50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72A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C71839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34E53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34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氢氧化钾</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D7B8D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2A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078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074E4D2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EDD0F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AF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硫脲</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F58594">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7C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937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D24134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369C8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D3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无水溴酸钾</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45B1C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480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57F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6DB56E1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745AE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38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溴化钾</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8D74EB">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F1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B86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6DFDBC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3C721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FB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盐酸羟胺</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1AEBE4">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100g，99%</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9C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367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D756B3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E0958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61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水质氰化物标准物质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0F989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40ml，50μg/mL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F3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2B8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6A83FF8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3FEE6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39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氯化钾（优级纯）</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F1545A">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GR100g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2D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D59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9928BC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72206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C1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碳酸钠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6B026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70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2060">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DA4CF9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5AD58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C1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碳酸氢钠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9630D0">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EA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06C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521FBE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B0DCE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619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水质色度标准物质(铂-钴标液)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BC07C3">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20ml，500度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6F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A9EB">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5EB078C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5C675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77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水质铝标准物质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3C723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80ml 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DB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A524">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131AF98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53E08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08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碘化钾（优级纯）</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EA994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GR500g，99.5%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3F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F42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8D39EB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A6798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10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5种金属混标/铝 铜 铁 锰 锌/介质： 5%硝酸</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C71F2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50ml，100ug/ml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D3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BC0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5FAFE5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29D08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C0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2种金属混标/镉 铅/介质： 5%硝酸</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62D8D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50mL，10ug/ml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17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0D76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F7DD1C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E53C6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06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水质铁标准物质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599138">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 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B5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592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24A40C6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584F3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0B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酒石酸钾钠</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E5EF8F">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38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E9C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7198E43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C510B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4C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水质铜标准物质</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F25F4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 1000ug/ml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D4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E8CC">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支</w:t>
            </w:r>
          </w:p>
        </w:tc>
      </w:tr>
      <w:tr w14:paraId="7321376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8D551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EA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氯胺T</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5A9A8F">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AR500g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83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2C02">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2D04C6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8A591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77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生活饮用水中铝的质量控制样品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808DD3">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C6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AB3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3871B5C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DD966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C27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生活饮用水中铁的质量控制样品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7B330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706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2B6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35D3586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BC489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1C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生活饮用水中锌的质量控制样品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ADC1B5">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C6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34C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F6CC3B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A3E47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39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生活饮用水中锰的质量控制样品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E82A7A">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E36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8C55">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2584A9E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A7C1B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AC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生活饮用水中硫化物的质量控制样品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75D901">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CB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EB9F">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AD8CFD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AD987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00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生活饮用水中氯酸盐的质量控制样品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2173B1">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91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AE3E">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7EF7E8E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AE578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1E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生活饮用水中砷的质量控制样品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981FD1">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3A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D419">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1241D6A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7550A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11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生活饮用水中氰的质量控制样品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9EE7A1">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DF3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F7B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0A0C7CF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BE1B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A7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生活饮用水中硝酸盐氮的质量控制样品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3B97B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AA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0B77">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31D732E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BAF3B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B4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生活饮用水中氟化物的质量控制样品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30A8AE">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5F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F331">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89EE09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E81F4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C0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生活饮用水中镉的质量控制样品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399000">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8C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19D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463BC1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6BD88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BF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生活饮用水中六价铬的质量控制样品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BB695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C2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7528">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572CAFA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00CC1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8D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生活饮用水中色度的质量控制样品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9B589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477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D1A7">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E969E6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55E3A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933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生活饮用水中浑浊度的质量控制样品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91F17E">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D2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F7FD">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3A5B290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97838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690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生活饮用水中pH的质量控制样品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8AB0DE">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79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182B">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463C138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06F76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EA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生活饮用水中总硬度的质量控制样品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EF471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7B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BEE6">
            <w:pPr>
              <w:widowControl/>
              <w:jc w:val="center"/>
              <w:textAlignment w:val="center"/>
              <w:rPr>
                <w:rFonts w:ascii="宋体" w:hAnsi="宋体" w:cs="宋体"/>
                <w:color w:val="auto"/>
                <w:sz w:val="18"/>
                <w:szCs w:val="18"/>
                <w:highlight w:val="none"/>
              </w:rPr>
            </w:pPr>
            <w:r>
              <w:rPr>
                <w:rFonts w:hint="eastAsia" w:ascii="微软雅黑" w:hAnsi="微软雅黑" w:eastAsia="微软雅黑" w:cs="微软雅黑"/>
                <w:color w:val="auto"/>
                <w:kern w:val="0"/>
                <w:sz w:val="18"/>
                <w:szCs w:val="18"/>
                <w:highlight w:val="none"/>
              </w:rPr>
              <w:t>瓶</w:t>
            </w:r>
          </w:p>
        </w:tc>
      </w:tr>
      <w:tr w14:paraId="35831B2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88E63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EE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75％医用酒精</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43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15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36D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EB01B8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A1FA9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FA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84消毒液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E71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81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1F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224B8E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1104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43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无菌采样袋(立式，带压条)</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41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25*32cm 50个/包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E6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37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53F8795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33F9D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67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一次性培养皿</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78F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直径9cm，塑料，500个/件，10个/包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E8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84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77D5E9A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DA6C0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2B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一次性培养皿</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5C9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直径7cm，塑料，10个/包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5B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EC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2FF1360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530A8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46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三角烧瓶</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68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玻璃，150ml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C2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31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7ADEA24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54A4F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55D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三角烧瓶</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CA3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玻璃，250ml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5F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6C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78FF8AB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25020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DF9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三角烧瓶</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4F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03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77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4D7317B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C808D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8F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三角烧瓶</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1BE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玻璃，1000ml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F2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22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5760F8A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D2EF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40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三角烧瓶</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803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玻璃，3000ml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2E8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3D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511798F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03FDE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52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手术剪</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C272E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14cm 直的尖头剪刀</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96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85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把</w:t>
            </w:r>
          </w:p>
        </w:tc>
      </w:tr>
      <w:tr w14:paraId="17EE829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79BE6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2E5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手术剪</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FB971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16cm 直的尖头剪刀</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38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B1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把</w:t>
            </w:r>
          </w:p>
        </w:tc>
      </w:tr>
      <w:tr w14:paraId="5E6CF06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E1BC7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76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手术剪</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D9591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18cm 直的尖头剪刀</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85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AD7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把</w:t>
            </w:r>
          </w:p>
        </w:tc>
      </w:tr>
      <w:tr w14:paraId="6A27007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05333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80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镊子</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5DF5D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12.5cm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68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DB2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把</w:t>
            </w:r>
          </w:p>
        </w:tc>
      </w:tr>
      <w:tr w14:paraId="05BE439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06887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24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镊子</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3BD33D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18cm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73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70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把</w:t>
            </w:r>
          </w:p>
        </w:tc>
      </w:tr>
      <w:tr w14:paraId="65DFF35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A0F5C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E0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镊子</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DDBB6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25cm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43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7A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把</w:t>
            </w:r>
          </w:p>
        </w:tc>
      </w:tr>
      <w:tr w14:paraId="7860A58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D566B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4C4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金属勺子</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91988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18cm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7C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CAE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36CB02D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BF724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44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玻璃量筒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45B54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50ml，带刻度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59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35E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2F174FC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69D99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4C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玻璃量筒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254BB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100ml，带刻度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FC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22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0FBF6F8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3E531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CA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玻璃量筒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FEC4F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200ml，带刻度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55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BB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4CD8AF5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437058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75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玻璃量筒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5F2F1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250ml，带刻度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4C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6D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5100555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BBD8A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AC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玻璃量筒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5A37B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500ml，带刻度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DA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17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25EBB2F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A6F09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36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玻璃量筒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ED078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1000ml，带刻度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0BD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6E0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0D8D95E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2892C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0E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PH试纸</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83405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PH1-14，20本/盒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1B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60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4155E5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92947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DB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PH试纸</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C39A5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PH5.5-9.0，20本/盒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EF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65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B2553A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876FD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58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接种环</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37E33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镍铬合金，5ul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71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D8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7FAB7FD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69F98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CD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接种环</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A601D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镍铬合金，10ul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40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A6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6DD46A0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CE2FA3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44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接种丝</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4F66A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镍铬丝</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1F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6F2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0494275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E00BD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B1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一次性接种环</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471D7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1ul，灭菌，蓝色，25个/袋</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B8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A1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079F90C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36185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9C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一次性接种环</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D2ABC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5ul，灭菌，蓝色，25个/袋</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B9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2C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62733CD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A333C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EA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一次性接种环</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A1B9B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10ul，灭菌，橙色，25个/袋</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AF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66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2DFB05E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0FE99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24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121℃化学灭菌指示卡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451B78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200片/盒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83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05E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B5DDE6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8A7E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89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一次性接种针</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EC587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灭菌，25支/包，1000支/箱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7D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E1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5F9BFDD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1BEBC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5B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一次性无菌L形涂片棒）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42B71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10个/袋，40袋/箱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7C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51F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箱</w:t>
            </w:r>
          </w:p>
        </w:tc>
      </w:tr>
      <w:tr w14:paraId="37D24F1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C4CCB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F1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冻存管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36EF4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2ml，500个/包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66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BF6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EE6F74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1D01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D3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冻存盒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B2B09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2ml，可放于-80℃，100格/个，塑料</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EE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7E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4C4B064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E5CDF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43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均质袋</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84C64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灭菌，带封口，20cm*32cm,100个/包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1BD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09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3D609DA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506D8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3D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医用灭菌棉球</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B42AC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0.3g/个 ，1000个/包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64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6B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42A0130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5243F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EE3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酒精灯棉芯</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ACC59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6mm-8mm，灯芯，长15cm</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E6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04A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E1A875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4C424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FB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移液器支架</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85BB9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Z型，可存放5支移液器</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57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732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79A6658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DEFB2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13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丙三醇(甘油)</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236EF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AR500ml，10瓶/件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FD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07F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74A32A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DFCA5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81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脑心浸出液肉汤 (BHI)</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17F35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B9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07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9D9BF3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C1981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BC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载玻片(磨砂)7105(免清洗)</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5CB4E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50片/盒，50盒/件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A3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7B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6B26EF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28363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F6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载玻片沥水架</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E5F09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25片装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77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7D9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0435450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0631A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EE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一次性无菌巴氏吸管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A5515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3ml/支，250/包，灭菌，独立包装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4F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22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45E2020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1CE5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32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平板计数培养基（PCA）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9D460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0E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9765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588171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FF3AD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A63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磷酸盐缓冲液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664BFD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A9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55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9D1B79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C070E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C8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氯化钠</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F2678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AR500g 20瓶/件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78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76F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FEAC0D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29C33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66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月桂基硫酸盐胰蛋白胨肉汤(LST)</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8467C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43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721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DB24AE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34B54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04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煌绿乳糖胆盐肉汤培养基(BGLB)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B6C1C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96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D07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75DAA3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F2DCF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66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结晶紫中性红胆盐琼脂(VRBA)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B75ED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D3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2C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BCAE62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6158D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58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大肠菌群测试片</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A191A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25T 40包/箱，（冷藏）</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81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57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6309A7A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D8D2F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34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EC肉汤</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90A24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82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13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F4A90D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74EB8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760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蛋白胨水(PW)</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66383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78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95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FE8850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4F3AA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2C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伊红美兰琼脂培养基(EMB)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30E01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6C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7F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2D332E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7EAF6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44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营养琼脂培养基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ABA02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26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82E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6A3428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B6A63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58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大肠埃希氏菌干制生化鉴定试剂盒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57E66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4种*10套/盒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D11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3FB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5699E4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C95A7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DD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结晶紫中性红胆盐MUG琼脂(VRBA-MUG)</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F7227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6B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BB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919A25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20677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1C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缓冲蛋白胨水培养基(BPW)</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1C05C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53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529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6EA0E4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BD005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7D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缓冲葡萄糖煌绿胆盐肉汤（EE肉汤）</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6AA1D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5D4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C0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618C25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424E1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F5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结晶紫中性红胆盐葡萄糖琼脂（VRBGA）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98E15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55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98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5D72D0A">
        <w:tblPrEx>
          <w:tblCellMar>
            <w:top w:w="0" w:type="dxa"/>
            <w:left w:w="108" w:type="dxa"/>
            <w:bottom w:w="0" w:type="dxa"/>
            <w:right w:w="108" w:type="dxa"/>
          </w:tblCellMar>
        </w:tblPrEx>
        <w:trPr>
          <w:trHeight w:val="120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346AD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4A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葡萄糖琼脂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2EB3F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A4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C4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1E61CC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5C39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09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革兰氏染色液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D85B3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10ml*4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4F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1E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6FD4395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636D6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04B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氧化酶试纸</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712B4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10片/瓶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64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B64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ECCB32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68C78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A0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1000ul带滤芯吸头（已消毒盒装）带刻度，无菌，PC盒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863F1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 50盒/件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21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BD6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78E717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18932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D0D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马铃薯葡萄糖琼脂(PDA)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38F2D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71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3A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7A97A8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5C317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AD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孟加拉红(虎红)培养基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23904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728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01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8E36A7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1E2D1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3E1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胰胨-亚硫酸盐-环丝氨酸琼脂基础(TSC)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02363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054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54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BC6D9E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C2890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6A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D-环丝氨酸</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5D3D5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0.04g/支*5，（2-8℃）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DC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7A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EE9984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E2ED3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96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50%卵黄液(2-8℃保存)</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23E75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5ml*10支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B4C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A0F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8EA035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06A7E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094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液体硫乙醇酸盐培养基FTG</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23FE1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27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F2F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1D400D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548E0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8A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缓冲甘油-氯化钠</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C46C6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CA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35E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667EDB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F5C59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EE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0.1%蛋白胨水</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B78B5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52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CA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F5E131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EB93A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89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含铁牛奶培养基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3FF08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71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78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928A82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80038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92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硝酸盐还原试剂（甲、乙液）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9AA12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10ml/支*2支/盒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B5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19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8C13C4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44DFD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6E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改良胰蛋白胨大豆肉汤(mTSB)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ADA34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5B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791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24A3E6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3903A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32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新生霉素</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DEBA9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4.5mg/支*5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E0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2D1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A58DF6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6660C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0D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1.5ml无色灭菌离心管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F7E8C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250支/盒 10盒/箱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6C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A5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C91932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80C02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1E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产志贺毒素大肠杆菌（STEC）显色培养基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B4ED8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D4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F9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15935F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537A5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A7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麦康凯琼脂培养基（MAC）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3005F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10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3F9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2FB782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11C35A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A7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胰蛋白胨大豆琼脂(TSA)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85663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3F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43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FE2C00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1548A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AE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蛋白胨-氯化钠-纤维二糖-多粘菌素E（PNCC）增菌液基础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4F977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D6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8B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D194CD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3C4C9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6F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PNCC添加剂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27078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2.0ml，10支/盒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7B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DDA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73DCB0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88A0A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B6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改良纤维二糖多粘菌素B多粘菌素E琼脂基础(mCPC)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F5962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54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28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C0841D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65448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64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多粘菌素B（E）</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35997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10000IU/支*5支/盒  </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4E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6F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61C828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416C4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17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多粘菌素E（B）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67FF7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2mg/支*5/盒  </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29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55D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334EE5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CB50A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AE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10%纤维二糖水溶液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0486D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5ml/支*10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65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8BF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9005C8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AB11E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D1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3%氯化钠胰蛋白胨大豆琼脂（3%TSA）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A8FC4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FFB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9D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F66BA2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77CD3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E5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创伤弧菌干制生化鉴定试剂盒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2CEE0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15种*10套 ,2-8℃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3C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95E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A96833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41024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5F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3%氯化钠三糖铁琼脂（3%TSI）</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79DD0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94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C2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07545A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03F47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69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改良EC肉汤（mEC+n）基础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908AB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D1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B2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799B12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2EA75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40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新生霉素(无菌冻干)A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3AE7D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2mg/支*5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4F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4A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11BE4D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8C99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5C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改良山梨醇麦康凯琼脂基础(CT-SMAC)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C907C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BR250g/瓶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CE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A47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58697D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76E2B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AC1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改良山梨醇麦康凯琼脂配套试剂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F14BE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6B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39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144155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975D1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8B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O157显色培养基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C01D8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1000ml,29.2g/瓶（15-30℃）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AF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A36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7D586E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2AC1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36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三糖铁琼脂培养基(TSI)</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A5DFC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B40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9D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D291DF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2ADCA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5D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月桂基硫酸盐胰蛋白胨MUG肉汤(LST-MUG)</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0BA77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77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52A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1AEC92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67579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9E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肠道出血性大肠艾希氏菌O157诊断血清（EHEC)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D9956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90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F81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4F80C4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0DAAF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3E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大肠艾希氏菌H7诊断血清(EHEC)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6FD7B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DE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CA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DB6610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942B9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D0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李氏菌增菌肉汤(Lb1,Lb2)基础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87874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40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8C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32253B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F841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621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萘啶酮酸(无菌冻干C1)</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384DA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5.0mg/支*5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97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11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161131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E7D5B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A2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萘啶酮酸(无菌冻干C2)</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F37CC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4.0mg/支*5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CB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9C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2E2D76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AB155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79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吖啶黄素(无菌冻干C1)</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58C64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3.0mg/支*5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1A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8B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E58DD8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63B5D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D6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吖啶黄素(无菌冻干C2)</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8FEAC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5.0mg/支*5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1D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18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5118CE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B0FA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C9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PALCAM培养基基础（GB标准）</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3608A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81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959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583D6F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9A78C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B3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PALCAM琼脂配套试剂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A5E35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5支/盒,2-8度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FB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B7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B7D64C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8F423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97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SIM培养基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65249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6A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74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F64A78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1E487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8C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5%-8%羊血琼脂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48A47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9cm/块，10皿/包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03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E8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块</w:t>
            </w:r>
          </w:p>
        </w:tc>
      </w:tr>
      <w:tr w14:paraId="7AD8D86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F81D0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63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含0.6%酵母浸膏的胰酪胨大豆肉汤（TSB-YE）</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3F7E7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16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80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C36D30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48A9B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35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血琼脂平板（BAP）</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D75E6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9cm，10皿/包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BF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2E5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7CED1E9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F8BCC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1E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3%氯化钠碱性蛋白胨水(APW)</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42C1F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9A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04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A299F4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E1C74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40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硫代硫酸盐柠檬酸盐胆盐蔗糖琼脂培养基（TCBS）</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C8989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4D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609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E10CED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D7125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32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弧菌显色培养基（VB910）</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1E136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74.7g/瓶 15-30℃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F1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EB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8F4528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9DCD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99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副溶血性弧菌干制生化鉴定试剂盒</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6D9F54BB">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16种*10套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3F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26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1891617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1FA94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9A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碱性蛋白胨水(APW)</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1CAFD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A5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B7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B6F89D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B51B7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7D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四号琼脂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042C1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CA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0A3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078134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DE641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00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庆大霉素琼脂(已添加亚碲酸钾，多粘菌素B)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CFF48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8C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73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D9B4DB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6EB95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C4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霍乱弧菌干制生化鉴定试剂盒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EE936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14种/盒 10套/盒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F5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A9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01D30F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18ACD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D3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霍乱弧菌测定试剂盒(胶体金法)</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5DD845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50人份/盒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5E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71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045AB5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F5A68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453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霍乱弧菌诊断单抗（玻片凝集法）</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0FC4E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4*1/套,2-8度冷藏</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A9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A1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B6F5A5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CCED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6F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霍乱弧菌O1/O139诊断血清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B16AC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1ml*4瓶/套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AF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99F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5B9A8B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13D1D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4A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霍乱弧菌O139诊断血清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B4B79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1ml*4瓶/套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68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4D0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E89547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27907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B4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霍乱弧菌O1诊断血清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EF91D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1ml*4瓶/套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46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68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E99A7A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E919A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98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霍乱弧菌小川诊断血清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15998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1ml*4瓶/套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AD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8E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15E87A2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AFFD7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A5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霍乱弧菌稻叶诊断血清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A6A0E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1ml*4瓶/套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07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88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262461A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9E38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24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7.5%氯化钠肉汤培养基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90B59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69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A98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3D1218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12A99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7E8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Baird-Parker氏培养基</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30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71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62A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3AEFB1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68F12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80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亚碲酸钾卵黄增菌液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AFD04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5ml×10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68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15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1ACDDA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E5E7B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A5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金黄色葡萄球菌显色培养基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F2F3D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A2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3C3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A4969C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63BA8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48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冻干血浆</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7A7FC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0.5ml*10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58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B90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774056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022C3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04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改良月桂基硫酸盐胰蛋白胨肉汤(mLST)</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E7A5B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35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198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0C2B66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ADD3E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9F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万古霉素(B)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E6EDC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1mg/支*5(2-8℃)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6D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2E3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38FBBF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5ABAD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6A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阪崎肠杆菌显色培养基(CS812)</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C7786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1000ml，30.7g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9F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C6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1989C2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E2171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8B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胰蛋白胨大豆琼脂(TSA)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C34F4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15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D1C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FD74B3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FCC7A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9D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阪崎肠杆菌干制生化鉴定试剂盒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47FE6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10套/盒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8A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489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993C92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36B87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D6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甘露醇卵黄多粘菌素琼脂MYP</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08FBA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27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D5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88A3C1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89B3D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40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胰酪胨大豆多粘菌素肉汤基础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87068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2A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F2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B3ED59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32004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79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多粘菌素B(G)</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399A6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22500IU/支*5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24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E0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7A20CC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18BE5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94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胰酪胨大豆羊血琼脂平板(TSSB)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79C75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10皿/包*2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21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8D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9DD884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AE92B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50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蜡样芽孢杆菌干制生化鉴定试剂盒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F830C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8种*10套/盒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3E6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95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6AAD97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48965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992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0.5%碱性复红</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CFA2E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FB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6B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D957D0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C7C04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93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四硫磺酸钠煌绿增菌液培养基TTB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CA14C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F7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07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DFA31C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C4571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BC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碘液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806B1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2ml/支*20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49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ABF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88EA8C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79C6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6A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0.1%煌绿</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33898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1ml/支*20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81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B3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0C3233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02600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F4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亚硒酸盐胱氨酸增菌液(SC)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CC3F6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E9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BE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C4D8FB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2526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D3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亚硫酸铋琼脂培养基（BS)</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5F41C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38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B62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073B65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A4EE5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70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HE琼脂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68F89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FC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46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DE1FE6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F24E2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FE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木糖赖氨酸脱氧胆盐琼脂XLD</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5932F5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19C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2D2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020173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3A7F7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9C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沙门氏菌显色培养基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D6F6B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34.9g/瓶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C2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F17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93A9C5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60186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5C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半固体动力培养基/半固体琼脂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A616E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86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FDB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AE2628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B558F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F5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沙门氏菌属诊断血清60种</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92C62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1ml*60瓶 2-8°C，投标时需提供产品注册证</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7B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627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3F184C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15210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9CD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沙门氏菌诱导培养基（H相诱导琼脂）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55107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6ml/支 40支/盒，2-8℃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19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3F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05B3D9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F3334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7C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庖肉培养基(CMM)</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C028E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A5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2D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0E03BA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104E9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45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庖肉牛肉粒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BA0A5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18A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16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601B0C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B3803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5F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哥伦比亚CNA血琼脂平板</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984B8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10皿/包*2，2-8度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05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C87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A6ADCD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B26C2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4F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GVC增菌液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7FA24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60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00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90C6F7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2BD18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A6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改良马铃薯葡萄糖琼脂（mPDA)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D90F3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2B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59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96EDE8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860D8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08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PCFA培养基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5A519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4D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0C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97BA2A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3442F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2E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PCFA培养基配套试剂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ED0F4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F3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BA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30FA5F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6699C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EB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卵黄琼脂基础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C5450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0C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F5A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B61FF3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1AEC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B13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马铃薯葡萄糖半固体琼脂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8F11D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BR250g/瓶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FF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73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739926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8FDFA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07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灭菌微孔滤膜</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857FB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直径47mm，微孔径0.45um，200张/盒，混纤</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59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7DD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BD593C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2A935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94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假单胞菌CN选择性培养培养基基础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03C9F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CC0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25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423BAA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1EAD1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A1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金氏B培养基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71187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2B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5F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790D80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C861B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80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乙酰胺肉汤</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1A2A0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70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FD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06F9DB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E83EC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26A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钠氏试剂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798B6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798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378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AF45A4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7225A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E9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Bolton肉汤基础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8926C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A8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90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3CA746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38494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15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抗生素溶液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8FF23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E9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C3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3170E5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1F293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F2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Preston肉汤基础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08FA3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50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80E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8EE997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7DE8F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D0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Preston选择性添加物</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45479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1ml*4支/盒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33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1F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1B3E85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4009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BA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Karmali选择性平板（添加抗生素）</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631A3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90mm，10块/包，2-8度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0F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88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33FEFFC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02C52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AFA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改良Skirrow氏琼脂平板（GB标准）</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C2AF9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10皿/包*2，2-8℃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A3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DB1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CE781F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ECEBD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65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哥伦比亚血琼脂平板</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E5955A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10皿*2包（2-8℃）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588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33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7526C8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DD27F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DB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弯曲菌生化检测试剂盒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FF2AC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20T/盒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48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F7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DDCDF8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1B49B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37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空肠弯曲菌显色培养基(配增补剂）2-8度</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FFDAA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1000ml，51.2g（冷藏）</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95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DB1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302C9B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F6D29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B7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布氏肉汤</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38947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63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A3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80B717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62E73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65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胰蛋白胨大豆肉汤(TSB)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1822D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D1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62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E99CCB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10983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08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改良磷酸盐缓冲液(PSB)</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647CE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12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76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C942AA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13706D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C2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CIN-1培养基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05F82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64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F7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768BCC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7F59B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23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二苯醚乙醇溶液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C9036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5ml/支*10支/盒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120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E6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6F7C6A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E533A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F2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头孢菌素</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9560C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1.5mg/支*5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8C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4B5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59A2B4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1D74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F9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新生霉素（C）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36F0E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0.25mg/支*5支/盒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5E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0E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F02CFF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9A1E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8AA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10%氯化锶</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63CFA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1ml/支*5支/盒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04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0E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D94EBC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17E37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D0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改良Y培养基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0862C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75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FC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A779A8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68607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04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改良克氏双糖铁琼脂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FA803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5A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DBE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1757AB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DE396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41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小肠结肠炎耶尔森氏菌干制生化鉴定试剂盒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F5F6C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10种*10套  室温保存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26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680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0ED79C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6F006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F2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小肠结肠炎耶尔森氏菌显色培养基（配增补剂）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8829A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1000ml（冷藏）  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1E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4D6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A534DD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C6E53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34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小肠耶尔森氏菌O抗原断血清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5BE01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1ml*6种/套,2-8℃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26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57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02F597A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BA6DA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BC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志贺氏菌增菌肉汤基础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AFF61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E8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A0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949E42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7E85C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98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新生霉素（D）</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8D34F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0.125mg/支*5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B2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E08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47D272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73230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13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志贺氏显色培养基（配增补剂）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3F1CC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1000ml（冷藏）64.7g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F6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330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9CCCBB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9D704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CD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志贺氏菌属诊断血清50种</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8D816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1ml*54瓶 2-8°C，投标时提供产品注册证</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63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EF5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2BFF392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D69F7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45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志贺氏四种多价血清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5FFD8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CC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9E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A867C1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2597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95E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营养肉汤培养基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B30A5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FD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D27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5C4FA6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2482F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E6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肠道菌增菌肉汤</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E2774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C6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5C1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90305E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27995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61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大肠杆菌显色培养基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840E0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1000ml，15-30℃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02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BA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28244C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9413A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69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肠道产毒性大肠艾希氏菌诊断血清10种（ETEC)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37687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1ml*10瓶/套</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EF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8F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40AAAD7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FF824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34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肠道侵袭性大肠艾希氏菌诊断血清11种（EIEC）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D3808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1ML*11瓶/盒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58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5E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04ED60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D4EA7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4C9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肠道致病性大肠艾希氏菌诊断血清15种(EPEC)</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A8415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1ml*18瓶/盒 2-8℃，投标时提供产品注册证</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90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2C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4E4792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1A30F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CF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1%葡萄糖肉汤培养基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AB176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0F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DC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A3F249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1AB10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32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液体石蜡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9C108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CP500ml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2E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45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988695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1425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43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硝酸盐还原甲，乙液试剂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4D0B5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10ml×2(2-8℃)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DEC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CF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549FCAC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621C0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57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亚碲酸钾，99.5%</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D1427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714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969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416009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ABE88A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89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改良CCDA培养基基础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CF549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7F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FC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A0BF46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93387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04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菌种保存培养基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09155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768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72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D443FB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C85AD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91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假单胞菌显色培养基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F04C5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3B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59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C99DF0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78078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F9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玻璃纤维滤纸 CF/A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FA4C1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110mm，1.6um，100/PK</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11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80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E41B4E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33054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41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产气荚膜梭菌显色培养基，避光（增补剂1+增补剂2，避光2-8℃）</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5F37B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66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5A4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614FEF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7FA1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05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新鲜无菌脱纤维羊血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BC48E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100ml/瓶，2-8度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A1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C19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F65F65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3E138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D5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脱脂牛奶</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8ACFD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B23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80A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59D98D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1C994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50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巧克力平板</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62449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10皿/包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22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FB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4BEB6C0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B5993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94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BCYE琼脂基础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1E500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40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8B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B61658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0215F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79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L-半胱氨酸盐酸盐</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64588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0.04g/支*5支盒，（2-8℃）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D2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F37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B09A49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3F998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5C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可溶性焦磷酸铁</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9138D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0.025g/支*5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34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A1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762503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07306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97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GVPC琼脂基础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4558F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23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F89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69E9E6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42EBC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FA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GVPC添加物</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D4F34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30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30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AC75A1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DC328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48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1.5ml无色离心管 500支/盒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F30EB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500支/盒 10盒/箱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4F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F7B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A414D1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68CCB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BF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10ul加长盒装滤芯吸头，带刻度, PP盒装, 无菌</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8E2F7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  50盒/箱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DB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03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EFC33E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0F759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C0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20ul盒装滤芯吸头，无菌，PC盒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42A03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96支/盒，10盒/中盒，5中盒/箱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94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5D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94FCB9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DDEA1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CF9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100ul盒装滤芯吸头，无菌，PP盒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C0453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96支/盒,50盒/箱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B9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BD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C048EE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2B93B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7E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1200ul加长盒装自封闭式超滤芯吸头,带刻度,无菌,PC盒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3A825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96支/盒，50盒/箱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BC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6A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A1297B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F8C00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4C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50ml一次性无菌加样槽，PS,白色，独立包装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8CB7E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1个/包，100包/箱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04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71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1540E67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A564E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D5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N95医院防护口罩（折叠式/头套式）绿色只</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75932B04">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WN-N95 折叠式（M）150*105mm 1只/袋，50袋/盒 16盒/箱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0B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EA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只</w:t>
            </w:r>
          </w:p>
        </w:tc>
      </w:tr>
      <w:tr w14:paraId="1738507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4F00F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9C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2ml圆底，有可写区，自然色，外旋冻存管，可立，灭菌</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A26BB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100个/包 500个/箱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E2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72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247C61E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55E84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91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塑料刻度离心管15ml(螺口尖底/圆底)</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6748A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100个/袋</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29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48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64C2191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6001C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C65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带盖离心管（尖底）50ml（螺旋盖）</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7510B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 50个/包，1300支/箱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52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F8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093A74C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81586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64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MH琼脂（水解酪蛋白琼脂）（MHA）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CC0BA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0E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1F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266C94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0DA1B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12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革兰氏阳性菌药敏检测板（显色）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10D20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10块/盒，配：药敏接种培养液+接种水+马血</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6F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50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18D5902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C75D0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405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革兰氏阴性需氧菌药敏检测板 （A-鲍曼）</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9DFBF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10块/盒,（配：鲍曼药敏培养液（10支/盒）+接种水8ml/支（20支/盒））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C49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80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31409F4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D480E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216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革兰氏阴性需氧菌药敏检测板，2-8度保存（</w:t>
            </w:r>
            <w:r>
              <w:rPr>
                <w:rFonts w:ascii="宋体" w:hAnsi="宋体" w:cs="宋体"/>
                <w:color w:val="auto"/>
                <w:kern w:val="0"/>
                <w:sz w:val="18"/>
                <w:szCs w:val="18"/>
                <w:highlight w:val="none"/>
              </w:rPr>
              <w:t>1.14.016</w:t>
            </w:r>
            <w:r>
              <w:rPr>
                <w:rFonts w:hint="eastAsia" w:ascii="宋体" w:hAnsi="宋体" w:cs="宋体"/>
                <w:color w:val="auto"/>
                <w:kern w:val="0"/>
                <w:sz w:val="18"/>
                <w:szCs w:val="18"/>
                <w:highlight w:val="none"/>
              </w:rPr>
              <w:t>，这个也是货号，也删掉吧）A5</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0A843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1人份/块，10块/盒（配：药敏接种培养液+接种水）</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18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FE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2003CB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9F2EA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E4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100ul带滤芯盒装灭菌吸头</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6FA40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DD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81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C7E14B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F28E4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E1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10ul带滤芯盒装吸头</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968173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F1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28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758B7D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C38E1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C5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1200ul升加长带滤芯盒装灭菌吸头</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0DE3C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00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D6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785896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B70A2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A6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2.0mL冻存管，PCR级</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15D4DBE3">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100个/包，管壁带有刻度和标识区，便于样品标识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47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AB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E62EDF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CEAE8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E0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200ul盒装滤芯吸头，无菌，PC盒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0858E4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96支/盒，10盒/中盒，5中盒/箱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55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D4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93B3101">
        <w:tblPrEx>
          <w:tblCellMar>
            <w:top w:w="0" w:type="dxa"/>
            <w:left w:w="108" w:type="dxa"/>
            <w:bottom w:w="0" w:type="dxa"/>
            <w:right w:w="108" w:type="dxa"/>
          </w:tblCellMar>
        </w:tblPrEx>
        <w:trPr>
          <w:trHeight w:val="132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436D4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C4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200ul加长盒装自封闭式超滤芯吸头,无菌,PC盒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BE575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  50盒/箱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AF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0E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939A1C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410BA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E9E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20ul盒装滤芯吸头，无菌，PC盒</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40320A83">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96支/盒，10盒/中盒，5中盒/箱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3D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A82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79900E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4FBAA4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81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无菌脱纤维马血 </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C8F6F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100m1/瓶，2-8度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DB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022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27D66F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73CED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97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GN增菌液培养基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84217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D6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8BD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73AA09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F8BB7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95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结核菌染色液(荧光金胺O法)(抗酸染色液）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7DCD6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4*500ml，常温5-30℃  8盒/件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06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BA2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DBF638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BF3DD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DE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抗酸染色液(萋尼氏法)</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6016D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4*500ml，常温5-30℃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29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E84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7E431B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0C955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77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亚硒酸盐增菌液(SF)</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868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79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64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86A420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00E82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E8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Cary-Blair氏运送培养基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6CF8C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AB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D6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BDF838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01057A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E7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菌落总数测试片</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40F4D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25T（冷藏）</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67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F9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47084DC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37469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EF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品红亚硫酸钠琼脂(远滕氏琼脂)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D72A4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FB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30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6CEDA4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B7C2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D4C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乳糖胆盐发酵培养基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3A8BA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C1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C7A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58846D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40715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CD9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乳糖蛋白胨培养液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730AF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F6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2A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963509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0C065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DC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乳糖复发酵培养基（乳糖发酵培养基）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567DF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52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5E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FE777F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300674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9B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赫氏培养基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AEA68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1A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46B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BF842E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A33DD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46A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赫氏增菌液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4CCB0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5D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9D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671145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5A0FF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04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SBG磺胺增菌液(冷藏2-8度)</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91CAE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A25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0A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B38C03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5F84C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1C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SS琼脂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83FF6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20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BCF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BC76F3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567F9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72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沙门氏0:11诊断血清</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54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1A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B8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F17E6E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2C8B4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A9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沙门氏0:12诊断血清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07E9B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53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19C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18EBD3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9AF7A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FA9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沙门氏0:2诊断血清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5E095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044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483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AF7B33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4B93A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2D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沙门氏0:4诊断血清</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AD9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D88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A59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EA62D7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B3004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37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沙门氏0:7诊断血清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13100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AF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6C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539BFC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FE3A4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B9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沙门氏0:8诊断血清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619E3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EC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32E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FB34B4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7538B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E3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沙门氏0:9诊断血清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E13B9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17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2D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FB2A45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53F36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F1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沙门氏A-F多价血清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74DFD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A9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4B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B2491A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34081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54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沙门氏H:i诊断血清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92067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D0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84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0718F60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E56D8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C2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沙门氏H:p诊断血清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A7ED2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91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B9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4B63B948">
        <w:tblPrEx>
          <w:tblCellMar>
            <w:top w:w="0" w:type="dxa"/>
            <w:left w:w="108" w:type="dxa"/>
            <w:bottom w:w="0" w:type="dxa"/>
            <w:right w:w="108" w:type="dxa"/>
          </w:tblCellMar>
        </w:tblPrEx>
        <w:trPr>
          <w:trHeight w:val="129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E5E0D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7F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沙门氏H:v诊断血清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E585F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D6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F25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613901B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D9215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36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沙门氏O:10诊断血清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EAD7C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C5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C8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0E0B15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DC488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F2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沙门氏O:5诊断血清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D08D8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E0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B8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EB006F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D2FF2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14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沙门氏O:6诊断血清（061）</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030CF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2D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B0F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3BBAAF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2855B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A45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沙门氏O:6诊断血清（062）</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7E268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11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71D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181B5E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2D55B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C3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沙门氏菌H：2诊断血清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A4308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0A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27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5B2EC06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7CD70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92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沙门氏菌H：5诊断血清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4DC42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73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DA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1F19BF4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890C1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375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沙门氏菌H多价1诊断血清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ECF9A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00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02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0B28BE5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3C16E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BD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沙门氏菌H多价2诊断血清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C3B87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122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F1A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4B24757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BB747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21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沙门氏菌H多价3诊断血清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E73CB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75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6C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295C843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A59EA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BF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沙门氏菌H多价4诊断血清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483CF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2B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D16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569DBB2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253B8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48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沙门氏菌属H:f血清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0EFF0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91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17A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B9F0A9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7D6DC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42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沙门氏菌属H:g血清</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1C0CD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55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672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B03B85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6286B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87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沙门氏菌血清H:Lcomplex</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C3E6A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A5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B9C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C5525C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68E71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EC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龙胆紫血液琼脂基础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1E5F4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0C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404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4C73A3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E2ACC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AD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亚硫酸钠琼脂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E86A7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BA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B1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C12C5E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851AD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03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无水亚硫酸钠</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41E8B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90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37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5E0A54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95593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1D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鼠疫菌抗体快速检测试剂盒（胶体金法）</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7D458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10T,4-25度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1D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DF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94DD47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37C25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13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鼠疫菌抗原快速检测试剂盒（胶体金法）</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F2B41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10T,4-25度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F7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C45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71AAF8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8D839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D7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SCDLP液体培养基管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9D0AD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10ML*20支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D7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FE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EC287D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F5445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53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餐具纸片(湿片)大肠菌群快检纸片培养基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EF08E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100份/盒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E2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A4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D6CDE8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0419C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FD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高压灭菌生物培养剂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2D66C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0B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9B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7331855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2CBE0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AE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溴甲酚紫葡萄糖蛋白胨水培养基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3F627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A4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A9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E9CFC4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8BC07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4C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过塑膜</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96FFE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A4，10丝，100张/包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45B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17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62D90FA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D7916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E0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医疗废物封口扎带 配 吊牌标签</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C723A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100条/包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08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0A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205E21B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03C36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01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医用灭菌棉签（12cm）</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4ECB6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12cm*20支/包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98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E2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20A51C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CBDE0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EF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冷冻管盒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3CC04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DB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18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19CFBBA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48544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18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利器盒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0884D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55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3F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7820173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89E67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55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玻璃烧杯</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82F6E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80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342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151E84A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3F242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4D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移液管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1E726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 单标线 A 级符合 GB/T12805-2011 和GB/T 12809-2015标准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F6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F7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2C0DB72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D8F88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1B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移液管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68181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10mL单标线 A级符合 GB/T12805-2011 和GB/T 12809-2015标准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60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20C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1B746BC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70B32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A2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移液管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2A089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100mL 单标线 A级符合GB/T12805-2011 和GB/T 12809-2015标准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00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A7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34C9177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4E7DF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958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容量瓶</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ECFC1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100mL A 级， 精度：±0.1ml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6C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F60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31ACB56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C2C94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D1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容量瓶</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5E0C1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250mL A级</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EB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4A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6CB55CB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F3DAA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A7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称量纸</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AB7A9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150*150mm,500/包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7CC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2C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19003EC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57679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9E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显微镜盖玻片</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D4D9F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超白玻璃材质20*20mm,0.13~0.16mm,200pcs</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31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C1A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B0BAE2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04BAB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47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电子天平</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B2B69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96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63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台</w:t>
            </w:r>
          </w:p>
        </w:tc>
      </w:tr>
      <w:tr w14:paraId="40D286D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FAB49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7F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温湿度计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90710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WS-1   改成：1.用于测量环境温度和相对湿度，指针型；2.测量范围：温度负20度至正50度，相对湿度0-100%RH；3.最小分格：温度1度，相对湿度1%RH;4.仪器误差：（-20~0）度正负1.5度，（0~+50</w:t>
            </w:r>
            <w:r>
              <w:rPr>
                <w:rFonts w:ascii="宋体" w:hAnsi="宋体" w:cs="宋体"/>
                <w:color w:val="auto"/>
                <w:kern w:val="0"/>
                <w:sz w:val="18"/>
                <w:szCs w:val="18"/>
                <w:highlight w:val="none"/>
              </w:rPr>
              <w:t>）</w:t>
            </w:r>
            <w:r>
              <w:rPr>
                <w:rFonts w:hint="eastAsia" w:ascii="宋体" w:hAnsi="宋体" w:cs="宋体"/>
                <w:color w:val="auto"/>
                <w:kern w:val="0"/>
                <w:sz w:val="18"/>
                <w:szCs w:val="18"/>
                <w:highlight w:val="none"/>
              </w:rPr>
              <w:t>度正负1度，相对湿度不大于正负5%RH；5.外型尺寸及重量：φ122mm*30mm,0.3kg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61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480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2FAF37E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C8F7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F0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冰箱数显电子温湿度计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EAB1B2E">
            <w:pPr>
              <w:widowControl/>
              <w:jc w:val="center"/>
              <w:textAlignment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DT-2   改成：1.测量范围:室内温度:-30°C~50°C</w:t>
            </w:r>
            <w:r>
              <w:rPr>
                <w:rFonts w:hint="eastAsia" w:ascii="宋体" w:hAnsi="宋体" w:cs="宋体"/>
                <w:color w:val="auto"/>
                <w:kern w:val="0"/>
                <w:sz w:val="18"/>
                <w:szCs w:val="18"/>
                <w:highlight w:val="none"/>
              </w:rPr>
              <w:tab/>
            </w:r>
            <w:r>
              <w:rPr>
                <w:rFonts w:hint="eastAsia" w:ascii="宋体" w:hAnsi="宋体" w:cs="宋体"/>
                <w:color w:val="auto"/>
                <w:kern w:val="0"/>
                <w:sz w:val="18"/>
                <w:szCs w:val="18"/>
                <w:highlight w:val="none"/>
              </w:rPr>
              <w:t>2.湿度:20%~99%</w:t>
            </w:r>
            <w:r>
              <w:rPr>
                <w:rFonts w:hint="eastAsia" w:ascii="宋体" w:hAnsi="宋体" w:cs="宋体"/>
                <w:color w:val="auto"/>
                <w:kern w:val="0"/>
                <w:sz w:val="18"/>
                <w:szCs w:val="18"/>
                <w:highlight w:val="none"/>
              </w:rPr>
              <w:tab/>
            </w:r>
          </w:p>
          <w:p w14:paraId="30FB8818">
            <w:pPr>
              <w:widowControl/>
              <w:jc w:val="center"/>
              <w:textAlignment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3.室外温度:-50°C~70°C</w:t>
            </w:r>
          </w:p>
          <w:p w14:paraId="275F22A5">
            <w:pPr>
              <w:widowControl/>
              <w:jc w:val="center"/>
              <w:textAlignment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4.分辨率:温度0.1</w:t>
            </w:r>
            <w:r>
              <w:rPr>
                <w:rFonts w:hint="eastAsia" w:ascii="宋体" w:hAnsi="宋体" w:cs="宋体"/>
                <w:color w:val="auto"/>
                <w:kern w:val="0"/>
                <w:sz w:val="18"/>
                <w:szCs w:val="18"/>
                <w:highlight w:val="none"/>
              </w:rPr>
              <w:tab/>
            </w:r>
            <w:r>
              <w:rPr>
                <w:rFonts w:hint="eastAsia" w:ascii="宋体" w:hAnsi="宋体" w:cs="宋体"/>
                <w:color w:val="auto"/>
                <w:kern w:val="0"/>
                <w:sz w:val="18"/>
                <w:szCs w:val="18"/>
                <w:highlight w:val="none"/>
              </w:rPr>
              <w:t xml:space="preserve">     5.湿度 1%</w:t>
            </w:r>
            <w:r>
              <w:rPr>
                <w:rFonts w:hint="eastAsia" w:ascii="宋体" w:hAnsi="宋体" w:cs="宋体"/>
                <w:color w:val="auto"/>
                <w:kern w:val="0"/>
                <w:sz w:val="18"/>
                <w:szCs w:val="18"/>
                <w:highlight w:val="none"/>
              </w:rPr>
              <w:tab/>
            </w:r>
          </w:p>
          <w:p w14:paraId="765B0A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6.电</w:t>
            </w:r>
            <w:r>
              <w:rPr>
                <w:rFonts w:hint="eastAsia" w:ascii="宋体" w:hAnsi="宋体" w:cs="宋体"/>
                <w:color w:val="auto"/>
                <w:kern w:val="0"/>
                <w:sz w:val="18"/>
                <w:szCs w:val="18"/>
                <w:highlight w:val="none"/>
              </w:rPr>
              <w:tab/>
            </w:r>
            <w:r>
              <w:rPr>
                <w:rFonts w:hint="eastAsia" w:ascii="宋体" w:hAnsi="宋体" w:cs="宋体"/>
                <w:color w:val="auto"/>
                <w:kern w:val="0"/>
                <w:sz w:val="18"/>
                <w:szCs w:val="18"/>
                <w:highlight w:val="none"/>
              </w:rPr>
              <w:t>源:碱性7号电池一节(1.5V)</w:t>
            </w:r>
            <w:r>
              <w:rPr>
                <w:rFonts w:hint="eastAsia" w:ascii="宋体" w:hAnsi="宋体" w:cs="宋体"/>
                <w:color w:val="auto"/>
                <w:kern w:val="0"/>
                <w:sz w:val="18"/>
                <w:szCs w:val="18"/>
                <w:highlight w:val="none"/>
              </w:rPr>
              <w:tab/>
            </w:r>
            <w:r>
              <w:rPr>
                <w:rFonts w:hint="eastAsia" w:ascii="宋体" w:hAnsi="宋体" w:cs="宋体"/>
                <w:color w:val="auto"/>
                <w:kern w:val="0"/>
                <w:sz w:val="18"/>
                <w:szCs w:val="18"/>
                <w:highlight w:val="none"/>
              </w:rPr>
              <w:t>7.当电压低时，显示LOW BAT</w:t>
            </w:r>
          </w:p>
          <w:p w14:paraId="342A9C7E">
            <w:pPr>
              <w:widowControl/>
              <w:jc w:val="center"/>
              <w:textAlignment w:val="center"/>
              <w:rPr>
                <w:rFonts w:ascii="宋体" w:hAnsi="宋体" w:cs="宋体"/>
                <w:color w:val="auto"/>
                <w:sz w:val="18"/>
                <w:szCs w:val="18"/>
                <w:highlight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2C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57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200B359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242944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1E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细菌DNA提取试剂盒(细菌基因组 )</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1AA5C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64T/盒，(配1ml黑色旋转搅拌套，8支/袋，8袋/盒)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F4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7D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4725BF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9DA83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F8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细菌DNA提取试剂盒(细菌基因组 )</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32AAE6AC">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20T/盒，5T/板（配1ml黑色旋转搅拌套，8支/袋，4袋/盒）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43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357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79EE21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EAB2A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A4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选择性木炭琼脂培养基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C8AC3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5块/包，90mm2-8℃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DF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60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480091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384B6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6E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质谱样本预处理试剂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5DF3C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100测试/盒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33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3C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40323A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6F539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759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Bolton肉汤</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70553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5C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B8B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8659E6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DC16D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AB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Bolton肉汤添加剂(HB0273-la）</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B6D59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2ml*5支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44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58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DE6C84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EAC30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AF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改良Skirrow氏琼脂基础培养基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F8A51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34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9A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0E39EA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84013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3D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—次性滤杯(带底座)</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C2253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5套/袋，15袋/箱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99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D5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箱</w:t>
            </w:r>
          </w:p>
        </w:tc>
      </w:tr>
      <w:tr w14:paraId="57617F0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4F194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D83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TPGYT培养基基础</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65989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FA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E7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B0E551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6A208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C22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弯曲菌MCCDA平板(改良CCD琼脂平板)</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513BA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90mm 5块/包，2-8度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A42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38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47C819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B127C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3B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弯曲菌培养检测试剂盒(双孔滤膜法)(食品样本)</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D9115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10T/盒  2-8度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48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64C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C4C0FB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C46A9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91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弯曲菌增菌肉汤添加剂(头孢菌素钠、万古霉素、两性霉素B、甲氧苄胺嘧啶乳酸盐)</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875F3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A27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B4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70CFBE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DAFB6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12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胰蛋白胨胆盐X-葡糖苷酸(TBX）琼脂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9F68DA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26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31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A4466D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3BE2C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1F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李斯特菌显色培养基（ALOA）新标准  1000ml（74g）</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25604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 1000ml（74g）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93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E3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6402D21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E0B33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D8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含0.6%酵母膏的胰酪胨大豆琼脂（用于单增李斯特菌的培养）GB标准</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FFC90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FA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F86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520366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E8831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C8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FB1增菌肉汤配套试剂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176AD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5套/盒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0E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45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1F8BD69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A315F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BB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FB2增菌肉汤配套试剂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1E234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5套/盒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7B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950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4977E57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0C6B9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C9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氯化镁孔雀绿大豆胨（RVS）增菌液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4847F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55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D3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3BCBAD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67DB7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EB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Swarm琼脂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09C3A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1B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876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90089B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1D04D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29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RS琼脂培养基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0BBBC3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D8F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437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26D45B2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43CADB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04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明胶磷酸盐缓冲液（GBS）</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011B0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A0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6F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8303D6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5A4E2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99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EC-MUG培养基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16817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F5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2FE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113BCD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B8C80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7E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嗜肺军团菌诊断血清</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6987D19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21种，1ml/瓶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DF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42F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0F36CC8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AC671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9E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(嗜肺）军团菌生化鉴定盒  </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D97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 7种*10次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C9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2702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0170416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1EBC6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85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采样吸收液1-GVPC液体培养基</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2A605E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20mL/支×20/盒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DF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925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90D2478">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646FF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CA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采样吸收液2-酵母提取液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5319D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20mL/支×20/盒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E1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50C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A5BE0D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752F6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4D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沙氏琼脂（含氯霉素）</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24923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17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259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5C223E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13E81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79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定制科研用药敏检测板-脑膜炎奈瑟菌（手工板）</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13643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10块/盒 药敏培养液+接种水+加样槽</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9E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26C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171C464">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9EDEA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B0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曲霉菌属/新型隐球菌/耶氏肺孢子菌核酸三重实时荧光PCR检测试剂盒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FFA77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25T/盒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EE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DA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9ECA0D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2096A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56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布鲁氏菌核酸实时荧光PCR检测试剂盒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F240040">
            <w:pPr>
              <w:widowControl/>
              <w:jc w:val="left"/>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1.适用于定性检测血清、组织等样本中提取的布鲁氏菌核酸。</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2.▲检测性能：灵敏度≤500copies/mL，与其他病原无交叉反应。（确保该试剂具备较高的灵敏度。）</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3.检测技术方法：采用单重实时荧光PCR法，1个反应，一次性可完成布鲁氏菌的定性检测。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全部反应试剂采用液体全分装技术，可任选用大单管/八连管/96孔板1-3种包装，加入核酸模板后离心可以直接上机。（确保扩增结果能够相对较客观的反应病毒浓度，操作简便，同时能够较快的获得检测结果。）</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5.▲生产企业通过ISO13485及ISO9001科研类产品的质量认证体系认证（提供相应证明文件，保证生产企业的产品质量）。</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6.试剂盒组成：全分装于大单管/八连管/96孔板内的RT-PCR反应液（可任选1-3种包装，根据实验需求灵活搭配 ），阳性对照、阴性对照、说明书；</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7.试剂盒反应体系≧15µL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8.通用性：能与同类检测产品共用一套反应条件及配液体系，并可同时提供荧光单重、双重、三重及四重等多种检测方案。</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9.PCR检测反应程序包括：50℃1-2min；95℃3-5min；循环95℃2-3s，55℃30-45s，共40次循环；在每次循环第二步（55℃30-45s）收集荧光信号。</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10.适用仪器：ABI7500、ABI Q5、Bio-Rad CFX96、上海宏石SLAN-96P、安捷伦AriaMX等。选用FAM通道检测。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11.试剂规格：24T/盒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12.有效期：≧12个月。</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13.▲ 结果判读：配套专用多病原检测判读软件，满足以下功能要求：① 兼容微软Windows、麒麟、统信UOS、苹果macOS、安卓等多操作系统；② 支持在线版本更新，更新过程无需重复下载、重装客户端；③ 具备样本结果自动判读功能，可一键识别阳性样本；④ 支持一键导出与国家疾控要求模板格式一致的检测结果表单；⑤ 投标文件内须提供软件全流程操作截图，证明上述功能可实现，提升检测结果记录的工作效率。）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0F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F72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E3055E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8A0B0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81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沙门氏、志贺氏增菌液</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C2FB0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BF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43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283730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A71A3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94D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革兰氏阳性需氧菌药敏板（革兰氏阳性菌药敏检试剂/盘式）</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4ACCEB82">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10T（盘式）配：接种水10支/盒、8ml/支+链球菌药敏接种培养液10支/盒、4ml/支</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6A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3FA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04A848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5440B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3B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革兰氏阴性需氧菌药敏（革兰氏阴性菌药敏检试剂/盘式）  10*1</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4931D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10T，配接种水+药敏接种培养液</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8E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95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FF43B9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4502B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CA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核酸提取或纯化试剂（CqEx-DNA/RNA病毒（CDC））</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2EDF4AE2">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64T/盒（预分装），16T/板*4板，配黑色旋转搅拌套，8个/袋，8袋/盒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3E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A1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843409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1C83B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45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大便杯</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62A0A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40ml 螺旋盖，50只/包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92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96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5054446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CC4EF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44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95％医用酒精</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96514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BB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CF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BCB44A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0B73D4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18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一次性使用灭菌橡胶手套</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E8E86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7.5#，麻面TPU覆层无粉</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C9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2F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副</w:t>
            </w:r>
          </w:p>
        </w:tc>
      </w:tr>
      <w:tr w14:paraId="69C43A5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CCAD8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B5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一次性使用灭菌橡胶手套</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88CA6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7#，麻面TPU覆层无粉</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C8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969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副</w:t>
            </w:r>
          </w:p>
        </w:tc>
      </w:tr>
      <w:tr w14:paraId="3DBF55F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073B7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87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一次性医用丁腈橡胶检查手套 </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374EE756">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9寸，10盒/件，100只/盒，中号</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64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EB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0AD8166">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D7D34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81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一次性医用丁腈橡胶检查手套</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20840E19">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9寸，10盒/件，100只/盒，小号</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9D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46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C9641E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A95CF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E0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一次性使用检查手套（聚乙烯手套）</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A765A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（灭菌级，中号）100只/包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75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1A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61602C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FC960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D6E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一次性细菌培养皿9CM</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31CBC298">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90*16mm,10个/包，500个/箱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1B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DD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箱</w:t>
            </w:r>
          </w:p>
        </w:tc>
      </w:tr>
      <w:tr w14:paraId="74B4BA8A">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DB0FB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17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医用外科口罩</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36D52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挂耳17cm*9cm-3P，10个/包 挂耳 500包/件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EF1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942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2B675E35">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355387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C1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可掰开0.2mlPCR八连管及管盖</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6DD5C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125排/盒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6F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6B7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E3F535B">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C08AC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07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外旋冻存管/样品管（紫色盖、印刷刻度、无菌） 2.0ml</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59747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100个/袋，20袋/箱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B1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1F3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3F9F828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688DF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ED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一次性离心管2ml，圆底，连盖</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31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500只/袋</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B9F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51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2D1D500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1C2EA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3D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一次性离心管2ml，尖底，连盖  </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4CF8E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500只/袋</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AC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3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5E36D01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93017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55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通用细菌采样管</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1562B6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50人份/盒，无菌聚丙乙烯采样管，100mm*16mm,内含1.5ml改良的液体Amies培养基，独立无菌包装的拭子，植绒拭子</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05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89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2A5A317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E85B9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E4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冷冻管盒（36孔）</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52B19C1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放5ml离心管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1E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9F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066C484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943A3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75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移液管10mL</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0CDA3EBB">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10ml 210支/件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0C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404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12D0372E">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95354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46B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大肚吸管20ml</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0E974D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 180支/件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A7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18F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1974746A">
        <w:tblPrEx>
          <w:tblCellMar>
            <w:top w:w="0" w:type="dxa"/>
            <w:left w:w="108" w:type="dxa"/>
            <w:bottom w:w="0" w:type="dxa"/>
            <w:right w:w="108" w:type="dxa"/>
          </w:tblCellMar>
        </w:tblPrEx>
        <w:trPr>
          <w:trHeight w:val="1365"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0F743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7F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大肚吸管A级 25ml</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4B94C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25ml 100支/件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DB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68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45A4D257">
        <w:tblPrEx>
          <w:tblCellMar>
            <w:top w:w="0" w:type="dxa"/>
            <w:left w:w="108" w:type="dxa"/>
            <w:bottom w:w="0" w:type="dxa"/>
            <w:right w:w="108" w:type="dxa"/>
          </w:tblCellMar>
        </w:tblPrEx>
        <w:trPr>
          <w:trHeight w:val="986"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99983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96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大肚吸管50ml</w:t>
            </w:r>
          </w:p>
        </w:tc>
        <w:tc>
          <w:tcPr>
            <w:tcW w:w="6158" w:type="dxa"/>
            <w:tcBorders>
              <w:top w:val="single" w:color="000000" w:sz="4" w:space="0"/>
              <w:left w:val="single" w:color="000000" w:sz="4" w:space="0"/>
              <w:bottom w:val="single" w:color="000000" w:sz="4" w:space="0"/>
              <w:right w:val="nil"/>
            </w:tcBorders>
            <w:shd w:val="clear" w:color="auto" w:fill="auto"/>
            <w:vAlign w:val="center"/>
          </w:tcPr>
          <w:p w14:paraId="129BD0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50ml（A级），50ml 80支/件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27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7E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1F6A7F0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3D022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B7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5ml冻存管  灭菌</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34F59A47">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50支/包，10包/箱</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B34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C3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649FDD1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A2BEC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56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药敏仪配套枪头 100-1000ul</w:t>
            </w:r>
          </w:p>
        </w:tc>
        <w:tc>
          <w:tcPr>
            <w:tcW w:w="61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6C22CF">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枪头为平头，枪头有卡位，适用于药敏仪加样，规格：100支/盒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2D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71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FC702F9">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495DC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2B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铁粉（还原）AR500g</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187A4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AR500g</w:t>
            </w:r>
            <w:r>
              <w:rPr>
                <w:rFonts w:hint="eastAsia" w:ascii="宋体" w:hAnsi="宋体" w:cs="宋体"/>
                <w:color w:val="auto"/>
                <w:kern w:val="0"/>
                <w:sz w:val="18"/>
                <w:szCs w:val="18"/>
                <w:highlight w:val="none"/>
                <w:lang w:val="en-US" w:eastAsia="zh-CN"/>
              </w:rPr>
              <w:t xml:space="preserve">  </w:t>
            </w:r>
            <w:r>
              <w:rPr>
                <w:rFonts w:hint="eastAsia" w:ascii="宋体" w:hAnsi="宋体" w:cs="宋体"/>
                <w:color w:val="auto"/>
                <w:kern w:val="0"/>
                <w:sz w:val="18"/>
                <w:szCs w:val="18"/>
                <w:highlight w:val="none"/>
              </w:rPr>
              <w:t>500g/瓶（CMM添加剂）</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981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261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BE4B93F">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28941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0F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胰蛋白酶(1:250)</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221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(TPGYT培养基基础添加剂)，10g</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D4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119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174F13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08C19E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1D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无水乙醇</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3A6D2F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AR500ml</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F0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F5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63A18F0">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57944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84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大肠埃希氏菌诊断血清</w:t>
            </w:r>
          </w:p>
        </w:tc>
        <w:tc>
          <w:tcPr>
            <w:tcW w:w="6158" w:type="dxa"/>
            <w:tcBorders>
              <w:top w:val="single" w:color="000000" w:sz="4" w:space="0"/>
              <w:left w:val="single" w:color="000000" w:sz="4" w:space="0"/>
              <w:bottom w:val="single" w:color="000000" w:sz="4" w:space="0"/>
              <w:right w:val="nil"/>
            </w:tcBorders>
            <w:shd w:val="clear" w:color="auto" w:fill="auto"/>
            <w:noWrap/>
            <w:vAlign w:val="bottom"/>
          </w:tcPr>
          <w:p w14:paraId="793DD151">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40种，1ml/瓶*51瓶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71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D68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0D16937">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45C60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80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副溶血性弧菌血清型鉴定试剂盒</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6BBB68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一套31种，O4:kut-recAin血清、O血清、K血清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05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6D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F67D262">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533363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BF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带滤网无菌均质袋</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726066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符合GB4789.9 空肠弯曲菌、结肠弯曲菌检验标准,整张滤膜，20*30cm，25个/包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00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386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20251F81">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67A6D9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7FD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弯曲菌增菌液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E5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B3A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743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BDC1A13">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37ED63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B0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弯曲菌增菌液配套试剂（抗生素溶液）</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86D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1ml/支*5支/盒</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8C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CE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14CD69C">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22C798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670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0B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CCFA琼脂</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521B77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250g/瓶</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42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4A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2D03F3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78814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671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DB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头孢西丁</w:t>
            </w:r>
          </w:p>
        </w:tc>
        <w:tc>
          <w:tcPr>
            <w:tcW w:w="615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97B34C">
            <w:pPr>
              <w:widowControl/>
              <w:jc w:val="center"/>
              <w:textAlignment w:val="bottom"/>
              <w:rPr>
                <w:rFonts w:ascii="宋体" w:hAnsi="宋体" w:cs="宋体"/>
                <w:color w:val="auto"/>
                <w:sz w:val="18"/>
                <w:szCs w:val="18"/>
                <w:highlight w:val="none"/>
              </w:rPr>
            </w:pPr>
            <w:r>
              <w:rPr>
                <w:rFonts w:hint="eastAsia" w:ascii="宋体" w:hAnsi="宋体" w:cs="宋体"/>
                <w:color w:val="auto"/>
                <w:kern w:val="0"/>
                <w:sz w:val="18"/>
                <w:szCs w:val="18"/>
                <w:highlight w:val="none"/>
              </w:rPr>
              <w:t>5g,99%</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74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EE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D03830D">
        <w:tblPrEx>
          <w:tblCellMar>
            <w:top w:w="0" w:type="dxa"/>
            <w:left w:w="108" w:type="dxa"/>
            <w:bottom w:w="0" w:type="dxa"/>
            <w:right w:w="108" w:type="dxa"/>
          </w:tblCellMar>
        </w:tblPrEx>
        <w:trPr>
          <w:trHeight w:val="540" w:hRule="atLeast"/>
        </w:trPr>
        <w:tc>
          <w:tcPr>
            <w:tcW w:w="650" w:type="dxa"/>
            <w:tcBorders>
              <w:top w:val="nil"/>
              <w:left w:val="single" w:color="000000" w:sz="4" w:space="0"/>
              <w:bottom w:val="single" w:color="000000" w:sz="4" w:space="0"/>
              <w:right w:val="single" w:color="000000" w:sz="4" w:space="0"/>
            </w:tcBorders>
            <w:shd w:val="clear" w:color="auto" w:fill="auto"/>
            <w:noWrap/>
            <w:vAlign w:val="center"/>
          </w:tcPr>
          <w:p w14:paraId="164894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672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19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CCFA琼脂平板（9cm）</w:t>
            </w:r>
          </w:p>
        </w:tc>
        <w:tc>
          <w:tcPr>
            <w:tcW w:w="6158" w:type="dxa"/>
            <w:tcBorders>
              <w:top w:val="single" w:color="000000" w:sz="4" w:space="0"/>
              <w:left w:val="single" w:color="000000" w:sz="4" w:space="0"/>
              <w:bottom w:val="single" w:color="000000" w:sz="4" w:space="0"/>
              <w:right w:val="nil"/>
            </w:tcBorders>
            <w:shd w:val="clear" w:color="auto" w:fill="auto"/>
            <w:noWrap/>
            <w:vAlign w:val="center"/>
          </w:tcPr>
          <w:p w14:paraId="43B59C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9cm*10/包</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B0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CBE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bl>
    <w:p w14:paraId="412DD33A">
      <w:pPr>
        <w:spacing w:line="380" w:lineRule="exact"/>
        <w:rPr>
          <w:color w:val="auto"/>
          <w:szCs w:val="21"/>
          <w:highlight w:val="none"/>
        </w:rPr>
      </w:pPr>
      <w:r>
        <w:rPr>
          <w:rFonts w:hint="eastAsia"/>
          <w:color w:val="auto"/>
          <w:szCs w:val="21"/>
          <w:highlight w:val="none"/>
        </w:rPr>
        <w:t>本标项所属行业：工业。</w:t>
      </w:r>
    </w:p>
    <w:p w14:paraId="3D98E672">
      <w:pPr>
        <w:spacing w:line="360" w:lineRule="auto"/>
        <w:ind w:firstLine="420" w:firstLineChars="200"/>
        <w:rPr>
          <w:color w:val="auto"/>
          <w:szCs w:val="21"/>
          <w:highlight w:val="none"/>
        </w:rPr>
      </w:pPr>
      <w:bookmarkStart w:id="24" w:name="_Hlk80351578"/>
      <w:r>
        <w:rPr>
          <w:rFonts w:hint="eastAsia"/>
          <w:color w:val="auto"/>
          <w:szCs w:val="21"/>
          <w:highlight w:val="none"/>
        </w:rPr>
        <w:t>注：实质性参数要求提交证明材料的，应按照要求提供，未提供或未按要求提供的将视为响应无效。</w:t>
      </w:r>
    </w:p>
    <w:bookmarkEnd w:id="24"/>
    <w:p w14:paraId="6C6C968D">
      <w:pPr>
        <w:spacing w:line="360" w:lineRule="auto"/>
        <w:rPr>
          <w:rFonts w:ascii="黑体" w:hAnsi="黑体" w:eastAsia="黑体" w:cs="Arial"/>
          <w:b/>
          <w:color w:val="auto"/>
          <w:kern w:val="0"/>
          <w:sz w:val="28"/>
          <w:szCs w:val="28"/>
          <w:highlight w:val="none"/>
        </w:rPr>
      </w:pPr>
    </w:p>
    <w:tbl>
      <w:tblPr>
        <w:tblStyle w:val="51"/>
        <w:tblW w:w="9320" w:type="dxa"/>
        <w:jc w:val="center"/>
        <w:shd w:val="clear" w:color="auto" w:fill="FFFFFF"/>
        <w:tblLayout w:type="fixed"/>
        <w:tblCellMar>
          <w:top w:w="0" w:type="dxa"/>
          <w:left w:w="108" w:type="dxa"/>
          <w:bottom w:w="0" w:type="dxa"/>
          <w:right w:w="108" w:type="dxa"/>
        </w:tblCellMar>
      </w:tblPr>
      <w:tblGrid>
        <w:gridCol w:w="2595"/>
        <w:gridCol w:w="6725"/>
      </w:tblGrid>
      <w:tr w14:paraId="74196218">
        <w:tblPrEx>
          <w:shd w:val="clear" w:color="auto" w:fill="FFFFFF"/>
          <w:tblCellMar>
            <w:top w:w="0" w:type="dxa"/>
            <w:left w:w="108" w:type="dxa"/>
            <w:bottom w:w="0" w:type="dxa"/>
            <w:right w:w="108" w:type="dxa"/>
          </w:tblCellMar>
        </w:tblPrEx>
        <w:trPr>
          <w:trHeight w:val="660" w:hRule="atLeast"/>
          <w:jc w:val="center"/>
        </w:trPr>
        <w:tc>
          <w:tcPr>
            <w:tcW w:w="93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37C14">
            <w:pPr>
              <w:spacing w:line="400" w:lineRule="exact"/>
              <w:ind w:left="2"/>
              <w:rPr>
                <w:rFonts w:ascii="宋体" w:hAnsi="宋体" w:cs="宋体"/>
                <w:color w:val="auto"/>
                <w:szCs w:val="21"/>
                <w:highlight w:val="none"/>
              </w:rPr>
            </w:pPr>
            <w:r>
              <w:rPr>
                <w:rFonts w:hint="eastAsia" w:ascii="宋体" w:hAnsi="宋体" w:cs="宋体"/>
                <w:color w:val="auto"/>
                <w:szCs w:val="21"/>
                <w:highlight w:val="none"/>
              </w:rPr>
              <w:t>二、商务要求表</w:t>
            </w:r>
          </w:p>
        </w:tc>
      </w:tr>
      <w:tr w14:paraId="13601C43">
        <w:tblPrEx>
          <w:shd w:val="clear" w:color="auto" w:fill="FFFFFF"/>
          <w:tblCellMar>
            <w:top w:w="0" w:type="dxa"/>
            <w:left w:w="108" w:type="dxa"/>
            <w:bottom w:w="0" w:type="dxa"/>
            <w:right w:w="108" w:type="dxa"/>
          </w:tblCellMar>
        </w:tblPrEx>
        <w:trPr>
          <w:trHeight w:val="660" w:hRule="atLeast"/>
          <w:jc w:val="center"/>
        </w:trPr>
        <w:tc>
          <w:tcPr>
            <w:tcW w:w="25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1EF1C">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▲质保期</w:t>
            </w:r>
          </w:p>
        </w:tc>
        <w:tc>
          <w:tcPr>
            <w:tcW w:w="6725" w:type="dxa"/>
            <w:tcBorders>
              <w:top w:val="single" w:color="000000" w:sz="4" w:space="0"/>
              <w:left w:val="single" w:color="000000" w:sz="4" w:space="0"/>
              <w:bottom w:val="single" w:color="000000" w:sz="4" w:space="0"/>
              <w:right w:val="single" w:color="000000" w:sz="4" w:space="0"/>
            </w:tcBorders>
            <w:shd w:val="clear" w:color="auto" w:fill="FFFFFF"/>
            <w:noWrap/>
          </w:tcPr>
          <w:p w14:paraId="44CEB217">
            <w:pPr>
              <w:spacing w:line="400" w:lineRule="exact"/>
              <w:ind w:left="2"/>
              <w:rPr>
                <w:rFonts w:ascii="宋体" w:hAnsi="宋体" w:cs="宋体"/>
                <w:color w:val="auto"/>
                <w:szCs w:val="21"/>
                <w:highlight w:val="none"/>
              </w:rPr>
            </w:pPr>
            <w:r>
              <w:rPr>
                <w:rFonts w:hint="eastAsia" w:ascii="宋体" w:hAnsi="宋体" w:cs="宋体"/>
                <w:color w:val="auto"/>
                <w:szCs w:val="21"/>
                <w:highlight w:val="none"/>
                <w:lang w:val="zh-CN"/>
              </w:rPr>
              <w:t>自交货验收合格之日起有效期≥10个月。</w:t>
            </w:r>
            <w:r>
              <w:rPr>
                <w:rFonts w:hint="eastAsia" w:ascii="宋体" w:hAnsi="宋体" w:cs="宋体"/>
                <w:color w:val="auto"/>
                <w:szCs w:val="21"/>
                <w:highlight w:val="none"/>
              </w:rPr>
              <w:t>（各分项有特殊要求的按各分项要求执行）</w:t>
            </w:r>
          </w:p>
        </w:tc>
      </w:tr>
      <w:tr w14:paraId="47A5356B">
        <w:tblPrEx>
          <w:shd w:val="clear" w:color="auto" w:fill="FFFFFF"/>
          <w:tblCellMar>
            <w:top w:w="0" w:type="dxa"/>
            <w:left w:w="108" w:type="dxa"/>
            <w:bottom w:w="0" w:type="dxa"/>
            <w:right w:w="108" w:type="dxa"/>
          </w:tblCellMar>
        </w:tblPrEx>
        <w:trPr>
          <w:trHeight w:val="660" w:hRule="atLeast"/>
          <w:jc w:val="center"/>
        </w:trPr>
        <w:tc>
          <w:tcPr>
            <w:tcW w:w="25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56170">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▲报价要求</w:t>
            </w:r>
          </w:p>
        </w:tc>
        <w:tc>
          <w:tcPr>
            <w:tcW w:w="6725" w:type="dxa"/>
            <w:tcBorders>
              <w:top w:val="single" w:color="000000" w:sz="4" w:space="0"/>
              <w:left w:val="single" w:color="000000" w:sz="4" w:space="0"/>
              <w:bottom w:val="single" w:color="000000" w:sz="4" w:space="0"/>
              <w:right w:val="single" w:color="000000" w:sz="4" w:space="0"/>
            </w:tcBorders>
            <w:shd w:val="clear" w:color="auto" w:fill="FFFFFF"/>
            <w:noWrap/>
          </w:tcPr>
          <w:p w14:paraId="34464E01">
            <w:pPr>
              <w:spacing w:line="400" w:lineRule="exact"/>
              <w:ind w:left="2"/>
              <w:rPr>
                <w:rFonts w:ascii="宋体" w:hAnsi="宋体" w:cs="宋体"/>
                <w:color w:val="auto"/>
                <w:szCs w:val="21"/>
                <w:highlight w:val="none"/>
              </w:rPr>
            </w:pPr>
            <w:r>
              <w:rPr>
                <w:rFonts w:hint="eastAsia" w:ascii="宋体" w:hAnsi="宋体" w:cs="宋体"/>
                <w:color w:val="auto"/>
                <w:szCs w:val="21"/>
                <w:highlight w:val="none"/>
              </w:rPr>
              <w:t>本项目竞标报价包括货物的所有费用，包括采购、运输、劳务、管理、利润、税金、保险、协调、培训、售后服务、配送产品、代理费用以及所有的不定因素的风险等。</w:t>
            </w:r>
          </w:p>
        </w:tc>
      </w:tr>
      <w:tr w14:paraId="18F22913">
        <w:tblPrEx>
          <w:shd w:val="clear" w:color="auto" w:fill="FFFFFF"/>
          <w:tblCellMar>
            <w:top w:w="0" w:type="dxa"/>
            <w:left w:w="108" w:type="dxa"/>
            <w:bottom w:w="0" w:type="dxa"/>
            <w:right w:w="108" w:type="dxa"/>
          </w:tblCellMar>
        </w:tblPrEx>
        <w:trPr>
          <w:trHeight w:val="660" w:hRule="atLeast"/>
          <w:jc w:val="center"/>
        </w:trPr>
        <w:tc>
          <w:tcPr>
            <w:tcW w:w="25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8D4D1">
            <w:pPr>
              <w:snapToGrid w:val="0"/>
              <w:spacing w:line="360" w:lineRule="exact"/>
              <w:jc w:val="center"/>
              <w:rPr>
                <w:rFonts w:ascii="宋体" w:hAnsi="宋体" w:cs="宋体"/>
                <w:color w:val="auto"/>
                <w:szCs w:val="21"/>
                <w:highlight w:val="none"/>
              </w:rPr>
            </w:pPr>
            <w:r>
              <w:rPr>
                <w:rFonts w:hint="eastAsia" w:ascii="宋体" w:hAnsi="宋体" w:cs="宋体"/>
                <w:color w:val="auto"/>
                <w:szCs w:val="21"/>
                <w:highlight w:val="none"/>
              </w:rPr>
              <w:t>▲验收要求</w:t>
            </w:r>
          </w:p>
        </w:tc>
        <w:tc>
          <w:tcPr>
            <w:tcW w:w="6725" w:type="dxa"/>
            <w:tcBorders>
              <w:top w:val="single" w:color="000000" w:sz="4" w:space="0"/>
              <w:left w:val="single" w:color="000000" w:sz="4" w:space="0"/>
              <w:bottom w:val="single" w:color="000000" w:sz="4" w:space="0"/>
              <w:right w:val="single" w:color="000000" w:sz="4" w:space="0"/>
            </w:tcBorders>
            <w:shd w:val="clear" w:color="auto" w:fill="FFFFFF"/>
            <w:noWrap/>
          </w:tcPr>
          <w:p w14:paraId="2AFF9F79">
            <w:pPr>
              <w:spacing w:line="360" w:lineRule="exact"/>
              <w:ind w:left="2"/>
              <w:rPr>
                <w:rFonts w:ascii="宋体" w:hAnsi="宋体" w:cs="宋体"/>
                <w:color w:val="auto"/>
                <w:szCs w:val="21"/>
                <w:highlight w:val="none"/>
              </w:rPr>
            </w:pPr>
            <w:r>
              <w:rPr>
                <w:rFonts w:hint="eastAsia" w:ascii="宋体" w:hAnsi="宋体" w:cs="宋体"/>
                <w:color w:val="auto"/>
                <w:spacing w:val="11"/>
                <w:szCs w:val="21"/>
                <w:highlight w:val="none"/>
              </w:rPr>
              <w:t>1.必须符合国家标准、行业标准及产品生产厂家的出厂质量标准；成交供应商提供的货物必</w:t>
            </w:r>
            <w:r>
              <w:rPr>
                <w:rFonts w:hint="eastAsia" w:ascii="宋体" w:hAnsi="宋体" w:cs="宋体"/>
                <w:color w:val="auto"/>
                <w:spacing w:val="13"/>
                <w:szCs w:val="21"/>
                <w:highlight w:val="none"/>
              </w:rPr>
              <w:t>须原装、全新的、最新生产批号、出具出厂合格证，序列号、包装箱号与出厂批号一致并可</w:t>
            </w:r>
            <w:r>
              <w:rPr>
                <w:rFonts w:hint="eastAsia" w:ascii="宋体" w:hAnsi="宋体" w:cs="宋体"/>
                <w:color w:val="auto"/>
                <w:spacing w:val="10"/>
                <w:szCs w:val="21"/>
                <w:highlight w:val="none"/>
              </w:rPr>
              <w:t>追索查阅、满足国家及行业强制性标准及规</w:t>
            </w:r>
            <w:r>
              <w:rPr>
                <w:rFonts w:hint="eastAsia" w:ascii="宋体" w:hAnsi="宋体" w:cs="宋体"/>
                <w:color w:val="auto"/>
                <w:spacing w:val="9"/>
                <w:szCs w:val="21"/>
                <w:highlight w:val="none"/>
              </w:rPr>
              <w:t>范，并符合采购人提出的有关质量标准的产品。</w:t>
            </w:r>
          </w:p>
          <w:p w14:paraId="1A9C4DFA">
            <w:pPr>
              <w:spacing w:before="1" w:line="226" w:lineRule="auto"/>
              <w:jc w:val="left"/>
              <w:rPr>
                <w:rFonts w:ascii="宋体" w:hAnsi="宋体" w:cs="宋体"/>
                <w:color w:val="auto"/>
                <w:spacing w:val="9"/>
                <w:szCs w:val="21"/>
                <w:highlight w:val="none"/>
              </w:rPr>
            </w:pPr>
            <w:r>
              <w:rPr>
                <w:rFonts w:hint="eastAsia" w:ascii="宋体" w:hAnsi="宋体" w:cs="宋体"/>
                <w:color w:val="auto"/>
                <w:spacing w:val="9"/>
                <w:szCs w:val="21"/>
                <w:highlight w:val="none"/>
              </w:rPr>
              <w:t>2.验收过程中所产生的一切费用均由成交供应商承担。报价时应考虑相关费用。</w:t>
            </w:r>
          </w:p>
          <w:p w14:paraId="0F8A5CA7">
            <w:pPr>
              <w:spacing w:before="1" w:line="226" w:lineRule="auto"/>
              <w:jc w:val="left"/>
              <w:rPr>
                <w:rFonts w:ascii="宋体" w:hAnsi="宋体" w:cs="宋体"/>
                <w:color w:val="auto"/>
                <w:szCs w:val="21"/>
                <w:highlight w:val="none"/>
              </w:rPr>
            </w:pPr>
            <w:r>
              <w:rPr>
                <w:rFonts w:hint="eastAsia" w:ascii="宋体" w:hAnsi="宋体" w:cs="宋体"/>
                <w:color w:val="auto"/>
                <w:spacing w:val="13"/>
                <w:szCs w:val="21"/>
                <w:highlight w:val="none"/>
              </w:rPr>
              <w:t>3.成交供应商在货物验收时由采购人对照招标文件的功能目标及技术指</w:t>
            </w:r>
            <w:r>
              <w:rPr>
                <w:rFonts w:hint="eastAsia" w:ascii="宋体" w:hAnsi="宋体" w:cs="宋体"/>
                <w:color w:val="auto"/>
                <w:spacing w:val="12"/>
                <w:szCs w:val="21"/>
                <w:highlight w:val="none"/>
              </w:rPr>
              <w:t>标全面核对检验，如</w:t>
            </w:r>
            <w:r>
              <w:rPr>
                <w:rFonts w:hint="eastAsia" w:ascii="宋体" w:hAnsi="宋体" w:cs="宋体"/>
                <w:color w:val="auto"/>
                <w:spacing w:val="18"/>
                <w:szCs w:val="21"/>
                <w:highlight w:val="none"/>
              </w:rPr>
              <w:t>不符合招标文件的技术需求及要求以及提供虚假承诺的，按相关规定作退货处理及违约处</w:t>
            </w:r>
            <w:r>
              <w:rPr>
                <w:rFonts w:hint="eastAsia" w:ascii="宋体" w:hAnsi="宋体" w:cs="宋体"/>
                <w:color w:val="auto"/>
                <w:spacing w:val="9"/>
                <w:szCs w:val="21"/>
                <w:highlight w:val="none"/>
              </w:rPr>
              <w:t>理，成交供应商承担所有责任和费用，采购人保留进一步追究责任的权利。</w:t>
            </w:r>
          </w:p>
          <w:p w14:paraId="549C1307">
            <w:pPr>
              <w:spacing w:line="360" w:lineRule="exact"/>
              <w:jc w:val="left"/>
              <w:rPr>
                <w:rFonts w:ascii="宋体" w:hAnsi="宋体" w:cs="宋体"/>
                <w:color w:val="auto"/>
                <w:szCs w:val="21"/>
                <w:highlight w:val="none"/>
              </w:rPr>
            </w:pPr>
            <w:r>
              <w:rPr>
                <w:rFonts w:hint="eastAsia" w:ascii="宋体" w:hAnsi="宋体" w:cs="宋体"/>
                <w:color w:val="auto"/>
                <w:spacing w:val="8"/>
                <w:szCs w:val="21"/>
                <w:highlight w:val="none"/>
              </w:rPr>
              <w:t>4.招标项目有其他要求的按其要求。</w:t>
            </w:r>
          </w:p>
        </w:tc>
      </w:tr>
      <w:tr w14:paraId="37C0FC10">
        <w:tblPrEx>
          <w:shd w:val="clear" w:color="auto" w:fill="FFFFFF"/>
          <w:tblCellMar>
            <w:top w:w="0" w:type="dxa"/>
            <w:left w:w="108" w:type="dxa"/>
            <w:bottom w:w="0" w:type="dxa"/>
            <w:right w:w="108" w:type="dxa"/>
          </w:tblCellMar>
        </w:tblPrEx>
        <w:trPr>
          <w:trHeight w:val="660" w:hRule="atLeast"/>
          <w:jc w:val="center"/>
        </w:trPr>
        <w:tc>
          <w:tcPr>
            <w:tcW w:w="25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F777B">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▲售后服务要求</w:t>
            </w:r>
          </w:p>
        </w:tc>
        <w:tc>
          <w:tcPr>
            <w:tcW w:w="6725" w:type="dxa"/>
            <w:tcBorders>
              <w:top w:val="single" w:color="000000" w:sz="4" w:space="0"/>
              <w:left w:val="single" w:color="000000" w:sz="4" w:space="0"/>
              <w:bottom w:val="single" w:color="000000" w:sz="4" w:space="0"/>
              <w:right w:val="single" w:color="000000" w:sz="4" w:space="0"/>
            </w:tcBorders>
            <w:shd w:val="clear" w:color="auto" w:fill="FFFFFF"/>
            <w:noWrap/>
          </w:tcPr>
          <w:p w14:paraId="12EF137C">
            <w:pPr>
              <w:pStyle w:val="138"/>
              <w:widowControl w:val="0"/>
              <w:pBdr>
                <w:left w:val="none" w:color="auto" w:sz="0" w:space="0"/>
                <w:bottom w:val="none" w:color="auto" w:sz="0" w:space="0"/>
                <w:right w:val="none" w:color="auto" w:sz="0" w:space="0"/>
              </w:pBdr>
              <w:snapToGrid w:val="0"/>
              <w:spacing w:beforeAutospacing="0" w:afterAutospacing="0" w:line="400" w:lineRule="exact"/>
              <w:jc w:val="left"/>
              <w:rPr>
                <w:rFonts w:ascii="宋体" w:hAnsi="宋体" w:cs="宋体"/>
                <w:color w:val="auto"/>
                <w:highlight w:val="none"/>
              </w:rPr>
            </w:pPr>
            <w:r>
              <w:rPr>
                <w:rFonts w:hint="eastAsia" w:ascii="宋体" w:hAnsi="宋体" w:cs="宋体"/>
                <w:color w:val="auto"/>
                <w:highlight w:val="none"/>
              </w:rPr>
              <w:t>1、送货上门及培训；</w:t>
            </w:r>
          </w:p>
          <w:p w14:paraId="02313901">
            <w:pPr>
              <w:pStyle w:val="138"/>
              <w:widowControl w:val="0"/>
              <w:pBdr>
                <w:left w:val="none" w:color="auto" w:sz="0" w:space="0"/>
                <w:bottom w:val="none" w:color="auto" w:sz="0" w:space="0"/>
                <w:right w:val="none" w:color="auto" w:sz="0" w:space="0"/>
              </w:pBdr>
              <w:snapToGrid w:val="0"/>
              <w:spacing w:beforeAutospacing="0" w:afterAutospacing="0" w:line="400" w:lineRule="exact"/>
              <w:jc w:val="left"/>
              <w:rPr>
                <w:rFonts w:ascii="宋体" w:hAnsi="宋体" w:cs="宋体"/>
                <w:color w:val="auto"/>
                <w:highlight w:val="none"/>
              </w:rPr>
            </w:pPr>
            <w:r>
              <w:rPr>
                <w:rFonts w:hint="eastAsia" w:ascii="宋体" w:hAnsi="宋体" w:cs="宋体"/>
                <w:color w:val="auto"/>
                <w:highlight w:val="none"/>
              </w:rPr>
              <w:t>2、竞标人应提出可行的售后服务承诺书；</w:t>
            </w:r>
          </w:p>
          <w:p w14:paraId="352E565C">
            <w:pPr>
              <w:pStyle w:val="138"/>
              <w:widowControl w:val="0"/>
              <w:pBdr>
                <w:left w:val="none" w:color="auto" w:sz="0" w:space="0"/>
                <w:bottom w:val="none" w:color="auto" w:sz="0" w:space="0"/>
                <w:right w:val="none" w:color="auto" w:sz="0" w:space="0"/>
              </w:pBdr>
              <w:snapToGrid w:val="0"/>
              <w:spacing w:beforeAutospacing="0" w:afterAutospacing="0" w:line="400" w:lineRule="exact"/>
              <w:jc w:val="left"/>
              <w:rPr>
                <w:rFonts w:ascii="宋体" w:hAnsi="宋体" w:cs="宋体"/>
                <w:color w:val="auto"/>
                <w:highlight w:val="none"/>
              </w:rPr>
            </w:pPr>
            <w:r>
              <w:rPr>
                <w:rFonts w:hint="eastAsia" w:ascii="宋体" w:hAnsi="宋体" w:cs="宋体"/>
                <w:color w:val="auto"/>
                <w:highlight w:val="none"/>
              </w:rPr>
              <w:t>3、按厂家承诺实行“三包”；</w:t>
            </w:r>
          </w:p>
          <w:p w14:paraId="202886FB">
            <w:pPr>
              <w:spacing w:line="400" w:lineRule="exact"/>
              <w:rPr>
                <w:rFonts w:ascii="宋体" w:hAnsi="宋体" w:cs="宋体"/>
                <w:color w:val="auto"/>
                <w:szCs w:val="21"/>
                <w:highlight w:val="none"/>
              </w:rPr>
            </w:pPr>
            <w:r>
              <w:rPr>
                <w:rFonts w:hint="eastAsia" w:ascii="宋体" w:hAnsi="宋体" w:cs="宋体"/>
                <w:color w:val="auto"/>
                <w:szCs w:val="21"/>
                <w:highlight w:val="none"/>
                <w:lang w:val="zh-CN"/>
              </w:rPr>
              <w:t>4、如确定有质量问题，按照正常程序退货</w:t>
            </w:r>
            <w:r>
              <w:rPr>
                <w:rFonts w:hint="eastAsia" w:ascii="宋体" w:hAnsi="宋体" w:cs="宋体"/>
                <w:color w:val="auto"/>
                <w:szCs w:val="21"/>
                <w:highlight w:val="none"/>
              </w:rPr>
              <w:t>；</w:t>
            </w:r>
          </w:p>
          <w:p w14:paraId="2368AB07">
            <w:pPr>
              <w:spacing w:line="400" w:lineRule="exact"/>
              <w:rPr>
                <w:rFonts w:ascii="宋体" w:hAnsi="宋体" w:cs="宋体"/>
                <w:color w:val="auto"/>
                <w:szCs w:val="21"/>
                <w:highlight w:val="none"/>
              </w:rPr>
            </w:pPr>
            <w:r>
              <w:rPr>
                <w:rFonts w:hint="eastAsia" w:ascii="宋体" w:hAnsi="宋体" w:cs="宋体"/>
                <w:color w:val="auto"/>
                <w:szCs w:val="21"/>
                <w:highlight w:val="none"/>
              </w:rPr>
              <w:t>5、试剂在使用过程中，如有任何质量问题，竞标人承诺于3小时内答复，12小时内到达采购人现场，排除故障直至保证试剂能够正常使用（各分项有特殊要求的按各分项要求执行）。</w:t>
            </w:r>
          </w:p>
        </w:tc>
      </w:tr>
      <w:tr w14:paraId="2C7E0647">
        <w:tblPrEx>
          <w:shd w:val="clear" w:color="auto" w:fill="FFFFFF"/>
          <w:tblCellMar>
            <w:top w:w="0" w:type="dxa"/>
            <w:left w:w="108" w:type="dxa"/>
            <w:bottom w:w="0" w:type="dxa"/>
            <w:right w:w="108" w:type="dxa"/>
          </w:tblCellMar>
        </w:tblPrEx>
        <w:trPr>
          <w:trHeight w:val="660" w:hRule="atLeast"/>
          <w:jc w:val="center"/>
        </w:trPr>
        <w:tc>
          <w:tcPr>
            <w:tcW w:w="2595" w:type="dxa"/>
            <w:tcBorders>
              <w:top w:val="single" w:color="000000" w:sz="4" w:space="0"/>
              <w:left w:val="single" w:color="000000" w:sz="4" w:space="0"/>
              <w:bottom w:val="single" w:color="000000" w:sz="4" w:space="0"/>
              <w:right w:val="single" w:color="000000" w:sz="4" w:space="0"/>
            </w:tcBorders>
            <w:shd w:val="clear" w:color="auto" w:fill="FFFFFF"/>
            <w:noWrap/>
            <w:vAlign w:val="top"/>
          </w:tcPr>
          <w:p w14:paraId="4CC4EA36">
            <w:pPr>
              <w:spacing w:before="241" w:line="231" w:lineRule="auto"/>
              <w:ind w:left="0" w:leftChars="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w:t>
            </w:r>
            <w:r>
              <w:rPr>
                <w:rFonts w:ascii="宋体" w:hAnsi="宋体" w:eastAsia="宋体" w:cs="宋体"/>
                <w:color w:val="auto"/>
                <w:spacing w:val="7"/>
                <w:sz w:val="20"/>
                <w:szCs w:val="20"/>
                <w:highlight w:val="none"/>
              </w:rPr>
              <w:t>合同签订</w:t>
            </w:r>
            <w:r>
              <w:rPr>
                <w:rFonts w:hint="eastAsia" w:ascii="宋体" w:hAnsi="宋体" w:cs="宋体"/>
                <w:color w:val="auto"/>
                <w:spacing w:val="7"/>
                <w:sz w:val="20"/>
                <w:szCs w:val="20"/>
                <w:highlight w:val="none"/>
                <w:lang w:val="en-US" w:eastAsia="zh-CN"/>
              </w:rPr>
              <w:t>时间</w:t>
            </w:r>
          </w:p>
        </w:tc>
        <w:tc>
          <w:tcPr>
            <w:tcW w:w="6725" w:type="dxa"/>
            <w:tcBorders>
              <w:top w:val="single" w:color="000000" w:sz="4" w:space="0"/>
              <w:left w:val="single" w:color="000000" w:sz="4" w:space="0"/>
              <w:bottom w:val="single" w:color="000000" w:sz="4" w:space="0"/>
              <w:right w:val="single" w:color="000000" w:sz="4" w:space="0"/>
            </w:tcBorders>
            <w:shd w:val="clear" w:color="auto" w:fill="FFFFFF"/>
            <w:noWrap/>
            <w:vAlign w:val="top"/>
          </w:tcPr>
          <w:p w14:paraId="474EBC88">
            <w:pPr>
              <w:spacing w:before="241" w:line="228" w:lineRule="auto"/>
              <w:ind w:left="0" w:leftChars="0"/>
              <w:jc w:val="both"/>
              <w:rPr>
                <w:rFonts w:hint="eastAsia" w:ascii="宋体" w:hAnsi="宋体" w:cs="宋体"/>
                <w:color w:val="auto"/>
                <w:szCs w:val="21"/>
                <w:highlight w:val="none"/>
              </w:rPr>
            </w:pPr>
            <w:r>
              <w:rPr>
                <w:rFonts w:ascii="宋体" w:hAnsi="宋体" w:eastAsia="宋体" w:cs="宋体"/>
                <w:color w:val="auto"/>
                <w:spacing w:val="2"/>
                <w:sz w:val="20"/>
                <w:szCs w:val="20"/>
                <w:highlight w:val="none"/>
              </w:rPr>
              <w:t>自成交通知书发出之日起</w:t>
            </w:r>
            <w:r>
              <w:rPr>
                <w:rFonts w:ascii="宋体" w:hAnsi="宋体" w:eastAsia="宋体" w:cs="宋体"/>
                <w:color w:val="auto"/>
                <w:spacing w:val="-35"/>
                <w:sz w:val="20"/>
                <w:szCs w:val="20"/>
                <w:highlight w:val="none"/>
              </w:rPr>
              <w:t xml:space="preserve"> </w:t>
            </w:r>
            <w:r>
              <w:rPr>
                <w:rFonts w:ascii="宋体" w:hAnsi="宋体" w:eastAsia="宋体" w:cs="宋体"/>
                <w:color w:val="auto"/>
                <w:spacing w:val="2"/>
                <w:sz w:val="20"/>
                <w:szCs w:val="20"/>
                <w:highlight w:val="none"/>
              </w:rPr>
              <w:t>25 日内。</w:t>
            </w:r>
          </w:p>
        </w:tc>
      </w:tr>
      <w:tr w14:paraId="3C80401D">
        <w:tblPrEx>
          <w:shd w:val="clear" w:color="auto" w:fill="FFFFFF"/>
          <w:tblCellMar>
            <w:top w:w="0" w:type="dxa"/>
            <w:left w:w="108" w:type="dxa"/>
            <w:bottom w:w="0" w:type="dxa"/>
            <w:right w:w="108" w:type="dxa"/>
          </w:tblCellMar>
        </w:tblPrEx>
        <w:trPr>
          <w:trHeight w:val="660" w:hRule="atLeast"/>
          <w:jc w:val="center"/>
        </w:trPr>
        <w:tc>
          <w:tcPr>
            <w:tcW w:w="25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465BD">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▲交货时间及地点</w:t>
            </w:r>
          </w:p>
        </w:tc>
        <w:tc>
          <w:tcPr>
            <w:tcW w:w="6725" w:type="dxa"/>
            <w:tcBorders>
              <w:top w:val="single" w:color="000000" w:sz="4" w:space="0"/>
              <w:left w:val="single" w:color="000000" w:sz="4" w:space="0"/>
              <w:bottom w:val="single" w:color="000000" w:sz="4" w:space="0"/>
              <w:right w:val="single" w:color="000000" w:sz="4" w:space="0"/>
            </w:tcBorders>
            <w:shd w:val="clear" w:color="auto" w:fill="FFFFFF"/>
            <w:noWrap/>
          </w:tcPr>
          <w:p w14:paraId="2608EE33">
            <w:pPr>
              <w:snapToGrid w:val="0"/>
              <w:spacing w:line="400" w:lineRule="exact"/>
              <w:outlineLvl w:val="0"/>
              <w:rPr>
                <w:rFonts w:ascii="宋体" w:hAnsi="宋体" w:cs="宋体"/>
                <w:color w:val="auto"/>
                <w:kern w:val="0"/>
                <w:szCs w:val="21"/>
                <w:highlight w:val="none"/>
              </w:rPr>
            </w:pPr>
            <w:r>
              <w:rPr>
                <w:rFonts w:hint="eastAsia" w:ascii="宋体" w:hAnsi="宋体" w:cs="宋体"/>
                <w:color w:val="auto"/>
                <w:kern w:val="0"/>
                <w:szCs w:val="21"/>
                <w:highlight w:val="none"/>
                <w:lang w:val="zh-CN"/>
              </w:rPr>
              <w:t>交货时间：按采购人提供的供货计划分批供货，接到配送计划后由供应商在10个工作日内配送到交货地点(或至实际采购金额支付满82.1万元止)。</w:t>
            </w:r>
          </w:p>
          <w:p w14:paraId="1CE7D0BC">
            <w:pPr>
              <w:snapToGrid w:val="0"/>
              <w:spacing w:line="400" w:lineRule="exact"/>
              <w:outlineLvl w:val="0"/>
              <w:rPr>
                <w:rFonts w:ascii="宋体" w:hAnsi="宋体" w:cs="宋体"/>
                <w:color w:val="auto"/>
                <w:szCs w:val="21"/>
                <w:highlight w:val="none"/>
              </w:rPr>
            </w:pPr>
            <w:r>
              <w:rPr>
                <w:rFonts w:hint="eastAsia" w:ascii="宋体" w:hAnsi="宋体" w:cs="宋体"/>
                <w:color w:val="auto"/>
                <w:kern w:val="0"/>
                <w:szCs w:val="21"/>
                <w:highlight w:val="none"/>
              </w:rPr>
              <w:t>交货地点：</w:t>
            </w:r>
            <w:r>
              <w:rPr>
                <w:rFonts w:hint="eastAsia" w:ascii="宋体" w:hAnsi="宋体" w:cs="宋体"/>
                <w:color w:val="auto"/>
                <w:kern w:val="0"/>
                <w:szCs w:val="21"/>
                <w:highlight w:val="none"/>
                <w:lang w:val="zh-CN"/>
              </w:rPr>
              <w:t>广西防城港市内（采购单位指定地点）。</w:t>
            </w:r>
          </w:p>
        </w:tc>
      </w:tr>
      <w:tr w14:paraId="2F995FAF">
        <w:tblPrEx>
          <w:shd w:val="clear" w:color="auto" w:fill="FFFFFF"/>
          <w:tblCellMar>
            <w:top w:w="0" w:type="dxa"/>
            <w:left w:w="108" w:type="dxa"/>
            <w:bottom w:w="0" w:type="dxa"/>
            <w:right w:w="108" w:type="dxa"/>
          </w:tblCellMar>
        </w:tblPrEx>
        <w:trPr>
          <w:trHeight w:val="660" w:hRule="atLeast"/>
          <w:jc w:val="center"/>
        </w:trPr>
        <w:tc>
          <w:tcPr>
            <w:tcW w:w="25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20FDDB">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▲付款条件</w:t>
            </w:r>
          </w:p>
        </w:tc>
        <w:tc>
          <w:tcPr>
            <w:tcW w:w="6725" w:type="dxa"/>
            <w:tcBorders>
              <w:top w:val="single" w:color="000000" w:sz="4" w:space="0"/>
              <w:left w:val="single" w:color="000000" w:sz="4" w:space="0"/>
              <w:bottom w:val="single" w:color="000000" w:sz="4" w:space="0"/>
              <w:right w:val="single" w:color="000000" w:sz="4" w:space="0"/>
            </w:tcBorders>
            <w:shd w:val="clear" w:color="auto" w:fill="FFFFFF"/>
            <w:noWrap/>
          </w:tcPr>
          <w:p w14:paraId="4DEEE2FE">
            <w:pPr>
              <w:snapToGrid w:val="0"/>
              <w:spacing w:line="400" w:lineRule="exact"/>
              <w:outlineLvl w:val="0"/>
              <w:rPr>
                <w:rFonts w:ascii="宋体" w:hAnsi="宋体" w:cs="宋体"/>
                <w:color w:val="auto"/>
                <w:szCs w:val="21"/>
                <w:highlight w:val="none"/>
              </w:rPr>
            </w:pPr>
            <w:r>
              <w:rPr>
                <w:rFonts w:hint="eastAsia" w:ascii="宋体" w:hAnsi="宋体" w:cs="宋体"/>
                <w:color w:val="auto"/>
                <w:kern w:val="0"/>
                <w:szCs w:val="21"/>
                <w:highlight w:val="none"/>
                <w:lang w:val="zh-CN"/>
              </w:rPr>
              <w:t>每批货验收合格</w:t>
            </w:r>
            <w:r>
              <w:rPr>
                <w:rFonts w:hint="eastAsia" w:ascii="宋体" w:hAnsi="宋体" w:cs="宋体"/>
                <w:color w:val="auto"/>
                <w:kern w:val="0"/>
                <w:szCs w:val="21"/>
                <w:highlight w:val="none"/>
              </w:rPr>
              <w:t>后</w:t>
            </w:r>
            <w:r>
              <w:rPr>
                <w:rFonts w:hint="eastAsia" w:ascii="宋体" w:hAnsi="宋体" w:cs="宋体"/>
                <w:color w:val="auto"/>
                <w:kern w:val="0"/>
                <w:szCs w:val="21"/>
                <w:highlight w:val="none"/>
                <w:lang w:val="zh-CN"/>
              </w:rPr>
              <w:t>，供应商开具请款函及发票给采购人，采购人在</w:t>
            </w:r>
            <w:r>
              <w:rPr>
                <w:rFonts w:hint="eastAsia" w:ascii="宋体" w:hAnsi="宋体" w:cs="宋体"/>
                <w:bCs/>
                <w:color w:val="auto"/>
                <w:szCs w:val="21"/>
                <w:highlight w:val="none"/>
              </w:rPr>
              <w:t>该</w:t>
            </w:r>
            <w:r>
              <w:rPr>
                <w:rFonts w:hint="eastAsia" w:ascii="宋体" w:hAnsi="宋体" w:cs="宋体"/>
                <w:bCs/>
                <w:color w:val="auto"/>
                <w:szCs w:val="21"/>
                <w:highlight w:val="none"/>
                <w:lang w:val="zh-CN"/>
              </w:rPr>
              <w:t>项目具备支付条件</w:t>
            </w:r>
            <w:r>
              <w:rPr>
                <w:rFonts w:hint="eastAsia" w:ascii="宋体" w:hAnsi="宋体" w:cs="宋体"/>
                <w:bCs/>
                <w:color w:val="auto"/>
                <w:szCs w:val="21"/>
                <w:highlight w:val="none"/>
              </w:rPr>
              <w:t>后</w:t>
            </w:r>
            <w:r>
              <w:rPr>
                <w:rFonts w:hint="eastAsia" w:ascii="宋体" w:hAnsi="宋体" w:cs="宋体"/>
                <w:color w:val="auto"/>
                <w:kern w:val="0"/>
                <w:szCs w:val="21"/>
                <w:highlight w:val="none"/>
              </w:rPr>
              <w:t>15</w:t>
            </w:r>
            <w:r>
              <w:rPr>
                <w:rFonts w:hint="eastAsia" w:ascii="宋体" w:hAnsi="宋体" w:cs="宋体"/>
                <w:color w:val="auto"/>
                <w:kern w:val="0"/>
                <w:szCs w:val="21"/>
                <w:highlight w:val="none"/>
                <w:lang w:val="zh-CN"/>
              </w:rPr>
              <w:t>个工作日内，支付该批货物全部合同款给供应商。</w:t>
            </w:r>
          </w:p>
        </w:tc>
      </w:tr>
      <w:tr w14:paraId="631EC858">
        <w:tblPrEx>
          <w:shd w:val="clear" w:color="auto" w:fill="FFFFFF"/>
          <w:tblCellMar>
            <w:top w:w="0" w:type="dxa"/>
            <w:left w:w="108" w:type="dxa"/>
            <w:bottom w:w="0" w:type="dxa"/>
            <w:right w:w="108" w:type="dxa"/>
          </w:tblCellMar>
        </w:tblPrEx>
        <w:trPr>
          <w:trHeight w:val="660" w:hRule="atLeast"/>
          <w:jc w:val="center"/>
        </w:trPr>
        <w:tc>
          <w:tcPr>
            <w:tcW w:w="25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69717">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其他要求</w:t>
            </w:r>
          </w:p>
        </w:tc>
        <w:tc>
          <w:tcPr>
            <w:tcW w:w="6725" w:type="dxa"/>
            <w:tcBorders>
              <w:top w:val="single" w:color="000000" w:sz="4" w:space="0"/>
              <w:left w:val="single" w:color="000000" w:sz="4" w:space="0"/>
              <w:bottom w:val="single" w:color="000000" w:sz="4" w:space="0"/>
              <w:right w:val="single" w:color="000000" w:sz="4" w:space="0"/>
            </w:tcBorders>
            <w:shd w:val="clear" w:color="auto" w:fill="FFFFFF"/>
            <w:noWrap/>
          </w:tcPr>
          <w:p w14:paraId="04B82FAB">
            <w:pPr>
              <w:spacing w:line="400" w:lineRule="exact"/>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zh-CN"/>
              </w:rPr>
              <w:t>1、</w:t>
            </w:r>
            <w:r>
              <w:rPr>
                <w:rFonts w:hint="eastAsia" w:ascii="宋体" w:hAnsi="宋体" w:cs="宋体"/>
                <w:color w:val="auto"/>
                <w:szCs w:val="21"/>
                <w:highlight w:val="none"/>
              </w:rPr>
              <w:t>成交供应商保证向采购人提供的货物是全新、完整、未使用过的。</w:t>
            </w:r>
          </w:p>
          <w:p w14:paraId="711B007D">
            <w:pPr>
              <w:spacing w:line="400" w:lineRule="exact"/>
              <w:rPr>
                <w:rFonts w:ascii="宋体" w:hAnsi="宋体" w:cs="宋体"/>
                <w:color w:val="auto"/>
                <w:szCs w:val="21"/>
                <w:highlight w:val="none"/>
              </w:rPr>
            </w:pPr>
            <w:r>
              <w:rPr>
                <w:rFonts w:hint="eastAsia" w:ascii="宋体" w:hAnsi="宋体" w:cs="宋体"/>
                <w:color w:val="auto"/>
                <w:szCs w:val="21"/>
                <w:highlight w:val="none"/>
              </w:rPr>
              <w:t>2、如国家对竞标产品实行注册证登记管理制度的，则竞标人应在响应文件中提供竞标产品的注册证复印件等证明文件。</w:t>
            </w:r>
          </w:p>
        </w:tc>
      </w:tr>
      <w:tr w14:paraId="1178CD0F">
        <w:tblPrEx>
          <w:shd w:val="clear" w:color="auto" w:fill="FFFFFF"/>
          <w:tblCellMar>
            <w:top w:w="0" w:type="dxa"/>
            <w:left w:w="108" w:type="dxa"/>
            <w:bottom w:w="0" w:type="dxa"/>
            <w:right w:w="108" w:type="dxa"/>
          </w:tblCellMar>
        </w:tblPrEx>
        <w:trPr>
          <w:trHeight w:val="90" w:hRule="atLeast"/>
          <w:jc w:val="center"/>
        </w:trPr>
        <w:tc>
          <w:tcPr>
            <w:tcW w:w="25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35CFA">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▲履约保证金</w:t>
            </w:r>
          </w:p>
        </w:tc>
        <w:tc>
          <w:tcPr>
            <w:tcW w:w="6725" w:type="dxa"/>
            <w:tcBorders>
              <w:top w:val="single" w:color="000000" w:sz="4" w:space="0"/>
              <w:left w:val="single" w:color="000000" w:sz="4" w:space="0"/>
              <w:bottom w:val="single" w:color="000000" w:sz="4" w:space="0"/>
              <w:right w:val="single" w:color="000000" w:sz="4" w:space="0"/>
            </w:tcBorders>
            <w:shd w:val="clear" w:color="auto" w:fill="FFFFFF"/>
            <w:noWrap/>
          </w:tcPr>
          <w:p w14:paraId="3C3E8622">
            <w:pPr>
              <w:spacing w:line="400" w:lineRule="exact"/>
              <w:rPr>
                <w:rFonts w:ascii="宋体" w:hAnsi="宋体" w:cs="宋体"/>
                <w:color w:val="auto"/>
                <w:szCs w:val="21"/>
                <w:highlight w:val="none"/>
              </w:rPr>
            </w:pPr>
            <w:r>
              <w:rPr>
                <w:rFonts w:hint="eastAsia" w:ascii="宋体" w:hAnsi="宋体" w:cs="宋体"/>
                <w:color w:val="auto"/>
                <w:spacing w:val="-6"/>
                <w:szCs w:val="21"/>
                <w:highlight w:val="none"/>
              </w:rPr>
              <w:t>签订合同前，成交供应商按合同金额的</w:t>
            </w:r>
            <w:r>
              <w:rPr>
                <w:rFonts w:hint="eastAsia" w:ascii="宋体" w:hAnsi="宋体" w:cs="宋体"/>
                <w:color w:val="auto"/>
                <w:szCs w:val="21"/>
                <w:highlight w:val="none"/>
              </w:rPr>
              <w:t>1</w:t>
            </w:r>
            <w:r>
              <w:rPr>
                <w:rFonts w:hint="eastAsia" w:ascii="宋体" w:hAnsi="宋体" w:cs="宋体"/>
                <w:color w:val="auto"/>
                <w:spacing w:val="-1"/>
                <w:szCs w:val="21"/>
                <w:highlight w:val="none"/>
              </w:rPr>
              <w:t>%</w:t>
            </w:r>
            <w:r>
              <w:rPr>
                <w:rFonts w:hint="eastAsia" w:ascii="宋体" w:hAnsi="宋体" w:cs="宋体"/>
                <w:color w:val="auto"/>
                <w:szCs w:val="21"/>
                <w:highlight w:val="none"/>
              </w:rPr>
              <w:t>向采购人</w:t>
            </w:r>
            <w:r>
              <w:rPr>
                <w:rFonts w:hint="eastAsia" w:ascii="宋体" w:hAnsi="宋体" w:cs="宋体"/>
                <w:color w:val="auto"/>
                <w:spacing w:val="-1"/>
                <w:szCs w:val="21"/>
                <w:highlight w:val="none"/>
              </w:rPr>
              <w:t>指定账户交纳履约保证金。</w:t>
            </w:r>
            <w:r>
              <w:rPr>
                <w:rFonts w:hint="eastAsia" w:ascii="宋体" w:hAnsi="宋体" w:cs="宋体"/>
                <w:color w:val="auto"/>
                <w:szCs w:val="21"/>
                <w:highlight w:val="none"/>
                <w:u w:val="single"/>
              </w:rPr>
              <w:t>货物全部验收合格后，货物在质保期内若无质量问题，质保期满后，凭成交供应商申请书退还履约保证金，</w:t>
            </w:r>
            <w:r>
              <w:rPr>
                <w:rFonts w:hint="eastAsia" w:ascii="宋体" w:hAnsi="宋体"/>
                <w:color w:val="auto"/>
                <w:szCs w:val="21"/>
                <w:highlight w:val="none"/>
                <w:u w:val="single"/>
              </w:rPr>
              <w:t>甲方在5个工作日内办理退还手续</w:t>
            </w:r>
            <w:r>
              <w:rPr>
                <w:rFonts w:hint="eastAsia" w:ascii="宋体" w:hAnsi="宋体" w:cs="宋体"/>
                <w:color w:val="auto"/>
                <w:szCs w:val="21"/>
                <w:highlight w:val="none"/>
                <w:u w:val="single"/>
              </w:rPr>
              <w:t>（不计利息）。</w:t>
            </w:r>
          </w:p>
        </w:tc>
      </w:tr>
    </w:tbl>
    <w:p w14:paraId="380240E8">
      <w:pPr>
        <w:rPr>
          <w:color w:val="auto"/>
          <w:szCs w:val="21"/>
          <w:highlight w:val="none"/>
        </w:rPr>
      </w:pPr>
    </w:p>
    <w:p w14:paraId="05F8C9D9">
      <w:pPr>
        <w:rPr>
          <w:color w:val="auto"/>
          <w:highlight w:val="none"/>
        </w:rPr>
      </w:pPr>
      <w:r>
        <w:rPr>
          <w:color w:val="auto"/>
          <w:highlight w:val="none"/>
        </w:rPr>
        <w:t>标项</w:t>
      </w:r>
      <w:r>
        <w:rPr>
          <w:rFonts w:hint="eastAsia"/>
          <w:color w:val="auto"/>
          <w:highlight w:val="none"/>
        </w:rPr>
        <w:t>二：试剂耗材（PCR类）采购</w:t>
      </w:r>
    </w:p>
    <w:p w14:paraId="75813086">
      <w:pPr>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说明：</w:t>
      </w:r>
    </w:p>
    <w:p w14:paraId="2056796C">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1、采购需求中如出现品牌、型号或者生产厂家等均仅起参考作用，不属于指定品牌、型号或者生产厂家的情形，供应商可参照或者选用其他相当的品牌、型号或者生产供应商替代。但供应商的产品实质上应相当于或优于本需求</w:t>
      </w:r>
      <w:r>
        <w:rPr>
          <w:rFonts w:hAnsi="宋体"/>
          <w:b/>
          <w:bCs/>
          <w:color w:val="auto"/>
          <w:highlight w:val="none"/>
        </w:rPr>
        <w:t>中</w:t>
      </w:r>
      <w:r>
        <w:rPr>
          <w:rFonts w:hint="eastAsia" w:hAnsi="宋体"/>
          <w:b/>
          <w:bCs/>
          <w:color w:val="auto"/>
          <w:highlight w:val="none"/>
        </w:rPr>
        <w:t>的技术要求。</w:t>
      </w:r>
    </w:p>
    <w:p w14:paraId="4EC9EAC2">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2、</w:t>
      </w:r>
      <w:r>
        <w:rPr>
          <w:rFonts w:hAnsi="宋体"/>
          <w:b/>
          <w:bCs/>
          <w:color w:val="auto"/>
          <w:highlight w:val="none"/>
        </w:rPr>
        <w:t>凡在“</w:t>
      </w:r>
      <w:r>
        <w:rPr>
          <w:rFonts w:hint="eastAsia" w:hAnsi="宋体"/>
          <w:b/>
          <w:bCs/>
          <w:color w:val="auto"/>
          <w:highlight w:val="none"/>
        </w:rPr>
        <w:t>技术要求</w:t>
      </w:r>
      <w:r>
        <w:rPr>
          <w:rFonts w:hAnsi="宋体"/>
          <w:b/>
          <w:bCs/>
          <w:color w:val="auto"/>
          <w:highlight w:val="none"/>
        </w:rPr>
        <w:t>”中表述为“标配”或“标准配置”的设备，供应商应在</w:t>
      </w:r>
      <w:r>
        <w:rPr>
          <w:rFonts w:hint="eastAsia" w:hAnsi="宋体"/>
          <w:b/>
          <w:bCs/>
          <w:color w:val="auto"/>
          <w:highlight w:val="none"/>
        </w:rPr>
        <w:t>货物配置清单</w:t>
      </w:r>
      <w:r>
        <w:rPr>
          <w:rFonts w:hAnsi="宋体"/>
          <w:b/>
          <w:bCs/>
          <w:color w:val="auto"/>
          <w:highlight w:val="none"/>
        </w:rPr>
        <w:t>中将其标配参数详细列明。</w:t>
      </w:r>
    </w:p>
    <w:p w14:paraId="003CF90E">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3、</w:t>
      </w:r>
      <w:r>
        <w:rPr>
          <w:rFonts w:hAnsi="宋体"/>
          <w:b/>
          <w:bCs/>
          <w:color w:val="auto"/>
          <w:highlight w:val="none"/>
        </w:rPr>
        <w:t>根据《财政部 发展改革委 生态环境部 市场监管总局关于调整优化节能产品、环境标志产品政府采购执行机制的通知》（财库〔2019〕9 号）和《关于印发节能产品政府采购品目清单的通知》（财库〔2019〕19 号）的规定，采购需求中的产品属于节能产品政府采购品目清单内标注“★”的（详见本章后附的节能产品政府采购品目清单），供应商的竞标货物必须使用政府强制采购的节能产品，否则响应文件作无效响应处理。</w:t>
      </w:r>
    </w:p>
    <w:p w14:paraId="45BB44F9">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4、如供应商竞标产品存在侵犯他人的知识产权或者专利成果行为的，由供应商自行承担相应法律责任。</w:t>
      </w:r>
    </w:p>
    <w:p w14:paraId="27EB5882">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5、“实质性要求”是指竞争性谈判文件中已经指明不满足则响应无效的条款，或者不能负偏离的条款，或者采购需求中带“▲”的条款。注：技术要求评审中每分标除三角符号允许负偏离的条款数为3项</w:t>
      </w:r>
    </w:p>
    <w:p w14:paraId="571F177D">
      <w:pPr>
        <w:spacing w:line="360" w:lineRule="exact"/>
        <w:ind w:left="-10" w:leftChars="-5" w:right="2" w:rightChars="1" w:firstLine="422" w:firstLineChars="200"/>
        <w:rPr>
          <w:rFonts w:hAnsi="宋体"/>
          <w:b/>
          <w:bCs/>
          <w:color w:val="auto"/>
          <w:highlight w:val="none"/>
        </w:rPr>
      </w:pPr>
      <w:r>
        <w:rPr>
          <w:rFonts w:hint="eastAsia" w:hAnsi="宋体"/>
          <w:b/>
          <w:bCs/>
          <w:color w:val="auto"/>
          <w:highlight w:val="none"/>
        </w:rPr>
        <w:t>6、供应商应根据自身实际情况如实响应竞争性谈判文件。</w:t>
      </w:r>
    </w:p>
    <w:p w14:paraId="4B389FD7">
      <w:pPr>
        <w:spacing w:line="312" w:lineRule="auto"/>
        <w:ind w:firstLine="738" w:firstLineChars="350"/>
        <w:jc w:val="left"/>
        <w:rPr>
          <w:rFonts w:hAnsi="宋体"/>
          <w:b/>
          <w:bCs/>
          <w:color w:val="auto"/>
          <w:highlight w:val="none"/>
        </w:rPr>
      </w:pPr>
      <w:r>
        <w:rPr>
          <w:rFonts w:hint="eastAsia" w:hAnsi="宋体"/>
          <w:b/>
          <w:bCs/>
          <w:color w:val="auto"/>
          <w:highlight w:val="none"/>
        </w:rPr>
        <w:t>分标2：（采购预算金额：</w:t>
      </w:r>
      <w:r>
        <w:rPr>
          <w:rFonts w:hint="eastAsia"/>
          <w:color w:val="auto"/>
          <w:kern w:val="0"/>
          <w:szCs w:val="21"/>
          <w:highlight w:val="none"/>
        </w:rPr>
        <w:t>1600000.00</w:t>
      </w:r>
      <w:r>
        <w:rPr>
          <w:rFonts w:hint="eastAsia" w:hAnsi="宋体"/>
          <w:b/>
          <w:bCs/>
          <w:color w:val="auto"/>
          <w:highlight w:val="none"/>
        </w:rPr>
        <w:t>元；最高限价：</w:t>
      </w:r>
      <w:r>
        <w:rPr>
          <w:rFonts w:hint="eastAsia"/>
          <w:color w:val="auto"/>
          <w:kern w:val="0"/>
          <w:szCs w:val="21"/>
          <w:highlight w:val="none"/>
        </w:rPr>
        <w:t>1600000.00</w:t>
      </w:r>
      <w:r>
        <w:rPr>
          <w:rFonts w:hint="eastAsia" w:hAnsi="宋体"/>
          <w:b/>
          <w:bCs/>
          <w:color w:val="auto"/>
          <w:highlight w:val="none"/>
        </w:rPr>
        <w:t>元）</w:t>
      </w:r>
    </w:p>
    <w:p w14:paraId="3E565421">
      <w:pPr>
        <w:spacing w:line="360" w:lineRule="exact"/>
        <w:ind w:left="-10" w:leftChars="-5" w:right="2" w:rightChars="1" w:firstLine="422" w:firstLineChars="200"/>
        <w:rPr>
          <w:rFonts w:hAnsi="宋体"/>
          <w:b/>
          <w:bCs/>
          <w:color w:val="auto"/>
          <w:highlight w:val="none"/>
        </w:rPr>
      </w:pPr>
    </w:p>
    <w:tbl>
      <w:tblPr>
        <w:tblStyle w:val="51"/>
        <w:tblW w:w="5000" w:type="pct"/>
        <w:tblInd w:w="0" w:type="dxa"/>
        <w:tblLayout w:type="autofit"/>
        <w:tblCellMar>
          <w:top w:w="0" w:type="dxa"/>
          <w:left w:w="108" w:type="dxa"/>
          <w:bottom w:w="0" w:type="dxa"/>
          <w:right w:w="108" w:type="dxa"/>
        </w:tblCellMar>
      </w:tblPr>
      <w:tblGrid>
        <w:gridCol w:w="486"/>
        <w:gridCol w:w="3090"/>
        <w:gridCol w:w="4626"/>
        <w:gridCol w:w="778"/>
        <w:gridCol w:w="591"/>
      </w:tblGrid>
      <w:tr w14:paraId="7AC59B0C">
        <w:tblPrEx>
          <w:tblCellMar>
            <w:top w:w="0" w:type="dxa"/>
            <w:left w:w="108" w:type="dxa"/>
            <w:bottom w:w="0" w:type="dxa"/>
            <w:right w:w="108" w:type="dxa"/>
          </w:tblCellMar>
        </w:tblPrEx>
        <w:trPr>
          <w:trHeight w:val="399"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0567">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一、技术要求表</w:t>
            </w:r>
          </w:p>
        </w:tc>
      </w:tr>
      <w:tr w14:paraId="3BC4A952">
        <w:tblPrEx>
          <w:tblCellMar>
            <w:top w:w="0" w:type="dxa"/>
            <w:left w:w="108" w:type="dxa"/>
            <w:bottom w:w="0" w:type="dxa"/>
            <w:right w:w="108" w:type="dxa"/>
          </w:tblCellMar>
        </w:tblPrEx>
        <w:trPr>
          <w:trHeight w:val="762" w:hRule="atLeast"/>
        </w:trPr>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8E655">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序号</w:t>
            </w:r>
          </w:p>
        </w:tc>
        <w:tc>
          <w:tcPr>
            <w:tcW w:w="1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9A4A">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产品名称</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AECE3">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项目要求及技术需求</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D21D">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数量</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B9BA">
            <w:pPr>
              <w:widowControl/>
              <w:jc w:val="center"/>
              <w:textAlignment w:val="center"/>
              <w:rPr>
                <w:rFonts w:ascii="宋体" w:hAnsi="宋体" w:cs="宋体"/>
                <w:b/>
                <w:bCs/>
                <w:color w:val="auto"/>
                <w:sz w:val="18"/>
                <w:szCs w:val="18"/>
                <w:highlight w:val="none"/>
              </w:rPr>
            </w:pPr>
            <w:r>
              <w:rPr>
                <w:rFonts w:hint="eastAsia" w:ascii="宋体" w:hAnsi="宋体" w:cs="宋体"/>
                <w:b/>
                <w:bCs/>
                <w:color w:val="auto"/>
                <w:kern w:val="0"/>
                <w:sz w:val="18"/>
                <w:szCs w:val="18"/>
                <w:highlight w:val="none"/>
              </w:rPr>
              <w:t>单位</w:t>
            </w:r>
          </w:p>
        </w:tc>
      </w:tr>
      <w:tr w14:paraId="2EA2B9EF">
        <w:tblPrEx>
          <w:tblCellMar>
            <w:top w:w="0" w:type="dxa"/>
            <w:left w:w="108" w:type="dxa"/>
            <w:bottom w:w="0" w:type="dxa"/>
            <w:right w:w="108" w:type="dxa"/>
          </w:tblCellMar>
        </w:tblPrEx>
        <w:trPr>
          <w:trHeight w:val="3049"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8FF12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D03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全国发热伴出血症候群核酸检测试剂盒（TaqMan探针法）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D2CF3">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全血、血清及培养物中提取的大别班达病毒、汉滩病毒、首尔病毒、普马拉病毒、登革病毒、克里米亚刚果出血热病毒、湿地内罗病毒、钩端螺旋体、人嗜吞噬细胞无形体、猪链球菌、鄂木斯克出血热病毒、卡萨诺尔森林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default" w:ascii="宋体" w:hAnsi="宋体" w:eastAsia="宋体" w:cs="宋体"/>
                <w:color w:val="auto"/>
                <w:highlight w:val="none"/>
              </w:rPr>
              <w:t>≥</w:t>
            </w:r>
            <w:r>
              <w:rPr>
                <w:rStyle w:val="251"/>
                <w:rFonts w:hint="eastAsia" w:ascii="宋体" w:hAnsi="宋体" w:cs="宋体"/>
                <w:color w:val="auto"/>
                <w:highlight w:val="none"/>
                <w:lang w:val="en-US" w:eastAsia="zh-CN"/>
              </w:rPr>
              <w:t>24</w:t>
            </w:r>
            <w:r>
              <w:rPr>
                <w:rStyle w:val="251"/>
                <w:rFonts w:hint="default" w:ascii="宋体" w:hAnsi="宋体" w:eastAsia="宋体" w:cs="宋体"/>
                <w:color w:val="auto"/>
                <w:highlight w:val="none"/>
                <w:lang w:val="en-US" w:eastAsia="zh-CN"/>
              </w:rPr>
              <w:t>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▲3.检测性能：灵敏度最低500copies/mL，与其他病原菌均无交叉反应。</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 xml:space="preserve">4.检测时间：可提供可拆卸的96孔板0.1ml或0.2ml包装，每个反应孔核酸体积≤5μL，终体积≤25μL，核酸上样孔数≤4孔，同品牌多个不同试剂可使用同一扩增程序上机使用。反应理论时间≤38min，反应时长≤70min。 </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6.试剂同品牌厂家提供qPCR分析软件进行多病原核酸检测结果判读，一键即可完成多种病原体的结果判读，判读的试剂盒种类应覆盖≥500种常见病原微生物的核酸检测试剂盒。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E91AA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94678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3CD80BB">
        <w:tblPrEx>
          <w:tblCellMar>
            <w:top w:w="0" w:type="dxa"/>
            <w:left w:w="108" w:type="dxa"/>
            <w:bottom w:w="0" w:type="dxa"/>
            <w:right w:w="108" w:type="dxa"/>
          </w:tblCellMar>
        </w:tblPrEx>
        <w:trPr>
          <w:trHeight w:val="347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80EA2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D4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全国发热伴出疹症候群核酸检测试剂盒（B版本）（TaqMan探针）</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E2AEB">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1.适用范围：适用于定性检测从血液、咽拭子、疱疹液、结痂等样本中提取的风疹病毒、麻疹病毒、人疱疹病毒 6 型、水痘-带状疱疹病毒、肠道病毒、登革病毒、基孔肯雅病毒、伤寒沙门菌、副伤寒沙门菌、A 族链球菌、伯氏疏螺旋体、回归热螺旋体和普氏立克次体的核酸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lang w:val="en-US" w:eastAsia="zh-CN"/>
              </w:rPr>
              <w:t>12T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3.灵敏度最低500copies/mL，与其他病原菌均无交叉反应，试剂盒含有阴性对照及阳性对照，便于结果判定。</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 xml:space="preserve">4.检测时间：可提供可拆卸的96孔板0.1ml或0.2ml包装，每个反应孔核酸体积≤5μL，终体积≤25μL，核酸上样孔数≤5孔，同品牌多个不同试剂可使用同一扩增程序上机使用。反应理论时间≤38min，反应时长≤70min。 </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▲5.为保证生产厂家试剂的生产质量，要求生产环境需进行日常的环境监测，需提供符合行业标准ISO/IEC17043具备悬浮粒子、沉降菌监测能力的证明文件。（投标时需提供第三方验证报告为证）</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6.试剂同品牌厂家提供qPCR分析软件进行多病原核酸检测结果判读，一键即可完成多种病原体的结果判读，判读的试剂盒种类应覆盖≥500种常见病原微生物的核酸检测试剂盒。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9D507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8D619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4664EE0">
        <w:tblPrEx>
          <w:tblCellMar>
            <w:top w:w="0" w:type="dxa"/>
            <w:left w:w="108" w:type="dxa"/>
            <w:bottom w:w="0" w:type="dxa"/>
            <w:right w:w="108" w:type="dxa"/>
          </w:tblCellMar>
        </w:tblPrEx>
        <w:trPr>
          <w:trHeight w:val="261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F5CEA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B71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全国病媒生物蜱传病原核酸检测试剂盒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0159">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寄生蜱、游离蜱等样本提取的大别班达病毒、克里米亚刚果出血热病毒、森林脑炎病毒、斑点热群立克次体、查菲埃立克体、嗜吞噬细胞无形体、贝纳柯克斯体、伯氏疏螺旋体、回归热螺旋体常见蜱传病原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default" w:ascii="宋体" w:hAnsi="宋体" w:eastAsia="宋体" w:cs="宋体"/>
                <w:color w:val="auto"/>
                <w:highlight w:val="none"/>
              </w:rPr>
              <w:t>≥</w:t>
            </w:r>
            <w:r>
              <w:rPr>
                <w:rStyle w:val="251"/>
                <w:rFonts w:hint="eastAsia" w:ascii="宋体" w:hAnsi="宋体" w:cs="宋体"/>
                <w:color w:val="auto"/>
                <w:highlight w:val="none"/>
                <w:lang w:val="en-US" w:eastAsia="zh-CN"/>
              </w:rPr>
              <w:t>3</w:t>
            </w:r>
            <w:r>
              <w:rPr>
                <w:rStyle w:val="251"/>
                <w:rFonts w:hint="default" w:ascii="宋体" w:hAnsi="宋体" w:eastAsia="宋体" w:cs="宋体"/>
                <w:color w:val="auto"/>
                <w:highlight w:val="none"/>
                <w:lang w:val="en-US" w:eastAsia="zh-CN"/>
              </w:rPr>
              <w:t>2T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2.反应体系：可提供可拆卸的96孔板0.1ml或0.2ml包装，，每个反应孔核酸体积≤5μL，终体积≤25μL，核酸上样孔数≤3孔，同品牌多个不同试剂可使用同一扩增程序上机使用。反应理论时间≤38min，反应时长≤70min。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6.可提供试剂盒同品牌的多病原核酸检测结果判读软件，一键即可完成多种病原体的结果判读，判读的试剂盒种类应覆盖≥500种常见病原微生物的核酸检测试剂盒。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19E03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A9492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3995000">
        <w:tblPrEx>
          <w:tblCellMar>
            <w:top w:w="0" w:type="dxa"/>
            <w:left w:w="108" w:type="dxa"/>
            <w:bottom w:w="0" w:type="dxa"/>
            <w:right w:w="108" w:type="dxa"/>
          </w:tblCellMar>
        </w:tblPrEx>
        <w:trPr>
          <w:trHeight w:val="48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6F23E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50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发热伴血小板减少综合征病毒IgG抗体检测试剂盒（酶联免疫吸附法）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DF2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80C6A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405BE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B400C56">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69300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441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狂犬病病毒核酸实时荧光pcr检测试剂盒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68E64">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1.本试剂适用于定性检测从脑组织、唾液腺、脑脊液中提取的狂犬病病毒核酸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6.可提供试剂盒同品牌的多病原核酸检测结果判读软件，一键即可完成多种病原体的结果判读，判读的试剂盒种类应覆盖≥500种常见病原微生物的核酸检测试剂盒。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7720A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B85C7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BD68131">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9317F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F36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人狂犬病毒IgM抗体ELISA检测试剂盒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264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96人份/盒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13B8C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44078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EC07C1F">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EDC74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A8E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甲型/乙型流感病毒核酸检测试剂(荧光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F2EB6">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1.适用于定性检测从咽拭子、鼻拭子和痰液中提取的甲型、乙型流感病毒核酸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试剂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试剂含有阴性对照及阳性对照，便于结果判定。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E01EB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C7633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F7FC5FE">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9059D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AB2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甲型/乙型流感病毒核酸检测试剂(荧光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186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1.适用于定性检测从咽拭子、鼻拭子和痰液中提取的甲型、乙型流感病毒核酸。</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2、有效期：不少于12个月，到货后质保期不少于10个月，规格：50T/盒。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3、适用仪器：经过多通道校正的全自动荧光PCR检测仪，需含有FAM、VIC(HEX)、ROX和CY5检测通道，如AB17500、Light Cycler 480等。</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▲4、检测性能：灵敏度最高达500CFU/mL，与其他病原菌无交叉反应。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5、检测时间：一次性完成多种核酸的定性检测，反应时长不超过70min。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6、采用预混液技术：反应液1管，酶混合液1管，减少体系配置时间。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7、反应体系：不超过25uL。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8、质量控制：含有阴性对照及阳性对照，便于结果判定。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10.产品名称和规格与前述相同，但为不同厂家产品。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55794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A193C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5AAFA6C">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B3EC3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9B9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甲型H1N1(2009)/季节性流感病毒H3 亚型核酸检测试剂盒(荧光 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C5D27">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1.适用范围：适用于定性检测从临床样本或病毒培养物中提取的甲型H1N1亚型、季节性H3亚型人类流感病毒核酸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2.检测性能：灵敏度最低500copies/mL，与其他病原菌均无交叉反应。</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3.反应体系：可提供除酶以外1管预混液体系工艺，每个反应孔核酸体积≤5μL，终体积≤25μL，核酸上样孔数≤1孔，同品牌多个不同试剂可使用同一扩增程序上机使用。</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4.检测时间：预变性≤30sec，PCR扩增循环数≤45cycles，反应理论时间≤38min，反应时长≤70min。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5.质量控制：含有阴性对照及阳性对照，便于结果判定。</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D1F92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98AEB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B849F08">
        <w:tblPrEx>
          <w:tblCellMar>
            <w:top w:w="0" w:type="dxa"/>
            <w:left w:w="108" w:type="dxa"/>
            <w:bottom w:w="0" w:type="dxa"/>
            <w:right w:w="108" w:type="dxa"/>
          </w:tblCellMar>
        </w:tblPrEx>
        <w:trPr>
          <w:trHeight w:val="261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052B0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ED5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甲型H1N1(2009)/季节性流感病毒H3 亚型核酸检测试剂盒(荧光 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23F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1.适用范围：适用于定性检测从临床样本或病毒培养物中提取的甲型H1N1亚型、季节性H3亚型人类流感病毒核酸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2、有效期：不少于12个月，到货后质保期不少于10个月。</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3、适用仪器：经过多通道校正的全自动荧光PCR检测仪，需含有FAM、VIC(HEX)、ROX和CY5检测通道，如AB17500、Light Cycler 480等。</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4、检测性能：灵敏度最高达500CFU/mL，与其他病原菌无交叉反应。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5、检测时间：一次性完成多种核酸的定性检测，反应时长不超过70min。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▲6、采用预混液技术：反应液1管，酶混合液1管，减少体系配置时间。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7、反应体系：不超过25uL。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8、质量控制：含有阴性对照及阳性对照，便于结果判定。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10.产品名称和规格与前述相同，但为不同厂家产品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E2ECE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45CCE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1587FDC">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4BCAA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43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禽流感病毒H3型核酸检测试剂盒（荧光 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90E65">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1.适用于定性检测从环境样本、咽拭子、鼻拭子和痰液中提取的H3亚型禽流感病毒核酸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AA7D41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613D9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FA364C5">
        <w:tblPrEx>
          <w:tblCellMar>
            <w:top w:w="0" w:type="dxa"/>
            <w:left w:w="108" w:type="dxa"/>
            <w:bottom w:w="0" w:type="dxa"/>
            <w:right w:w="108" w:type="dxa"/>
          </w:tblCellMar>
        </w:tblPrEx>
        <w:trPr>
          <w:trHeight w:val="261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3F313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E0A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禽流感病毒H3 型核酸检测试剂盒（荧光 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046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1.适用于定性检测从环境样本、咽拭子、鼻拭子和痰液中提取的H3亚型禽流感病毒核酸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2、有效期：不少于12个月，到货后质保期不少于10个月。</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3、适用仪器：经过多通道校正的全自动荧光PCR检测仪，需含有FAM、VIC(HEX)、ROX和CY5检测通道，如AB17500、Light Cycler 480等。</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4、检测性能：灵敏度最高达500CFU/mL，与其他病原菌无交叉反应。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5、检测时间：一次性完成多种核酸的定性检测，反应时长不超过70min。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▲6、采用预混液技术：反应液1管，酶混合液1管，减少体系配置时间。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7、反应体系：不超过25uL。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8、质量控制：含有阴性对照及阳性对照，便于结果判定。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10.产品名称和规格与前述相同，但为不同厂家产品。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72267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3D8A2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AABAAE2">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C1DE4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DE5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乙型流感病毒（BV/BY)核酸检测试剂(荧光 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D387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1.适用范围：适用于定性检测从临床样本或病毒培养物中提取的乙型流感病毒（BV/BY)核酸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2.检测性能：灵敏度最低500copies/mL，与其他病原菌均无交叉反应。</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3.反应体系：可提供除酶以外1管预混液体系工艺，每个反应孔核酸体积≤5μL，终体积≤25μL，核酸上样孔数≤1孔，同品牌多个不同试剂可使用同一扩增程序上机使用。</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4.检测时间：预变性≤30sec，PCR扩增循环数≤45cycles，反应理论时间≤38min，反应时长≤70min。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5.质量控制：含有阴性对照及阳性对照，便于结果判定。</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07ECB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74201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C2F5A36">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7C78F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74B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乙型流感病毒（BV/BY)核酸检测试剂(荧光 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83C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1、用于咽拭子样本中，乙型流感病毒Victoria/Yamagata 的病毒核酸的定性检测。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2、有效期：不少于12个月，到货后质保期不少于10个月，规格：50T/盒。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3、适用仪器：经过多通道校正的全自动荧光PCR检测仪，需含有FAM、VIC(HEX)、ROX和CY5检测通道，如AB17500、Light Cycler 480等。</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4、检测性能：灵敏度最高达500CFU/mL，与其他病原菌无交叉反应。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5、检测时间：一次性完成多种核酸的定性检测，反应时长不超过70min。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▲6、采用预混液技术：反应液1管，酶混合液1管，减少体系配置时间。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7、反应体系：不超过25uL。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8、质量控制：含有阴性对照及阳性对照，便于结果判定。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10.产品名称和规格与前述相同，但为不同厂家产品。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FC5A4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452EE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5C45B1A">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78E61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5B1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欧亚类禽猪流感病毒H1N1 亚型核酸检测试剂盒（荧光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79CD">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1.适用于定性检测从临床样本、环境样本及病毒分离物等样本中提取的欧亚类禽型H1N1猪流感病毒</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7FDC67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71EAA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A0C847A">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1C9A6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10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新型冠状病毒核酸检测试剂(荧光PCR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56F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1、适用于口咽拭子、鼻咽拭子等呼吸道样本。</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2、规格：100人份/盒。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3、PCR扩增时间≤80分钟，节省操作时间。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4、含有阴阳性质控品和人源性内标，监测样本的采集、核酸提取、PCR扩增等过程中出现的假阴性。采用UNG酶-dUTP反应体系，防止气溶胶污染导致的假阳性。</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▲5、最低检测限：500copies/ml。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6、适用于ABI 7500等全自动荧光PCR检测仪。</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7、试剂盒组份：2019-nCoV反应液、2019-nCoV 阳性质控品、阴性质控品。</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▲8、需具有国家药品监督管理局注册证。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39B88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7C721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1AA233A">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339F4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998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新型冠状病毒核酸检测试剂(荧光PCR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7FF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50T</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F7337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E059A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F9B81C7">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6D5A9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0E5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新冠核酸检测质控品</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C4D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0.5ml/支，20支/盒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9B50D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41096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F96D3AC">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FD2A9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8B0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2019 新型冠状病毒抗体检测试剂盒（胶体金法）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0D2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20T</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558DD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4FFED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DDBDDD8">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47513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469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禽流感病毒核酸四重实时荧光PCR检测试剂盒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7589F">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1.适用于定性检测从环境样本、咽拭子、鼻拭子和痰液中提取的甲型流感病毒以及H5亚型、H7亚型和H9亚型禽流感病毒核酸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98AC5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310D1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1578EDF">
        <w:tblPrEx>
          <w:tblCellMar>
            <w:top w:w="0" w:type="dxa"/>
            <w:left w:w="108" w:type="dxa"/>
            <w:bottom w:w="0" w:type="dxa"/>
            <w:right w:w="108" w:type="dxa"/>
          </w:tblCellMar>
        </w:tblPrEx>
        <w:trPr>
          <w:trHeight w:val="2832"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66877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B6A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N1N2N6N8N9亚型流感病毒核酸多重实时荧光pcr检测试剂盒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F755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1.适用于定性检测从咽拭子、鼻拭子、痰液和环境样本中提取的N1、N2、N6、N8和N9亚型流感病毒核酸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2孔，同品牌多个不同试剂可使用同一扩增程序上机使用。反应理论时间≤38min，反应时长≤70min。（投标时需提供产品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8.可提供试剂盒同品牌的多病原核酸检测结果判读软件，一键即可完成多种病原体的结果判读，判读的试剂盒种类应覆盖≥500种常见病原微生物的核酸检测试剂盒。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9.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12AFA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97F74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FABECCC">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9EB70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C21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甲型流感病毒HxNy核酸快速分型检测试剂盒(荧光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8C28C">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1.适用范围：适用于定性检测从咽拭子、鼻拭子、痰液中提取的甲型流感病毒分型 H1-H17、N1-N10 的核酸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12T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3.反应体系：可提供可拆卸的96孔板0.1ml或0.2ml包装，每个反应孔核酸体积≤5μL，终体积≤25μL，同品牌多个不同试剂可使用同一扩增程序上机使用。</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4.检测时间：预变性≤30sec，PCR扩增循环数≤45cycles，反应理论时间≤38min，反应时长≤70min。(投标时需提供产品说明书）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6.试剂同品牌厂家提供qPCR分析软件进行多病原核酸检测结果判读，一键即可完成多种病原体的结果判读，判读的试剂盒种类应覆盖≥500种常见病原微生物的核酸检测试剂盒。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7362E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FDC7C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6FE870A">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90791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A7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猴痘病毒核酸检测试剂盒/含内标（荧光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0D4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1.适用范围：适用于定性检测从鼻拭子、咽拭子、唾液、尿液、皮损组织、渗出液、血液等临床样本中提取的猴痘病毒核酸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▲5.检测性能：灵敏度最低200copies/mL，与其他病原菌均无交叉反应。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2B21A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27454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D731F37">
        <w:tblPrEx>
          <w:tblCellMar>
            <w:top w:w="0" w:type="dxa"/>
            <w:left w:w="108" w:type="dxa"/>
            <w:bottom w:w="0" w:type="dxa"/>
            <w:right w:w="108" w:type="dxa"/>
          </w:tblCellMar>
        </w:tblPrEx>
        <w:trPr>
          <w:trHeight w:val="261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9C0B1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BB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猴痘病毒核酸检测试剂盒/含内标（荧光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AA7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1.适用范围：适用于定性检测从鼻拭子、咽拭子、唾液、尿液、皮损组织、渗出液、血液等临床样本中提取的猴痘病毒核酸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2、有效期：不少于12个月，到货后质保期不少于10个月。</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3、适用仪器：经过多通道校正的全自动荧光PCR检测仪，需含有FAM、VIC(HEX)、ROX和CY5检测通道，如AB17500、Light Cycler 480等。</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4、检测性能：灵敏度最高达500CFU/mL，与其他病原菌无交叉反应。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▲5、检测时间：一次性完成多种核酸的定性检测，反应时长不超过70min。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▲6、采用预混液技术：反应液1管，酶混合液1管，减少体系配置时间。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7、反应体系：不超过25uL。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8、质量控制：含有阴性对照及阳性对照，便于结果判定。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10.产品名称和规格与前述相同，但为不同厂家产品。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ED21E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3F49A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A9CA8CF">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18BF9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0C5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中东呼吸综合征（upE/N2)双重荧光PCR检测试剂盒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61455">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1.适用于从临床样本（或病毒分离物）中提取的中东呼吸综合征（MERS）病毒核酸的筛查检测</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0436D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FC817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F2934B2">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EF5E2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FE2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冠状病毒通用型核酸检测试剂盒(荧光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AF79">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临床样本或病毒培养物中提取的冠状病毒通用型核酸，可涵盖冠状病毒229E型、冠状病毒NL63型、冠状病毒HKU1型、冠状病毒OC43型、SARS冠状病毒、中东呼吸综合征冠状病毒（MERS-CoV)和新型冠状病毒（SARS-CoV）</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32AF3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D3C22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6616523">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F6FAC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F80D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寨卡病毒核酸检测试剂(荧光 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36D06">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1.适用于定性检测从临床样本或病毒分离物中提取的寨卡病毒核酸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▲5.检测性能：灵敏度最低200copies/mL，与其他病原菌均无交叉反应(投标时需提供产品说明书)。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3AAB7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F69E1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D373FF5">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4A734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02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肠道病毒通用型核酸检测试剂(荧光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5AA52">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1.适用于定性检测从咽拭子、肛拭子、粪便和环境样本中提取的肠道病毒核酸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642CF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93A36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BF244AA">
        <w:tblPrEx>
          <w:tblCellMar>
            <w:top w:w="0" w:type="dxa"/>
            <w:left w:w="108" w:type="dxa"/>
            <w:bottom w:w="0" w:type="dxa"/>
            <w:right w:w="108" w:type="dxa"/>
          </w:tblCellMar>
        </w:tblPrEx>
        <w:trPr>
          <w:trHeight w:val="2832"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CF0E0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2DCD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柯萨奇病毒A6型/A10型/A16型/肠道病毒71型/肠道病毒通用型核酸实时荧光PCR检测试剂盒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2B3B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1.适用于定性检测从咽拭子、肛拭子、粪便和环境样本中提取的柯萨奇病毒A6型（CA6）、A10型（CA10）、A16型（CA16）、肠道病毒71型（EV71）和肠道病毒通用型核酸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2.反应体系：可提供除酶以外1管预混液体系包装，每个反应孔核酸体积≤5μL，终体积≤25μL，核酸上样孔数≤2孔，同品牌多个不同试剂可使用同一扩增程序上机使用。反应理论时间≤38min，反应时长≤70min。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7.可提供试剂盒同品牌的多病原核酸检测结果判读软件，一键即可完成多种病原体的结果判读，判读的试剂盒种类应覆盖≥500种常见病原微生物的核酸检测试剂盒。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8.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F27D1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88C6B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D780CF4">
        <w:tblPrEx>
          <w:tblCellMar>
            <w:top w:w="0" w:type="dxa"/>
            <w:left w:w="108" w:type="dxa"/>
            <w:bottom w:w="0" w:type="dxa"/>
            <w:right w:w="108" w:type="dxa"/>
          </w:tblCellMar>
        </w:tblPrEx>
        <w:trPr>
          <w:trHeight w:val="2832"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B539F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A0F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肠道病毒通用/肠道病毒71型/柯萨奇病毒A6型/A10型/A16型核酸检测试剂盒  (荧光PCR法)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7C3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1.适用于定性检测从咽拭子、肛拭子、粪便和环境样本中提取的柯萨奇病毒A6型（CA6）、A10型（CA10）、A16型（CA16）、肠道病毒71型（EV71）和肠道病毒通用型核酸。</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2、有效期：不少于12个月，到货后质保期不少于10个月，规格：50T/盒。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3、适用仪器：经过多通道校正的全自动荧光PCR检测仪，需含有FAM、VIC(HEX)、ROX和CY5检测通道，如AB17500、Light Cycler 480等。</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▲4、检测性能：灵敏度最高达500CFU/mL，与其他病原菌无交叉反应。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5、检测时间：一次性完成多种核酸的定性检测，反应时长不超过70min。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▲6、采用预混液技术：反应液1管，酶混合液1管，减少体系配置时间。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7、反应体系：不超过25uL。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8、质量控制：含有阴性对照及阳性对照，便于结果判定。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10.产品名称和规格与前述相同，但为不同厂家产品。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42547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7F3D6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E3EA88B">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C6E65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DD9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诺如病毒（GI\GⅡ)双重核酸检测试剂盒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B2E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1、用于粪便样本中，诺如病毒 GI 和 GII 的病毒核酸的定性检测</w:t>
            </w:r>
            <w:r>
              <w:rPr>
                <w:rFonts w:hint="eastAsia" w:ascii="宋体" w:hAnsi="宋体" w:cs="宋体"/>
                <w:color w:val="auto"/>
                <w:kern w:val="0"/>
                <w:sz w:val="18"/>
                <w:szCs w:val="18"/>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2、有效期：不少于 12 个月，到货后质保期不少于10 个月.</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3、适用仪器：经过多通道校正的全自动荧光 PCR 检测仪，需含有 FAM、VIC(HEX)、ROX 和 CY5 检测通道，如 AB17500、Light Cycler 480 等。</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4、检测性能：灵敏度最高达 500CFU/ml，与其他病原菌无交叉反应。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5、检测时间：一次性完成多种核酸的定性检测，反应时长不超过 60min。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▲6、采用预混液技术：反应液 1 管，酶混合液 1 管，减少体系配置时间。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7、反应体系：不超过 25uL。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8、质量控制：含有阴性对照及阳性对照，便于结果判定。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9、运输保存：冷冻条件下运输，-20℃保存。</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43547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1B36E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D501A11">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8514E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26F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诺如病毒（GI\GⅡ)双重核酸检测试剂盒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47843">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1.适用于定性检测从粪便、肛拭子和呕吐物中提取的诺如病毒GI、诺如病毒GII核酸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8.产品名称和规格与前述相同，但为不同厂家产品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12FF0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D7F01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06AA6E5">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CAF70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88B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A组轮状病毒/诺如GI/GⅡ三重PCR 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6243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1.适用于定性检测从粪便、肛拭子和呕吐物中提取的A组轮状病毒、GⅠ型诺如病毒、GⅡ型诺如病毒核酸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657803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8DE63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DA78BC7">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EC685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FF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B组/C组/H组轮状病毒核酸三重实时荧光PCR检测试剂盒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DFEB6">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1.适用于定性检测从粪便、肛拭子和呕吐物中提取的B组、C组、H组轮状病毒核酸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7C68F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4E7DA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ACA133E">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0F4AD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AC5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札如病毒/腺病毒/星状病毒核酸三重实时荧光 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9ED59">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1.适用于定性检测从粪便、肛拭子和呕吐物中提取的札如病毒、腺病毒和星状病毒核酸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888DA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9F3BE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3CE6E8C">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30EDE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BE8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汉坦病毒/新型布尼亚病毒核酸双重实时荧光PCR检测试剂盒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65E73">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1.适用于定性检测从血清标本、环境样本和病毒分离物中提取的肾综合征出血热汉坦病毒和新型布尼亚病毒（大别班达病毒）核酸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1C9E0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EBF04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FE790AF">
        <w:tblPrEx>
          <w:tblCellMar>
            <w:top w:w="0" w:type="dxa"/>
            <w:left w:w="108" w:type="dxa"/>
            <w:bottom w:w="0" w:type="dxa"/>
            <w:right w:w="108" w:type="dxa"/>
          </w:tblCellMar>
        </w:tblPrEx>
        <w:trPr>
          <w:trHeight w:val="18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B58E6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92A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致病性钩端螺旋体核酸实时荧光PCR检测试剂盒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FCCCD">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1.适用范围：适用于定性检测从脑脊液、血清样本中提取的钩端螺旋体核酸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67E66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9A12B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BBAC643">
        <w:tblPrEx>
          <w:tblCellMar>
            <w:top w:w="0" w:type="dxa"/>
            <w:left w:w="108" w:type="dxa"/>
            <w:bottom w:w="0" w:type="dxa"/>
            <w:right w:w="108" w:type="dxa"/>
          </w:tblCellMar>
        </w:tblPrEx>
        <w:trPr>
          <w:trHeight w:val="1307"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3B1C7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AE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新型布尼亚病毒核酸实时荧光PCR检测试剂盒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89BEE">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1.适用范围：适用于定性检测从全血或血清及其培养物提取的新型布尼亚病毒核酸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978AF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305E6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F6E0E82">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6E226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49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恙虫病东方体核酸检测试剂盒（荧光PCR法）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96F2E">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1.适用于定性检测从血液及组织样本中提取的恙虫病东方体核酸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422F5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6977C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66D4894">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D6313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4AC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立克次体核酸检测试剂盒（荧光PCR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3075">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1.适用于定性检测从临床样本中提取的立克次体核酸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可提供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AD43B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11623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394366A">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BFC0C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8FE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乙型脑炎病毒核酸检测试剂盒（荧光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DF964">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1.适用于定性检测从脑脊液、血清等临床样本或培养物中提取的日本乙型脑炎病毒核酸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4"/>
                <w:rFonts w:hint="default" w:ascii="宋体" w:hAnsi="宋体" w:eastAsia="宋体" w:cs="宋体"/>
                <w:i w:val="0"/>
                <w:iCs w:val="0"/>
                <w:color w:val="auto"/>
                <w:sz w:val="18"/>
                <w:szCs w:val="18"/>
                <w:highlight w:val="none"/>
              </w:rPr>
              <w:t>。</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FE409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B3428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64E90F9">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5A0CB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DA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登革热病毒通用型核酸检测试剂盒（荧光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100FF">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1.本试剂适用于定性检测从全血或血清及其培养物中提取的登革病毒通用型核酸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▲5.检测性能：灵敏度最低200copies/mL，与其他病原菌均无交叉反应（投标时需提供说明书）。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4C90D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2EBE0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964D0CD">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A5CDC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528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辛德毕斯病毒核酸实时荧光PCR检测试剂盒（TaqMan探针法）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2C67D">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1.适用于定性检测从血清、全血或脑脊液中提取的辛德毕斯病毒的核酸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26E92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FADDC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13ABA01">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5F12C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0CA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基孔肯雅病毒核酸实时荧光PCR检测试剂盒（TaqMan探针法）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A07DC">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1.适用于定性检测从全血和血清中提取的基孔肯雅病毒核酸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5.检测性能：灵敏度最低200copies/mL，与其他病原菌均无交叉反应。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D4CD7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CA323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7581739">
        <w:tblPrEx>
          <w:tblCellMar>
            <w:top w:w="0" w:type="dxa"/>
            <w:left w:w="108" w:type="dxa"/>
            <w:bottom w:w="0" w:type="dxa"/>
            <w:right w:w="108" w:type="dxa"/>
          </w:tblCellMar>
        </w:tblPrEx>
        <w:trPr>
          <w:trHeight w:val="2832"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647ED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BC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登革I型/II型/III型/IV型病毒核酸四重实时荧光PCR检测试剂盒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890E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1.适用于定性检测从全血或血清及其培养物中提取的登革I型、II型、III型、IV型病毒核酸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5.检测性能：灵敏度最低500copies/mL，与其他病原菌均无交叉反应（投标时需提供说明书）。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7.可提供试剂盒同品牌的多病原核酸检测结果判读软件，一键即可完成多种病原体的结果判读，判读的试剂盒种类应覆盖≥500种常见病原微生物的核酸检测试剂盒。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8.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BC050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9AC71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6A926C1">
        <w:tblPrEx>
          <w:tblCellMar>
            <w:top w:w="0" w:type="dxa"/>
            <w:left w:w="108" w:type="dxa"/>
            <w:bottom w:w="0" w:type="dxa"/>
            <w:right w:w="108" w:type="dxa"/>
          </w:tblCellMar>
        </w:tblPrEx>
        <w:trPr>
          <w:trHeight w:val="261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39972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2C0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登革I型/II型/III型/IV型病毒核酸四重实时荧光PCR检测试剂盒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AFA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1.适用于定性检测从全血或血清及其培养物中提取的登革I型、II型、III型、IV型病毒核酸。</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2、有效期：不少于 12 个月，到货后质保期不少于10 个月，规格：50T/盒。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3、适用仪器：经过多通道校正的全自动荧光 PCR 检测仪，需含有 FAM、VIC(HEX)、ROX 和 CY5 检测通道，如 AB17500、Light Cycler 480 等。</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4、检测性能：灵敏度最高达 500CFU/ml，与其他病原菌无交叉反应。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5、检测时间：一次性完成多种核酸的定性检测，反应时长不超过 60min。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▲6、采用预混液技术：反应液 1 管，酶混合液 1 管，减少体系配置时间。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7、反应体系：不超过 25uL。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8、质量控制：含有阴性对照及阳性对照，便于结果判定。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10.产品名称和规格与前述相同，但为不同厂家产品。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BDD24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A91B7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50B6AA0">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57B13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FC4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登革病毒IgM抗体诊断试剂盒（酶联免疫法）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E56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99EA9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7AD55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8CF18EE">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15A9B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9722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登革病毒IgG抗体诊断试剂盒（酶联免疫法）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2E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4B888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90541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C749F35">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EEE56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B25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登革病毒NS1抗原检测试剂盒（酶联免疫法）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6F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625C0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F1E8D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C6C3521">
        <w:tblPrEx>
          <w:tblCellMar>
            <w:top w:w="0" w:type="dxa"/>
            <w:left w:w="108" w:type="dxa"/>
            <w:bottom w:w="0" w:type="dxa"/>
            <w:right w:w="108" w:type="dxa"/>
          </w:tblCellMar>
        </w:tblPrEx>
        <w:trPr>
          <w:trHeight w:val="48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17CAA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452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登革病毒NS1抗原、</w:t>
            </w:r>
            <w:r>
              <w:rPr>
                <w:rFonts w:hint="eastAsia" w:ascii="宋体" w:hAnsi="宋体" w:cs="宋体"/>
                <w:color w:val="auto"/>
                <w:kern w:val="0"/>
                <w:sz w:val="18"/>
                <w:szCs w:val="18"/>
                <w:highlight w:val="none"/>
              </w:rPr>
              <w:t>IGG抗体</w:t>
            </w:r>
            <w:r>
              <w:rPr>
                <w:rFonts w:hint="eastAsia" w:ascii="宋体" w:hAnsi="宋体" w:cs="宋体"/>
                <w:color w:val="auto"/>
                <w:kern w:val="0"/>
                <w:sz w:val="18"/>
                <w:szCs w:val="18"/>
                <w:highlight w:val="none"/>
              </w:rPr>
              <w:t>、IgM抗体联合检测试剂（胶体金）</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EF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FB078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173F6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79C3427">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18AE2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7877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戊型肝炎病毒核酸检测试剂盒（荧光 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4FF72">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1.适用于定性检测从粪便、肛拭子和呕吐物中提取的戊型肝炎病毒核酸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572A4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A40C7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3CEE75B">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0F80E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8264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肠道病毒70型/柯萨奇病毒A24型核酸双重实时荧光PCR检测试剂盒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D8EBB">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1.适用于定性检测从咽拭子、肛拭子、粪便中提取的肠道病毒70型（EV70）、柯萨奇病毒A24型（CA24）核酸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C0ED6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21927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683858E">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D10D3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14C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腺病毒核酸实时荧光 PCR 检测试剂</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2B7F9">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1.适用于定性检测从粪便、咽拭子、痰液或病毒分离物中提取的腺病毒核酸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3.适用机型：开放型平台，可适用于各种多通道校正的全自动荧光PCR检测仪。</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5.检测性能：灵敏度最低500copies/mL，与其他病原菌均无交叉反应。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  试剂储存：-20±5℃保存，冻融次数≥7次。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F2C7E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F870F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1300E63">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D4CF6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EE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核酸提取或纯化试剂-磁珠法（病毒类）</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B69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1.规格：64T/盒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2.适用于GeneRotex96核酸提取仪</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F9FC5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739CA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04A23AA">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A1947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2F8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核酸提取或纯化试剂-磁珠法（病毒类）</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6A8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1.规格：20T/盒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2.适用于GeneRotex96核酸提取仪</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6B347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20C14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EEF53B9">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AF259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607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核酸提取或纯化试剂-磁珠法（病毒类）</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921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96T/盒（中元提取仪使用）</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69127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15857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002C63F">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B77FC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BA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核酸提取或纯化试剂-磁珠法（病毒类）CT1011</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FE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96T/盒（中科拜尔提取仪使用）</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21ED24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842A0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82E9DE1">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08054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B0D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一次性使用病毒采样管</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BF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50T/盒（非灭活/灭活单人管）</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7F20E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AA662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FC26E1E">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C955C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0F3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 孔 PCR 板封口膜</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01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100张/盒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CACBB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C54C3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20BCDE6">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2B29B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0A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 孔半裙 PCR 板</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4AE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10块/包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85574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03391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46EB0BCC">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519AF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887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胎牛血清</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8B0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500ML/瓶</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DB6E9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2AEA8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86087B5">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A2D92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783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DMEM 培养基</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EED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1、用于各种初代病毒宿主细胞的细胞培养及单一细胞培养。</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2、规格：500ml,2-8℃避光保存，保质期一年。</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7DA82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9F93C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A27C1F9">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16E4D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A69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MDCK细胞无血清培养基</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783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96D10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38DCD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EF33946">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9C294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D18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抗凝豚鼠血</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8B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50ml/瓶</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3F05E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8A2E1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3D3F1506">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8861B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E11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细胞冻存液</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6CE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50ML/瓶</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F915C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C614A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51F84311">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16017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8E0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记号笔</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435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 支/袋</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D2995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2BF6C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6568351A">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770902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A6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医用胶布</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0E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2.5cm*5m</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9B301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4D8E2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196835D2">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06E4E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585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3ml 无菌独立包装吸管</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59C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200 支/包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AD282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745D1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0FFF62A">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2AFE4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BE5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0.6ml离心管</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C55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 1000支/盒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EF5F4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F297E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3D056FF">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4D47D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A3E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1.5ml离心管(锥底)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E9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1000支/包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5BBDE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BFBCB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5F3D76C7">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5D3C6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92D6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0.2ml平盖八排管(含盖)</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BE2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125T/盒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ABC27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86726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925FD10">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B114D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3F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塑料刻度离心螺口管 15ml(螺口尖底)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28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50 个/袋</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17646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94541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1B71830B">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215AD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E77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50ml 螺口管</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23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25 个/包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09FD2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1E2D1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31A47859">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14A1F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666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2ml 冻存管</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22D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50 个/袋</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D0B32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6C518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6CF8F206">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67A91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529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 冻存管</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09B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50 个/袋</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4C4A4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6B279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1742F32C">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CB180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D7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 号封口袋</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50D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100 个/袋</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E3686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85DA3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5DE75D1A">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693B42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DC9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一次性使用96 孔V 型板</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D0A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 个/包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DEA38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4CD22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5302B6CF">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0574B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DCF9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灭菌级一次性手术垫单(50*60cm )</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C17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50*60cm ，40 片/包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9EB1A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95C57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7B235C9E">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9526B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2C1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注射器</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A02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1ml</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0D1F1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DC5CC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45D041A1">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A70C7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C2A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一次性无菌注射针</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EDB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0.7（0.7×32TWLB)100 支/盒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C15A9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6</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9491D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4444E57">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4A29D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255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鸡胚（9 日龄）</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181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30-50g/个</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CBBF6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6EF84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436380B8">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EAF0E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013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受精鸡蛋</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CC2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30-50g/个</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E852C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38B82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0240060A">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95828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13F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擦镜纸</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5A20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10*15CM,300 片/本</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F702A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B9673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本</w:t>
            </w:r>
          </w:p>
        </w:tc>
      </w:tr>
      <w:tr w14:paraId="1D0C25D4">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25469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D51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测 PH 精密试纸</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CD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PH6.4-8.0</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5A87C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926EB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5BDA37EE">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CD38C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8D0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测 PH 精密试纸</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2D2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PH5.5-9.0</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1060A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92830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3CC12C25">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E7E84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323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擦手纸</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2C0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 抽/包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D720C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BC858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44E584FF">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98E53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2C1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抽纸</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9F0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400 抽/包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43513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E23AD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4E2B5C5A">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04C35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A67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一次性使用检查手套（聚乙烯手套）</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BA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（灭菌级，中号）100 只/包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37EE78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FA361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72901B68">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C67EA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2A2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一次性医用丁腈手套</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EFD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M中号，100 只/盒，10 盒/箱</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5E1CC7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1E484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箱</w:t>
            </w:r>
          </w:p>
        </w:tc>
      </w:tr>
      <w:tr w14:paraId="78442E35">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BE0F3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525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一次性医用丁腈手套</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CA1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S小号，100 只/盒，10 盒/箱</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7FD752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64097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箱</w:t>
            </w:r>
          </w:p>
        </w:tc>
      </w:tr>
      <w:tr w14:paraId="7BC8C971">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7D273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69F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一次性医用丁腈手套</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C42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XS小号，100 只/盒，10 盒/箱</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A8096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9ABB7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箱</w:t>
            </w:r>
          </w:p>
        </w:tc>
      </w:tr>
      <w:tr w14:paraId="5ADD94B4">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D7305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DF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防护服</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FF6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M/L/XL</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8332E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804EE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60FF46FC">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C849E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3CA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N95 口罩</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14F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头戴式</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C872E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C738D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2E992913">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AE536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F5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一次性靴套</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546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防水</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982B7F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8D10A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18F8E171">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693EC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342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防护眼镜（护目镜）</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20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头戴式</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534BC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59CA3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0ACB7851">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51E7A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1F2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一次性防护面屏</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203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头戴式</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93AB02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A4A0F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129897C3">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66296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4B0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医用外科口罩</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20B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挂耳17cm*9cm-3P，10 个/包 挂耳 500 包/件</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D75BF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D2E7F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555E37C9">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7168D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D70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一次性医用条纹帽</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499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 个/包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62544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981C3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770120B3">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27D13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D2E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PE 鞋套</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FF7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 只/盒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A858C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88F51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4D7D67B">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8F5F1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4B77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 微升带滤芯盒装吸头</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91D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41F1A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84723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1A13F68">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CF012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9D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 微升带滤芯盒装灭菌吸头</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1A8B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EA784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912DF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F50595F">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7D928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806B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 微升带滤芯盒装灭菌吸头</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69D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FD8AB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25C29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6A5A93F">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1D2DA7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FBDA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 微升加长带滤芯盒装灭菌吸头</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C2C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F9B34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1669C9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035B7F8">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D64A3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04F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1200 微升加长带滤芯盒装灭菌吸头</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2EC4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96支/盒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0E38A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DB2EA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F191DE9">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579AF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BCF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 3ml无菌巴氏吸管</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96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D4955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AF921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78287978">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C89DC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D7D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医用灭菌棉签（12cm）</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D98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20 支/袋</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DE88D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3FC81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袋</w:t>
            </w:r>
          </w:p>
        </w:tc>
      </w:tr>
      <w:tr w14:paraId="475826A2">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E946B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607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医用灭菌棉球</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74A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1000 只/包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2BDAB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C71E54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4F3F4448">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C457C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299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84 消毒液</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E08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500ml/瓶</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84F7D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0D01D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782E390">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44B01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7B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泡沫型皮肤消毒液</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C13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1000ml/瓶</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D1C09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2190E3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B55A08D">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9DB07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4D5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医疗废物封口扎带配吊牌标签</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1E4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100 条/包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504F0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C7EF9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153D3910">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B5869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A6B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利器盒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E14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6L</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AF9C7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8F04E6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1FFBFFA4">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1E33C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889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利器盒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EEA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3L</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0B4CE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7F1AF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个</w:t>
            </w:r>
          </w:p>
        </w:tc>
      </w:tr>
      <w:tr w14:paraId="53A74688">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B0630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B27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一次性手术衣</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24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120cm*140cm（普通型 M2）灭菌，1 套/袋</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DD864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0A5344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11602F12">
        <w:tblPrEx>
          <w:tblCellMar>
            <w:top w:w="0" w:type="dxa"/>
            <w:left w:w="108" w:type="dxa"/>
            <w:bottom w:w="0" w:type="dxa"/>
            <w:right w:w="108" w:type="dxa"/>
          </w:tblCellMar>
        </w:tblPrEx>
        <w:trPr>
          <w:trHeight w:val="2832"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52182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29B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急性呼吸道多病原核酸检测试剂（15+6 种）</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53225">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咽拭子、痰液、培养物等样本中提取的甲型流感病毒、腺病毒、呼吸道合胞病毒、乙型流感病毒、副流感病毒、人偏肺病毒、人鼻病毒、冠状病毒、人博卡病毒、肠道病毒、流感嗜血杆菌、肺炎链球菌、新型冠状病毒（ORF1ab 基因、N 基因）、百日咳杆菌、A 族链球菌、肺炎支原体、军团菌、肺炎衣原体、鹦鹉热衣原体、曲霉菌属、隐球菌、肺炎克雷伯菌的核酸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规格：12T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▲2.检测性能：灵敏度最低500copies/mL，与其他病原菌均无交叉反应。</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3.检测时间：可提供可拆卸的96孔板0.1ml或0.2ml包装，每个反应孔核酸体积≤5μL，终体积≤25μL，核酸上样孔数≤8孔，同品牌多个不同试剂可使用同一扩增程序上机使用。反应理论时间≤38min，反应时长≤70min。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4.试剂盒应含有阴性对照及阳性对照，便于结果判定。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5.试剂同品牌厂家提供qPCR分析软件进行多病原核酸检测结果判读，一键即可完成多种病原体的结果判读，判读的试剂盒种类应覆盖≥500种常见病原微生物的核酸检测试剂盒。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852EF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70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EFC20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191C17E">
        <w:tblPrEx>
          <w:tblCellMar>
            <w:top w:w="0" w:type="dxa"/>
            <w:left w:w="108" w:type="dxa"/>
            <w:bottom w:w="0" w:type="dxa"/>
            <w:right w:w="108" w:type="dxa"/>
          </w:tblCellMar>
        </w:tblPrEx>
        <w:trPr>
          <w:trHeight w:val="2832"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5FAAB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42E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禽流感病毒H10亚型核酸检测试剂盒(荧光PCR法)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F7D53">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1.适用仪器：经过多通道校正的全自动荧光PCR检测仪，需含有FAM、VIC（HEX）、ROX和CY5检测通道，如ABI7500、7500FAST、Light Cycler 480、Bio-Rad CFX96、上海宏石SLAN-96P等。</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2.适用范围：适用于定性检测从环境样本、咽拭子、鼻拭子和痰液中提取的H10亚型禽流感病毒核酸。</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3.检测性能：灵敏度最高达500copies/mL，与其他病原菌无交叉反应。</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4.检测时间：采用1个反应管一次性完成多重核酸的定性检测，反应时长≤70min。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5.采用预混液技术：反应液1管，酶混合液1管，减少体系配置时间。</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6.反应体系：不超过25μL。</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8. 试剂规格：每盒的检测量至少为50T，并可同时提供25T包装。</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9.运输保存：冷冻条件下运输，-20℃保存。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10.有效期：不少于12个月，到货后质保期不少于10个月。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6AA33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BA2FC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AED3117">
        <w:tblPrEx>
          <w:tblCellMar>
            <w:top w:w="0" w:type="dxa"/>
            <w:left w:w="108" w:type="dxa"/>
            <w:bottom w:w="0" w:type="dxa"/>
            <w:right w:w="108" w:type="dxa"/>
          </w:tblCellMar>
        </w:tblPrEx>
        <w:trPr>
          <w:trHeight w:val="3049"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B35E7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534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肾综合征出血热汉坦病毒通用型核酸实时荧光PCR检测试剂盒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9A39F">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1.适用仪器：经过多通道校正的全自动荧光PCR检测仪，需含有FAM、VIC（HEX）、ROX和CY5检测通道，如ABI7500、7500FAST、Light Cycler 480、Bio-Rad CFX96、上海宏石SLAN-96P等。</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2.适用范围：适用于定性检测从血清标本、环境样本和病毒分离物中提取的汉坦病毒核酸。</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3.检测性能：灵敏度最高达500copies/mL，与其他病原菌无交叉反应。</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▲4.检测时间：采用1个反应管一次性完成多重核酸的定性检测，反应时长不超过70min。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5.采用预混液技术：反应液1管，酶混合液1管，减少体系配置时间。</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6.反应体系：不超过25μL。</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8. 试剂规格：每盒的检测量至少为50T，并可同时提供25T包装。</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9.运输保存：冷冻条件下运输，-20℃保存。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10.有效期：不少于12个月，到货后质保期不少于10个月。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C9473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DEF32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3B52150">
        <w:tblPrEx>
          <w:tblCellMar>
            <w:top w:w="0" w:type="dxa"/>
            <w:left w:w="108" w:type="dxa"/>
            <w:bottom w:w="0" w:type="dxa"/>
            <w:right w:w="108" w:type="dxa"/>
          </w:tblCellMar>
        </w:tblPrEx>
        <w:trPr>
          <w:trHeight w:val="261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596D3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E99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基孔肯雅病毒/登革病毒核酸检测试剂盒（荧光PCR法）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6EC62">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1.适用仪器：经过多通道校正的全自动荧光PCR检测仪，需含有FAM、VIC（HEX）、ROX和CY5检测通道，如ABI7500、7500FAST、Light Cycler 480、Bio-Rad CFX96、上海宏石SLAN-96P等。</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2.适用范围：适用于定性检测从血清中提取的基孔肯雅病毒和登革病毒的核酸。</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3.检测性能：灵敏度最高达500copies/mL，与其他病原菌无交叉反应。</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▲4.检测时间：采用1个反应管一次性完成多重核酸的定性检测，反应时长≤70min。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5.采用预混液技术：反应液1管，酶混合液1管，减少体系配置时间。</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6.反应体系：不超过25μL。</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8. 试剂规格：每盒的检测量至少为50T，并可同时提供25T包装。</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9.运输保存：冷冻条件下运输，-20℃保存。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10.有效期：不少于12个月，到货后质保期不少于10个月。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1D5CF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3D079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3BB732B">
        <w:tblPrEx>
          <w:tblCellMar>
            <w:top w:w="0" w:type="dxa"/>
            <w:left w:w="108" w:type="dxa"/>
            <w:bottom w:w="0" w:type="dxa"/>
            <w:right w:w="108" w:type="dxa"/>
          </w:tblCellMar>
        </w:tblPrEx>
        <w:trPr>
          <w:trHeight w:val="65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C874E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A6A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基孔肯雅热IgG/IgM抗体联合检测试剂（胶体金法）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991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1.样本类型：全血、血清或血浆；</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2.原理：采用侧向层析色谱免疫分析法。</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3.规格：40T/盒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03D78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D2190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C153DD2">
        <w:tblPrEx>
          <w:tblCellMar>
            <w:top w:w="0" w:type="dxa"/>
            <w:left w:w="108" w:type="dxa"/>
            <w:bottom w:w="0" w:type="dxa"/>
            <w:right w:w="108" w:type="dxa"/>
          </w:tblCellMar>
        </w:tblPrEx>
        <w:trPr>
          <w:trHeight w:val="43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A740E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119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A88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一次性使用灭菌橡胶外科手套</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96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弯型麻面TPU覆层无粉、6.5/7/7.5</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50副/盒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93C91C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BB9B8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D9F506B">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5E6907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E31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发热伴血小板减少综合征病毒核酸检测试剂盒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1E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EE033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76A8B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F79C35F">
        <w:tblPrEx>
          <w:tblCellMar>
            <w:top w:w="0" w:type="dxa"/>
            <w:left w:w="108" w:type="dxa"/>
            <w:bottom w:w="0" w:type="dxa"/>
            <w:right w:w="108" w:type="dxa"/>
          </w:tblCellMar>
        </w:tblPrEx>
        <w:trPr>
          <w:trHeight w:val="871"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8636A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A5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乙型脑炎病毒IgM/IgG抗体检测试剂盒（胶体金法）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DC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1.用途：本产品用于体外定性检测人血清、血浆或全血样本中的流行性乙型脑病毒 IgG 与 IgM 抗体。</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2.原理：免疫层析技术，主要用于检测样本中的特定抗原或抗体。</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3.规格：10人份/盒。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C29BF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E3429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002E9C7">
        <w:tblPrEx>
          <w:tblCellMar>
            <w:top w:w="0" w:type="dxa"/>
            <w:left w:w="108" w:type="dxa"/>
            <w:bottom w:w="0" w:type="dxa"/>
            <w:right w:w="108" w:type="dxa"/>
          </w:tblCellMar>
        </w:tblPrEx>
        <w:trPr>
          <w:trHeight w:val="65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8FD53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B91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肾综合征出血热病毒IgM抗体检测试剂盒（胶体金法）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51D4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规格：40人份</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用途：本产品用于体外定性检测人血清中的肾综合征出血热病毒IgM抗体。</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6D0EB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0699E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5D82712">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0B96D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8F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SARS冠状病毒核酸检测试剂盒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59F2C">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1.适用范围：适用于定性检测从临床样品咽拭子或病毒培养物中提取的SARS冠状病毒</w:t>
            </w:r>
            <w:r>
              <w:rPr>
                <w:rStyle w:val="254"/>
                <w:rFonts w:hint="default" w:ascii="宋体" w:hAnsi="宋体" w:eastAsia="宋体" w:cs="宋体"/>
                <w:i w:val="0"/>
                <w:iCs w:val="0"/>
                <w:color w:val="auto"/>
                <w:sz w:val="18"/>
                <w:szCs w:val="18"/>
                <w:highlight w:val="none"/>
              </w:rPr>
              <w:t>核酸。</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3.检测限：灵敏度最低500copies/mL，与其他病原菌均无交叉反应。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5.质量控制：含有阴性对照及阳性对照，便于结果判定。</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 试剂规格：每盒的检测量至少为50T，并可同时提供25T包装。</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7.运输保存：冷冻条件下运输，-20℃保存。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8.有效期：不少于12个月，到货后质保期不少于10个月。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C48EE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1804C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166FEF8">
        <w:tblPrEx>
          <w:tblCellMar>
            <w:top w:w="0" w:type="dxa"/>
            <w:left w:w="108" w:type="dxa"/>
            <w:bottom w:w="0" w:type="dxa"/>
            <w:right w:w="108" w:type="dxa"/>
          </w:tblCellMar>
        </w:tblPrEx>
        <w:trPr>
          <w:trHeight w:val="54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0D3F6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69A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A群轮状病毒抗原检测试剂(胶体金法)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BDF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1.规格：25人份；</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2.用途：用于体外定性检测人粪便样本中的轮状病毒抗原。</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59C36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5DD70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EED6413">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4A002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93E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乙型肝炎病毒核酸实时荧光PCR检测试剂盒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AF88B">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1.适用范围：适用于定性检测从人血清、血浆样本中提取的乙型肝炎病毒（HumanHepatitisBVirus,HBV）核酸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3.检测限：灵敏度最低500copies/mL，与其他病原菌均无交叉反应。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B7E63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01C97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67EFDD0">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9F818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9F8B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丙型肝炎病毒核酸实时荧光PCR检测试剂盒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41365">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1.适用范围：适用于定性检测从人血清、血浆样本中提取的丙型肝炎病毒（HumanHepatitisCVirus,HCV）核酸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3.检测限：灵敏度最低500copies/mL，与其他病原菌均无交叉反应。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DF363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2B249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383F936">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6A1F7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4E9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腮腺炎病毒核酸检测试剂盒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BC3CD">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1.适用范围：适用于定性检测从临床样本、环境样本及病毒分离物等样本中提取的腮腺炎病毒核酸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3.检测限：灵敏度最低500copies/mL，与其他病原菌均无交叉反应。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39685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81443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2D9D7B6">
        <w:tblPrEx>
          <w:tblCellMar>
            <w:top w:w="0" w:type="dxa"/>
            <w:left w:w="108" w:type="dxa"/>
            <w:bottom w:w="0" w:type="dxa"/>
            <w:right w:w="108" w:type="dxa"/>
          </w:tblCellMar>
        </w:tblPrEx>
        <w:trPr>
          <w:trHeight w:val="52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B3BE4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44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腮腺炎病毒IgM抗体检测试剂盒（胶体金法）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A50D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1.规格：20人份</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2.用途：本产品用于体外定性检测人全血、血清或血浆样本中的腮腺炎病毒IgM抗体。</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C6C3D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CE1C6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6D8CDEB">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2A5A6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129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7FFD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人疱疹病毒6型/7型/8型核酸检测试剂盒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5F49">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1.适用范围：适用于定性检测从咽拭子、痰液、培养物等临床样本中提取的人疱疹病毒6型/7型/8型的核酸</w:t>
            </w:r>
            <w:r>
              <w:rPr>
                <w:rStyle w:val="251"/>
                <w:rFonts w:hint="eastAsia" w:ascii="宋体" w:hAnsi="宋体" w:cs="宋体"/>
                <w:color w:val="auto"/>
                <w:highlight w:val="none"/>
                <w:lang w:val="en-US" w:eastAsia="zh-CN"/>
              </w:rPr>
              <w:t>,</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3.检测限：灵敏度最低500copies/mL，与其他病原菌均无交叉反应。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A9155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3BB63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743F299">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92EF6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84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呼吸道合胞病毒核酸检测试剂盒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99A74">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1.适用范围：适用于定性检测从咽拭子、痰液、培养物等临床样本中提取的呼吸道合胞病毒核酸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3.检测限：灵敏度最低500copies/mL，与其他病原菌均无交叉反应。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E97D0C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90E94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974700A">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012C6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C72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副流感病毒Ⅰ型/Ⅱ型/Ⅲ型/Ⅳ型核酸四重实时荧光PCR检测试剂盒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D8F80">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1.适用范围：适用于定性检测从咽拭子、痰液中提取的副流感病毒I型、II型、III型、IV型核酸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3.检测限：灵敏度最低500copies/mL，与其他病原菌均无交叉反应。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58BA9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3AE7D9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64D6AFA">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6538F1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436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人鼻病毒核酸实时荧光PCR检测试剂盒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48592">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1.适用范围：适用于定性检测从临床样品咽拭子或病毒培养物中提取的人鼻病毒核酸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3.检测限：灵敏度最低500copies/mL，与其他病原菌均无交叉反应。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FCAD9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8F8A9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4F4D8BB">
        <w:tblPrEx>
          <w:tblCellMar>
            <w:top w:w="0" w:type="dxa"/>
            <w:left w:w="108" w:type="dxa"/>
            <w:bottom w:w="0" w:type="dxa"/>
            <w:right w:w="108" w:type="dxa"/>
          </w:tblCellMar>
        </w:tblPrEx>
        <w:trPr>
          <w:trHeight w:val="1525"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23D2E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2F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人乳头状瘤病毒分子分型检测试剂盒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2BDE">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1.适用于体外定性检测女性宫颈脱落细胞样本中 21 种人乳头瘤病毒 DNA 核酸（具体包括 HPV 16, 18, 26, 31, 33, 35, 39, 45, 51, 52, 53, 56, 58, 59, 66, 68, 73, 82 及 HPV 6, 11 和 81 型），并可对 21 种型别进行分型。</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2.采用 TaqMan 探针实时荧光 PCR 技术，适用于 ABI7500 等荧光PCR仪。</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▲3.检测限：对21种HPV亚型的最低检出限为10copies/反应(200copies/mL)（投标时需提供产品说明书）。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4.规格：≥48T/盒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D6A88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D93FC9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EF1D6C1">
        <w:tblPrEx>
          <w:tblCellMar>
            <w:top w:w="0" w:type="dxa"/>
            <w:left w:w="108" w:type="dxa"/>
            <w:bottom w:w="0" w:type="dxa"/>
            <w:right w:w="108" w:type="dxa"/>
          </w:tblCellMar>
        </w:tblPrEx>
        <w:trPr>
          <w:trHeight w:val="412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10F28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0A7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腹泻症候群 22 种病原体核酸检测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试剂盒（13+5 方案）（PCR 熔解曲线法）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5D1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1.检测技术：超多重实时荧光PCR熔解曲线技术，适用机型需包含上海宏石 SLAN-96P、上海宏石 SLAN-96S、ABI Q5、ABI 7500、雅睿 MA6000、Bio-Rad CFX96、Roche LightCycler 480Ⅱ等全自动实时荧光PCR 检测仪。</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适用范围：适用于定性检测从粪便、肛拭子、呕吐物及培养物中提取诺如病毒、轮状病毒、札如病毒、肠道腺病毒、星状病毒、阪崎克罗诺杆菌、志贺氏菌、小肠结肠炎耶尔森氏菌、河弧菌、空肠弯曲菌、结肠弯曲菌、霍乱弧菌、副溶血性弧菌、嗜水气单胞菌、沙门菌、类志贺邻单胞菌、艰难梭菌、致泻大肠埃希氏菌等腹泻症群的核酸。</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▲3.检测性能：灵敏度最低300copies/mL，需通过Tm值和Ct值双重判读，与其他病原菌均无交叉反应。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▲4.检测时间：采用除酶以外1管预混液技术，最多采用3个反应孔，单孔一次性完成12-16种基因型的定性检测，酶体积≤2μL，核酸体积≤5μL，总体积25μL，反应全流程时长≤90min。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▲5.温度控制：扩增阶段对扩增温度无设置限制，熔解阶段升温速率≥0.16℃/s，减少非特异性结合，缩短实验流程设置和时间。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6.质量控制：包含阳性对照、阴性对照以及内参基因，以保证结果的准确判定。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▲7.试剂规格：12T，-20±5℃保存，冻融次数≥7次。</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8.qPCR分析软件：可提供试剂盒同品牌的熔解曲线结果判读软件，一键即可完成多种病原体的结果判读。</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▲9.以上参数需提供证明资料。</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E3484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041C3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41DBFDA">
        <w:tblPrEx>
          <w:tblCellMar>
            <w:top w:w="0" w:type="dxa"/>
            <w:left w:w="108" w:type="dxa"/>
            <w:bottom w:w="0" w:type="dxa"/>
            <w:right w:w="108" w:type="dxa"/>
          </w:tblCellMar>
        </w:tblPrEx>
        <w:trPr>
          <w:trHeight w:val="434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1426A6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1DA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国家急性呼吸道传染病多病原核酸检测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试剂盒（15+6）（PCR 熔解曲线法）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10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1.检测技术：超多重实时荧光PCR熔解曲线技术，适用机型需包含上海宏石 SLAN-96P、上海宏石 SLAN-96S、ABI Q5、ABI 7500、雅睿 MA6000、Bio-Rad CFX96、Roche LightCycler 480Ⅱ等全自动实时荧光PCR 检测仪。</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适用范围：适用于定性检测从咽拭子、痰液、培养物等样本中提取的甲型流感病毒、腺病毒、呼吸道合胞病毒、乙型流感病毒、副流感病毒、人偏肺病毒、人鼻病毒、冠状病毒、人博卡病毒、肠道病毒、新型冠状病毒（ORF1ab基因、N基因）、流感嗜血杆菌、肺炎链球菌、百日咳杆菌、A族链球菌、肺炎支原体、军团菌、肺炎衣原体、鹦鹉热衣原体、曲霉菌属、隐球菌、肺炎克雷伯菌的核酸。</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▲3.检测性能：灵敏度最低300copies/mL，需通过Tm值和Ct值双重判读，与其他病原菌均无交叉反应。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▲4.检测时间：采用除酶以外1管预混液技术，最多采用2个反应孔，单孔一次性完成12-16种基因型的定性检测，酶体积≤2μL，核酸体积≤5μL，总体积25μL，反应全流程时长≤90min。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▲5.温度控制：扩增阶段对扩增温度无设置限制，熔解阶段升温速率≥0.16℃/s，减少非特异性结合，缩短实验流程设置和时间。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6.质量控制：包含阳性对照、阴性对照以及内参基因，以保证结果的准确判定。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▲7.试剂规格：12T.-20±5℃保存，冻融次数≥7次。</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8.qPCR分析软件：可提供试剂盒同品牌的熔解曲线结果判读软件，一键即可完成多种病原体的结果判读。</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▲9.以上参数需提供证明资料。</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D70A6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D2D91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4F11B0E">
        <w:tblPrEx>
          <w:tblCellMar>
            <w:top w:w="0" w:type="dxa"/>
            <w:left w:w="108" w:type="dxa"/>
            <w:bottom w:w="0" w:type="dxa"/>
            <w:right w:w="108" w:type="dxa"/>
          </w:tblCellMar>
        </w:tblPrEx>
        <w:trPr>
          <w:trHeight w:val="412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0CDF5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F4C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五种致泻大肠埃希氏菌核酸</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检测试剂盒（PCR 熔解曲线法）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EE1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1.检测技术：超多重实时荧光PCR熔解曲线技术，适用机型需包含上海宏石 SLAN-96P、上海宏石 SLAN-96S、ABI Q5、ABI 7500、雅睿 MA6000、Bio-Rad CFX96、Roche LightCycler 480Ⅱ等全自动实时荧光PCR 检测仪。</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适用范围：适用于定性检测从临床样本、食品样品、增菌液及其培养物中提取的肠道致病性大肠埃希氏菌（EPEC）、肠道侵袭性大肠埃希氏菌（EIEC）、产肠毒素大肠埃希氏菌（ETEC）、肠道出血性大肠埃希氏菌（EHEC）/产志贺毒素大肠埃希氏菌（STEC）、肠道集聚性大肠埃希氏菌（EAEC）的毒力基因谱及其致病型别。</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▲3.检测性能：灵敏度最低300copies/mL，需通过Tm值和Ct值双重判读，与其他病原菌均无交叉反应。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▲4.检测时间：采用除酶以外1管预混液技术，最多采用1个反应孔，单孔一次性完成12-16种基因型的定性检测，酶体积≤2μL，核酸体积≤5μL，总体积25μL，反应全流程时长≤90min。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▲5.温度控制：扩增阶段对扩增温度无设置限制，熔解阶段升温速率≥0.16℃/s，减少非特异性结合，缩短实验流程设置和时间。（提供说明书证明）</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6.质量控制：包含阳性对照、阴性对照，以保证结果的准确判定。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▲7.试剂规格：12T.-20±5℃保存，冻融次数≥7次。</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8.qPCR分析软件：可提供试剂盒同品牌的熔解曲线结果判读软件，一键即可完成多种病原体的结果判读。</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▲9.以上参数需提供证明资料。</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E1D15F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07151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9E57A80">
        <w:tblPrEx>
          <w:tblCellMar>
            <w:top w:w="0" w:type="dxa"/>
            <w:left w:w="108" w:type="dxa"/>
            <w:bottom w:w="0" w:type="dxa"/>
            <w:right w:w="108" w:type="dxa"/>
          </w:tblCellMar>
        </w:tblPrEx>
        <w:trPr>
          <w:trHeight w:val="3909"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1F86A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3C6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 种呼吸道病毒核酸分型检测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试剂盒（PCR 熔解曲线法）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4270A">
            <w:pPr>
              <w:widowControl/>
              <w:jc w:val="left"/>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1.检测技术：超多重实时荧光PCR熔解曲线技术，适用机型需包含上海宏石 SLAN-96P、上海宏石 SLAN-96S、ABI Q5、ABI 7500、雅睿 MA6000、Bio-Rad CFX96、Roche LightCycler 480Ⅱ等全自动实时荧光PCR 检测仪。</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2.适用范围：适用于定性检测从咽拭子、痰液和培养物等样本中提取的副流感病毒I型/II型/III型/IV型、冠状病毒NL63/229E/OC43/HKU1型、呼吸道合胞病毒A/B亚型的核酸。</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▲3.检测性能：灵敏度最低300copies/mL，需通过Tm值和Ct值双重判读，与其他病原菌均无交叉反应。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▲4.检测时间：采用除酶以外1管预混液技术，最多采用1个反应孔，单孔一次性完成10种基因型的定性检测，酶体积≤2μL，核酸体积≤5μL，总体积25μL，反应全流程时长≤90min。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▲5.温度控制：扩增阶段对扩增温度无设置限制，熔解阶段升温速率≥0.16℃/s，减少非特异性结合，缩短实验流程设置和时间。</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6.质量控制：包含阳性对照、阴性对照，以保证结果的准确判定。</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▲7.试剂规格：12T.-20±5℃保存，冻融次数≥7次。</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8.qPCR分析软件：可提供试剂盒同品牌的熔解曲线结果判读软件，一键即可完成多种病原体的结果判读。</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▲8.以上参数需提供证明资料。</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BE030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14346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77302D1">
        <w:tblPrEx>
          <w:tblCellMar>
            <w:top w:w="0" w:type="dxa"/>
            <w:left w:w="108" w:type="dxa"/>
            <w:bottom w:w="0" w:type="dxa"/>
            <w:right w:w="108" w:type="dxa"/>
          </w:tblCellMar>
        </w:tblPrEx>
        <w:trPr>
          <w:trHeight w:val="3909"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F08F7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829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 种腹泻病毒核酸检测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试剂盒（PCR 熔解曲线法）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189A3">
            <w:pPr>
              <w:widowControl/>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1.检测技术：超多重实时荧光PCR熔解曲线技术，适用机型需包含上海宏石 SLAN-96P、上海宏石 SLAN-96S、ABI Q5、ABI 7500、雅睿 MA6000、Bio-Rad CFX96、Roche LightCycler 480Ⅱ等全自动实时荧光PCR 检测仪。</w:t>
            </w:r>
          </w:p>
          <w:p w14:paraId="592A822A">
            <w:pPr>
              <w:widowControl/>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2.适用范围：适用于定性检测从粪便、肛拭子和呕吐物及培养物中提取的札如病毒、肠道腺病毒、星状病毒、诺如病毒GⅠ型、诺如病毒GⅡ型、A组轮状病毒、B组轮状病毒、C组轮状病毒和H组轮状病毒的核酸。</w:t>
            </w:r>
          </w:p>
          <w:p w14:paraId="3C94A22A">
            <w:pPr>
              <w:widowControl/>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▲3.检测性能：灵敏度最低300copies/mL，需通过Tm值和Ct值双重判读，与其他病原菌均无交叉反应。</w:t>
            </w:r>
          </w:p>
          <w:p w14:paraId="2A686133">
            <w:pPr>
              <w:widowControl/>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▲4.检测时间：采用除酶以外1管预混液技术，最多采用1个反应孔，单孔一次性完成9种基因型的定性检测，酶体积≤2μL，核酸体积≤5μL，总体积25μL，反应全流程时长≤90min。</w:t>
            </w:r>
          </w:p>
          <w:p w14:paraId="671867A3">
            <w:pPr>
              <w:widowControl/>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▲5.温度控制：扩增阶段对扩增温度无设置限制，熔解阶段升温速率≥0.16℃/s，减少非特异性结合，缩短实验流程设置和时间。</w:t>
            </w:r>
          </w:p>
          <w:p w14:paraId="622030CB">
            <w:pPr>
              <w:widowControl/>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6.质量控制：包含阳性对照、阴性对照以及内参基因，以保证结果的准确判定。</w:t>
            </w:r>
          </w:p>
          <w:p w14:paraId="04D505DC">
            <w:pPr>
              <w:widowControl/>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▲7.试剂规格：12T.-20±5℃保存，冻融次数≥7次。</w:t>
            </w:r>
          </w:p>
          <w:p w14:paraId="073DBC0D">
            <w:pPr>
              <w:widowControl/>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8.qPCR分析软件：可提供试剂盒同品牌的熔解曲线结果判读软件，一键即可完成多种病原体的结果判读。</w:t>
            </w:r>
          </w:p>
          <w:p w14:paraId="160EF2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▲9.以上参数需提供证明资料</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4E4CC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9F462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DC80EA0">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42483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C65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产志贺毒素大肠埃希氏菌(STEC)核酸双重实时荧光PCR检测试剂盒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FF39B">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1.适用范围：适用于定性检测从临床样本、食品样品及保存的菌种经培养获得的增菌液、纯培养物或单菌落中提取的产志贺毒素大肠埃希氏菌（STEC）致病相关的志贺毒素（stx）和粘附因子（eae）的毒力基因</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7A6F2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51651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FE04BE0">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B6CA8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CBA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创伤弧菌核酸实时荧光PCR检测试剂盒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92530">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1.适用范围：适用于定性检测从临床样本、食品样品及保存的菌种经培养获得的增菌液、纯培养物或单菌落中提取的创伤弧菌核酸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2E2A2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40D2F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849391F">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EA31C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A0E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大肠埃希氏菌O157:H7核酸双重实时荧光PCR检测试剂盒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4630C">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1.适用范围：适用于定性检测从临床样本、食品样品、菌种及其培养物中提取的大肠埃</w:t>
            </w:r>
            <w:r>
              <w:rPr>
                <w:rStyle w:val="254"/>
                <w:rFonts w:hint="default" w:ascii="宋体" w:hAnsi="宋体" w:eastAsia="宋体" w:cs="宋体"/>
                <w:i w:val="0"/>
                <w:iCs w:val="0"/>
                <w:color w:val="auto"/>
                <w:sz w:val="18"/>
                <w:szCs w:val="18"/>
                <w:highlight w:val="none"/>
              </w:rPr>
              <w:t>希氏菌O157:H7核酸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4"/>
                <w:rFonts w:hint="default" w:ascii="宋体" w:hAnsi="宋体" w:eastAsia="宋体" w:cs="宋体"/>
                <w:i w:val="0"/>
                <w:iCs w:val="0"/>
                <w:color w:val="auto"/>
                <w:sz w:val="18"/>
                <w:szCs w:val="18"/>
                <w:highlight w:val="none"/>
              </w:rPr>
              <w:t>。</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F93D2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99337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E7FE635">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D58544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3653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副溶血性弧菌核酸实时荧光PCR检测试剂盒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5E602">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1.适用范围：适用于定性检测从临床样本、食品样品及保存的菌种经培养获得的增菌液、纯培养物或单菌落中提取的副溶血性弧菌核酸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E6409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75B23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B2061A1">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0136E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351C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霍乱弧菌ctxA/ctxB毒力基因双重实时荧光PCR检测试剂盒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70E3F">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1.适用范围：适用于定性检测从食品增菌液及培养物样本中提取的霍乱弧菌ctxA和ctxB毒力基因</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85D965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46588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811A22A">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115B8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BB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霍乱弧菌O1/O139群核酸双重实时荧光PCR检测试剂盒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4F6C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1.适用范围：适用于定性检测从临床样本、食品样品、保存的菌种经培养获得的增菌液、纯培养物或单菌落中提取的霍乱弧菌O1和O139群核酸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34BCC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D7BE7C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F5E14E3">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C4530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101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霍乱弧菌核酸检测试剂盒（荧光PCR法）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2A9CE">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1.适用范围：适用于定性检测从临床样本、食品样品及保存的菌种经培养获得的增菌液、纯培养物或单菌落中提取的霍乱弧菌核酸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4FF73E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B1910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D3BF868">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5337E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902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阪崎肠杆菌核酸检测试剂盒（荧光PCR法）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B1319">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1.适用范围：适用于定性检测从临床样本、食品样品及保存的菌种经培养获得的增菌液、纯培养物或单菌落中提取的克罗诺杆菌属核酸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F3022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4866E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DD0E0EA">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90DE7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43C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肉毒梭菌核酸实时荧光PCR检测试剂盒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C190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1.适用范围：适用于定性检测从临床样本、食品样品及保存的菌种经培养获得的增菌液、纯培养物或单菌落中提取的肉毒梭菌核酸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222B4E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F1F88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9894AAA">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6E29B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420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肉毒杆菌（A、B、E、F型）核酸检测试剂盒（荧光PCR法）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06247">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1.适用范围：适用于定性检测从临床样本、污染食品增菌液或培养物中提取的A型、B型、E型、F型肉毒梭菌毒素基因</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2E6D1D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E6140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22880F8">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25A88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149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03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唐菖蒲伯克霍尔德氏菌核酸检测试剂盒（PCR-荧光探针法）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AD030">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1.适用范围：适用于定性检测从污染食品增菌液或培养物中提取的唐菖蒲伯克霍尔德氏菌及椰毒假单胞菌酵米面亚种核酸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E05BD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EC0AE5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3C86B84">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7511B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408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椰毒假单胞菌酵米面亚种bon基因核酸检测试剂盒（PCR-探针法）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CCED2">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1.适用范围：适用于定性检测从污染食品增菌液或培养物中提取的唐菖蒲伯克霍尔德氏菌椰毒致病型核酸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4D063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D2B235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3983A15">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722BE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98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五种致病弯曲菌多重PCR检测试剂盒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08E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1.适用范围：适用于定性检测从污染食品或环境样本的增菌液、临床样本中提取的空肠弯曲菌、结肠弯曲菌、海鸥弯曲菌、乌普萨拉弯曲菌、胎儿弯曲菌胎儿亚种核酸及弯曲菌种属基因</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2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904BA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95A15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4DB37A4">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236D3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7D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空肠弯曲菌核酸检测试剂盒（荧光PCR法）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6F960">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1.适用范围：适用于定性检测从临床样本、食品样品及保存的菌种经培养获得的增菌液、纯培养物或单菌落中提取的空肠弯曲菌核酸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6295D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9BEC0D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71BF80C">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62A61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5542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小肠结肠炎耶尔森氏菌实时荧光PCR检测试剂盒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27C57">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1.适用范围：适用于定性检测从临床样本、食品样品及保存的菌种经培养获得的增菌液、纯培养物或单菌落中提取的小肠结肠炎耶尔森氏菌核酸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 xml:space="preserve">2.反应体系：可根据需要提供除酶以外1管预混液体系包装，每个反应孔核酸体积≤5μL，终体积≤25μL，核酸上样孔数≤1孔，同品牌多个不同试剂可使用同一扩增程序上机使用。反应理论时间≤28min，反应时长≤60min。  </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819AD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4D42F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6E414E9">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129067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1F40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五种致泻性大肠杆菌核酸检测试剂盒（多重荧光PCR法）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26AE2">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菌种及其培养物中提取的肠道致病性大肠埃希氏菌（EPEC）、肠道侵袭性大肠埃希氏菌（EIEC）、产肠毒素大肠埃希氏菌（ETEC）、肠道出血性大肠埃希氏菌（EHEC）/产志贺毒素大肠埃希氏菌（STEC）、肠道集聚性大肠埃希氏菌（EAEC）的毒力基因谱及其致病型别</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3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9B548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3</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88571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662072D">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AE025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02D3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肠产毒性大肠杆菌ETEC 核酸检测试剂盒（实时荧光PCR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3729D">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菌种及其培养物中产肠毒素大肠埃希氏菌（ETEC）核酸，同时可用于ETEC致病相关的猪源热稳定性肠毒素基因（estIa）、人源热稳定性肠毒素基因（estIb）和热不稳定性肠毒素基因（elt）等基因的鉴定</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 xml:space="preserve">2.反应体系：可根据需要提供除酶以外1管预混液体系包装，每个反应孔核酸体积≤5μL，终体积≤25μL，核酸上样孔数≤1孔，同品牌多个不同试剂可使用同一扩增程序上机使用。反应理论时间≤28min，反应时长≤60min。  </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A15FA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6BDFD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8360474">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D41CA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5CC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肠出血性大肠杆菌EHEC 核酸检测试剂盒（实时荧光PCR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4619">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菌种及其培养物中肠道出血性大肠埃希氏菌（EHEC）核酸，同时可用于EHEC致病相关的粘附因子（eae）、志贺毒素I基因（stx1）和志贺毒素II基因（stx2）等基因鉴定</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C059C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77FBE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E2A7D66">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981C3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FA4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肠集聚性大肠杆菌EAEC 核酸检测试剂盒（实时荧光PCR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0037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菌种及其培养物中肠道集聚性大肠埃希氏菌（EAEC）核酸，同时可用于EAEC致病相关的集聚热稳定性毒素A基因（astA）、集聚黏附菌毛调节基因（aggR）和肠定植因子基因（pic）等基因的鉴定</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11C114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5D4F6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783B6E1">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46AE5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45B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肠侵袭性大肠杆菌EIEC 核酸检测试剂盒（实时荧光PCR 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1A14">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1.适用范围：适用于定性检测从临床样本、食品样品、菌种及其培养物中肠道侵袭性大肠埃希氏菌（EIEC）核酸，同时可用于EIEC致病相关侵袭性质粒抗原H基因（ipaH）的鉴定</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4B8F1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D96EB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F981433">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41A3B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A8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产气荚膜杆菌核酸检测试剂盒（荧光PCR法）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A29BE">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1.适用范围：适用于定性检测从食品增菌液和纯培养物等样本中提取的产气荚膜梭菌核酸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2F025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3B0E8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93AD3A1">
        <w:tblPrEx>
          <w:tblCellMar>
            <w:top w:w="0" w:type="dxa"/>
            <w:left w:w="108" w:type="dxa"/>
            <w:bottom w:w="0" w:type="dxa"/>
            <w:right w:w="108" w:type="dxa"/>
          </w:tblCellMar>
        </w:tblPrEx>
        <w:trPr>
          <w:trHeight w:val="1307"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3345EF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A61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白喉棒状杆菌实时荧光PCR检测试剂盒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E0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1.适用范围：适用于定性检测从临床样本中提取的白喉棒状杆菌（白喉棒状杆菌）的定性检测</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2.灵敏度最低500copies/mL，与其他病原菌均无交叉反应。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3.检测技术：多重实时荧光PCR技术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FF323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0CFC3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41571FE">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3C566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77A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百日咳鲍特菌核酸检测试剂盒（PCR-荧光探针法）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F99ED">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1.适用范围：适用于定性检测从临床样本、菌种及其培养物中提取的百日咳杆菌核酸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D10EB0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DC6F45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362D945">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8E259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01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百日咳/副百日咳/霍氏博德特氏菌核酸四重实时荧光PCR检测试剂盒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CEF9C">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鼻咽部分泌物、鼻咽拭子等临床样本和培养物，保存的菌种经培养获得的增菌液、纯培养物或单菌落中提取的百日咳博德特氏菌（Bordetellapertussis）、副百日咳博德特氏菌（Bordetellaparapertussis）及霍氏博德特氏菌（Bordetellaholmesii），</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（投标时需提供产品说明书）。</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A7A77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FC802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082715C">
        <w:tblPrEx>
          <w:tblCellMar>
            <w:top w:w="0" w:type="dxa"/>
            <w:left w:w="108" w:type="dxa"/>
            <w:bottom w:w="0" w:type="dxa"/>
            <w:right w:w="108" w:type="dxa"/>
          </w:tblCellMar>
        </w:tblPrEx>
        <w:trPr>
          <w:trHeight w:val="48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706334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7DE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猪链球菌（通用型、2型）双重核酸检测试剂盒（荧光PCR法）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B98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78F60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5DA71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8876214">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13A1F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A5D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A族乙型溶血性链球菌核酸实时荧光PCR检测试剂盒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1903">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1.适用范围：适用于定性检测从临床样本、保存的菌种经培养获得的增菌液、纯培养物或单菌落中提取的A族乙型溶血性链球菌核酸的检测</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A99F9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7CADB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2230468">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E67D6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E09DA">
            <w:pPr>
              <w:widowControl/>
              <w:jc w:val="center"/>
              <w:textAlignment w:val="center"/>
              <w:rPr>
                <w:rFonts w:ascii="宋体" w:hAnsi="宋体" w:cs="宋体"/>
                <w:color w:val="auto"/>
                <w:sz w:val="18"/>
                <w:szCs w:val="18"/>
                <w:highlight w:val="none"/>
              </w:rPr>
            </w:pPr>
            <w:r>
              <w:rPr>
                <w:rStyle w:val="255"/>
                <w:rFonts w:hint="eastAsia" w:ascii="宋体" w:hAnsi="宋体" w:cs="宋体"/>
                <w:color w:val="auto"/>
                <w:highlight w:val="none"/>
              </w:rPr>
              <w:t>霍乱弧菌（</w:t>
            </w:r>
            <w:r>
              <w:rPr>
                <w:rStyle w:val="257"/>
                <w:rFonts w:hint="default"/>
                <w:i w:val="0"/>
                <w:iCs w:val="0"/>
                <w:color w:val="auto"/>
                <w:sz w:val="18"/>
                <w:szCs w:val="18"/>
                <w:highlight w:val="none"/>
              </w:rPr>
              <w:t>ctxA/B</w:t>
            </w:r>
            <w:r>
              <w:rPr>
                <w:rStyle w:val="255"/>
                <w:rFonts w:hint="eastAsia" w:ascii="宋体" w:hAnsi="宋体" w:cs="宋体"/>
                <w:color w:val="auto"/>
                <w:highlight w:val="none"/>
              </w:rPr>
              <w:t>基因）检测试剂盒（实时荧光PCR法）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268FB">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1.适用范围：适用于定性检测从食品增菌液及培养物样本中提取的霍乱弧菌ctxA和ctxB毒力基因</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A5F40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FDE286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F0EC34E">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CE5A75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21A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志贺氏菌核酸检测试剂盒（荧光PCR法）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1D6F7">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1.适用范围：适用于定性检测从临床样本、食品样品及保存的菌种经培养获得的增菌液、纯培养物或单菌落中提取的志贺氏菌核酸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C1561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6BDDB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7E5DA61">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B71CC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473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军团菌、嗜肺军团菌双重核酸检测试剂盒（荧光PCR法）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225C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1.适用范围：适用于定性检测从临床样本、环境样本及保存的菌种经培养获得的增菌液、纯培养物或单菌落中提取的嗜肺军团菌及其他军团菌核酸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CA0415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EE35A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19E8687">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3BA2D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D48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A族链球菌核酸检测试剂盒（荧光PCR法）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6120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1.适用范围：适用于定性检测从环境样本、临床样本及其培养物中提取的A族链球菌核酸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EF072B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9F15B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C1ED09E">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DB1C2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169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947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肺炎衣原体、肺炎支原体、嗜肺军团菌核酸检测试剂盒（三重荧光PCR法）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C6CC1">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1.适用范围：适用于定性检测从咽拭子、痰液、培养物等样本中提取的肺炎支原体、肺炎衣原体、嗜肺军团菌核酸</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C51A0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D87DA0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C00B38C">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460B5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013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脑膜炎奈瑟菌核酸检测试剂盒（荧光PCR法）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D1F6">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1.适用范围：适用于定性检测从临床样本及其培养物中提取的脑膜炎奈瑟菌核酸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192D1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65E50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96A2BAE">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7103C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DFB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流感嗜血杆菌、肺炎链球菌检测试剂盒（双色实时荧光PCR法）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00B87">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1.适用范围：适用于定性检测从临床样本及其培养物中提取的流感嗜血杆菌和肺炎链球菌的核酸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90F8E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2FD70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5D3EBFE">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B3594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E91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流感嗜血杆菌核酸检测试剂盒（荧光PCR法）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9014D">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1.适用范围：适用于定性检测从环境样本、临床样本及其培养物中提取的流感嗜血杆菌</w:t>
            </w:r>
            <w:r>
              <w:rPr>
                <w:rStyle w:val="254"/>
                <w:rFonts w:hint="default" w:ascii="宋体" w:hAnsi="宋体" w:eastAsia="宋体" w:cs="宋体"/>
                <w:i w:val="0"/>
                <w:iCs w:val="0"/>
                <w:color w:val="auto"/>
                <w:sz w:val="18"/>
                <w:szCs w:val="18"/>
                <w:highlight w:val="none"/>
              </w:rPr>
              <w:t>核酸</w:t>
            </w:r>
            <w:r>
              <w:rPr>
                <w:rStyle w:val="254"/>
                <w:rFonts w:hint="eastAsia" w:ascii="宋体" w:hAnsi="宋体" w:cs="宋体"/>
                <w:i w:val="0"/>
                <w:iCs w:val="0"/>
                <w:color w:val="auto"/>
                <w:sz w:val="18"/>
                <w:szCs w:val="18"/>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4"/>
                <w:rFonts w:hint="default" w:ascii="宋体" w:hAnsi="宋体" w:eastAsia="宋体" w:cs="宋体"/>
                <w:i w:val="0"/>
                <w:iCs w:val="0"/>
                <w:color w:val="auto"/>
                <w:sz w:val="18"/>
                <w:szCs w:val="18"/>
                <w:highlight w:val="none"/>
              </w:rPr>
              <w:t>。</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771F1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BB712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AEEDDC3">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879BA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D076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大肠艾希氏菌O104：H4核酸多重PCR试剂</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6B003">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分离培养获得的纯培养物或单菌落，以及保存菌种的纯培养物提取的大肠埃希氏菌O104:H4菌株的O104、H4抗原特异性基因rfbEO104、fliCH4，以及与致病相关的志贺毒素编码基因stx1和stx2、粘附因子编码基因eaeA和集聚黏附菌毛调节基因aggR，所有检测基因在同一反应体系中进行</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20F60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5B315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353B887">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780D6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C1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沙门氏菌/金黄色葡萄球菌/大肠埃希氏菌O157/单核细胞增生性李斯特氏菌核酸四重实时荧光PCR检测试剂盒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31177">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1.适用范围：适用于定性检测从污染食品增菌液或培养物中提取的沙门氏菌、金黄色葡萄球菌、大肠埃希氏菌O157和单核细胞增生性李斯特氏菌核酸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▲3.灵敏度最低500copies/mL，与其他病原菌均无交叉反应（投标时需提供说明书）。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FADA91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A37B8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7B791E0">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66CC0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FA6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单增李斯特菌核酸检测试剂盒(荧光PCR法）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4EC6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1.适用范围：适用于定性检测从临床样本、食品样品及保存的菌种经培养获得的增菌液、纯培养物或单菌落中提取的单核细胞增生性李斯特氏菌核酸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CB696B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1348B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26E5092">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CB288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277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福氏志贺菌核酸检测试剂盒（PCR-荧光探针法）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51DA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1.适用范围：适用于定性检测从临床样本、食品样品及保存的菌种经培养获得的增菌液、纯培养物或单菌落中提取的福氏志贺氏菌核酸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898398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0AF208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88A31AB">
        <w:tblPrEx>
          <w:tblCellMar>
            <w:top w:w="0" w:type="dxa"/>
            <w:left w:w="108" w:type="dxa"/>
            <w:bottom w:w="0" w:type="dxa"/>
            <w:right w:w="108" w:type="dxa"/>
          </w:tblCellMar>
        </w:tblPrEx>
        <w:trPr>
          <w:trHeight w:val="48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4260C5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A687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金黄色葡萄球菌、溶血性链球菌双重核酸检测试剂盒（实时荧光PCR法）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7AA2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83226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0DD34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BCBE282">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A62683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71A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金黄色葡萄球菌肠毒素A型核酸检测试剂盒（荧光PCR法）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B86D1">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1.适用范围：适用于定性检测从临床样本、食品样品及保存的菌种经培养获得的增菌液、纯培养物或单菌落中提取的金黄色葡萄球菌肠毒素A型核酸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D66D4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AAF003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37E89C0">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0A38E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179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4CEE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金黄色葡萄球菌肠毒素B型核酸检测试剂盒（荧光PCR法）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33D77">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1.适用范围：适用于定性检测从临床样本、食品样品及保存的菌种经培养获得的增菌液、纯培养物或单菌落中提取的金黄色葡萄球菌肠毒素B型核酸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D8E09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1BA550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8869E7E">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28E5D3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0E2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金黄色葡萄球菌肠毒素C型核酸检测试剂盒（荧光PCR法）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AC44E">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1.适用范围：适用于定性检测从临床样本、食品样品及保存的菌种经培养获得的增菌液、纯培养物或单菌落中提取的金黄色葡萄球菌肠毒素C型核酸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4D444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A5116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978FA38">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C07B6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F58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金黄色葡萄球菌肠毒素D型核酸检测试剂盒（荧光PCR法）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48E3">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w:t>
            </w:r>
            <w:r>
              <w:rPr>
                <w:rStyle w:val="254"/>
                <w:rFonts w:hint="default" w:ascii="宋体" w:hAnsi="宋体" w:eastAsia="宋体" w:cs="宋体"/>
                <w:i w:val="0"/>
                <w:iCs w:val="0"/>
                <w:color w:val="auto"/>
                <w:sz w:val="18"/>
                <w:szCs w:val="18"/>
                <w:highlight w:val="none"/>
              </w:rPr>
              <w:t>、纯培养物或单菌落中提取的金黄色葡萄球菌肠毒素D型核酸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4"/>
                <w:rFonts w:hint="default" w:ascii="宋体" w:hAnsi="宋体" w:eastAsia="宋体" w:cs="宋体"/>
                <w:i w:val="0"/>
                <w:iCs w:val="0"/>
                <w:color w:val="auto"/>
                <w:sz w:val="18"/>
                <w:szCs w:val="18"/>
                <w:highlight w:val="none"/>
              </w:rPr>
              <w:t>。</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D70B5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9DFDD0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949F7FB">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623DA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B0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金黄色葡萄球菌肠毒素E型核酸检测试剂盒（荧光PCR法）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93B55">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1.适用范围：适用于定性检测从临床样本、食品样品及保存的菌种经培养获得的增菌液、纯培养物或单菌落中提取的金黄色葡萄球菌肠毒素E型核酸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A5AB3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96BF6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43D99F7">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85A615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BCA4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金黄色葡萄球菌核酸检测试剂盒（荧光PCR法）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87AD">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1.适用范围：适用于定性检测从临床样本、食品样品及保存的菌种经培养获得的增菌液、纯培养物或单菌落中提取的金黄色葡萄球菌核酸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5848E1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2A866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46B314F">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8073A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62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蜡样芽孢杆菌nheB/cesB/hblC毒力基因三重实时荧光PCR检测试剂盒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A7FD0">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1.适用范围：适用于定性检测从临床样本（粪便、呕吐物等）、食品样品及保存的菌种经培养获得的增菌液等中提取的</w:t>
            </w:r>
            <w:r>
              <w:rPr>
                <w:rStyle w:val="251"/>
                <w:rFonts w:hint="default" w:ascii="宋体" w:hAnsi="宋体" w:cs="宋体"/>
                <w:color w:val="auto"/>
                <w:highlight w:val="none"/>
              </w:rPr>
              <w:t>蜡样芽孢杆菌</w:t>
            </w:r>
            <w:r>
              <w:rPr>
                <w:rStyle w:val="251"/>
                <w:rFonts w:hint="default" w:ascii="宋体" w:hAnsi="宋体" w:eastAsia="宋体" w:cs="宋体"/>
                <w:color w:val="auto"/>
                <w:highlight w:val="none"/>
              </w:rPr>
              <w:t>呕吐毒素基因cesB，非溶血性基因nheB和溶血性基因hblC</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00B28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72BE2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E7B3DAD">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51CA43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A96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蜡样芽孢杆菌核酸检测试剂盒（荧光PCR法）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40DCE">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1.适用范围：适用于定性检测从污染食品增菌液（或临床样本）等中提取的</w:t>
            </w:r>
            <w:r>
              <w:rPr>
                <w:rStyle w:val="251"/>
                <w:rFonts w:hint="default" w:ascii="宋体" w:hAnsi="宋体" w:cs="宋体"/>
                <w:color w:val="auto"/>
                <w:highlight w:val="none"/>
              </w:rPr>
              <w:t>蜡样芽孢杆菌</w:t>
            </w:r>
            <w:r>
              <w:rPr>
                <w:rStyle w:val="251"/>
                <w:rFonts w:hint="default" w:ascii="宋体" w:hAnsi="宋体" w:eastAsia="宋体" w:cs="宋体"/>
                <w:color w:val="auto"/>
                <w:highlight w:val="none"/>
              </w:rPr>
              <w:t>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989D86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14C27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7B0C8F7">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F5934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F382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类志贺邻单胞菌核酸检测试剂盒（荧光PCR法）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F1EF">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1.适用范围：适用于定性检测从临床样本、食品样品、菌种及其培养物中提取的类志贺邻单胞菌核酸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6E42C5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7D211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4EF961D">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A57B9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7A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沙门氏菌、志贺氏菌核酸检测试剂盒（双重荧光PCR法）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200C2">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1.适用范围：适用于定性检测从临床样本、食品样品及保存的菌种经培养获得的增菌液、纯培养物或单菌落中提取的沙门氏菌和志贺氏菌核酸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7E681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4CA674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43CDBA5">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E585A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AA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溶藻弧菌核酸检测试剂盒（荧光PCR法）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E0D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1.适用范围：适用于定性检测从临床样本、食品样品及保存的菌种经培养获得的增菌液、纯培养物或单菌落中提取的溶藻弧菌核酸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0E83D5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C48AE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3C8BD17">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AD80E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189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359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沙门氏菌核酸检测试剂盒（荧光PCR法）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6C0A1">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1.适用范围：适用于定性检测从临床样本、食品样品及保存的菌种经培养获得的增菌液、纯培养物或单菌落中提取的沙门氏菌核酸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A21DD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01679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9BBAFFE">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9F35F2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FAE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鼠疫杆菌核酸检测试剂盒（荧光PCR法）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77254">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1.适用范围：适用于定性检测从血液、咽拭子以及淋巴液中提取的鼠疫耶尔森氏菌chro392基因</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7A455B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92B86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1B5E19E">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F06917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D745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副溶血性弧菌（ToxR/tdh/trh/tlh）四重实时荧光PCR检测试剂盒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869D6">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1.适用范围：适用于定性检测从污染食品增菌液或临床样本中提取的副溶血性弧菌致病相关的耐热性溶血毒素（TDH）编码基因tdh和TDH相关溶血毒素（TRH）编码基因trh，</w:t>
            </w:r>
            <w:r>
              <w:rPr>
                <w:rStyle w:val="254"/>
                <w:rFonts w:hint="default" w:ascii="宋体" w:hAnsi="宋体" w:eastAsia="宋体" w:cs="宋体"/>
                <w:i w:val="0"/>
                <w:iCs w:val="0"/>
                <w:color w:val="auto"/>
                <w:sz w:val="18"/>
                <w:szCs w:val="18"/>
                <w:highlight w:val="none"/>
              </w:rPr>
              <w:t>以及种属特异性的toxR和tlh基因</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4"/>
                <w:rFonts w:hint="default" w:ascii="宋体" w:hAnsi="宋体" w:eastAsia="宋体" w:cs="宋体"/>
                <w:i w:val="0"/>
                <w:iCs w:val="0"/>
                <w:color w:val="auto"/>
                <w:sz w:val="18"/>
                <w:szCs w:val="18"/>
                <w:highlight w:val="none"/>
              </w:rPr>
              <w:t>。</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D32A1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54495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7A76552">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15842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241B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产志贺毒素大肠埃希氏菌（stx1、stx2）核酸双重实时荧光PCR检测试剂盒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DD29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1.适用范围：适用于定性检测从临床样本、污染食品增菌液或培养物中提取的产志贺毒素大肠埃希氏菌（STEC）的核酸，同时可用于STEC致病相关的志贺毒素I基因（stx1）和志贺毒素II基因（stx2）的鉴定</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8BD1D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CDF4D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66F2012">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3AA8E8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CEF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嗜水气单胞菌核酸检测试剂盒（荧光PCR法）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1630C">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1.适用范围：适用于定性检测从临床样本及保存的菌种经培养获得的增菌液中提取的嗜水气单胞菌核酸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3C4DE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D7F6F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163C48D">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F688D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A5CF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产气荚膜梭菌肠毒素（cpe）</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基因核酸检测试剂盒（荧光PCR法）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16274">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1.适用范围：适用于定性检测从污染食品增菌液或培养物中提取的产气荚膜梭菌肠毒素(cpe)基因</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C46B25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BDF90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5F4BC2A">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BC4CAB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A07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致病菌呼吸道症候群核酸检测试剂盒（荧光PCR法）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A1AC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咽拭子、痰液、培养物等样本中提取的流感嗜血杆菌、百日咳鲍特氏菌、A族链球菌、肺炎链球菌、军团菌、肺炎衣原体、肺炎支原体、肺炎克雷伯菌、鹦鹉热衣原体、曲霉菌属、隐球菌、耶氏肺孢子菌等呼吸道症候群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12T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可拆卸96孔全混预分装体系包装和除酶以外1管预混液体系包装，每个反应孔核酸体积≤5μL，终体积≤25μL，核酸上样孔数≤4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3B6A96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D1429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3312699">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B27FAE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EADA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腹泻症候群22种病原体核酸多重实时荧光PCR检测试剂盒（13+5）方案  </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43EF3">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粪便、肛拭子、呕吐物及培养物中提取的诺如病毒、轮状病毒、札如病毒、肠道腺病毒、星状病毒、阪崎克罗诺杆菌、志贺氏菌、小肠结肠炎耶尔森氏菌、河弧菌、空肠弯曲菌、结肠弯曲菌、霍乱弧菌、副溶血性弧菌、嗜水气单胞菌、沙门菌、类志贺邻单胞菌、艰难梭菌、致泻大肠埃希氏菌等腹泻病原体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12T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可拆卸96孔全混预分装体系包装和除酶以外1管预混液体系包装，每个反应孔核酸体积≤5μL，终体积≤25μL，核酸上样孔数≤8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E6A1E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05D92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BFC6CE3">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0557D0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2C7F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札如病毒GI型/GII型/GIV型/GV型核酸四重实时荧光PCR检测试剂盒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B66F">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1.适用范围：适用于定性检测从粪便、肛拭子和呕吐物中提取的札如病毒GⅠ型、GⅡ型、GⅣ型和GⅤ型的核酸</w:t>
            </w:r>
            <w:r>
              <w:rPr>
                <w:rStyle w:val="251"/>
                <w:rFonts w:hint="eastAsia" w:ascii="宋体" w:hAnsi="宋体" w:cs="宋体"/>
                <w:color w:val="auto"/>
                <w:highlight w:val="none"/>
                <w:lang w:val="en-US"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3.灵敏度最低500copies/mL，与其他病原菌均无交叉反应。（投标时需提供说明书）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7BADAC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EA462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D7F1119">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C9F41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5E26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A组轮状病毒10种基因型多重实时荧光PCR检测试剂盒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8736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1.适用范围：适用于定性检测从粪便、肛拭子和呕吐物中提取的A组轮状病毒G1、G2、G3、G4、G8、G9、G12为、P[4]、P[8]和P[6]</w:t>
            </w:r>
            <w:r>
              <w:rPr>
                <w:rStyle w:val="251"/>
                <w:rFonts w:hint="eastAsia" w:ascii="宋体" w:hAnsi="宋体" w:cs="宋体"/>
                <w:color w:val="auto"/>
                <w:highlight w:val="none"/>
                <w:lang w:val="en-US"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4孔，同品牌多个不同试剂可使用同一扩增程序上机使用。反应理论时间≤38min，反应时长≤70min。（投标时需提供产品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F3C37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06A39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FC473D7">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40030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2DA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轮状病毒A组/B组/C组/H组核酸检测试剂盒/含内标（荧光PCR法）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9A9DF">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1.适用范围：适用于定性检测从粪便、肛拭子和呕吐物中提取的A组、B组、C组、H组轮状病毒核酸</w:t>
            </w:r>
            <w:r>
              <w:rPr>
                <w:rStyle w:val="251"/>
                <w:rFonts w:hint="eastAsia" w:ascii="宋体" w:hAnsi="宋体" w:cs="宋体"/>
                <w:color w:val="auto"/>
                <w:highlight w:val="none"/>
                <w:lang w:val="en-US"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2孔，同品牌多个不同试剂可使用同一扩增程序上机使用。反应理论时间≤38min，反应时长≤70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13072E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68A9CC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09529B56">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990D0E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72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星状病毒经典型/MLB型和VA/HMO型分型核酸检测试剂盒/含内标（荧光PCR法）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56C7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1.适用范围：适用于定性检测从粪便、和呕吐物中提取的星状病毒经典型、MLB型和VA/HMO型的核酸</w:t>
            </w:r>
            <w:r>
              <w:rPr>
                <w:rFonts w:hint="eastAsia" w:ascii="宋体" w:hAnsi="宋体" w:cs="宋体"/>
                <w:color w:val="auto"/>
                <w:kern w:val="0"/>
                <w:sz w:val="18"/>
                <w:szCs w:val="18"/>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Fonts w:hint="eastAsia" w:ascii="宋体" w:hAnsi="宋体" w:cs="宋体"/>
                <w:color w:val="auto"/>
                <w:kern w:val="0"/>
                <w:sz w:val="18"/>
                <w:szCs w:val="18"/>
                <w:highlight w:val="none"/>
              </w:rPr>
              <w:t>。（投标时需提供说明书）</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2.原理：本试剂盒设置了人的核糖核酸酶P基因（RNase P）为内源性内标（IC）对照，用于对样本采集、保存和运输以及核酸提取过程进行监控。</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3.灵敏度最低500copies/mL，与其他病原菌均无交叉反应。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4.检测技术：多重实时荧光PCR技术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BCFD7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19822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5634C17">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81294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FCFB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肠道腺病毒40型/41型核酸实时荧光PCR检测试剂盒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8990F">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1.适用范围：适用于定性检测从粪便、肛拭子、咽拭子和血液等临床样本中提取的肠道腺病毒40型、41型核酸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50T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555892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F815C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1D499AC">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F100B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31B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致病菌脑炎脑膜炎症候群核酸多重实时荧光PCR检测试剂盒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9193">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血液、脑脊液等临床样本及其培养物中提取的脑膜炎奈瑟菌、流感嗜血杆菌、肺炎链球菌、A族链球菌、金黄色葡萄球菌、单核细胞增生性李斯特氏菌、无乳链球菌、大肠埃希氏菌、猪链球菌、结核分枝杆菌、隐球菌的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12T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可拆卸96孔全混预分装体系包装和除酶以外1管预混液体系包装，每个反应孔核酸体积≤5μL，终体积≤25μL，核酸上样孔数≤3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23CA13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4B73D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19BE583">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91B1D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693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致病菌其他发热症候群核酸检测试剂盒（荧光PCR法）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85654">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及其培养物中提取的伤寒沙门菌、副伤寒沙门菌、脑膜炎奈瑟菌、A族链球菌、伯氏疏螺旋体、立克次体、无形体、埃立克体、钩端螺旋体、猪链球菌、鼠疫耶尔森菌、布鲁氏菌、曲霉菌、隐球菌、耶氏肺孢子菌的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12T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可拆卸96孔全混预分装体系包装和除酶以外1管预混液体系包装，每个反应孔核酸体积≤5μL，终体积≤25μL，核酸上样孔数≤4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886E0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F0B65E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C782910">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314839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B27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无乳链球菌核酸实时荧光PCR检测试剂盒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3EF5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1.适用范围：适用于定性检测从环境样本、临床样本及其培养物中提取的无乳链球菌核酸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2DA70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CCB550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4B9CCBB">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8B410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2FF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艰难梭菌毒力四重基因PCR荧光检测试剂盒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EC1EB">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1.适用范围：适用于定性检测从临床样本、纯培养物或单菌落中提取的艰难梭菌的tcdA/tcdB/cdtA/cdtB基因</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8"/>
                <w:rFonts w:hint="default"/>
                <w:color w:val="auto"/>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3.灵敏度最低500copies/mL，与其他病原菌均无交叉反应。（投标时需提供说明书）</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5.运输保存：冷冻条件下运输，-20℃保存。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88D36D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8E999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FB29D48">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873FF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6CBD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艰难梭菌核酸检测试剂盒（荧光PCR法）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299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1.适用范围：适用于定性检测从临床样本及其增菌液中提取的艰难梭菌核酸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3.灵敏度最低500copies/mL，与其他病原菌均无交叉反应。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4.检测技术：多重实时荧光PCR技术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71303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290B7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CE864DA">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0C43A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8144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产志贺毒素大肠埃希氏菌（stx1、stx2）核酸双重实时荧光PCR检测试剂盒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F2F9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1.适用范围：适用于定性检测从临床样本、污染食品增菌液或培养物中提取的产志贺毒素大肠埃希氏菌（STEC）的核酸，同时可用于STEC致病相关的志贺毒素I基因（stx1）和志贺毒素II基因（stx2）的鉴定</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3.灵敏度最低500copies/mL，与其他病原菌均无交叉反应。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4.检测技术：多重实时荧光PCR技术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31D5F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3C493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0F9FA16">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2C2ACA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DF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致泻性大肠杆菌毒力基因(stx1、stx2)检测试剂盒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EF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适用于定性检测从临床样本、食品样品、菌种及其培养物中肠道出血性大肠埃希氏菌（EHEC）核酸，同时可用于EHEC致病相关的粘附因子（eae）、志贺毒素I基因（stx1）和志贺毒素II基因（stx2）等基因鉴定</w:t>
            </w:r>
            <w:r>
              <w:rPr>
                <w:rFonts w:hint="eastAsia" w:ascii="宋体" w:hAnsi="宋体" w:cs="宋体"/>
                <w:color w:val="auto"/>
                <w:kern w:val="0"/>
                <w:sz w:val="18"/>
                <w:szCs w:val="18"/>
                <w:highlight w:val="none"/>
                <w:lang w:val="en-US"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3.灵敏度最低500copies/mL，与其他病原菌均无交叉反应。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4.检测技术：多重实时荧光PCR技术。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CA2263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D3EF8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5BEDFF3">
        <w:tblPrEx>
          <w:tblCellMar>
            <w:top w:w="0" w:type="dxa"/>
            <w:left w:w="108" w:type="dxa"/>
            <w:bottom w:w="0" w:type="dxa"/>
            <w:right w:w="108" w:type="dxa"/>
          </w:tblCellMar>
        </w:tblPrEx>
        <w:trPr>
          <w:trHeight w:val="239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D68D8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1EE1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弯曲菌毒力基因检测试剂盒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B5D8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适用于定性检测从纯培养物或单菌落中提取的空肠弯曲菌毒力基因，包括与菌株致病性相关的靶基因（hcp、virB、ciaB、ggt、cdtA、cdtB、cdtC）以及可导致格林-巴利综合征相关的靶基因（cgtA、cgtB/wlaN、cstⅡ），</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Fonts w:hint="eastAsia" w:ascii="宋体" w:hAnsi="宋体" w:cs="宋体"/>
                <w:color w:val="auto"/>
                <w:kern w:val="0"/>
                <w:sz w:val="18"/>
                <w:szCs w:val="18"/>
                <w:highlight w:val="none"/>
              </w:rPr>
              <w:t>（投标时需提供说明书）。</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反应体系：可根据需要提供除酶以外3管预混液体系包装，每个反应孔核酸体积≤5μL，终体积≤25μL，核酸上样孔数≤1孔，同品牌多个不同试剂可使用同一扩增程序上机使用。反应理论时间≤28min，反应时长≤60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3.灵敏度最低500copies/mL，与其他病原菌均无交叉反应。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4.检测技术：多重实时荧光PCR技术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0A24D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07D73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8B4CB55">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0C864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6E3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结肠弯曲菌核酸检测试剂盒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D0C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1.适用范围：适用于定性检测从临床样本、食品样品、环境样本及保存的菌种经培养获得的增菌液、纯培养物或单菌落中提取的结肠弯曲菌核酸</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反应体系：可根据需要提供除酶以外1管预混液体系包装，每个反应孔核酸体积≤5μL，终体积≤25μL，核酸上样孔数≤1孔，同品牌多个不同试剂可使用同一扩增程序上机使用。反应理论时间≤28min，反应时长≤60mi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▲3.灵敏度最低500copies/mL，与其他病原菌均无交叉反应。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4.检测技术：多重实时荧光PCR技术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5.运输保存：冷冻条件下运输，-20℃保存。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446B4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69E1D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27E454A">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FCA2D9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6B7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副溶血性弧菌血清分型核酸多重实时荧光PCR检测试剂盒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72F4A">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1.适用范围：适用于定性检测从纯培养物或单菌落中提取的副溶血性弧菌O3:K6、O4:K8、O10:K4血清型</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Style w:val="251"/>
                <w:rFonts w:hint="default" w:ascii="宋体" w:hAnsi="宋体" w:eastAsia="宋体" w:cs="宋体"/>
                <w:color w:val="auto"/>
                <w:highlight w:val="none"/>
              </w:rPr>
              <w:t>。</w:t>
            </w:r>
            <w:r>
              <w:rPr>
                <w:rStyle w:val="251"/>
                <w:rFonts w:hint="default" w:ascii="宋体" w:hAnsi="宋体" w:eastAsia="宋体" w:cs="宋体"/>
                <w:color w:val="auto"/>
                <w:highlight w:val="none"/>
              </w:rPr>
              <w:br w:type="textWrapping"/>
            </w:r>
            <w:r>
              <w:rPr>
                <w:rStyle w:val="254"/>
                <w:rFonts w:hint="default" w:ascii="宋体" w:hAnsi="宋体" w:eastAsia="宋体" w:cs="宋体"/>
                <w:i w:val="0"/>
                <w:iCs w:val="0"/>
                <w:color w:val="auto"/>
                <w:sz w:val="18"/>
                <w:szCs w:val="18"/>
                <w:highlight w:val="none"/>
              </w:rPr>
              <w:t>2.反应体系：可根据需要提供除酶以外3管预混液体系包装，每个反应孔核酸体积≤5μL，终体积≤25μL，核酸上样孔数≤1孔，同品牌多个不同试剂可使用同一扩增程序上机使用。反应理论时间≤28min，反应时长≤60min。（投标时需提供说明书和反应完成截图证明）</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3.灵敏度最低500copies/mL，与其他病原菌均无交叉反应。</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4.检测技术：多重实时荧光PCR技术。</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FB2B01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8E19CE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1096F139">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93D03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C79A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九类空肠弯曲菌血清分型多重荧光PCR检测试剂盒（TaqMan探针法）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D216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1.适用范围：本试剂盒可用于检测空肠弯曲菌血清型的快速筛查分析（包括HS:2，HS:19，HS:41，HS:1，HS:23/36，HS:5/31，HS:44，HS:4和HS:37共11种血清型）</w:t>
            </w:r>
            <w:r>
              <w:rPr>
                <w:rStyle w:val="251"/>
                <w:rFonts w:hint="eastAsia" w:ascii="宋体" w:hAnsi="宋体" w:cs="宋体"/>
                <w:color w:val="auto"/>
                <w:highlight w:val="none"/>
                <w:lang w:eastAsia="zh-CN"/>
              </w:rPr>
              <w:t>，</w:t>
            </w:r>
            <w:r>
              <w:rPr>
                <w:rStyle w:val="251"/>
                <w:rFonts w:hint="default" w:ascii="宋体" w:hAnsi="宋体" w:eastAsia="宋体" w:cs="宋体"/>
                <w:color w:val="auto"/>
                <w:highlight w:val="none"/>
                <w:lang w:val="en-US" w:eastAsia="zh-CN"/>
              </w:rPr>
              <w:t>规格：</w:t>
            </w:r>
            <w:r>
              <w:rPr>
                <w:rStyle w:val="251"/>
                <w:rFonts w:hint="eastAsia" w:ascii="宋体" w:hAnsi="宋体" w:cs="宋体"/>
                <w:color w:val="auto"/>
                <w:highlight w:val="none"/>
                <w:lang w:val="en-US" w:eastAsia="zh-CN"/>
              </w:rPr>
              <w:t>25T</w:t>
            </w:r>
            <w:r>
              <w:rPr>
                <w:rFonts w:hint="eastAsia" w:ascii="宋体" w:hAnsi="宋体" w:cs="宋体"/>
                <w:color w:val="auto"/>
                <w:kern w:val="0"/>
                <w:sz w:val="18"/>
                <w:szCs w:val="18"/>
                <w:highlight w:val="none"/>
              </w:rPr>
              <w:t>。(投标时需提供产品说明书)</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2.检测技术：多重实时荧光PCR技术。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3.适用仪器：经过多通道校正的全自动荧光PCR检测仪，需含有FAM、VIC（HEX）和ROX检测通道，如ABI7500、7500FAST等仪器。</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4.规格：25T/盒。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5.有效期：不少于12个月，到货后质保期不少于10个月。</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4D978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CECDDD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4065972C">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5E29E6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6849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新冠N、ORFlab、辣椒轻斑三重核酸定量标准品</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7FD5">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1.原料为全基因组假病毒和灭活菌液；</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2.液体，-20度保存；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3.规格：0.5ml/支，3支/盒</w:t>
            </w:r>
            <w:r>
              <w:rPr>
                <w:rStyle w:val="251"/>
                <w:rFonts w:hint="default" w:ascii="宋体" w:hAnsi="宋体" w:eastAsia="宋体" w:cs="宋体"/>
                <w:color w:val="auto"/>
                <w:highlight w:val="none"/>
              </w:rPr>
              <w:br w:type="textWrapping"/>
            </w:r>
            <w:r>
              <w:rPr>
                <w:rStyle w:val="259"/>
                <w:rFonts w:hint="default"/>
                <w:color w:val="auto"/>
                <w:highlight w:val="none"/>
              </w:rPr>
              <w:t>▲4.为确保溯源性，在投标文件中提供有证标准物质证书 GBW（E） ，并提供有证标准物质在有效期内的复制批证明。市场上无有证标准物质证书的病种，需提供生产方参与 3 家以上数字 PCR 定制报告证明并加盖投标人公章；</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▲5.定量标准物质需采用数字PCR定制，需提供出厂质控报告，提供不少于两种数字PCR方法学的实验图，质控报告中需注明不确定度范围。</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▲6.需提供计量权威机构出具的不确定度报告；</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511BD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51615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73F0A4CD">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9DB5B2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6B2C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基孔肯雅热病毒基因假病毒核酸有证标准物质　 </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56AB">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1.原料为全基因组假病毒；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2.液体，-20度保存；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3.规格：0.65ml/支，1支/盒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▲3.为确保溯源性，投标时需提供有证标准物质证书（GBW(E)),并提供有证标准物质在有效期内的复制批证明。</w:t>
            </w:r>
            <w:r>
              <w:rPr>
                <w:rStyle w:val="259"/>
                <w:rFonts w:hint="default"/>
                <w:color w:val="auto"/>
                <w:highlight w:val="none"/>
              </w:rPr>
              <w:t>市场上无有证标准物质证书的病种，需提供生产方参与 3 家以上数字 PCR 定制报告证明并加盖投标人公章；</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▲4.定量标准物质需采用数字PCR定值，需提供出厂质控报告，提供不少于两种数字PCR方法学的实验图，质控报告中需注明不确定度范围。</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148426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97A38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136F598">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294C5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0485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寨卡病毒亚洲型别假病毒核酸有证标准物质　</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7209F">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1.原料为全基因组假病毒；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2.液体，-20度保存；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3.规格：0.65ml/支，1支/盒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4.为确保溯源性，投标时需提供有证标准物质证书（GBW(E)),并提供有证标准物质在有效期内的复制批证明。</w:t>
            </w:r>
            <w:r>
              <w:rPr>
                <w:rStyle w:val="259"/>
                <w:rFonts w:hint="default"/>
                <w:color w:val="auto"/>
                <w:highlight w:val="none"/>
              </w:rPr>
              <w:t>市场上无有证标准物质证书的病种，需提供生产方参与多家数字 PCR 定制报告证明并加盖投标人公章；</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▲5.定量标准物质需采用数字PCR定值，需提供出厂质控报告，提供不少于两种数字PCR方法学的实验图，质控报告中需注明不确定度范围。</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C17F1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FE852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45CCBE6">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5FA7D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112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大别班达病毒M基因核酸有证标准物质　</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5EB14">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1.原料为全基因组假病毒；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2.液体，-20度保存；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3.规格：0.65ml/支，1支/盒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4.为确保溯源性，投标时需提供有证标准物质证书（GBW(E)),并提供有证标准物质在有效期内的复制批证明。</w:t>
            </w:r>
            <w:r>
              <w:rPr>
                <w:rStyle w:val="259"/>
                <w:rFonts w:hint="default"/>
                <w:color w:val="auto"/>
                <w:highlight w:val="none"/>
              </w:rPr>
              <w:t>市场上无有证标准物质证书的病种，需提供生产方参与多家数字 PCR 定制报告证明并加盖投标人公章；</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▲5.定量标准物质需采用数字PCR定值，需提供出厂质控报告，提供不少于两种数字PCR方法学的实验图，质控报告中需注明不确定度范围。</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93784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76B3E4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22FBA3D2">
        <w:tblPrEx>
          <w:tblCellMar>
            <w:top w:w="0" w:type="dxa"/>
            <w:left w:w="108" w:type="dxa"/>
            <w:bottom w:w="0" w:type="dxa"/>
            <w:right w:w="108" w:type="dxa"/>
          </w:tblCellMar>
        </w:tblPrEx>
        <w:trPr>
          <w:trHeight w:val="196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31E14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E8ED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尼帕病毒N基因定量标准物质</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785F7">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1.原料为全基因组假病毒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2.液体，-20度保存；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3.规格：0.5ml/支，</w:t>
            </w:r>
            <w:r>
              <w:rPr>
                <w:rStyle w:val="251"/>
                <w:rFonts w:hint="eastAsia" w:ascii="宋体" w:hAnsi="宋体" w:cs="宋体"/>
                <w:color w:val="auto"/>
                <w:highlight w:val="none"/>
                <w:lang w:val="en-US" w:eastAsia="zh-CN"/>
              </w:rPr>
              <w:t>1</w:t>
            </w:r>
            <w:r>
              <w:rPr>
                <w:rStyle w:val="251"/>
                <w:rFonts w:hint="default" w:ascii="宋体" w:hAnsi="宋体" w:eastAsia="宋体" w:cs="宋体"/>
                <w:color w:val="auto"/>
                <w:highlight w:val="none"/>
              </w:rPr>
              <w:t>支/盒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4.为确保溯源性，投标时需提供有证标准物质证书（GBW(E)),并提供有证标准物质在有效期内的复制批证明。</w:t>
            </w:r>
            <w:r>
              <w:rPr>
                <w:rStyle w:val="259"/>
                <w:rFonts w:hint="default"/>
                <w:color w:val="auto"/>
                <w:highlight w:val="none"/>
              </w:rPr>
              <w:t>市场上无有证标准物质证书的病种，需提供生产方参与多家数字 PCR 定制报告证明并加盖投标人公章；</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▲5.定量标准物质需采用数字PCR定制，需提供出厂质控报告，提供不少于两种数字PCR方法学的实验图，质控报告中需注明不确定度范围。</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▲6.需提供计量权威机构出具的不确定度报告；</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6F2019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83E92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3A099D41">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782972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C08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禽流感病毒H5亚型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核糖核酸有证标准物质</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ED974">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▲1.原料为灭活病原；</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2.液体，-20度保存；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3.规格：0.65ml/支，1支/盒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4.为确保溯源性，投标时需提供有证标准物质证书（GBW(E)),并提供有证标准物质在有效期内的复制批证明。</w:t>
            </w:r>
            <w:r>
              <w:rPr>
                <w:rStyle w:val="259"/>
                <w:rFonts w:hint="default"/>
                <w:color w:val="auto"/>
                <w:highlight w:val="none"/>
              </w:rPr>
              <w:t>市场上无有证标准物质证书的病种，需提供生产方参与多家数字 PCR 定制报告证明并加盖投标人公章；</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▲5.定量标准物质需采用数字PCR定值，需提供出厂质控报告，提供不少于两种数字PCR方法学的实验图，质控报告中需注明不确定度范围。</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90E16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75CDE6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537E782F">
        <w:tblPrEx>
          <w:tblCellMar>
            <w:top w:w="0" w:type="dxa"/>
            <w:left w:w="108" w:type="dxa"/>
            <w:bottom w:w="0" w:type="dxa"/>
            <w:right w:w="108" w:type="dxa"/>
          </w:tblCellMar>
        </w:tblPrEx>
        <w:trPr>
          <w:trHeight w:val="1840"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296F0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219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6951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禽流感病毒H7亚型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核糖核酸有证标准物质</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F5F78">
            <w:pPr>
              <w:widowControl/>
              <w:jc w:val="center"/>
              <w:textAlignment w:val="center"/>
              <w:rPr>
                <w:rFonts w:ascii="宋体" w:hAnsi="宋体" w:cs="宋体"/>
                <w:color w:val="auto"/>
                <w:sz w:val="18"/>
                <w:szCs w:val="18"/>
                <w:highlight w:val="none"/>
              </w:rPr>
            </w:pPr>
            <w:r>
              <w:rPr>
                <w:rStyle w:val="251"/>
                <w:rFonts w:hint="default" w:ascii="宋体" w:hAnsi="宋体" w:eastAsia="宋体" w:cs="宋体"/>
                <w:color w:val="auto"/>
                <w:highlight w:val="none"/>
              </w:rPr>
              <w:t>1.原料为灭活病原；</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2.液体，-20度保存；</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3.规格：0.65ml/支，1支/盒</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4.为确保溯源性，投标时需提供有证标准物质证书（GBW(E)),并提供有证标准物质在有效期内的复制批证明。</w:t>
            </w:r>
            <w:r>
              <w:rPr>
                <w:rStyle w:val="259"/>
                <w:rFonts w:hint="default"/>
                <w:color w:val="auto"/>
                <w:highlight w:val="none"/>
              </w:rPr>
              <w:t>市场上无有证标准物质证书的病种，需提供生产方参与多家数字 PCR 定制报告证明并加盖投标人公章；</w:t>
            </w:r>
            <w:r>
              <w:rPr>
                <w:rStyle w:val="251"/>
                <w:rFonts w:hint="default" w:ascii="宋体" w:hAnsi="宋体" w:eastAsia="宋体" w:cs="宋体"/>
                <w:color w:val="auto"/>
                <w:highlight w:val="none"/>
              </w:rPr>
              <w:br w:type="textWrapping"/>
            </w:r>
            <w:r>
              <w:rPr>
                <w:rStyle w:val="251"/>
                <w:rFonts w:hint="default" w:ascii="宋体" w:hAnsi="宋体" w:eastAsia="宋体" w:cs="宋体"/>
                <w:color w:val="auto"/>
                <w:highlight w:val="none"/>
              </w:rPr>
              <w:t>▲5.定量标准物质需采用数字PCR定值，需提供出厂质控报告，提供不少于两种数字PCR方法学的实验图，质控报告中需注明不确定度范围。</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2E8B9CB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ADCB43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C441015">
        <w:tblPrEx>
          <w:tblCellMar>
            <w:top w:w="0" w:type="dxa"/>
            <w:left w:w="108" w:type="dxa"/>
            <w:bottom w:w="0" w:type="dxa"/>
            <w:right w:w="108" w:type="dxa"/>
          </w:tblCellMar>
        </w:tblPrEx>
        <w:trPr>
          <w:trHeight w:val="1307"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C8040F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EE03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甲型/乙型流感病毒核酸检测质控品</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BAB8C">
            <w:pPr>
              <w:widowControl/>
              <w:jc w:val="center"/>
              <w:textAlignment w:val="center"/>
              <w:rPr>
                <w:rFonts w:hint="default" w:ascii="宋体" w:hAnsi="宋体" w:cs="宋体"/>
                <w:color w:val="auto"/>
                <w:sz w:val="18"/>
                <w:szCs w:val="18"/>
                <w:highlight w:val="none"/>
              </w:rPr>
            </w:pPr>
            <w:r>
              <w:rPr>
                <w:rFonts w:hint="eastAsia" w:ascii="宋体" w:hAnsi="宋体" w:cs="宋体"/>
                <w:color w:val="auto"/>
                <w:kern w:val="0"/>
                <w:sz w:val="18"/>
                <w:szCs w:val="18"/>
                <w:highlight w:val="none"/>
              </w:rPr>
              <w:t>▲1.产品组成：基于VSV假病毒包装系统，无生物安全隐患。</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 无DNA残留，需参与提取，可监控核酸提取、逆转录与扩增全过程。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3.采用数字PCR定值。</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 液体包装，开瓶即用。</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▲5.有效期：不少于24个月。</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6.质控品浓度：10000拷贝</w:t>
            </w:r>
            <w:r>
              <w:rPr>
                <w:rFonts w:hint="eastAsia" w:ascii="宋体" w:hAnsi="宋体" w:cs="宋体"/>
                <w:color w:val="auto"/>
                <w:kern w:val="0"/>
                <w:sz w:val="18"/>
                <w:szCs w:val="18"/>
                <w:highlight w:val="none"/>
                <w:lang w:eastAsia="zh-CN"/>
              </w:rPr>
              <w:t>，</w:t>
            </w:r>
            <w:r>
              <w:rPr>
                <w:rFonts w:hint="eastAsia" w:ascii="宋体" w:hAnsi="宋体" w:cs="宋体"/>
                <w:color w:val="auto"/>
                <w:kern w:val="0"/>
                <w:sz w:val="18"/>
                <w:szCs w:val="18"/>
                <w:highlight w:val="none"/>
                <w:lang w:val="en-US" w:eastAsia="zh-CN"/>
              </w:rPr>
              <w:t>规格：1ml/支。</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6871C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5FB43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4FAC8DC8">
        <w:tblPrEx>
          <w:tblCellMar>
            <w:top w:w="0" w:type="dxa"/>
            <w:left w:w="108" w:type="dxa"/>
            <w:bottom w:w="0" w:type="dxa"/>
            <w:right w:w="108" w:type="dxa"/>
          </w:tblCellMar>
        </w:tblPrEx>
        <w:trPr>
          <w:trHeight w:val="1307"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849F9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4894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新型冠状病毒（2019-nCoV）核酸检测质控品</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550B4">
            <w:pPr>
              <w:widowControl/>
              <w:jc w:val="center"/>
              <w:textAlignment w:val="center"/>
              <w:rPr>
                <w:rFonts w:hint="eastAsia" w:ascii="宋体" w:hAnsi="宋体" w:eastAsia="宋体" w:cs="宋体"/>
                <w:color w:val="auto"/>
                <w:sz w:val="18"/>
                <w:szCs w:val="18"/>
                <w:highlight w:val="none"/>
                <w:lang w:eastAsia="zh-CN"/>
              </w:rPr>
            </w:pPr>
            <w:r>
              <w:rPr>
                <w:rFonts w:hint="eastAsia" w:ascii="宋体" w:hAnsi="宋体" w:cs="宋体"/>
                <w:color w:val="auto"/>
                <w:kern w:val="0"/>
                <w:sz w:val="18"/>
                <w:szCs w:val="18"/>
                <w:highlight w:val="none"/>
              </w:rPr>
              <w:t>▲1.产品组成：基于VSV假病毒包装系统，无生物安全隐患。</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 无DNA残留，需参与提取，可监控核酸提取、逆转录与扩增全过程。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3.采用数字PCR定值。</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 液体包装，开瓶即用。</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▲5.需提供国家认可的新型冠状病毒核酸检测标准样品证书。</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6.质控品浓度：10000拷贝</w:t>
            </w:r>
            <w:r>
              <w:rPr>
                <w:rFonts w:hint="eastAsia" w:ascii="宋体" w:hAnsi="宋体" w:cs="宋体"/>
                <w:color w:val="auto"/>
                <w:kern w:val="0"/>
                <w:sz w:val="18"/>
                <w:szCs w:val="18"/>
                <w:highlight w:val="none"/>
                <w:lang w:eastAsia="zh-CN"/>
              </w:rPr>
              <w:t>，</w:t>
            </w:r>
            <w:r>
              <w:rPr>
                <w:rFonts w:hint="eastAsia" w:ascii="宋体" w:hAnsi="宋体" w:cs="宋体"/>
                <w:color w:val="auto"/>
                <w:kern w:val="0"/>
                <w:sz w:val="18"/>
                <w:szCs w:val="18"/>
                <w:highlight w:val="none"/>
                <w:lang w:val="en-US" w:eastAsia="zh-CN"/>
              </w:rPr>
              <w:t>规格：1ml/支。</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F8EE35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63F7AA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支</w:t>
            </w:r>
          </w:p>
        </w:tc>
      </w:tr>
      <w:tr w14:paraId="726A2B19">
        <w:tblPrEx>
          <w:tblCellMar>
            <w:top w:w="0" w:type="dxa"/>
            <w:left w:w="108" w:type="dxa"/>
            <w:bottom w:w="0" w:type="dxa"/>
            <w:right w:w="108" w:type="dxa"/>
          </w:tblCellMar>
        </w:tblPrEx>
        <w:trPr>
          <w:trHeight w:val="307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47BE1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E838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急性呼吸道多病原标准品(质控品)/国家急性呼吸道病原体</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FC980">
            <w:pPr>
              <w:widowControl/>
              <w:jc w:val="center"/>
              <w:textAlignment w:val="center"/>
              <w:rPr>
                <w:rFonts w:ascii="宋体" w:hAnsi="宋体" w:cs="宋体"/>
                <w:color w:val="auto"/>
                <w:sz w:val="18"/>
                <w:szCs w:val="18"/>
                <w:highlight w:val="none"/>
              </w:rPr>
            </w:pPr>
            <w:r>
              <w:rPr>
                <w:rStyle w:val="254"/>
                <w:rFonts w:hint="default" w:ascii="宋体" w:hAnsi="宋体" w:eastAsia="宋体" w:cs="宋体"/>
                <w:i w:val="0"/>
                <w:iCs w:val="0"/>
                <w:color w:val="auto"/>
                <w:sz w:val="18"/>
                <w:szCs w:val="18"/>
                <w:highlight w:val="none"/>
              </w:rPr>
              <w:t>1.质控品应包含新型冠状病毒、甲型流感病毒、乙型流感病毒、吸道合胞病毒A型/B型、呼吸道腺病毒（ADV）、人鼻病毒（RV）、人偏肺病毒（HMPV）、人博卡病毒（HBoV）、人冠状病毒OC43、人冠状病毒229E、人冠状病毒HKU1、人冠状病毒NL63、肠道病毒通用型（EV-U）、肺炎支原体（MP）、肺炎衣原体（CP）、A族链球菌、百日咳杆菌、肺炎链球菌、流感嗜血杆菌、嗜肺军团菌、肺炎克雷伯菌、曲霉菌、隐球菌、鹦鹉热衣原体各1支</w:t>
            </w:r>
            <w:r>
              <w:rPr>
                <w:rStyle w:val="254"/>
                <w:rFonts w:hint="eastAsia" w:ascii="宋体" w:hAnsi="宋体" w:cs="宋体"/>
                <w:i w:val="0"/>
                <w:iCs w:val="0"/>
                <w:color w:val="auto"/>
                <w:sz w:val="18"/>
                <w:szCs w:val="18"/>
                <w:highlight w:val="none"/>
                <w:lang w:eastAsia="zh-CN"/>
              </w:rPr>
              <w:t>，</w:t>
            </w:r>
            <w:r>
              <w:rPr>
                <w:rStyle w:val="254"/>
                <w:rFonts w:hint="eastAsia" w:ascii="宋体" w:hAnsi="宋体" w:cs="宋体"/>
                <w:i w:val="0"/>
                <w:iCs w:val="0"/>
                <w:color w:val="auto"/>
                <w:sz w:val="18"/>
                <w:szCs w:val="18"/>
                <w:highlight w:val="none"/>
                <w:lang w:val="en-US" w:eastAsia="zh-CN"/>
              </w:rPr>
              <w:t>规格；1ml/支，24支/套</w:t>
            </w:r>
            <w:r>
              <w:rPr>
                <w:rStyle w:val="254"/>
                <w:rFonts w:hint="default" w:ascii="宋体" w:hAnsi="宋体" w:eastAsia="宋体" w:cs="宋体"/>
                <w:i w:val="0"/>
                <w:iCs w:val="0"/>
                <w:color w:val="auto"/>
                <w:sz w:val="18"/>
                <w:szCs w:val="18"/>
                <w:highlight w:val="none"/>
              </w:rPr>
              <w:t>。</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▲2.产品效期：2年</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3.质控品组成为基于VSV假病毒包装系统、灭活的菌种培养物或灭活的工程菌/人工重组染色体培养物，无生物安全隐患。</w:t>
            </w:r>
            <w:r>
              <w:rPr>
                <w:rStyle w:val="254"/>
                <w:rFonts w:hint="default" w:ascii="宋体" w:hAnsi="宋体" w:eastAsia="宋体" w:cs="宋体"/>
                <w:i w:val="0"/>
                <w:iCs w:val="0"/>
                <w:color w:val="auto"/>
                <w:sz w:val="18"/>
                <w:szCs w:val="18"/>
                <w:highlight w:val="none"/>
              </w:rPr>
              <w:br w:type="textWrapping"/>
            </w:r>
            <w:r>
              <w:rPr>
                <w:rStyle w:val="260"/>
                <w:rFonts w:hint="eastAsia" w:ascii="宋体" w:hAnsi="宋体" w:cs="宋体"/>
                <w:color w:val="auto"/>
                <w:highlight w:val="none"/>
              </w:rPr>
              <w:t>▲</w:t>
            </w:r>
            <w:r>
              <w:rPr>
                <w:rStyle w:val="254"/>
                <w:rFonts w:hint="default" w:ascii="宋体" w:hAnsi="宋体" w:eastAsia="宋体" w:cs="宋体"/>
                <w:i w:val="0"/>
                <w:iCs w:val="0"/>
                <w:color w:val="auto"/>
                <w:sz w:val="18"/>
                <w:szCs w:val="18"/>
                <w:highlight w:val="none"/>
              </w:rPr>
              <w:t>4.需参与提取，可监控核酸提取与扩增全过程或监控核酸提取、逆转录与扩增全过程。</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5.采用数字PCR定值。</w:t>
            </w:r>
            <w:r>
              <w:rPr>
                <w:rStyle w:val="254"/>
                <w:rFonts w:hint="default" w:ascii="宋体" w:hAnsi="宋体" w:eastAsia="宋体" w:cs="宋体"/>
                <w:i w:val="0"/>
                <w:iCs w:val="0"/>
                <w:color w:val="auto"/>
                <w:sz w:val="18"/>
                <w:szCs w:val="18"/>
                <w:highlight w:val="none"/>
              </w:rPr>
              <w:br w:type="textWrapping"/>
            </w:r>
            <w:r>
              <w:rPr>
                <w:rStyle w:val="254"/>
                <w:rFonts w:hint="default" w:ascii="宋体" w:hAnsi="宋体" w:eastAsia="宋体" w:cs="宋体"/>
                <w:i w:val="0"/>
                <w:iCs w:val="0"/>
                <w:color w:val="auto"/>
                <w:sz w:val="18"/>
                <w:szCs w:val="18"/>
                <w:highlight w:val="none"/>
              </w:rPr>
              <w:t>▲6.液体包装，开瓶即用。</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696D0C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F850F8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35C4B15C">
        <w:tblPrEx>
          <w:tblCellMar>
            <w:top w:w="0" w:type="dxa"/>
            <w:left w:w="108" w:type="dxa"/>
            <w:bottom w:w="0" w:type="dxa"/>
            <w:right w:w="108" w:type="dxa"/>
          </w:tblCellMar>
        </w:tblPrEx>
        <w:trPr>
          <w:trHeight w:val="2832"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0DC63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7A4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呼吸道合胞病毒A/B建库试剂盒套装 </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8D08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1.可用于合胞病毒全基因组测序建库的试剂盒。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2.试剂盒可处理16个样本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▲3.扩增产物进行文库构建后适用于DNBSEQ测序平台。</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4.适样本类型：用于培养毒株、咽拭子、肺泡灌洗液、环境等样本提取的 RNA。</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5.扩增区域：RSV A/B 全基因组。</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6.扩增子长度：139-174bp。</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7.扩增子数量：324对。</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8.建库时间：≤4.5h。</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▲9.试剂盒性能：当Ct值≤32，1X的覆盖度＞99%,10X覆盖度＞98%，100X覆盖度＞98%。当Ct值≥36，1X的覆盖度＞99%。（为保障性能达标，需提供厂家盖章实测数据材料佐证）</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▲10.支持适配MGISP-100型号自动化工作站，可实现自动化建库。（为保障适配性，需要提供试剂盒操作说明书或自动化脚本材料佐证）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7E063C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3BAC8B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30D5E166">
        <w:tblPrEx>
          <w:tblCellMar>
            <w:top w:w="0" w:type="dxa"/>
            <w:left w:w="108" w:type="dxa"/>
            <w:bottom w:w="0" w:type="dxa"/>
            <w:right w:w="108" w:type="dxa"/>
          </w:tblCellMar>
        </w:tblPrEx>
        <w:trPr>
          <w:trHeight w:val="3049"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0FF376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601A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 DENV1-4 建库试剂盒套装</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1531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1.扩增区域：</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NC_001477.1/NC_001474.2/NC_001475.2/NC_002640.1。</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2.扩增子大小：145-165bp。</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3.管数：1管。</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4.扩增子数量：不少于436。</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5.投入量：10 ul，＞100 copies/rxn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6.变异类型：SNV indel。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7.适用样本：血浆、血清等多种样本。</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▲8.制备的文库可适用于DNBSEQ测序平台。</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▲9.试剂盒性能：当Ct值≤30，100X的覆盖度＞98%。（为保障性能达标，需提供厂家盖章实测数据材料佐证）</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10.试剂盒可处理16个样本。</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▲11.支持适配MGISP-100型号自动化工作站，可实现自动化建库。（为保障适配性，需要提供试剂盒操作说明书或自动化脚本材料佐证）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3789B4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BD265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05E3ECCB">
        <w:tblPrEx>
          <w:tblCellMar>
            <w:top w:w="0" w:type="dxa"/>
            <w:left w:w="108" w:type="dxa"/>
            <w:bottom w:w="0" w:type="dxa"/>
            <w:right w:w="108" w:type="dxa"/>
          </w:tblCellMar>
        </w:tblPrEx>
        <w:trPr>
          <w:trHeight w:val="2832"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5DE7DD8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9E0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 基孔肯雅病毒全基因组建库试剂盒套装 </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8D9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1.可用于基孔肯雅病毒全基因检测，监测和溯源。</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2.试剂盒可处理16个样本。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3.试剂盒采用一步PCR法，在两管内完成对RNA靶区域的捕获和富集。</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▲4.制备的文库可适用于DNBSEQ测序平台。</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5.扩增子大小：不小于165bp。</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6.扩增子数目：不小于106对。</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7.RNA样本投入量小于等于10μL。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8.兼容样本类型：血清、血浆或环境样本中提取的RNA。</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9.建库时间：4≤小时。</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10.可搭配双标签平衡文库试剂，能够降低标签串扰的比例，降低错误率，同时建库采用了PCR产物污染清除技术，可以有效地避免假阳性的形成。</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11.产品引入污染防控和外参控制技术，能够最大程度减少样本的污染和提高对病毒定量的准确性。</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F8780A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BCC46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22E13165">
        <w:tblPrEx>
          <w:tblCellMar>
            <w:top w:w="0" w:type="dxa"/>
            <w:left w:w="108" w:type="dxa"/>
            <w:bottom w:w="0" w:type="dxa"/>
            <w:right w:w="108" w:type="dxa"/>
          </w:tblCellMar>
        </w:tblPrEx>
        <w:trPr>
          <w:trHeight w:val="1089"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9412D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7407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 酶切文库制备试剂套装 </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83E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1.可用于微生物全基因组建库。</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2.试剂盒可处理16个样本。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3.▲制备的文库可适用于DNBSEQ测序平台。</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4.试剂盒包括建库组分、接头组分、纯化磁珠组分。</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5.DNA投入的浓度在50~100ng/ul范围。</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BC6F9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00BA1A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3386B8DE">
        <w:tblPrEx>
          <w:tblCellMar>
            <w:top w:w="0" w:type="dxa"/>
            <w:left w:w="108" w:type="dxa"/>
            <w:bottom w:w="0" w:type="dxa"/>
            <w:right w:w="108" w:type="dxa"/>
          </w:tblCellMar>
        </w:tblPrEx>
        <w:trPr>
          <w:trHeight w:val="1743"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68FC0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B55D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 HIV-1建库试剂盒套装</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EDA3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1.用途：HIV-1的分型和耐药检测。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2.适用样本：血浆、血清、培养毒株等样本中提取的病毒RNA。</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3.投入量：≥100 拷贝/反应。</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4.文库制备周期：8.5h以内。</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▲5.扩增产物进行文库构建后适用于DNBSEQ测序平台。</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6.试剂盒可处理16个样本。</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▲7.试剂盒性能：与Sanger的序列一致性＞98%。（为保障性能达标，需提供厂家盖章实测数据材料佐证）</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27C81C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00306F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5E200742">
        <w:tblPrEx>
          <w:tblCellMar>
            <w:top w:w="0" w:type="dxa"/>
            <w:left w:w="108" w:type="dxa"/>
            <w:bottom w:w="0" w:type="dxa"/>
            <w:right w:w="108" w:type="dxa"/>
          </w:tblCellMar>
        </w:tblPrEx>
        <w:trPr>
          <w:trHeight w:val="3255"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ECFAE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7D7C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RNA多重</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PCR 建库试剂盒套</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装</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5EC2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1.可用于新冠病毒基因组检测，监测和溯源。</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2.试剂盒可处理16个样本。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3.试剂盒采用一步PCR法，在两管内完成对RNA靶区域的捕获和富集。</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4.▲制备的文库可适用于DNBSEQ测序平台。</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5.可检测病毒浓度可低至10 copies/mL样本。</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6.适用于各种样本类型，包括血液、组织、口腔拭子等样本提取的总RNA。</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7.可搭配双标签平衡文库试剂，能够降低标签串扰的比例，降低错误率，同时建库采用了PCR产物污染清除技术，可以有效地避免假阳性的形成。</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8.RNA样本投入量小于等于10μL；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9.产品引入污染防控和外参控制技术，能够最大程度减少样本的污染和提高对病毒定量的准确性。</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10.试剂盒含有不少于273对引物/管</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11.可实现在一管中完成病毒全部基因片段的扩增，结合了双唯一标签技术和外参相对定量技术，可通过外参准确定量样本的病毒浓度。</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8D688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1F4A9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08534004">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609F8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229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7F7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Nuclease free water (NF water)</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9540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 x 50 mL/瓶</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77D33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D736B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箱</w:t>
            </w:r>
          </w:p>
        </w:tc>
      </w:tr>
      <w:tr w14:paraId="273354B2">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FB3A70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01C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 1x TE buffer pH 8.0</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01C1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2*500ml/盒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5C4F4F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6AA53D9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48C59AC8">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B649E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8B28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双链DNA定量检测试剂盒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D39E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777179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4</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F236E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2CC8C73E">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794148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E2CC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单链定量检测试剂盒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22A7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100T/盒</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1015E5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5B10FD2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3857879E">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011FAA5">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344F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200uL阔口吸头</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2151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1000个/包，20包/箱</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7FC06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145F52D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2605FF13">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1AD7864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2010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0.5ml透明薄壁管</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E6B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 支</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654A3A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F0FE9B8">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062C9DD3">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3D3CB3E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FA1F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吐温20</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49A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74F9FF9E">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44CE848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19346FE7">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9C67A8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FB27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 NaCl</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1A4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500ml</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659D65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843ED9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0FDC91B1">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06169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237</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D03A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2M NaOH</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BEF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1L</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DF357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B1D2BD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瓶</w:t>
            </w:r>
          </w:p>
        </w:tc>
      </w:tr>
      <w:tr w14:paraId="7DBB8E1C">
        <w:tblPrEx>
          <w:tblCellMar>
            <w:top w:w="0" w:type="dxa"/>
            <w:left w:w="108" w:type="dxa"/>
            <w:bottom w:w="0" w:type="dxa"/>
            <w:right w:w="108" w:type="dxa"/>
          </w:tblCellMar>
        </w:tblPrEx>
        <w:trPr>
          <w:trHeight w:val="266"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29AF10F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238</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97F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5ML离心管/冷冻管（平底）</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B5B5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500个/包</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E371EF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233C5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57A34DBB">
        <w:tblPrEx>
          <w:tblCellMar>
            <w:top w:w="0" w:type="dxa"/>
            <w:left w:w="108" w:type="dxa"/>
            <w:bottom w:w="0" w:type="dxa"/>
            <w:right w:w="108" w:type="dxa"/>
          </w:tblCellMar>
        </w:tblPrEx>
        <w:trPr>
          <w:trHeight w:val="1525"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F6290B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239</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05A4">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 xml:space="preserve"> 一步法</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DNA纳米球 制备试剂盒</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C77D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1.可用于进行DNB纳米球制备。</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▲2.适配DNBSEQ平台</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3.试剂盒不少于4 RXN</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4.包含分子级水、DNB制备缓冲液、聚合酶混合液、终止缓冲液</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5.文库插入片段范围在150-1500bp</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6.产物浓度不小于 8 ng/μL-38ng/μL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7.文库量为≥40 fmol</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248AEE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BE9701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6AF73451">
        <w:tblPrEx>
          <w:tblCellMar>
            <w:top w:w="0" w:type="dxa"/>
            <w:left w:w="108" w:type="dxa"/>
            <w:bottom w:w="0" w:type="dxa"/>
            <w:right w:w="108" w:type="dxa"/>
          </w:tblCellMar>
        </w:tblPrEx>
        <w:trPr>
          <w:trHeight w:val="2614"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4FAFE8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240</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D881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高通量快速测序试</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剂套装  </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974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 用途：用于高通量测序，完成高通量测序并获取样本序列信息。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 测序试剂盒适配于DNBSEQ平台 测序读长SE100；</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 平均有效reads数≥100M</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 试剂可进行110循环反应，生成10Gb高质量数据，</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 阵列式芯片，有效信号点排布阵列化(Patterned Array)，信号成像效率高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 载片可常温保存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 采取测序核心技术：联合探针锚定聚合技术和DNA纳米球测序技术，扩增错误不累积成指数型放大。</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 芯片信号点间距≤715纳米。</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 可实现单端测序。</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 Q30不小于80%，测序时间不超过10小时。</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▲11.以上参数投标时需提供证明资料。</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3DDD170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15</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3AA54F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4813E3A7">
        <w:tblPrEx>
          <w:tblCellMar>
            <w:top w:w="0" w:type="dxa"/>
            <w:left w:w="108" w:type="dxa"/>
            <w:bottom w:w="0" w:type="dxa"/>
            <w:right w:w="108" w:type="dxa"/>
          </w:tblCellMar>
        </w:tblPrEx>
        <w:trPr>
          <w:trHeight w:val="1525"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8E11B2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241</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B16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1.3ml 96 孔圆形</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孔 U 型底深孔板</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1E9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1.字母-数字坐标标识易于确定孔位，产品平整度高，外形尺寸一致性好，确保封膜不漏液。</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2.标准化：符合SBS标准。</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3.总容量：1.3 mL</w:t>
            </w:r>
            <w:r>
              <w:rPr>
                <w:rFonts w:hint="eastAsia" w:ascii="宋体" w:hAnsi="宋体" w:cs="宋体"/>
                <w:color w:val="auto"/>
                <w:kern w:val="0"/>
                <w:sz w:val="18"/>
                <w:szCs w:val="18"/>
                <w:highlight w:val="none"/>
                <w:lang w:val="en-US" w:eastAsia="zh-CN"/>
              </w:rPr>
              <w:t>,规格：2板/包</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4.洁净度：无DNA酶，RNA酶和蛋白酶，无热源。</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▲5.适配MGISP-100RS工作站使用。</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B4072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61BA30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493E4243">
        <w:tblPrEx>
          <w:tblCellMar>
            <w:top w:w="0" w:type="dxa"/>
            <w:left w:w="108" w:type="dxa"/>
            <w:bottom w:w="0" w:type="dxa"/>
            <w:right w:w="108" w:type="dxa"/>
          </w:tblCellMar>
        </w:tblPrEx>
        <w:trPr>
          <w:trHeight w:val="1307"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381479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242</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3722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硬框薄壁全裙边</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96 孔 PCR 板</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5BCE3">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1.96孔全裙边，双组件设计，黑色字母数字标签，易于识别，薄壁设计有效减少DNA结合。</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2.标准化：符合ANSI/SBS标准。</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3.工作容积：≤200u</w:t>
            </w:r>
            <w:r>
              <w:rPr>
                <w:rFonts w:hint="eastAsia" w:ascii="宋体" w:hAnsi="宋体" w:cs="宋体"/>
                <w:color w:val="auto"/>
                <w:kern w:val="0"/>
                <w:sz w:val="18"/>
                <w:szCs w:val="18"/>
                <w:highlight w:val="none"/>
                <w:lang w:val="en-US" w:eastAsia="zh-CN"/>
              </w:rPr>
              <w:t>,规格：10板/包</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4.洁净度:无DNA酶，RNA酶和人类基因组DNA。</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▲5.适配MGISP-100RS工作站使用。</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6FC71B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71580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693C2910">
        <w:tblPrEx>
          <w:tblCellMar>
            <w:top w:w="0" w:type="dxa"/>
            <w:left w:w="108" w:type="dxa"/>
            <w:bottom w:w="0" w:type="dxa"/>
            <w:right w:w="108" w:type="dxa"/>
          </w:tblCellMar>
        </w:tblPrEx>
        <w:trPr>
          <w:trHeight w:val="1307"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7BCF37A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243</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4884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可掰开 96 孔 PCR</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八连管及管盖</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D961C">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1.八连管为标准96孔设计，可竖向折断成单条八连管。</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2.孔壁为均匀溥壁，可提供最大程度的均一性导热。</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3.双材质的设计，坚固的板面更适用于热封膜。</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4.可与八连管盖配套使用； 标准工作容积（管）≤200 μL。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5.最大总容量（管）≤300 μL规格：管：10块/盒；盖;120条/盒</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▲6.适配MGISP-100RS工作站使用。</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4AFF50D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069E550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lang w:val="en-US" w:eastAsia="zh-CN"/>
              </w:rPr>
              <w:t>盒</w:t>
            </w:r>
          </w:p>
        </w:tc>
      </w:tr>
      <w:tr w14:paraId="7FC9D296">
        <w:tblPrEx>
          <w:tblCellMar>
            <w:top w:w="0" w:type="dxa"/>
            <w:left w:w="108" w:type="dxa"/>
            <w:bottom w:w="0" w:type="dxa"/>
            <w:right w:w="108" w:type="dxa"/>
          </w:tblCellMar>
        </w:tblPrEx>
        <w:trPr>
          <w:trHeight w:val="871"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6001C92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244</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3093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0.5mL 冻存管，PCR</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级</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63C9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1.螺旋盖微型管，可高压灭菌，密封性符合ADR &amp; IATA标准</w:t>
            </w:r>
            <w:r>
              <w:rPr>
                <w:rFonts w:hint="eastAsia" w:ascii="宋体" w:hAnsi="宋体" w:cs="宋体"/>
                <w:color w:val="auto"/>
                <w:kern w:val="0"/>
                <w:sz w:val="18"/>
                <w:szCs w:val="18"/>
                <w:highlight w:val="none"/>
                <w:lang w:val="en-US" w:eastAsia="zh-CN"/>
              </w:rPr>
              <w:t>,规格：100支/包</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2.稳定的底边设计，即使没有底座，也能稳固立在实验室工作台上。</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3.特殊滚花设计，卡入专用底座后，可实现单手拧紧。</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▲4.适配MGISP-100RS工作站使用。</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5C0706E1">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7066E402">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79F3C489">
        <w:tblPrEx>
          <w:tblCellMar>
            <w:top w:w="0" w:type="dxa"/>
            <w:left w:w="108" w:type="dxa"/>
            <w:bottom w:w="0" w:type="dxa"/>
            <w:right w:w="108" w:type="dxa"/>
          </w:tblCellMar>
        </w:tblPrEx>
        <w:trPr>
          <w:trHeight w:val="871"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2F8604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245</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134F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2.0mL 冻存管，PCR</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级</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7991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1.螺旋盖微型管，可高压灭菌，密封性符合ADR &amp; IATA标准</w:t>
            </w:r>
            <w:r>
              <w:rPr>
                <w:rFonts w:hint="eastAsia" w:ascii="宋体" w:hAnsi="宋体" w:cs="宋体"/>
                <w:color w:val="auto"/>
                <w:kern w:val="0"/>
                <w:sz w:val="18"/>
                <w:szCs w:val="18"/>
                <w:highlight w:val="none"/>
                <w:lang w:val="en-US" w:eastAsia="zh-CN"/>
              </w:rPr>
              <w:t>,规格：100支/包</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2.稳定的底边设计，即使没有底座，也能稳固立在实验室工作台上。</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3.特殊滚花设计，卡入专用底座后，可实现单手拧紧。</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▲4.适配MGISP-100RS工作站使用。</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1872EFE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324F8FB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包</w:t>
            </w:r>
          </w:p>
        </w:tc>
      </w:tr>
      <w:tr w14:paraId="7D6B9434">
        <w:tblPrEx>
          <w:tblCellMar>
            <w:top w:w="0" w:type="dxa"/>
            <w:left w:w="108" w:type="dxa"/>
            <w:bottom w:w="0" w:type="dxa"/>
            <w:right w:w="108" w:type="dxa"/>
          </w:tblCellMar>
        </w:tblPrEx>
        <w:trPr>
          <w:trHeight w:val="1089" w:hRule="atLeast"/>
        </w:trPr>
        <w:tc>
          <w:tcPr>
            <w:tcW w:w="253" w:type="pct"/>
            <w:tcBorders>
              <w:top w:val="nil"/>
              <w:left w:val="single" w:color="000000" w:sz="4" w:space="0"/>
              <w:bottom w:val="single" w:color="000000" w:sz="4" w:space="0"/>
              <w:right w:val="single" w:color="000000" w:sz="4" w:space="0"/>
            </w:tcBorders>
            <w:shd w:val="clear" w:color="auto" w:fill="auto"/>
            <w:vAlign w:val="center"/>
          </w:tcPr>
          <w:p w14:paraId="0C098630">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246</w:t>
            </w:r>
          </w:p>
        </w:tc>
        <w:tc>
          <w:tcPr>
            <w:tcW w:w="1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73AF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250uL 带滤芯自动化吸头</w:t>
            </w:r>
          </w:p>
        </w:tc>
        <w:tc>
          <w:tcPr>
            <w:tcW w:w="2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DD6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1.带滤芯、可防止样品液体不小心流入移液管道，同时减少实验过程中存在交叉污染的可能性</w:t>
            </w:r>
            <w:r>
              <w:rPr>
                <w:rFonts w:hint="eastAsia" w:ascii="宋体" w:hAnsi="宋体" w:cs="宋体"/>
                <w:color w:val="auto"/>
                <w:kern w:val="0"/>
                <w:sz w:val="18"/>
                <w:szCs w:val="18"/>
                <w:highlight w:val="none"/>
                <w:lang w:val="en-US" w:eastAsia="zh-CN"/>
              </w:rPr>
              <w:t>,</w:t>
            </w:r>
            <w:r>
              <w:rPr>
                <w:rFonts w:hint="eastAsia" w:ascii="宋体" w:hAnsi="宋体" w:cs="宋体"/>
                <w:color w:val="auto"/>
                <w:kern w:val="0"/>
                <w:sz w:val="18"/>
                <w:szCs w:val="18"/>
                <w:highlight w:val="none"/>
              </w:rPr>
              <w:t>规格</w:t>
            </w:r>
            <w:r>
              <w:rPr>
                <w:rFonts w:hint="eastAsia" w:ascii="宋体" w:hAnsi="宋体" w:cs="宋体"/>
                <w:color w:val="auto"/>
                <w:kern w:val="0"/>
                <w:sz w:val="18"/>
                <w:szCs w:val="18"/>
                <w:highlight w:val="none"/>
                <w:lang w:val="en-US" w:eastAsia="zh-CN"/>
              </w:rPr>
              <w:t>:</w:t>
            </w:r>
            <w:r>
              <w:rPr>
                <w:rFonts w:hint="eastAsia" w:ascii="宋体" w:hAnsi="宋体" w:cs="宋体"/>
                <w:color w:val="auto"/>
                <w:kern w:val="0"/>
                <w:sz w:val="18"/>
                <w:szCs w:val="18"/>
                <w:highlight w:val="none"/>
              </w:rPr>
              <w:t>96个/盒。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2.洁净度：无DNA酶和RNA酶，无热源。</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3.工作容积：≥200ul。</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▲4.适配MGISP-100RS工作站使用。</w:t>
            </w:r>
          </w:p>
        </w:tc>
        <w:tc>
          <w:tcPr>
            <w:tcW w:w="407" w:type="pct"/>
            <w:tcBorders>
              <w:top w:val="nil"/>
              <w:left w:val="single" w:color="000000" w:sz="4" w:space="0"/>
              <w:bottom w:val="single" w:color="000000" w:sz="4" w:space="0"/>
              <w:right w:val="single" w:color="000000" w:sz="4" w:space="0"/>
            </w:tcBorders>
            <w:shd w:val="clear" w:color="auto" w:fill="auto"/>
            <w:vAlign w:val="center"/>
          </w:tcPr>
          <w:p w14:paraId="0303AD5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200</w:t>
            </w:r>
          </w:p>
        </w:tc>
        <w:tc>
          <w:tcPr>
            <w:tcW w:w="306" w:type="pct"/>
            <w:tcBorders>
              <w:top w:val="nil"/>
              <w:left w:val="single" w:color="000000" w:sz="4" w:space="0"/>
              <w:bottom w:val="single" w:color="000000" w:sz="4" w:space="0"/>
              <w:right w:val="single" w:color="000000" w:sz="4" w:space="0"/>
            </w:tcBorders>
            <w:shd w:val="clear" w:color="auto" w:fill="auto"/>
            <w:vAlign w:val="center"/>
          </w:tcPr>
          <w:p w14:paraId="2CE2F58A">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盒</w:t>
            </w:r>
          </w:p>
        </w:tc>
      </w:tr>
      <w:tr w14:paraId="679BB9D3">
        <w:tblPrEx>
          <w:tblCellMar>
            <w:top w:w="0" w:type="dxa"/>
            <w:left w:w="108" w:type="dxa"/>
            <w:bottom w:w="0" w:type="dxa"/>
            <w:right w:w="108" w:type="dxa"/>
          </w:tblCellMar>
        </w:tblPrEx>
        <w:trPr>
          <w:trHeight w:val="2178" w:hRule="atLeast"/>
        </w:trPr>
        <w:tc>
          <w:tcPr>
            <w:tcW w:w="253" w:type="pct"/>
            <w:tcBorders>
              <w:top w:val="nil"/>
              <w:left w:val="single" w:color="000000" w:sz="4" w:space="0"/>
              <w:bottom w:val="single" w:color="auto" w:sz="4" w:space="0"/>
              <w:right w:val="single" w:color="000000" w:sz="4" w:space="0"/>
            </w:tcBorders>
            <w:shd w:val="clear" w:color="auto" w:fill="auto"/>
            <w:vAlign w:val="center"/>
          </w:tcPr>
          <w:p w14:paraId="251ED70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247</w:t>
            </w:r>
          </w:p>
        </w:tc>
        <w:tc>
          <w:tcPr>
            <w:tcW w:w="1615" w:type="pct"/>
            <w:tcBorders>
              <w:top w:val="single" w:color="000000" w:sz="4" w:space="0"/>
              <w:left w:val="single" w:color="000000" w:sz="4" w:space="0"/>
              <w:bottom w:val="single" w:color="auto" w:sz="4" w:space="0"/>
              <w:right w:val="single" w:color="000000" w:sz="4" w:space="0"/>
            </w:tcBorders>
            <w:shd w:val="clear" w:color="auto" w:fill="auto"/>
            <w:vAlign w:val="center"/>
          </w:tcPr>
          <w:p w14:paraId="22F0A2C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酶切文库制备试剂</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套装</w:t>
            </w:r>
          </w:p>
        </w:tc>
        <w:tc>
          <w:tcPr>
            <w:tcW w:w="2416" w:type="pct"/>
            <w:tcBorders>
              <w:top w:val="single" w:color="000000" w:sz="4" w:space="0"/>
              <w:left w:val="single" w:color="000000" w:sz="4" w:space="0"/>
              <w:bottom w:val="single" w:color="auto" w:sz="4" w:space="0"/>
              <w:right w:val="single" w:color="000000" w:sz="4" w:space="0"/>
            </w:tcBorders>
            <w:shd w:val="clear" w:color="auto" w:fill="auto"/>
            <w:vAlign w:val="center"/>
          </w:tcPr>
          <w:p w14:paraId="3C89ED6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1.可用于细菌全基因组的试剂盒。</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 xml:space="preserve">2.试剂盒可处理16个样本 </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3.使用完整度较好（无明显降解或轻微降解）且纯度良好（2.0≥OD260/OD280≥1.8, OD260/OD230≥1.7）</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的高质量基因组 DNA。</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4.▲扩增产物进行文库构建后适用于DNBSEQ测序平台。</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5.装适用于从唾液、口腔拭子、痰液等样品中提取的微生物基因组 DNA</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6.1 ng-200 ng 基因组 DNA 进行文库制备</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7.储存温度：-25°C~-15°C</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▲8.以上参数投标时需提供证明资料。</w:t>
            </w:r>
          </w:p>
        </w:tc>
        <w:tc>
          <w:tcPr>
            <w:tcW w:w="407" w:type="pct"/>
            <w:tcBorders>
              <w:top w:val="nil"/>
              <w:left w:val="single" w:color="000000" w:sz="4" w:space="0"/>
              <w:bottom w:val="single" w:color="auto" w:sz="4" w:space="0"/>
              <w:right w:val="single" w:color="000000" w:sz="4" w:space="0"/>
            </w:tcBorders>
            <w:shd w:val="clear" w:color="auto" w:fill="auto"/>
            <w:vAlign w:val="center"/>
          </w:tcPr>
          <w:p w14:paraId="5020F18D">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nil"/>
              <w:left w:val="single" w:color="000000" w:sz="4" w:space="0"/>
              <w:bottom w:val="single" w:color="auto" w:sz="4" w:space="0"/>
              <w:right w:val="single" w:color="000000" w:sz="4" w:space="0"/>
            </w:tcBorders>
            <w:shd w:val="clear" w:color="auto" w:fill="auto"/>
            <w:vAlign w:val="center"/>
          </w:tcPr>
          <w:p w14:paraId="76DDB836">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r w14:paraId="5F77586D">
        <w:tblPrEx>
          <w:tblCellMar>
            <w:top w:w="0" w:type="dxa"/>
            <w:left w:w="108" w:type="dxa"/>
            <w:bottom w:w="0" w:type="dxa"/>
            <w:right w:w="108" w:type="dxa"/>
          </w:tblCellMar>
        </w:tblPrEx>
        <w:trPr>
          <w:trHeight w:val="2614" w:hRule="atLeast"/>
        </w:trPr>
        <w:tc>
          <w:tcPr>
            <w:tcW w:w="253" w:type="pct"/>
            <w:tcBorders>
              <w:top w:val="single" w:color="auto" w:sz="4" w:space="0"/>
              <w:left w:val="single" w:color="auto" w:sz="4" w:space="0"/>
              <w:bottom w:val="single" w:color="auto" w:sz="4" w:space="0"/>
              <w:right w:val="single" w:color="000000" w:sz="4" w:space="0"/>
            </w:tcBorders>
            <w:shd w:val="clear" w:color="auto" w:fill="auto"/>
            <w:vAlign w:val="center"/>
          </w:tcPr>
          <w:p w14:paraId="2F8CD07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248</w:t>
            </w:r>
          </w:p>
        </w:tc>
        <w:tc>
          <w:tcPr>
            <w:tcW w:w="1615" w:type="pct"/>
            <w:tcBorders>
              <w:top w:val="single" w:color="auto" w:sz="4" w:space="0"/>
              <w:left w:val="single" w:color="000000" w:sz="4" w:space="0"/>
              <w:bottom w:val="single" w:color="auto" w:sz="4" w:space="0"/>
              <w:right w:val="single" w:color="000000" w:sz="4" w:space="0"/>
            </w:tcBorders>
            <w:shd w:val="clear" w:color="auto" w:fill="auto"/>
            <w:vAlign w:val="center"/>
          </w:tcPr>
          <w:p w14:paraId="77472027">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通高通量快速测</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序试剂套装</w:t>
            </w:r>
          </w:p>
        </w:tc>
        <w:tc>
          <w:tcPr>
            <w:tcW w:w="2416" w:type="pct"/>
            <w:tcBorders>
              <w:top w:val="single" w:color="auto" w:sz="4" w:space="0"/>
              <w:left w:val="single" w:color="000000" w:sz="4" w:space="0"/>
              <w:bottom w:val="single" w:color="auto" w:sz="4" w:space="0"/>
              <w:right w:val="single" w:color="000000" w:sz="4" w:space="0"/>
            </w:tcBorders>
            <w:shd w:val="clear" w:color="auto" w:fill="auto"/>
            <w:vAlign w:val="center"/>
          </w:tcPr>
          <w:p w14:paraId="267FB65F">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1. 用途：用于高通量测序，完成高通量测序并获取样本序列信息。</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▲2. 测序试剂盒适配于DNBSEQ平台 测序读长PE100；</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3. 平均有效reads数≥100M</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4. 试剂可进行220循环反应，生成20Gb高质量数据，</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5. 阵列式芯片，有效信号点排布阵列化(Patterned Array)，信号成像效率高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6. 载片可常温保存</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7. 采取测序核心技术：联合探针锚定聚合技术和DNA纳米球测序技术，扩增错误不累积成指数型放大。</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8. 芯片信号点间距≤715纳米。</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9. 可实现双端测序。</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10. Q30不小于85%，测序时间不超过20小时。</w:t>
            </w:r>
            <w:r>
              <w:rPr>
                <w:rFonts w:hint="eastAsia" w:ascii="宋体" w:hAnsi="宋体" w:cs="宋体"/>
                <w:color w:val="auto"/>
                <w:kern w:val="0"/>
                <w:sz w:val="18"/>
                <w:szCs w:val="18"/>
                <w:highlight w:val="none"/>
              </w:rPr>
              <w:br w:type="textWrapping"/>
            </w:r>
            <w:r>
              <w:rPr>
                <w:rFonts w:hint="eastAsia" w:ascii="宋体" w:hAnsi="宋体" w:cs="宋体"/>
                <w:color w:val="auto"/>
                <w:kern w:val="0"/>
                <w:sz w:val="18"/>
                <w:szCs w:val="18"/>
                <w:highlight w:val="none"/>
              </w:rPr>
              <w:t>▲11.以上参数需提供证明资料。</w:t>
            </w:r>
          </w:p>
        </w:tc>
        <w:tc>
          <w:tcPr>
            <w:tcW w:w="407" w:type="pct"/>
            <w:tcBorders>
              <w:top w:val="single" w:color="auto" w:sz="4" w:space="0"/>
              <w:left w:val="single" w:color="000000" w:sz="4" w:space="0"/>
              <w:bottom w:val="single" w:color="auto" w:sz="4" w:space="0"/>
              <w:right w:val="single" w:color="000000" w:sz="4" w:space="0"/>
            </w:tcBorders>
            <w:shd w:val="clear" w:color="auto" w:fill="auto"/>
            <w:vAlign w:val="center"/>
          </w:tcPr>
          <w:p w14:paraId="5B483CEB">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5</w:t>
            </w:r>
          </w:p>
        </w:tc>
        <w:tc>
          <w:tcPr>
            <w:tcW w:w="306" w:type="pct"/>
            <w:tcBorders>
              <w:top w:val="single" w:color="auto" w:sz="4" w:space="0"/>
              <w:left w:val="single" w:color="000000" w:sz="4" w:space="0"/>
              <w:bottom w:val="single" w:color="auto" w:sz="4" w:space="0"/>
              <w:right w:val="single" w:color="auto" w:sz="4" w:space="0"/>
            </w:tcBorders>
            <w:shd w:val="clear" w:color="auto" w:fill="auto"/>
            <w:vAlign w:val="center"/>
          </w:tcPr>
          <w:p w14:paraId="232755C9">
            <w:pPr>
              <w:widowControl/>
              <w:jc w:val="center"/>
              <w:textAlignment w:val="center"/>
              <w:rPr>
                <w:rFonts w:ascii="宋体" w:hAnsi="宋体" w:cs="宋体"/>
                <w:color w:val="auto"/>
                <w:sz w:val="18"/>
                <w:szCs w:val="18"/>
                <w:highlight w:val="none"/>
              </w:rPr>
            </w:pPr>
            <w:r>
              <w:rPr>
                <w:rFonts w:hint="eastAsia" w:ascii="宋体" w:hAnsi="宋体" w:cs="宋体"/>
                <w:color w:val="auto"/>
                <w:kern w:val="0"/>
                <w:sz w:val="18"/>
                <w:szCs w:val="18"/>
                <w:highlight w:val="none"/>
              </w:rPr>
              <w:t>套</w:t>
            </w:r>
          </w:p>
        </w:tc>
      </w:tr>
    </w:tbl>
    <w:p w14:paraId="3BD87B5F">
      <w:pPr>
        <w:spacing w:line="380" w:lineRule="exact"/>
        <w:rPr>
          <w:color w:val="auto"/>
          <w:szCs w:val="21"/>
          <w:highlight w:val="none"/>
        </w:rPr>
      </w:pPr>
    </w:p>
    <w:p w14:paraId="7BC9BC94">
      <w:pPr>
        <w:spacing w:line="380" w:lineRule="exact"/>
        <w:rPr>
          <w:color w:val="auto"/>
          <w:szCs w:val="21"/>
          <w:highlight w:val="none"/>
        </w:rPr>
      </w:pPr>
      <w:r>
        <w:rPr>
          <w:rFonts w:hint="eastAsia"/>
          <w:color w:val="auto"/>
          <w:szCs w:val="21"/>
          <w:highlight w:val="none"/>
        </w:rPr>
        <w:t>本标项所属行业：工业。</w:t>
      </w:r>
    </w:p>
    <w:p w14:paraId="2799D4F0">
      <w:pPr>
        <w:spacing w:line="360" w:lineRule="auto"/>
        <w:ind w:firstLine="420" w:firstLineChars="200"/>
        <w:rPr>
          <w:color w:val="auto"/>
          <w:szCs w:val="21"/>
          <w:highlight w:val="none"/>
        </w:rPr>
      </w:pPr>
      <w:r>
        <w:rPr>
          <w:rFonts w:hint="eastAsia"/>
          <w:color w:val="auto"/>
          <w:szCs w:val="21"/>
          <w:highlight w:val="none"/>
        </w:rPr>
        <w:t>注：实质性参数要求提交证明材料的，应按照要求提供，未提供或未按要求提供的将视为响应无效。</w:t>
      </w:r>
    </w:p>
    <w:tbl>
      <w:tblPr>
        <w:tblStyle w:val="51"/>
        <w:tblW w:w="9733" w:type="dxa"/>
        <w:tblInd w:w="96" w:type="dxa"/>
        <w:shd w:val="clear" w:color="auto" w:fill="FFFFFF"/>
        <w:tblLayout w:type="fixed"/>
        <w:tblCellMar>
          <w:top w:w="0" w:type="dxa"/>
          <w:left w:w="108" w:type="dxa"/>
          <w:bottom w:w="0" w:type="dxa"/>
          <w:right w:w="108" w:type="dxa"/>
        </w:tblCellMar>
      </w:tblPr>
      <w:tblGrid>
        <w:gridCol w:w="2709"/>
        <w:gridCol w:w="7024"/>
      </w:tblGrid>
      <w:tr w14:paraId="4E8B3C54">
        <w:tblPrEx>
          <w:tblCellMar>
            <w:top w:w="0" w:type="dxa"/>
            <w:left w:w="108" w:type="dxa"/>
            <w:bottom w:w="0" w:type="dxa"/>
            <w:right w:w="108" w:type="dxa"/>
          </w:tblCellMar>
        </w:tblPrEx>
        <w:trPr>
          <w:trHeight w:val="900" w:hRule="atLeast"/>
        </w:trPr>
        <w:tc>
          <w:tcPr>
            <w:tcW w:w="973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EEECA">
            <w:pPr>
              <w:spacing w:line="360" w:lineRule="exact"/>
              <w:jc w:val="left"/>
              <w:rPr>
                <w:rFonts w:ascii="宋体" w:hAnsi="宋体" w:cs="宋体"/>
                <w:color w:val="auto"/>
                <w:szCs w:val="21"/>
                <w:highlight w:val="none"/>
              </w:rPr>
            </w:pPr>
            <w:r>
              <w:rPr>
                <w:rFonts w:hint="eastAsia" w:ascii="宋体" w:hAnsi="宋体" w:cs="宋体"/>
                <w:b/>
                <w:color w:val="auto"/>
                <w:szCs w:val="21"/>
                <w:highlight w:val="none"/>
              </w:rPr>
              <w:t>二、商务要求表</w:t>
            </w:r>
          </w:p>
        </w:tc>
      </w:tr>
      <w:tr w14:paraId="55B9CFEE">
        <w:tblPrEx>
          <w:shd w:val="clear" w:color="auto" w:fill="FFFFFF"/>
          <w:tblCellMar>
            <w:top w:w="0" w:type="dxa"/>
            <w:left w:w="108" w:type="dxa"/>
            <w:bottom w:w="0" w:type="dxa"/>
            <w:right w:w="108" w:type="dxa"/>
          </w:tblCellMar>
        </w:tblPrEx>
        <w:trPr>
          <w:trHeight w:val="900"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5F08E">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▲质保期</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tcPr>
          <w:p w14:paraId="4FD92E5E">
            <w:pPr>
              <w:spacing w:line="360" w:lineRule="exact"/>
              <w:ind w:left="2"/>
              <w:rPr>
                <w:rFonts w:ascii="宋体" w:hAnsi="宋体" w:cs="宋体"/>
                <w:color w:val="auto"/>
                <w:szCs w:val="21"/>
                <w:highlight w:val="none"/>
              </w:rPr>
            </w:pPr>
            <w:r>
              <w:rPr>
                <w:rFonts w:hint="eastAsia" w:ascii="宋体" w:hAnsi="宋体" w:cs="宋体"/>
                <w:color w:val="auto"/>
                <w:szCs w:val="21"/>
                <w:highlight w:val="none"/>
                <w:lang w:val="zh-CN"/>
              </w:rPr>
              <w:t>自交货验收合格之日起有效期≥10个月。</w:t>
            </w:r>
            <w:r>
              <w:rPr>
                <w:rFonts w:hint="eastAsia" w:ascii="宋体" w:hAnsi="宋体" w:cs="宋体"/>
                <w:color w:val="auto"/>
                <w:szCs w:val="21"/>
                <w:highlight w:val="none"/>
              </w:rPr>
              <w:t>（各分项有特殊要求的按各分项要求执行）</w:t>
            </w:r>
          </w:p>
        </w:tc>
      </w:tr>
      <w:tr w14:paraId="19A5715B">
        <w:tblPrEx>
          <w:tblCellMar>
            <w:top w:w="0" w:type="dxa"/>
            <w:left w:w="108" w:type="dxa"/>
            <w:bottom w:w="0" w:type="dxa"/>
            <w:right w:w="108" w:type="dxa"/>
          </w:tblCellMar>
        </w:tblPrEx>
        <w:trPr>
          <w:trHeight w:val="900"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37D32">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▲报价要求</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tcPr>
          <w:p w14:paraId="115A8D96">
            <w:pPr>
              <w:spacing w:line="360" w:lineRule="exact"/>
              <w:ind w:left="2"/>
              <w:rPr>
                <w:rFonts w:ascii="宋体" w:hAnsi="宋体" w:cs="宋体"/>
                <w:color w:val="auto"/>
                <w:szCs w:val="21"/>
                <w:highlight w:val="none"/>
              </w:rPr>
            </w:pPr>
            <w:r>
              <w:rPr>
                <w:rFonts w:hint="eastAsia" w:ascii="宋体" w:hAnsi="宋体" w:cs="宋体"/>
                <w:color w:val="auto"/>
                <w:szCs w:val="21"/>
                <w:highlight w:val="none"/>
              </w:rPr>
              <w:t>本项目竞标报价包括货物的所有费用，包括采购、运输、劳务、管理、利润、税金、保险、协调、培训、售后服务、配送产品、代理费用以及所有的不定因素的风险等。</w:t>
            </w:r>
          </w:p>
        </w:tc>
      </w:tr>
      <w:tr w14:paraId="3A7FA1A6">
        <w:tblPrEx>
          <w:tblCellMar>
            <w:top w:w="0" w:type="dxa"/>
            <w:left w:w="108" w:type="dxa"/>
            <w:bottom w:w="0" w:type="dxa"/>
            <w:right w:w="108" w:type="dxa"/>
          </w:tblCellMar>
        </w:tblPrEx>
        <w:trPr>
          <w:trHeight w:val="900"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E8029">
            <w:pPr>
              <w:snapToGrid w:val="0"/>
              <w:spacing w:line="360" w:lineRule="exact"/>
              <w:jc w:val="center"/>
              <w:rPr>
                <w:rFonts w:ascii="宋体" w:hAnsi="宋体" w:cs="宋体"/>
                <w:color w:val="auto"/>
                <w:szCs w:val="21"/>
                <w:highlight w:val="none"/>
              </w:rPr>
            </w:pPr>
            <w:r>
              <w:rPr>
                <w:rFonts w:hint="eastAsia" w:ascii="宋体" w:hAnsi="宋体" w:cs="宋体"/>
                <w:color w:val="auto"/>
                <w:szCs w:val="21"/>
                <w:highlight w:val="none"/>
              </w:rPr>
              <w:t>▲验收要求</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tcPr>
          <w:p w14:paraId="5C5D6732">
            <w:pPr>
              <w:spacing w:line="360" w:lineRule="exact"/>
              <w:ind w:left="2"/>
              <w:rPr>
                <w:rFonts w:ascii="宋体" w:hAnsi="宋体" w:cs="宋体"/>
                <w:color w:val="auto"/>
                <w:szCs w:val="21"/>
                <w:highlight w:val="none"/>
              </w:rPr>
            </w:pPr>
            <w:r>
              <w:rPr>
                <w:rFonts w:hint="eastAsia" w:ascii="宋体" w:hAnsi="宋体" w:cs="宋体"/>
                <w:color w:val="auto"/>
                <w:spacing w:val="11"/>
                <w:szCs w:val="21"/>
                <w:highlight w:val="none"/>
              </w:rPr>
              <w:t>1.必须符合国家标准、行业标准及产品生产厂家的出厂质量标准；成交供应商提供的货物必</w:t>
            </w:r>
            <w:r>
              <w:rPr>
                <w:rFonts w:hint="eastAsia" w:ascii="宋体" w:hAnsi="宋体" w:cs="宋体"/>
                <w:color w:val="auto"/>
                <w:spacing w:val="13"/>
                <w:szCs w:val="21"/>
                <w:highlight w:val="none"/>
              </w:rPr>
              <w:t>须原装、全新的、最新生产批号、出具出厂合格证，序列号、包装箱号与出厂批号一致并可</w:t>
            </w:r>
            <w:r>
              <w:rPr>
                <w:rFonts w:hint="eastAsia" w:ascii="宋体" w:hAnsi="宋体" w:cs="宋体"/>
                <w:color w:val="auto"/>
                <w:spacing w:val="10"/>
                <w:szCs w:val="21"/>
                <w:highlight w:val="none"/>
              </w:rPr>
              <w:t>追索查阅、满足国家及行业强制性标准及规</w:t>
            </w:r>
            <w:r>
              <w:rPr>
                <w:rFonts w:hint="eastAsia" w:ascii="宋体" w:hAnsi="宋体" w:cs="宋体"/>
                <w:color w:val="auto"/>
                <w:spacing w:val="9"/>
                <w:szCs w:val="21"/>
                <w:highlight w:val="none"/>
              </w:rPr>
              <w:t>范，并符合采购人提出的有关质量标准的产品。</w:t>
            </w:r>
          </w:p>
          <w:p w14:paraId="078976A9">
            <w:pPr>
              <w:spacing w:before="1" w:line="226" w:lineRule="auto"/>
              <w:jc w:val="left"/>
              <w:rPr>
                <w:rFonts w:ascii="宋体" w:hAnsi="宋体" w:cs="宋体"/>
                <w:color w:val="auto"/>
                <w:spacing w:val="9"/>
                <w:szCs w:val="21"/>
                <w:highlight w:val="none"/>
              </w:rPr>
            </w:pPr>
            <w:r>
              <w:rPr>
                <w:rFonts w:hint="eastAsia" w:ascii="宋体" w:hAnsi="宋体" w:cs="宋体"/>
                <w:color w:val="auto"/>
                <w:spacing w:val="9"/>
                <w:szCs w:val="21"/>
                <w:highlight w:val="none"/>
              </w:rPr>
              <w:t>2.验收过程中所产生的一切费用均由成交供应商承担。报价时应考虑相关费用。</w:t>
            </w:r>
          </w:p>
          <w:p w14:paraId="66EF16C5">
            <w:pPr>
              <w:spacing w:before="1" w:line="226" w:lineRule="auto"/>
              <w:jc w:val="left"/>
              <w:rPr>
                <w:rFonts w:ascii="宋体" w:hAnsi="宋体" w:cs="宋体"/>
                <w:color w:val="auto"/>
                <w:szCs w:val="21"/>
                <w:highlight w:val="none"/>
              </w:rPr>
            </w:pPr>
            <w:r>
              <w:rPr>
                <w:rFonts w:hint="eastAsia" w:ascii="宋体" w:hAnsi="宋体" w:cs="宋体"/>
                <w:color w:val="auto"/>
                <w:spacing w:val="13"/>
                <w:szCs w:val="21"/>
                <w:highlight w:val="none"/>
              </w:rPr>
              <w:t>3.成交供应商在货物验收时由采购人对照招标文件的功能目标及技术指</w:t>
            </w:r>
            <w:r>
              <w:rPr>
                <w:rFonts w:hint="eastAsia" w:ascii="宋体" w:hAnsi="宋体" w:cs="宋体"/>
                <w:color w:val="auto"/>
                <w:spacing w:val="12"/>
                <w:szCs w:val="21"/>
                <w:highlight w:val="none"/>
              </w:rPr>
              <w:t>标全面核对检验，如</w:t>
            </w:r>
            <w:r>
              <w:rPr>
                <w:rFonts w:hint="eastAsia" w:ascii="宋体" w:hAnsi="宋体" w:cs="宋体"/>
                <w:color w:val="auto"/>
                <w:spacing w:val="18"/>
                <w:szCs w:val="21"/>
                <w:highlight w:val="none"/>
              </w:rPr>
              <w:t>不符合招标文件的技术需求及要求以及提供虚假承诺的，按相关规定作退货处理及违约处</w:t>
            </w:r>
            <w:r>
              <w:rPr>
                <w:rFonts w:hint="eastAsia" w:ascii="宋体" w:hAnsi="宋体" w:cs="宋体"/>
                <w:color w:val="auto"/>
                <w:spacing w:val="9"/>
                <w:szCs w:val="21"/>
                <w:highlight w:val="none"/>
              </w:rPr>
              <w:t>理，成交供应商承担所有责任和费用，采购人保留进一步追究责任的权利。</w:t>
            </w:r>
          </w:p>
          <w:p w14:paraId="76595785">
            <w:pPr>
              <w:spacing w:line="360" w:lineRule="exact"/>
              <w:jc w:val="left"/>
              <w:rPr>
                <w:rFonts w:ascii="宋体" w:hAnsi="宋体" w:cs="宋体"/>
                <w:color w:val="auto"/>
                <w:szCs w:val="21"/>
                <w:highlight w:val="none"/>
              </w:rPr>
            </w:pPr>
            <w:r>
              <w:rPr>
                <w:rFonts w:hint="eastAsia" w:ascii="宋体" w:hAnsi="宋体" w:cs="宋体"/>
                <w:color w:val="auto"/>
                <w:spacing w:val="8"/>
                <w:szCs w:val="21"/>
                <w:highlight w:val="none"/>
              </w:rPr>
              <w:t>4.招标项目有其他要求的按其要求。</w:t>
            </w:r>
          </w:p>
        </w:tc>
      </w:tr>
      <w:tr w14:paraId="7626F8CB">
        <w:tblPrEx>
          <w:shd w:val="clear" w:color="auto" w:fill="FFFFFF"/>
          <w:tblCellMar>
            <w:top w:w="0" w:type="dxa"/>
            <w:left w:w="108" w:type="dxa"/>
            <w:bottom w:w="0" w:type="dxa"/>
            <w:right w:w="108" w:type="dxa"/>
          </w:tblCellMar>
        </w:tblPrEx>
        <w:trPr>
          <w:trHeight w:val="900"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CC35D">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▲售后服务要求</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tcPr>
          <w:p w14:paraId="0500FD34">
            <w:pPr>
              <w:pStyle w:val="138"/>
              <w:widowControl w:val="0"/>
              <w:pBdr>
                <w:left w:val="none" w:color="auto" w:sz="0" w:space="0"/>
                <w:bottom w:val="none" w:color="auto" w:sz="0" w:space="0"/>
                <w:right w:val="none" w:color="auto" w:sz="0" w:space="0"/>
              </w:pBdr>
              <w:snapToGrid w:val="0"/>
              <w:spacing w:beforeAutospacing="0" w:afterAutospacing="0" w:line="360" w:lineRule="exact"/>
              <w:jc w:val="left"/>
              <w:rPr>
                <w:rFonts w:ascii="宋体" w:hAnsi="宋体" w:cs="宋体"/>
                <w:color w:val="auto"/>
                <w:highlight w:val="none"/>
              </w:rPr>
            </w:pPr>
            <w:r>
              <w:rPr>
                <w:rFonts w:hint="eastAsia" w:ascii="宋体" w:hAnsi="宋体" w:cs="宋体"/>
                <w:color w:val="auto"/>
                <w:highlight w:val="none"/>
              </w:rPr>
              <w:t>1、送货上门及培训；</w:t>
            </w:r>
          </w:p>
          <w:p w14:paraId="7378D8CE">
            <w:pPr>
              <w:pStyle w:val="138"/>
              <w:widowControl w:val="0"/>
              <w:pBdr>
                <w:left w:val="none" w:color="auto" w:sz="0" w:space="0"/>
                <w:bottom w:val="none" w:color="auto" w:sz="0" w:space="0"/>
                <w:right w:val="none" w:color="auto" w:sz="0" w:space="0"/>
              </w:pBdr>
              <w:snapToGrid w:val="0"/>
              <w:spacing w:beforeAutospacing="0" w:afterAutospacing="0" w:line="360" w:lineRule="exact"/>
              <w:jc w:val="left"/>
              <w:rPr>
                <w:rFonts w:ascii="宋体" w:hAnsi="宋体" w:cs="宋体"/>
                <w:color w:val="auto"/>
                <w:highlight w:val="none"/>
              </w:rPr>
            </w:pPr>
            <w:r>
              <w:rPr>
                <w:rFonts w:hint="eastAsia" w:ascii="宋体" w:hAnsi="宋体" w:cs="宋体"/>
                <w:color w:val="auto"/>
                <w:highlight w:val="none"/>
              </w:rPr>
              <w:t>2、竞标人应提出可行的售后服务承诺书；</w:t>
            </w:r>
          </w:p>
          <w:p w14:paraId="1AAEFE7E">
            <w:pPr>
              <w:pStyle w:val="138"/>
              <w:widowControl w:val="0"/>
              <w:pBdr>
                <w:left w:val="none" w:color="auto" w:sz="0" w:space="0"/>
                <w:bottom w:val="none" w:color="auto" w:sz="0" w:space="0"/>
                <w:right w:val="none" w:color="auto" w:sz="0" w:space="0"/>
              </w:pBdr>
              <w:snapToGrid w:val="0"/>
              <w:spacing w:beforeAutospacing="0" w:afterAutospacing="0" w:line="360" w:lineRule="exact"/>
              <w:jc w:val="left"/>
              <w:rPr>
                <w:rFonts w:ascii="宋体" w:hAnsi="宋体" w:cs="宋体"/>
                <w:color w:val="auto"/>
                <w:highlight w:val="none"/>
              </w:rPr>
            </w:pPr>
            <w:r>
              <w:rPr>
                <w:rFonts w:hint="eastAsia" w:ascii="宋体" w:hAnsi="宋体" w:cs="宋体"/>
                <w:color w:val="auto"/>
                <w:highlight w:val="none"/>
              </w:rPr>
              <w:t>3、按厂家承诺实行“三包”；</w:t>
            </w:r>
          </w:p>
          <w:p w14:paraId="3919B2A5">
            <w:pPr>
              <w:spacing w:line="360" w:lineRule="exact"/>
              <w:rPr>
                <w:rFonts w:ascii="宋体" w:hAnsi="宋体" w:cs="宋体"/>
                <w:color w:val="auto"/>
                <w:szCs w:val="21"/>
                <w:highlight w:val="none"/>
              </w:rPr>
            </w:pPr>
            <w:r>
              <w:rPr>
                <w:rFonts w:hint="eastAsia" w:ascii="宋体" w:hAnsi="宋体" w:cs="宋体"/>
                <w:color w:val="auto"/>
                <w:szCs w:val="21"/>
                <w:highlight w:val="none"/>
                <w:lang w:val="zh-CN"/>
              </w:rPr>
              <w:t>4、如确定有质量问题，按照正常程序退货</w:t>
            </w:r>
            <w:r>
              <w:rPr>
                <w:rFonts w:hint="eastAsia" w:ascii="宋体" w:hAnsi="宋体" w:cs="宋体"/>
                <w:color w:val="auto"/>
                <w:szCs w:val="21"/>
                <w:highlight w:val="none"/>
              </w:rPr>
              <w:t>；</w:t>
            </w:r>
          </w:p>
          <w:p w14:paraId="651E5D6E">
            <w:pPr>
              <w:spacing w:line="360" w:lineRule="exact"/>
              <w:rPr>
                <w:rFonts w:ascii="宋体" w:hAnsi="宋体" w:cs="宋体"/>
                <w:color w:val="auto"/>
                <w:szCs w:val="21"/>
                <w:highlight w:val="none"/>
              </w:rPr>
            </w:pPr>
            <w:r>
              <w:rPr>
                <w:rFonts w:hint="eastAsia" w:ascii="宋体" w:hAnsi="宋体" w:cs="宋体"/>
                <w:color w:val="auto"/>
                <w:szCs w:val="21"/>
                <w:highlight w:val="none"/>
              </w:rPr>
              <w:t>5、试剂在使用过程中，如有任何质量问题，竞标人承诺于3小时内答复，12小时内到达采购人现场，排除故障直至保证试剂能够正常使用（各分项有特殊要求的按各分项要求执行）。</w:t>
            </w:r>
          </w:p>
        </w:tc>
      </w:tr>
      <w:tr w14:paraId="52ECE591">
        <w:tblPrEx>
          <w:tblCellMar>
            <w:top w:w="0" w:type="dxa"/>
            <w:left w:w="108" w:type="dxa"/>
            <w:bottom w:w="0" w:type="dxa"/>
            <w:right w:w="108" w:type="dxa"/>
          </w:tblCellMar>
        </w:tblPrEx>
        <w:trPr>
          <w:trHeight w:val="743"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top"/>
          </w:tcPr>
          <w:p w14:paraId="50C38442">
            <w:pPr>
              <w:spacing w:before="241" w:line="231" w:lineRule="auto"/>
              <w:ind w:left="0" w:leftChars="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w:t>
            </w:r>
            <w:r>
              <w:rPr>
                <w:rFonts w:ascii="宋体" w:hAnsi="宋体" w:eastAsia="宋体" w:cs="宋体"/>
                <w:color w:val="auto"/>
                <w:spacing w:val="7"/>
                <w:sz w:val="20"/>
                <w:szCs w:val="20"/>
                <w:highlight w:val="none"/>
              </w:rPr>
              <w:t>合同签订</w:t>
            </w:r>
            <w:r>
              <w:rPr>
                <w:rFonts w:hint="eastAsia" w:ascii="宋体" w:hAnsi="宋体" w:cs="宋体"/>
                <w:color w:val="auto"/>
                <w:spacing w:val="7"/>
                <w:sz w:val="20"/>
                <w:szCs w:val="20"/>
                <w:highlight w:val="none"/>
                <w:lang w:val="en-US" w:eastAsia="zh-CN"/>
              </w:rPr>
              <w:t>时间</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vAlign w:val="top"/>
          </w:tcPr>
          <w:p w14:paraId="08C0DF03">
            <w:pPr>
              <w:spacing w:before="241" w:line="228" w:lineRule="auto"/>
              <w:ind w:left="0" w:leftChars="0"/>
              <w:jc w:val="both"/>
              <w:rPr>
                <w:rFonts w:hint="eastAsia" w:ascii="宋体" w:hAnsi="宋体" w:cs="宋体"/>
                <w:color w:val="auto"/>
                <w:szCs w:val="21"/>
                <w:highlight w:val="none"/>
              </w:rPr>
            </w:pPr>
            <w:r>
              <w:rPr>
                <w:rFonts w:ascii="宋体" w:hAnsi="宋体" w:eastAsia="宋体" w:cs="宋体"/>
                <w:color w:val="auto"/>
                <w:spacing w:val="2"/>
                <w:sz w:val="20"/>
                <w:szCs w:val="20"/>
                <w:highlight w:val="none"/>
              </w:rPr>
              <w:t>自成交通知书发出之日起</w:t>
            </w:r>
            <w:r>
              <w:rPr>
                <w:rFonts w:ascii="宋体" w:hAnsi="宋体" w:eastAsia="宋体" w:cs="宋体"/>
                <w:color w:val="auto"/>
                <w:spacing w:val="-35"/>
                <w:sz w:val="20"/>
                <w:szCs w:val="20"/>
                <w:highlight w:val="none"/>
              </w:rPr>
              <w:t xml:space="preserve"> </w:t>
            </w:r>
            <w:r>
              <w:rPr>
                <w:rFonts w:ascii="宋体" w:hAnsi="宋体" w:eastAsia="宋体" w:cs="宋体"/>
                <w:color w:val="auto"/>
                <w:spacing w:val="2"/>
                <w:sz w:val="20"/>
                <w:szCs w:val="20"/>
                <w:highlight w:val="none"/>
              </w:rPr>
              <w:t>25 日内。</w:t>
            </w:r>
          </w:p>
        </w:tc>
      </w:tr>
      <w:tr w14:paraId="16217F20">
        <w:tblPrEx>
          <w:shd w:val="clear" w:color="auto" w:fill="FFFFFF"/>
          <w:tblCellMar>
            <w:top w:w="0" w:type="dxa"/>
            <w:left w:w="108" w:type="dxa"/>
            <w:bottom w:w="0" w:type="dxa"/>
            <w:right w:w="108" w:type="dxa"/>
          </w:tblCellMar>
        </w:tblPrEx>
        <w:trPr>
          <w:trHeight w:val="900"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0A447">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▲交货时间及地点</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tcPr>
          <w:p w14:paraId="14F737B1">
            <w:pPr>
              <w:snapToGrid w:val="0"/>
              <w:spacing w:line="360" w:lineRule="exact"/>
              <w:outlineLvl w:val="0"/>
              <w:rPr>
                <w:rFonts w:ascii="宋体" w:hAnsi="宋体" w:cs="宋体"/>
                <w:color w:val="auto"/>
                <w:szCs w:val="21"/>
                <w:highlight w:val="none"/>
              </w:rPr>
            </w:pPr>
            <w:r>
              <w:rPr>
                <w:rFonts w:hint="eastAsia" w:ascii="宋体" w:hAnsi="宋体" w:eastAsia="宋体" w:cs="宋体"/>
                <w:color w:val="auto"/>
                <w:spacing w:val="9"/>
                <w:sz w:val="21"/>
                <w:szCs w:val="21"/>
                <w:highlight w:val="none"/>
                <w:lang w:val="zh-CN"/>
              </w:rPr>
              <w:t>交货时间：按采购人提供的供货计划分批供货，接到配送计划后由供应商在</w:t>
            </w:r>
            <w:r>
              <w:rPr>
                <w:rFonts w:hint="eastAsia" w:ascii="宋体" w:hAnsi="宋体" w:eastAsia="宋体" w:cs="宋体"/>
                <w:color w:val="auto"/>
                <w:spacing w:val="9"/>
                <w:sz w:val="21"/>
                <w:szCs w:val="21"/>
                <w:highlight w:val="none"/>
                <w:lang w:val="en-US" w:eastAsia="zh-CN"/>
              </w:rPr>
              <w:t>7</w:t>
            </w:r>
            <w:r>
              <w:rPr>
                <w:rFonts w:hint="eastAsia" w:ascii="宋体" w:hAnsi="宋体" w:eastAsia="宋体" w:cs="宋体"/>
                <w:color w:val="auto"/>
                <w:spacing w:val="9"/>
                <w:sz w:val="21"/>
                <w:szCs w:val="21"/>
                <w:highlight w:val="none"/>
                <w:lang w:val="zh-CN"/>
              </w:rPr>
              <w:t>个工作日内配送到交货地点</w:t>
            </w:r>
            <w:r>
              <w:rPr>
                <w:rFonts w:hint="eastAsia" w:ascii="宋体" w:hAnsi="宋体" w:eastAsia="宋体" w:cs="宋体"/>
                <w:color w:val="auto"/>
                <w:spacing w:val="9"/>
                <w:sz w:val="21"/>
                <w:szCs w:val="21"/>
                <w:highlight w:val="none"/>
              </w:rPr>
              <w:t>，收货日期原则上不得安排在周末或节假日，除采购人指定要求的日期除外。采购人常用试剂中标人保持安全库存，以便在紧急情况下能够立即发货，对非常用试剂，如遇突发公共卫生事件检测需求，中标人应在</w:t>
            </w:r>
            <w:r>
              <w:rPr>
                <w:rFonts w:hint="eastAsia" w:ascii="宋体" w:hAnsi="宋体" w:eastAsia="宋体" w:cs="宋体"/>
                <w:color w:val="auto"/>
                <w:spacing w:val="9"/>
                <w:sz w:val="21"/>
                <w:szCs w:val="21"/>
                <w:highlight w:val="none"/>
                <w:lang w:val="en-US" w:eastAsia="zh-CN"/>
              </w:rPr>
              <w:t>2日内送货上门。</w:t>
            </w:r>
            <w:r>
              <w:rPr>
                <w:rFonts w:hint="eastAsia" w:ascii="宋体" w:hAnsi="宋体" w:cs="宋体"/>
                <w:color w:val="auto"/>
                <w:spacing w:val="9"/>
                <w:szCs w:val="21"/>
                <w:highlight w:val="none"/>
                <w:lang w:val="zh-CN"/>
              </w:rPr>
              <w:br w:type="textWrapping"/>
            </w:r>
            <w:r>
              <w:rPr>
                <w:rFonts w:hint="eastAsia" w:ascii="宋体" w:hAnsi="宋体" w:cs="宋体"/>
                <w:color w:val="auto"/>
                <w:kern w:val="0"/>
                <w:szCs w:val="21"/>
                <w:highlight w:val="none"/>
              </w:rPr>
              <w:t>交货地点：</w:t>
            </w:r>
            <w:r>
              <w:rPr>
                <w:rFonts w:hint="eastAsia" w:ascii="宋体" w:hAnsi="宋体" w:cs="宋体"/>
                <w:color w:val="auto"/>
                <w:kern w:val="0"/>
                <w:szCs w:val="21"/>
                <w:highlight w:val="none"/>
                <w:lang w:val="zh-CN"/>
              </w:rPr>
              <w:t>广西防城港市内（采购单位指定地点）。</w:t>
            </w:r>
          </w:p>
        </w:tc>
      </w:tr>
      <w:tr w14:paraId="4E790D6C">
        <w:tblPrEx>
          <w:tblCellMar>
            <w:top w:w="0" w:type="dxa"/>
            <w:left w:w="108" w:type="dxa"/>
            <w:bottom w:w="0" w:type="dxa"/>
            <w:right w:w="108" w:type="dxa"/>
          </w:tblCellMar>
        </w:tblPrEx>
        <w:trPr>
          <w:trHeight w:val="900"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60961">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▲付款条件</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tcPr>
          <w:p w14:paraId="5B214BF8">
            <w:pPr>
              <w:snapToGrid w:val="0"/>
              <w:spacing w:line="360" w:lineRule="exact"/>
              <w:outlineLvl w:val="0"/>
              <w:rPr>
                <w:rFonts w:ascii="宋体" w:hAnsi="宋体" w:cs="宋体"/>
                <w:color w:val="auto"/>
                <w:szCs w:val="21"/>
                <w:highlight w:val="none"/>
              </w:rPr>
            </w:pPr>
            <w:r>
              <w:rPr>
                <w:rFonts w:hint="eastAsia" w:ascii="宋体" w:hAnsi="宋体" w:cs="宋体"/>
                <w:color w:val="auto"/>
                <w:kern w:val="0"/>
                <w:szCs w:val="21"/>
                <w:highlight w:val="none"/>
                <w:lang w:val="zh-CN"/>
              </w:rPr>
              <w:t>每批货验收合格</w:t>
            </w:r>
            <w:r>
              <w:rPr>
                <w:rFonts w:hint="eastAsia" w:ascii="宋体" w:hAnsi="宋体" w:cs="宋体"/>
                <w:color w:val="auto"/>
                <w:kern w:val="0"/>
                <w:szCs w:val="21"/>
                <w:highlight w:val="none"/>
              </w:rPr>
              <w:t>后</w:t>
            </w:r>
            <w:r>
              <w:rPr>
                <w:rFonts w:hint="eastAsia" w:ascii="宋体" w:hAnsi="宋体" w:cs="宋体"/>
                <w:color w:val="auto"/>
                <w:kern w:val="0"/>
                <w:szCs w:val="21"/>
                <w:highlight w:val="none"/>
                <w:lang w:val="zh-CN"/>
              </w:rPr>
              <w:t>，供应商开具请款函及发票给采购人，采购人在</w:t>
            </w:r>
            <w:r>
              <w:rPr>
                <w:rFonts w:hint="eastAsia" w:ascii="宋体" w:hAnsi="宋体" w:cs="宋体"/>
                <w:bCs/>
                <w:color w:val="auto"/>
                <w:szCs w:val="21"/>
                <w:highlight w:val="none"/>
              </w:rPr>
              <w:t>该</w:t>
            </w:r>
            <w:r>
              <w:rPr>
                <w:rFonts w:hint="eastAsia" w:ascii="宋体" w:hAnsi="宋体" w:cs="宋体"/>
                <w:bCs/>
                <w:color w:val="auto"/>
                <w:szCs w:val="21"/>
                <w:highlight w:val="none"/>
                <w:lang w:val="zh-CN"/>
              </w:rPr>
              <w:t>项目具备支付条件</w:t>
            </w:r>
            <w:r>
              <w:rPr>
                <w:rFonts w:hint="eastAsia" w:ascii="宋体" w:hAnsi="宋体" w:cs="宋体"/>
                <w:bCs/>
                <w:color w:val="auto"/>
                <w:szCs w:val="21"/>
                <w:highlight w:val="none"/>
              </w:rPr>
              <w:t>后</w:t>
            </w:r>
            <w:r>
              <w:rPr>
                <w:rFonts w:hint="eastAsia" w:ascii="宋体" w:hAnsi="宋体" w:cs="宋体"/>
                <w:color w:val="auto"/>
                <w:kern w:val="0"/>
                <w:szCs w:val="21"/>
                <w:highlight w:val="none"/>
              </w:rPr>
              <w:t>15</w:t>
            </w:r>
            <w:r>
              <w:rPr>
                <w:rFonts w:hint="eastAsia" w:ascii="宋体" w:hAnsi="宋体" w:cs="宋体"/>
                <w:color w:val="auto"/>
                <w:kern w:val="0"/>
                <w:szCs w:val="21"/>
                <w:highlight w:val="none"/>
                <w:lang w:val="zh-CN"/>
              </w:rPr>
              <w:t>个工作日内，支付该批货物全部合同款给供应商。</w:t>
            </w:r>
          </w:p>
        </w:tc>
      </w:tr>
      <w:tr w14:paraId="0B5E7FF3">
        <w:tblPrEx>
          <w:shd w:val="clear" w:color="auto" w:fill="FFFFFF"/>
          <w:tblCellMar>
            <w:top w:w="0" w:type="dxa"/>
            <w:left w:w="108" w:type="dxa"/>
            <w:bottom w:w="0" w:type="dxa"/>
            <w:right w:w="108" w:type="dxa"/>
          </w:tblCellMar>
        </w:tblPrEx>
        <w:trPr>
          <w:trHeight w:val="900"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E4545">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其他要求</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tcPr>
          <w:p w14:paraId="3675CDA0">
            <w:pPr>
              <w:spacing w:line="360" w:lineRule="exact"/>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zh-CN"/>
              </w:rPr>
              <w:t>1、</w:t>
            </w:r>
            <w:r>
              <w:rPr>
                <w:rFonts w:hint="eastAsia" w:ascii="宋体" w:hAnsi="宋体" w:cs="宋体"/>
                <w:color w:val="auto"/>
                <w:szCs w:val="21"/>
                <w:highlight w:val="none"/>
              </w:rPr>
              <w:t>成交供应商保证向采购人提供的货物是全新、完整、未使用过的。</w:t>
            </w:r>
          </w:p>
          <w:p w14:paraId="207F1AEF">
            <w:pPr>
              <w:spacing w:line="360" w:lineRule="exact"/>
              <w:rPr>
                <w:rFonts w:ascii="宋体" w:hAnsi="宋体" w:cs="宋体"/>
                <w:color w:val="auto"/>
                <w:szCs w:val="21"/>
                <w:highlight w:val="none"/>
              </w:rPr>
            </w:pPr>
            <w:r>
              <w:rPr>
                <w:rFonts w:hint="eastAsia" w:ascii="宋体" w:hAnsi="宋体" w:cs="宋体"/>
                <w:color w:val="auto"/>
                <w:szCs w:val="21"/>
                <w:highlight w:val="none"/>
              </w:rPr>
              <w:t>2、如国家对竞标产品实行注册证登记管理制度的，则竞标人应在响应文件中提供竞标产品的注册证复印件等证明文件。</w:t>
            </w:r>
          </w:p>
        </w:tc>
      </w:tr>
      <w:tr w14:paraId="448FC3AE">
        <w:tblPrEx>
          <w:shd w:val="clear" w:color="auto" w:fill="FFFFFF"/>
          <w:tblCellMar>
            <w:top w:w="0" w:type="dxa"/>
            <w:left w:w="108" w:type="dxa"/>
            <w:bottom w:w="0" w:type="dxa"/>
            <w:right w:w="108" w:type="dxa"/>
          </w:tblCellMar>
        </w:tblPrEx>
        <w:trPr>
          <w:trHeight w:val="900"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B25D9">
            <w:pPr>
              <w:snapToGrid w:val="0"/>
              <w:spacing w:line="360" w:lineRule="exact"/>
              <w:jc w:val="center"/>
              <w:rPr>
                <w:rFonts w:ascii="宋体" w:hAnsi="宋体" w:cs="宋体"/>
                <w:color w:val="auto"/>
                <w:kern w:val="0"/>
                <w:szCs w:val="21"/>
                <w:highlight w:val="none"/>
              </w:rPr>
            </w:pPr>
            <w:r>
              <w:rPr>
                <w:rFonts w:hint="eastAsia" w:ascii="宋体" w:hAnsi="宋体" w:cs="宋体"/>
                <w:color w:val="auto"/>
                <w:szCs w:val="21"/>
                <w:highlight w:val="none"/>
              </w:rPr>
              <w:t>▲履约保证金</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tcPr>
          <w:p w14:paraId="67942AC5">
            <w:pPr>
              <w:spacing w:line="360" w:lineRule="exact"/>
              <w:rPr>
                <w:rFonts w:ascii="宋体" w:hAnsi="宋体" w:cs="宋体"/>
                <w:color w:val="auto"/>
                <w:szCs w:val="21"/>
                <w:highlight w:val="none"/>
              </w:rPr>
            </w:pPr>
            <w:r>
              <w:rPr>
                <w:rFonts w:hint="eastAsia" w:ascii="宋体" w:hAnsi="宋体" w:cs="宋体"/>
                <w:color w:val="auto"/>
                <w:spacing w:val="-6"/>
                <w:szCs w:val="21"/>
                <w:highlight w:val="none"/>
              </w:rPr>
              <w:t>签订合同前，成交供应商按合同金额的</w:t>
            </w:r>
            <w:r>
              <w:rPr>
                <w:rFonts w:hint="eastAsia" w:ascii="宋体" w:hAnsi="宋体" w:cs="宋体"/>
                <w:color w:val="auto"/>
                <w:szCs w:val="21"/>
                <w:highlight w:val="none"/>
              </w:rPr>
              <w:t>1</w:t>
            </w:r>
            <w:r>
              <w:rPr>
                <w:rFonts w:hint="eastAsia" w:ascii="宋体" w:hAnsi="宋体" w:cs="宋体"/>
                <w:color w:val="auto"/>
                <w:spacing w:val="-1"/>
                <w:szCs w:val="21"/>
                <w:highlight w:val="none"/>
              </w:rPr>
              <w:t>%</w:t>
            </w:r>
            <w:r>
              <w:rPr>
                <w:rFonts w:hint="eastAsia" w:ascii="宋体" w:hAnsi="宋体" w:cs="宋体"/>
                <w:color w:val="auto"/>
                <w:szCs w:val="21"/>
                <w:highlight w:val="none"/>
              </w:rPr>
              <w:t>向采购人</w:t>
            </w:r>
            <w:r>
              <w:rPr>
                <w:rFonts w:hint="eastAsia" w:ascii="宋体" w:hAnsi="宋体" w:cs="宋体"/>
                <w:color w:val="auto"/>
                <w:spacing w:val="-1"/>
                <w:szCs w:val="21"/>
                <w:highlight w:val="none"/>
              </w:rPr>
              <w:t>指定账户交纳履约保证金。</w:t>
            </w:r>
            <w:r>
              <w:rPr>
                <w:rFonts w:hint="eastAsia" w:ascii="宋体" w:hAnsi="宋体" w:cs="宋体"/>
                <w:color w:val="auto"/>
                <w:szCs w:val="21"/>
                <w:highlight w:val="none"/>
                <w:u w:val="single"/>
              </w:rPr>
              <w:t>货物全部验收合格后，货物在质保期内若无质量问题，质保期满后，凭成交供应商申请书退还履约保证金，</w:t>
            </w:r>
            <w:r>
              <w:rPr>
                <w:rFonts w:hint="eastAsia" w:ascii="宋体" w:hAnsi="宋体"/>
                <w:color w:val="auto"/>
                <w:szCs w:val="21"/>
                <w:highlight w:val="none"/>
                <w:u w:val="single"/>
              </w:rPr>
              <w:t>甲方在5个工作日内办理退还手续</w:t>
            </w:r>
            <w:r>
              <w:rPr>
                <w:rFonts w:hint="eastAsia" w:ascii="宋体" w:hAnsi="宋体" w:cs="宋体"/>
                <w:color w:val="auto"/>
                <w:szCs w:val="21"/>
                <w:highlight w:val="none"/>
                <w:u w:val="single"/>
              </w:rPr>
              <w:t>（不计利息）。</w:t>
            </w:r>
            <w:r>
              <w:rPr>
                <w:rFonts w:hint="eastAsia" w:ascii="宋体" w:hAnsi="宋体" w:cs="宋体"/>
                <w:color w:val="auto"/>
                <w:spacing w:val="-1"/>
                <w:szCs w:val="21"/>
                <w:highlight w:val="none"/>
              </w:rPr>
              <w:t>。</w:t>
            </w:r>
          </w:p>
        </w:tc>
      </w:tr>
      <w:tr w14:paraId="76541FEE">
        <w:tblPrEx>
          <w:tblCellMar>
            <w:top w:w="0" w:type="dxa"/>
            <w:left w:w="108" w:type="dxa"/>
            <w:bottom w:w="0" w:type="dxa"/>
            <w:right w:w="108" w:type="dxa"/>
          </w:tblCellMar>
        </w:tblPrEx>
        <w:trPr>
          <w:trHeight w:val="900" w:hRule="atLeast"/>
        </w:trPr>
        <w:tc>
          <w:tcPr>
            <w:tcW w:w="2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81EEA">
            <w:pPr>
              <w:snapToGrid w:val="0"/>
              <w:spacing w:line="360" w:lineRule="exact"/>
              <w:jc w:val="center"/>
              <w:rPr>
                <w:rFonts w:ascii="宋体" w:hAnsi="宋体" w:cs="宋体"/>
                <w:color w:val="auto"/>
                <w:szCs w:val="21"/>
                <w:highlight w:val="none"/>
              </w:rPr>
            </w:pPr>
            <w:r>
              <w:rPr>
                <w:rFonts w:hint="eastAsia" w:ascii="宋体" w:hAnsi="宋体" w:cs="宋体"/>
                <w:color w:val="auto"/>
                <w:szCs w:val="21"/>
                <w:highlight w:val="none"/>
              </w:rPr>
              <w:t>违约责任</w:t>
            </w:r>
          </w:p>
        </w:tc>
        <w:tc>
          <w:tcPr>
            <w:tcW w:w="7024" w:type="dxa"/>
            <w:tcBorders>
              <w:top w:val="single" w:color="000000" w:sz="4" w:space="0"/>
              <w:left w:val="single" w:color="000000" w:sz="4" w:space="0"/>
              <w:bottom w:val="single" w:color="000000" w:sz="4" w:space="0"/>
              <w:right w:val="single" w:color="000000" w:sz="4" w:space="0"/>
            </w:tcBorders>
            <w:shd w:val="clear" w:color="auto" w:fill="FFFFFF"/>
            <w:noWrap/>
          </w:tcPr>
          <w:p w14:paraId="7DF65EA4">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1.技术参数不符合的</w:t>
            </w:r>
          </w:p>
          <w:p w14:paraId="3C6E0233">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签订合同后，如中标的产品经中心对试剂进行全面性能评估对产品做性能验证，经评估产品的真实性能与采购投标文件的技术参数不相符的，采购人可认定成交供应商违约，并可要求：</w:t>
            </w:r>
          </w:p>
          <w:p w14:paraId="68CEC277">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（1）要求成交供应商提供符合合同要求的新批次产品或更换采购人指定的符合合同技术参数要求的品牌（按原中标产品的中标单价采购），并承担由此产生的额外费用</w:t>
            </w:r>
          </w:p>
          <w:p w14:paraId="6F7FD1C9">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（2）根据合同中约定的违约金或损害赔偿条款，要求成交供应商支付相应的经济补偿，以弥补因产品不合格给采购人造成的直接经济损失和其他合理支出。</w:t>
            </w:r>
          </w:p>
          <w:p w14:paraId="368B26AF">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（3）若成交供应商无法提供合格产品或拒绝履行整改义务，采购人有权依法终止合同，并保留追究法律责任的权利。</w:t>
            </w:r>
          </w:p>
          <w:p w14:paraId="0A11E3AB">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2.退换货处理</w:t>
            </w:r>
          </w:p>
          <w:p w14:paraId="40A0FF06">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（1）批次差异：不同批次之间的试剂质量不稳定或存在显著差异。</w:t>
            </w:r>
          </w:p>
          <w:p w14:paraId="1197BAF8">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（2）包装破损或标识不清：外包装损坏、密封不良或标签信息错误、模糊不清</w:t>
            </w:r>
          </w:p>
          <w:p w14:paraId="6B419AE8">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（3）配送温度达不到要求：有低温配送要求没有按照规定要求配送，全程温度记录不符合要求的，没有提供配送温度记录的出现以上问题之一采购人有权退换货，并产生的退换货费用由成交供应商承担。</w:t>
            </w:r>
          </w:p>
        </w:tc>
      </w:tr>
    </w:tbl>
    <w:p w14:paraId="2EE9D646">
      <w:pPr>
        <w:spacing w:line="528" w:lineRule="exact"/>
        <w:ind w:firstLine="210" w:firstLineChars="100"/>
        <w:rPr>
          <w:color w:val="auto"/>
          <w:sz w:val="28"/>
          <w:szCs w:val="28"/>
          <w:highlight w:val="none"/>
        </w:rPr>
      </w:pPr>
      <w:r>
        <w:rPr>
          <w:color w:val="auto"/>
          <w:szCs w:val="21"/>
          <w:highlight w:val="none"/>
        </w:rPr>
        <w:br w:type="page"/>
      </w:r>
      <w:r>
        <w:rPr>
          <w:rFonts w:hint="eastAsia"/>
          <w:color w:val="auto"/>
          <w:sz w:val="28"/>
          <w:szCs w:val="28"/>
          <w:highlight w:val="none"/>
        </w:rPr>
        <w:t xml:space="preserve">附件1： </w:t>
      </w:r>
    </w:p>
    <w:p w14:paraId="628B751A">
      <w:pPr>
        <w:spacing w:line="528" w:lineRule="exact"/>
        <w:ind w:firstLine="3500" w:firstLineChars="1250"/>
        <w:rPr>
          <w:color w:val="auto"/>
          <w:sz w:val="28"/>
          <w:szCs w:val="28"/>
          <w:highlight w:val="none"/>
        </w:rPr>
      </w:pPr>
      <w:r>
        <w:rPr>
          <w:rFonts w:hint="eastAsia"/>
          <w:color w:val="auto"/>
          <w:sz w:val="28"/>
          <w:szCs w:val="28"/>
          <w:highlight w:val="none"/>
        </w:rPr>
        <w:t>中小微企业划型标准</w:t>
      </w:r>
    </w:p>
    <w:tbl>
      <w:tblPr>
        <w:tblStyle w:val="51"/>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7994CE48">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noWrap/>
            <w:vAlign w:val="center"/>
          </w:tcPr>
          <w:p w14:paraId="444AC2AD">
            <w:pPr>
              <w:widowControl/>
              <w:jc w:val="left"/>
              <w:rPr>
                <w:color w:val="auto"/>
                <w:szCs w:val="21"/>
                <w:highlight w:val="none"/>
              </w:rPr>
            </w:pPr>
            <w:r>
              <w:rPr>
                <w:rFonts w:hint="eastAsia"/>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ign w:val="center"/>
          </w:tcPr>
          <w:p w14:paraId="5FC6BC7F">
            <w:pPr>
              <w:widowControl/>
              <w:jc w:val="left"/>
              <w:rPr>
                <w:color w:val="auto"/>
                <w:szCs w:val="21"/>
                <w:highlight w:val="none"/>
              </w:rPr>
            </w:pPr>
            <w:r>
              <w:rPr>
                <w:rFonts w:hint="eastAsia"/>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ign w:val="center"/>
          </w:tcPr>
          <w:p w14:paraId="0E491B7A">
            <w:pPr>
              <w:widowControl/>
              <w:jc w:val="left"/>
              <w:rPr>
                <w:color w:val="auto"/>
                <w:szCs w:val="21"/>
                <w:highlight w:val="none"/>
              </w:rPr>
            </w:pPr>
            <w:r>
              <w:rPr>
                <w:rFonts w:hint="eastAsia"/>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ign w:val="center"/>
          </w:tcPr>
          <w:p w14:paraId="000CEDAE">
            <w:pPr>
              <w:widowControl/>
              <w:jc w:val="left"/>
              <w:rPr>
                <w:color w:val="auto"/>
                <w:szCs w:val="21"/>
                <w:highlight w:val="none"/>
              </w:rPr>
            </w:pPr>
            <w:r>
              <w:rPr>
                <w:rFonts w:hint="eastAsia"/>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ign w:val="center"/>
          </w:tcPr>
          <w:p w14:paraId="74954A39">
            <w:pPr>
              <w:widowControl/>
              <w:jc w:val="left"/>
              <w:rPr>
                <w:color w:val="auto"/>
                <w:szCs w:val="21"/>
                <w:highlight w:val="none"/>
              </w:rPr>
            </w:pPr>
            <w:r>
              <w:rPr>
                <w:rFonts w:hint="eastAsia"/>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ign w:val="center"/>
          </w:tcPr>
          <w:p w14:paraId="21210248">
            <w:pPr>
              <w:widowControl/>
              <w:jc w:val="left"/>
              <w:rPr>
                <w:color w:val="auto"/>
                <w:szCs w:val="21"/>
                <w:highlight w:val="none"/>
              </w:rPr>
            </w:pPr>
            <w:r>
              <w:rPr>
                <w:rFonts w:hint="eastAsia"/>
                <w:color w:val="auto"/>
                <w:szCs w:val="21"/>
                <w:highlight w:val="none"/>
              </w:rPr>
              <w:t>微型</w:t>
            </w:r>
          </w:p>
        </w:tc>
      </w:tr>
      <w:tr w14:paraId="3E88C763">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ign w:val="bottom"/>
          </w:tcPr>
          <w:p w14:paraId="2BE03D8E">
            <w:pPr>
              <w:widowControl/>
              <w:jc w:val="center"/>
              <w:rPr>
                <w:color w:val="auto"/>
                <w:szCs w:val="21"/>
                <w:highlight w:val="none"/>
              </w:rPr>
            </w:pPr>
            <w:r>
              <w:rPr>
                <w:rFonts w:hint="eastAsia"/>
                <w:color w:val="auto"/>
                <w:szCs w:val="21"/>
                <w:highlight w:val="none"/>
              </w:rPr>
              <w:t>农、林、牧、渔</w:t>
            </w:r>
          </w:p>
        </w:tc>
        <w:tc>
          <w:tcPr>
            <w:tcW w:w="1701" w:type="dxa"/>
            <w:tcBorders>
              <w:top w:val="nil"/>
              <w:left w:val="nil"/>
              <w:bottom w:val="single" w:color="auto" w:sz="4" w:space="0"/>
              <w:right w:val="single" w:color="auto" w:sz="4" w:space="0"/>
            </w:tcBorders>
            <w:noWrap/>
            <w:vAlign w:val="center"/>
          </w:tcPr>
          <w:p w14:paraId="4EA599C9">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3FE102C5">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4F532484">
            <w:pPr>
              <w:widowControl/>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ign w:val="center"/>
          </w:tcPr>
          <w:p w14:paraId="3E303207">
            <w:pPr>
              <w:widowControl/>
              <w:jc w:val="left"/>
              <w:rPr>
                <w:color w:val="auto"/>
                <w:szCs w:val="21"/>
                <w:highlight w:val="none"/>
              </w:rPr>
            </w:pPr>
            <w:r>
              <w:rPr>
                <w:rFonts w:hint="eastAsia"/>
                <w:color w:val="auto"/>
                <w:szCs w:val="21"/>
                <w:highlight w:val="none"/>
              </w:rPr>
              <w:t>50≤Y＜500</w:t>
            </w:r>
          </w:p>
        </w:tc>
        <w:tc>
          <w:tcPr>
            <w:tcW w:w="1009" w:type="dxa"/>
            <w:tcBorders>
              <w:top w:val="nil"/>
              <w:left w:val="nil"/>
              <w:bottom w:val="single" w:color="auto" w:sz="4" w:space="0"/>
              <w:right w:val="single" w:color="auto" w:sz="4" w:space="0"/>
            </w:tcBorders>
            <w:noWrap/>
            <w:vAlign w:val="center"/>
          </w:tcPr>
          <w:p w14:paraId="511AB3EF">
            <w:pPr>
              <w:widowControl/>
              <w:jc w:val="left"/>
              <w:rPr>
                <w:color w:val="auto"/>
                <w:szCs w:val="21"/>
                <w:highlight w:val="none"/>
              </w:rPr>
            </w:pPr>
            <w:r>
              <w:rPr>
                <w:rFonts w:hint="eastAsia"/>
                <w:color w:val="auto"/>
                <w:szCs w:val="21"/>
                <w:highlight w:val="none"/>
              </w:rPr>
              <w:t>Y＜50</w:t>
            </w:r>
          </w:p>
        </w:tc>
      </w:tr>
      <w:tr w14:paraId="0064FE0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09026620">
            <w:pPr>
              <w:widowControl/>
              <w:jc w:val="center"/>
              <w:rPr>
                <w:color w:val="auto"/>
                <w:szCs w:val="21"/>
                <w:highlight w:val="none"/>
              </w:rPr>
            </w:pPr>
            <w:r>
              <w:rPr>
                <w:rFonts w:hint="eastAsia"/>
                <w:color w:val="auto"/>
                <w:szCs w:val="21"/>
                <w:highlight w:val="none"/>
              </w:rPr>
              <w:t>工业</w:t>
            </w:r>
          </w:p>
        </w:tc>
        <w:tc>
          <w:tcPr>
            <w:tcW w:w="1701" w:type="dxa"/>
            <w:tcBorders>
              <w:top w:val="nil"/>
              <w:left w:val="nil"/>
              <w:bottom w:val="single" w:color="auto" w:sz="4" w:space="0"/>
              <w:right w:val="single" w:color="auto" w:sz="4" w:space="0"/>
            </w:tcBorders>
            <w:noWrap/>
            <w:vAlign w:val="center"/>
          </w:tcPr>
          <w:p w14:paraId="5189A213">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66A606A5">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252A710A">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ign w:val="center"/>
          </w:tcPr>
          <w:p w14:paraId="310E27DA">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ign w:val="center"/>
          </w:tcPr>
          <w:p w14:paraId="302788E5">
            <w:pPr>
              <w:widowControl/>
              <w:jc w:val="left"/>
              <w:rPr>
                <w:color w:val="auto"/>
                <w:szCs w:val="21"/>
                <w:highlight w:val="none"/>
              </w:rPr>
            </w:pPr>
            <w:r>
              <w:rPr>
                <w:rFonts w:hint="eastAsia"/>
                <w:color w:val="auto"/>
                <w:szCs w:val="21"/>
                <w:highlight w:val="none"/>
              </w:rPr>
              <w:t>X＜20</w:t>
            </w:r>
          </w:p>
        </w:tc>
      </w:tr>
      <w:tr w14:paraId="666418F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789FA4FF">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52C7D002">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57D4BD6C">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2EB33FD7">
            <w:pPr>
              <w:widowControl/>
              <w:jc w:val="left"/>
              <w:rPr>
                <w:color w:val="auto"/>
                <w:szCs w:val="21"/>
                <w:highlight w:val="none"/>
              </w:rPr>
            </w:pPr>
            <w:r>
              <w:rPr>
                <w:rFonts w:hint="eastAsia"/>
                <w:color w:val="auto"/>
                <w:szCs w:val="21"/>
                <w:highlight w:val="none"/>
              </w:rPr>
              <w:t>2000≤Y＜40000</w:t>
            </w:r>
          </w:p>
        </w:tc>
        <w:tc>
          <w:tcPr>
            <w:tcW w:w="1570" w:type="dxa"/>
            <w:tcBorders>
              <w:top w:val="nil"/>
              <w:left w:val="nil"/>
              <w:bottom w:val="single" w:color="auto" w:sz="4" w:space="0"/>
              <w:right w:val="single" w:color="auto" w:sz="4" w:space="0"/>
            </w:tcBorders>
            <w:noWrap/>
            <w:vAlign w:val="center"/>
          </w:tcPr>
          <w:p w14:paraId="3F361B84">
            <w:pPr>
              <w:widowControl/>
              <w:jc w:val="left"/>
              <w:rPr>
                <w:color w:val="auto"/>
                <w:szCs w:val="21"/>
                <w:highlight w:val="none"/>
              </w:rPr>
            </w:pPr>
            <w:r>
              <w:rPr>
                <w:rFonts w:hint="eastAsia"/>
                <w:color w:val="auto"/>
                <w:szCs w:val="21"/>
                <w:highlight w:val="none"/>
              </w:rPr>
              <w:t>300≤Y＜2000</w:t>
            </w:r>
          </w:p>
        </w:tc>
        <w:tc>
          <w:tcPr>
            <w:tcW w:w="1009" w:type="dxa"/>
            <w:tcBorders>
              <w:top w:val="nil"/>
              <w:left w:val="nil"/>
              <w:bottom w:val="single" w:color="auto" w:sz="4" w:space="0"/>
              <w:right w:val="single" w:color="auto" w:sz="4" w:space="0"/>
            </w:tcBorders>
            <w:noWrap/>
            <w:vAlign w:val="center"/>
          </w:tcPr>
          <w:p w14:paraId="5B5201AA">
            <w:pPr>
              <w:widowControl/>
              <w:jc w:val="left"/>
              <w:rPr>
                <w:color w:val="auto"/>
                <w:szCs w:val="21"/>
                <w:highlight w:val="none"/>
              </w:rPr>
            </w:pPr>
            <w:r>
              <w:rPr>
                <w:rFonts w:hint="eastAsia"/>
                <w:color w:val="auto"/>
                <w:szCs w:val="21"/>
                <w:highlight w:val="none"/>
              </w:rPr>
              <w:t>Y＜300</w:t>
            </w:r>
          </w:p>
        </w:tc>
      </w:tr>
      <w:tr w14:paraId="5A57F91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298B1EE9">
            <w:pPr>
              <w:widowControl/>
              <w:jc w:val="center"/>
              <w:rPr>
                <w:color w:val="auto"/>
                <w:szCs w:val="21"/>
                <w:highlight w:val="none"/>
              </w:rPr>
            </w:pPr>
            <w:r>
              <w:rPr>
                <w:rFonts w:hint="eastAsia"/>
                <w:color w:val="auto"/>
                <w:szCs w:val="21"/>
                <w:highlight w:val="none"/>
              </w:rPr>
              <w:t>建筑业</w:t>
            </w:r>
          </w:p>
        </w:tc>
        <w:tc>
          <w:tcPr>
            <w:tcW w:w="1701" w:type="dxa"/>
            <w:tcBorders>
              <w:top w:val="nil"/>
              <w:left w:val="nil"/>
              <w:bottom w:val="single" w:color="auto" w:sz="4" w:space="0"/>
              <w:right w:val="single" w:color="auto" w:sz="4" w:space="0"/>
            </w:tcBorders>
            <w:noWrap/>
            <w:vAlign w:val="center"/>
          </w:tcPr>
          <w:p w14:paraId="7656D4A8">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6B9C5CAA">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0EAF293E">
            <w:pPr>
              <w:widowControl/>
              <w:jc w:val="left"/>
              <w:rPr>
                <w:color w:val="auto"/>
                <w:szCs w:val="21"/>
                <w:highlight w:val="none"/>
              </w:rPr>
            </w:pPr>
            <w:r>
              <w:rPr>
                <w:rFonts w:hint="eastAsia"/>
                <w:color w:val="auto"/>
                <w:szCs w:val="21"/>
                <w:highlight w:val="none"/>
              </w:rPr>
              <w:t>6000≤Y＜80000</w:t>
            </w:r>
          </w:p>
        </w:tc>
        <w:tc>
          <w:tcPr>
            <w:tcW w:w="1570" w:type="dxa"/>
            <w:tcBorders>
              <w:top w:val="nil"/>
              <w:left w:val="nil"/>
              <w:bottom w:val="single" w:color="auto" w:sz="4" w:space="0"/>
              <w:right w:val="single" w:color="auto" w:sz="4" w:space="0"/>
            </w:tcBorders>
            <w:noWrap/>
            <w:vAlign w:val="center"/>
          </w:tcPr>
          <w:p w14:paraId="0B35FFF7">
            <w:pPr>
              <w:widowControl/>
              <w:jc w:val="left"/>
              <w:rPr>
                <w:color w:val="auto"/>
                <w:szCs w:val="21"/>
                <w:highlight w:val="none"/>
              </w:rPr>
            </w:pPr>
            <w:r>
              <w:rPr>
                <w:rFonts w:hint="eastAsia"/>
                <w:color w:val="auto"/>
                <w:szCs w:val="21"/>
                <w:highlight w:val="none"/>
              </w:rPr>
              <w:t>300≤Y＜6000</w:t>
            </w:r>
          </w:p>
        </w:tc>
        <w:tc>
          <w:tcPr>
            <w:tcW w:w="1009" w:type="dxa"/>
            <w:tcBorders>
              <w:top w:val="nil"/>
              <w:left w:val="nil"/>
              <w:bottom w:val="single" w:color="auto" w:sz="4" w:space="0"/>
              <w:right w:val="single" w:color="auto" w:sz="4" w:space="0"/>
            </w:tcBorders>
            <w:noWrap/>
            <w:vAlign w:val="center"/>
          </w:tcPr>
          <w:p w14:paraId="7AB0B3DA">
            <w:pPr>
              <w:widowControl/>
              <w:jc w:val="left"/>
              <w:rPr>
                <w:color w:val="auto"/>
                <w:szCs w:val="21"/>
                <w:highlight w:val="none"/>
              </w:rPr>
            </w:pPr>
            <w:r>
              <w:rPr>
                <w:rFonts w:hint="eastAsia"/>
                <w:color w:val="auto"/>
                <w:szCs w:val="21"/>
                <w:highlight w:val="none"/>
              </w:rPr>
              <w:t>Y＜300</w:t>
            </w:r>
          </w:p>
        </w:tc>
      </w:tr>
      <w:tr w14:paraId="13F3353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0F22321A">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593F979D">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ign w:val="center"/>
          </w:tcPr>
          <w:p w14:paraId="30C9A2AD">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195E632B">
            <w:pPr>
              <w:widowControl/>
              <w:jc w:val="left"/>
              <w:rPr>
                <w:color w:val="auto"/>
                <w:szCs w:val="21"/>
                <w:highlight w:val="none"/>
              </w:rPr>
            </w:pPr>
            <w:r>
              <w:rPr>
                <w:rFonts w:hint="eastAsia"/>
                <w:color w:val="auto"/>
                <w:szCs w:val="21"/>
                <w:highlight w:val="none"/>
              </w:rPr>
              <w:t>5000≤Z＜80000</w:t>
            </w:r>
          </w:p>
        </w:tc>
        <w:tc>
          <w:tcPr>
            <w:tcW w:w="1570" w:type="dxa"/>
            <w:tcBorders>
              <w:top w:val="nil"/>
              <w:left w:val="nil"/>
              <w:bottom w:val="single" w:color="auto" w:sz="4" w:space="0"/>
              <w:right w:val="single" w:color="auto" w:sz="4" w:space="0"/>
            </w:tcBorders>
            <w:noWrap/>
            <w:vAlign w:val="center"/>
          </w:tcPr>
          <w:p w14:paraId="38491272">
            <w:pPr>
              <w:widowControl/>
              <w:jc w:val="left"/>
              <w:rPr>
                <w:color w:val="auto"/>
                <w:szCs w:val="21"/>
                <w:highlight w:val="none"/>
              </w:rPr>
            </w:pPr>
            <w:r>
              <w:rPr>
                <w:rFonts w:hint="eastAsia"/>
                <w:color w:val="auto"/>
                <w:szCs w:val="21"/>
                <w:highlight w:val="none"/>
              </w:rPr>
              <w:t>300≤Z＜5000</w:t>
            </w:r>
          </w:p>
        </w:tc>
        <w:tc>
          <w:tcPr>
            <w:tcW w:w="1009" w:type="dxa"/>
            <w:tcBorders>
              <w:top w:val="nil"/>
              <w:left w:val="nil"/>
              <w:bottom w:val="single" w:color="auto" w:sz="4" w:space="0"/>
              <w:right w:val="single" w:color="auto" w:sz="4" w:space="0"/>
            </w:tcBorders>
            <w:noWrap/>
            <w:vAlign w:val="center"/>
          </w:tcPr>
          <w:p w14:paraId="4FCB42A2">
            <w:pPr>
              <w:widowControl/>
              <w:jc w:val="left"/>
              <w:rPr>
                <w:color w:val="auto"/>
                <w:szCs w:val="21"/>
                <w:highlight w:val="none"/>
              </w:rPr>
            </w:pPr>
            <w:r>
              <w:rPr>
                <w:rFonts w:hint="eastAsia"/>
                <w:color w:val="auto"/>
                <w:szCs w:val="21"/>
                <w:highlight w:val="none"/>
              </w:rPr>
              <w:t>Z＜300</w:t>
            </w:r>
          </w:p>
        </w:tc>
      </w:tr>
      <w:tr w14:paraId="56CDCF1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44FE1DD6">
            <w:pPr>
              <w:widowControl/>
              <w:ind w:firstLine="315" w:firstLineChars="150"/>
              <w:rPr>
                <w:color w:val="auto"/>
                <w:szCs w:val="21"/>
                <w:highlight w:val="none"/>
              </w:rPr>
            </w:pPr>
            <w:r>
              <w:rPr>
                <w:rFonts w:hint="eastAsia"/>
                <w:color w:val="auto"/>
                <w:szCs w:val="21"/>
                <w:highlight w:val="none"/>
              </w:rPr>
              <w:t>批发业</w:t>
            </w:r>
          </w:p>
        </w:tc>
        <w:tc>
          <w:tcPr>
            <w:tcW w:w="1701" w:type="dxa"/>
            <w:tcBorders>
              <w:top w:val="nil"/>
              <w:left w:val="nil"/>
              <w:bottom w:val="single" w:color="auto" w:sz="4" w:space="0"/>
              <w:right w:val="single" w:color="auto" w:sz="4" w:space="0"/>
            </w:tcBorders>
            <w:noWrap/>
            <w:vAlign w:val="center"/>
          </w:tcPr>
          <w:p w14:paraId="6313B4D4">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1A7693FE">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56ED6380">
            <w:pPr>
              <w:widowControl/>
              <w:jc w:val="left"/>
              <w:rPr>
                <w:color w:val="auto"/>
                <w:szCs w:val="21"/>
                <w:highlight w:val="none"/>
              </w:rPr>
            </w:pPr>
            <w:r>
              <w:rPr>
                <w:rFonts w:hint="eastAsia"/>
                <w:color w:val="auto"/>
                <w:szCs w:val="21"/>
                <w:highlight w:val="none"/>
              </w:rPr>
              <w:t>20≤X＜200</w:t>
            </w:r>
          </w:p>
        </w:tc>
        <w:tc>
          <w:tcPr>
            <w:tcW w:w="1570" w:type="dxa"/>
            <w:tcBorders>
              <w:top w:val="nil"/>
              <w:left w:val="nil"/>
              <w:bottom w:val="single" w:color="auto" w:sz="4" w:space="0"/>
              <w:right w:val="single" w:color="auto" w:sz="4" w:space="0"/>
            </w:tcBorders>
            <w:noWrap/>
            <w:vAlign w:val="center"/>
          </w:tcPr>
          <w:p w14:paraId="29AA0177">
            <w:pPr>
              <w:widowControl/>
              <w:jc w:val="left"/>
              <w:rPr>
                <w:color w:val="auto"/>
                <w:szCs w:val="21"/>
                <w:highlight w:val="none"/>
              </w:rPr>
            </w:pPr>
            <w:r>
              <w:rPr>
                <w:rFonts w:hint="eastAsia"/>
                <w:color w:val="auto"/>
                <w:szCs w:val="21"/>
                <w:highlight w:val="none"/>
              </w:rPr>
              <w:t>5≤X＜20</w:t>
            </w:r>
          </w:p>
        </w:tc>
        <w:tc>
          <w:tcPr>
            <w:tcW w:w="1009" w:type="dxa"/>
            <w:tcBorders>
              <w:top w:val="nil"/>
              <w:left w:val="nil"/>
              <w:bottom w:val="single" w:color="auto" w:sz="4" w:space="0"/>
              <w:right w:val="single" w:color="auto" w:sz="4" w:space="0"/>
            </w:tcBorders>
            <w:noWrap/>
            <w:vAlign w:val="center"/>
          </w:tcPr>
          <w:p w14:paraId="5357E8AC">
            <w:pPr>
              <w:widowControl/>
              <w:jc w:val="left"/>
              <w:rPr>
                <w:color w:val="auto"/>
                <w:szCs w:val="21"/>
                <w:highlight w:val="none"/>
              </w:rPr>
            </w:pPr>
            <w:r>
              <w:rPr>
                <w:rFonts w:hint="eastAsia"/>
                <w:color w:val="auto"/>
                <w:szCs w:val="21"/>
                <w:highlight w:val="none"/>
              </w:rPr>
              <w:t>X＜5</w:t>
            </w:r>
          </w:p>
        </w:tc>
      </w:tr>
      <w:tr w14:paraId="17F60EF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31A9995B">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0FEC1BB0">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5CE5BB90">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5D22905E">
            <w:pPr>
              <w:widowControl/>
              <w:jc w:val="left"/>
              <w:rPr>
                <w:color w:val="auto"/>
                <w:szCs w:val="21"/>
                <w:highlight w:val="none"/>
              </w:rPr>
            </w:pPr>
            <w:r>
              <w:rPr>
                <w:rFonts w:hint="eastAsia"/>
                <w:color w:val="auto"/>
                <w:szCs w:val="21"/>
                <w:highlight w:val="none"/>
              </w:rPr>
              <w:t>5000≤Y＜40000</w:t>
            </w:r>
          </w:p>
        </w:tc>
        <w:tc>
          <w:tcPr>
            <w:tcW w:w="1570" w:type="dxa"/>
            <w:tcBorders>
              <w:top w:val="nil"/>
              <w:left w:val="nil"/>
              <w:bottom w:val="single" w:color="auto" w:sz="4" w:space="0"/>
              <w:right w:val="single" w:color="auto" w:sz="4" w:space="0"/>
            </w:tcBorders>
            <w:noWrap/>
            <w:vAlign w:val="center"/>
          </w:tcPr>
          <w:p w14:paraId="79280E2D">
            <w:pPr>
              <w:widowControl/>
              <w:jc w:val="left"/>
              <w:rPr>
                <w:color w:val="auto"/>
                <w:szCs w:val="21"/>
                <w:highlight w:val="none"/>
              </w:rPr>
            </w:pPr>
            <w:r>
              <w:rPr>
                <w:rFonts w:hint="eastAsia"/>
                <w:color w:val="auto"/>
                <w:szCs w:val="21"/>
                <w:highlight w:val="none"/>
              </w:rPr>
              <w:t>1000≤Y＜5000</w:t>
            </w:r>
          </w:p>
        </w:tc>
        <w:tc>
          <w:tcPr>
            <w:tcW w:w="1009" w:type="dxa"/>
            <w:tcBorders>
              <w:top w:val="nil"/>
              <w:left w:val="nil"/>
              <w:bottom w:val="single" w:color="auto" w:sz="4" w:space="0"/>
              <w:right w:val="single" w:color="auto" w:sz="4" w:space="0"/>
            </w:tcBorders>
            <w:noWrap/>
            <w:vAlign w:val="center"/>
          </w:tcPr>
          <w:p w14:paraId="6C7D7121">
            <w:pPr>
              <w:widowControl/>
              <w:jc w:val="left"/>
              <w:rPr>
                <w:color w:val="auto"/>
                <w:szCs w:val="21"/>
                <w:highlight w:val="none"/>
              </w:rPr>
            </w:pPr>
            <w:r>
              <w:rPr>
                <w:rFonts w:hint="eastAsia"/>
                <w:color w:val="auto"/>
                <w:szCs w:val="21"/>
                <w:highlight w:val="none"/>
              </w:rPr>
              <w:t>Y＜1000</w:t>
            </w:r>
          </w:p>
        </w:tc>
      </w:tr>
      <w:tr w14:paraId="3D3C58B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12C1BE35">
            <w:pPr>
              <w:widowControl/>
              <w:jc w:val="center"/>
              <w:rPr>
                <w:color w:val="auto"/>
                <w:szCs w:val="21"/>
                <w:highlight w:val="none"/>
              </w:rPr>
            </w:pPr>
            <w:r>
              <w:rPr>
                <w:rFonts w:hint="eastAsia"/>
                <w:color w:val="auto"/>
                <w:szCs w:val="21"/>
                <w:highlight w:val="none"/>
              </w:rPr>
              <w:t>零售业</w:t>
            </w:r>
          </w:p>
        </w:tc>
        <w:tc>
          <w:tcPr>
            <w:tcW w:w="1701" w:type="dxa"/>
            <w:tcBorders>
              <w:top w:val="nil"/>
              <w:left w:val="nil"/>
              <w:bottom w:val="single" w:color="auto" w:sz="4" w:space="0"/>
              <w:right w:val="single" w:color="auto" w:sz="4" w:space="0"/>
            </w:tcBorders>
            <w:noWrap/>
            <w:vAlign w:val="center"/>
          </w:tcPr>
          <w:p w14:paraId="4E4052C7">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01B1DF36">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4BBB70E8">
            <w:pPr>
              <w:widowControl/>
              <w:jc w:val="left"/>
              <w:rPr>
                <w:color w:val="auto"/>
                <w:szCs w:val="21"/>
                <w:highlight w:val="none"/>
              </w:rPr>
            </w:pPr>
            <w:r>
              <w:rPr>
                <w:rFonts w:hint="eastAsia"/>
                <w:color w:val="auto"/>
                <w:szCs w:val="21"/>
                <w:highlight w:val="none"/>
              </w:rPr>
              <w:t>50≤X＜300</w:t>
            </w:r>
          </w:p>
        </w:tc>
        <w:tc>
          <w:tcPr>
            <w:tcW w:w="1570" w:type="dxa"/>
            <w:tcBorders>
              <w:top w:val="nil"/>
              <w:left w:val="nil"/>
              <w:bottom w:val="single" w:color="auto" w:sz="4" w:space="0"/>
              <w:right w:val="single" w:color="auto" w:sz="4" w:space="0"/>
            </w:tcBorders>
            <w:noWrap/>
            <w:vAlign w:val="center"/>
          </w:tcPr>
          <w:p w14:paraId="7A25355B">
            <w:pPr>
              <w:widowControl/>
              <w:jc w:val="left"/>
              <w:rPr>
                <w:color w:val="auto"/>
                <w:szCs w:val="21"/>
                <w:highlight w:val="none"/>
              </w:rPr>
            </w:pPr>
            <w:r>
              <w:rPr>
                <w:rFonts w:hint="eastAsia"/>
                <w:color w:val="auto"/>
                <w:szCs w:val="21"/>
                <w:highlight w:val="none"/>
              </w:rPr>
              <w:t>10≤X＜50</w:t>
            </w:r>
          </w:p>
        </w:tc>
        <w:tc>
          <w:tcPr>
            <w:tcW w:w="1009" w:type="dxa"/>
            <w:tcBorders>
              <w:top w:val="nil"/>
              <w:left w:val="nil"/>
              <w:bottom w:val="single" w:color="auto" w:sz="4" w:space="0"/>
              <w:right w:val="single" w:color="auto" w:sz="4" w:space="0"/>
            </w:tcBorders>
            <w:noWrap/>
            <w:vAlign w:val="center"/>
          </w:tcPr>
          <w:p w14:paraId="27117CA0">
            <w:pPr>
              <w:widowControl/>
              <w:jc w:val="left"/>
              <w:rPr>
                <w:color w:val="auto"/>
                <w:szCs w:val="21"/>
                <w:highlight w:val="none"/>
              </w:rPr>
            </w:pPr>
            <w:r>
              <w:rPr>
                <w:rFonts w:hint="eastAsia"/>
                <w:color w:val="auto"/>
                <w:szCs w:val="21"/>
                <w:highlight w:val="none"/>
              </w:rPr>
              <w:t>X＜10</w:t>
            </w:r>
          </w:p>
        </w:tc>
      </w:tr>
      <w:tr w14:paraId="5637446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5EF6E7D6">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6E254FEC">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230642A1">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7A7DE4D1">
            <w:pPr>
              <w:widowControl/>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ign w:val="center"/>
          </w:tcPr>
          <w:p w14:paraId="2E5138E8">
            <w:pPr>
              <w:widowControl/>
              <w:jc w:val="left"/>
              <w:rPr>
                <w:color w:val="auto"/>
                <w:szCs w:val="21"/>
                <w:highlight w:val="none"/>
              </w:rPr>
            </w:pPr>
            <w:r>
              <w:rPr>
                <w:rFonts w:hint="eastAsia"/>
                <w:color w:val="auto"/>
                <w:szCs w:val="21"/>
                <w:highlight w:val="none"/>
              </w:rPr>
              <w:t>100≤Y＜500</w:t>
            </w:r>
          </w:p>
        </w:tc>
        <w:tc>
          <w:tcPr>
            <w:tcW w:w="1009" w:type="dxa"/>
            <w:tcBorders>
              <w:top w:val="nil"/>
              <w:left w:val="nil"/>
              <w:bottom w:val="single" w:color="auto" w:sz="4" w:space="0"/>
              <w:right w:val="single" w:color="auto" w:sz="4" w:space="0"/>
            </w:tcBorders>
            <w:noWrap/>
            <w:vAlign w:val="center"/>
          </w:tcPr>
          <w:p w14:paraId="346D8EC8">
            <w:pPr>
              <w:widowControl/>
              <w:jc w:val="left"/>
              <w:rPr>
                <w:color w:val="auto"/>
                <w:szCs w:val="21"/>
                <w:highlight w:val="none"/>
              </w:rPr>
            </w:pPr>
            <w:r>
              <w:rPr>
                <w:rFonts w:hint="eastAsia"/>
                <w:color w:val="auto"/>
                <w:szCs w:val="21"/>
                <w:highlight w:val="none"/>
              </w:rPr>
              <w:t>Y＜100</w:t>
            </w:r>
          </w:p>
        </w:tc>
      </w:tr>
      <w:tr w14:paraId="17E7D59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231C071D">
            <w:pPr>
              <w:widowControl/>
              <w:jc w:val="center"/>
              <w:rPr>
                <w:color w:val="auto"/>
                <w:szCs w:val="21"/>
                <w:highlight w:val="none"/>
              </w:rPr>
            </w:pPr>
            <w:r>
              <w:rPr>
                <w:rFonts w:hint="eastAsia"/>
                <w:color w:val="auto"/>
                <w:szCs w:val="21"/>
                <w:highlight w:val="none"/>
              </w:rPr>
              <w:t>交通运输业</w:t>
            </w:r>
          </w:p>
        </w:tc>
        <w:tc>
          <w:tcPr>
            <w:tcW w:w="1701" w:type="dxa"/>
            <w:tcBorders>
              <w:top w:val="nil"/>
              <w:left w:val="nil"/>
              <w:bottom w:val="single" w:color="auto" w:sz="4" w:space="0"/>
              <w:right w:val="single" w:color="auto" w:sz="4" w:space="0"/>
            </w:tcBorders>
            <w:noWrap/>
            <w:vAlign w:val="center"/>
          </w:tcPr>
          <w:p w14:paraId="65E5C5D3">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75597AB8">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13E72E4D">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ign w:val="center"/>
          </w:tcPr>
          <w:p w14:paraId="1C3E4527">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ign w:val="center"/>
          </w:tcPr>
          <w:p w14:paraId="61F07D8F">
            <w:pPr>
              <w:widowControl/>
              <w:jc w:val="left"/>
              <w:rPr>
                <w:color w:val="auto"/>
                <w:szCs w:val="21"/>
                <w:highlight w:val="none"/>
              </w:rPr>
            </w:pPr>
            <w:r>
              <w:rPr>
                <w:rFonts w:hint="eastAsia"/>
                <w:color w:val="auto"/>
                <w:szCs w:val="21"/>
                <w:highlight w:val="none"/>
              </w:rPr>
              <w:t>X＜20</w:t>
            </w:r>
          </w:p>
        </w:tc>
      </w:tr>
      <w:tr w14:paraId="3BF5A2B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20DFDBDD">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23C1D276">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01E2C340">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230EB48B">
            <w:pPr>
              <w:widowControl/>
              <w:jc w:val="left"/>
              <w:rPr>
                <w:color w:val="auto"/>
                <w:szCs w:val="21"/>
                <w:highlight w:val="none"/>
              </w:rPr>
            </w:pPr>
            <w:r>
              <w:rPr>
                <w:rFonts w:hint="eastAsia"/>
                <w:color w:val="auto"/>
                <w:szCs w:val="21"/>
                <w:highlight w:val="none"/>
              </w:rPr>
              <w:t>3000≤Y＜30000</w:t>
            </w:r>
          </w:p>
        </w:tc>
        <w:tc>
          <w:tcPr>
            <w:tcW w:w="1570" w:type="dxa"/>
            <w:tcBorders>
              <w:top w:val="nil"/>
              <w:left w:val="nil"/>
              <w:bottom w:val="single" w:color="auto" w:sz="4" w:space="0"/>
              <w:right w:val="single" w:color="auto" w:sz="4" w:space="0"/>
            </w:tcBorders>
            <w:noWrap/>
            <w:vAlign w:val="center"/>
          </w:tcPr>
          <w:p w14:paraId="242E165E">
            <w:pPr>
              <w:widowControl/>
              <w:jc w:val="left"/>
              <w:rPr>
                <w:color w:val="auto"/>
                <w:szCs w:val="21"/>
                <w:highlight w:val="none"/>
              </w:rPr>
            </w:pPr>
            <w:r>
              <w:rPr>
                <w:rFonts w:hint="eastAsia"/>
                <w:color w:val="auto"/>
                <w:szCs w:val="21"/>
                <w:highlight w:val="none"/>
              </w:rPr>
              <w:t>200≤Y＜3000</w:t>
            </w:r>
          </w:p>
        </w:tc>
        <w:tc>
          <w:tcPr>
            <w:tcW w:w="1009" w:type="dxa"/>
            <w:tcBorders>
              <w:top w:val="nil"/>
              <w:left w:val="nil"/>
              <w:bottom w:val="single" w:color="auto" w:sz="4" w:space="0"/>
              <w:right w:val="single" w:color="auto" w:sz="4" w:space="0"/>
            </w:tcBorders>
            <w:noWrap/>
            <w:vAlign w:val="center"/>
          </w:tcPr>
          <w:p w14:paraId="63D11811">
            <w:pPr>
              <w:widowControl/>
              <w:jc w:val="left"/>
              <w:rPr>
                <w:color w:val="auto"/>
                <w:szCs w:val="21"/>
                <w:highlight w:val="none"/>
              </w:rPr>
            </w:pPr>
            <w:r>
              <w:rPr>
                <w:rFonts w:hint="eastAsia"/>
                <w:color w:val="auto"/>
                <w:szCs w:val="21"/>
                <w:highlight w:val="none"/>
              </w:rPr>
              <w:t>Y＜200</w:t>
            </w:r>
          </w:p>
        </w:tc>
      </w:tr>
      <w:tr w14:paraId="0967857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5CE3F8F4">
            <w:pPr>
              <w:widowControl/>
              <w:jc w:val="center"/>
              <w:rPr>
                <w:color w:val="auto"/>
                <w:szCs w:val="21"/>
                <w:highlight w:val="none"/>
              </w:rPr>
            </w:pPr>
            <w:r>
              <w:rPr>
                <w:rFonts w:hint="eastAsia"/>
                <w:color w:val="auto"/>
                <w:szCs w:val="21"/>
                <w:highlight w:val="none"/>
              </w:rPr>
              <w:t>仓储业</w:t>
            </w:r>
          </w:p>
        </w:tc>
        <w:tc>
          <w:tcPr>
            <w:tcW w:w="1701" w:type="dxa"/>
            <w:tcBorders>
              <w:top w:val="nil"/>
              <w:left w:val="nil"/>
              <w:bottom w:val="single" w:color="auto" w:sz="4" w:space="0"/>
              <w:right w:val="single" w:color="auto" w:sz="4" w:space="0"/>
            </w:tcBorders>
            <w:noWrap/>
            <w:vAlign w:val="center"/>
          </w:tcPr>
          <w:p w14:paraId="5604B6FB">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714B729D">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4FB9F55C">
            <w:pPr>
              <w:widowControl/>
              <w:jc w:val="left"/>
              <w:rPr>
                <w:color w:val="auto"/>
                <w:szCs w:val="21"/>
                <w:highlight w:val="none"/>
              </w:rPr>
            </w:pPr>
            <w:r>
              <w:rPr>
                <w:rFonts w:hint="eastAsia"/>
                <w:color w:val="auto"/>
                <w:szCs w:val="21"/>
                <w:highlight w:val="none"/>
              </w:rPr>
              <w:t>100≤X＜200</w:t>
            </w:r>
          </w:p>
        </w:tc>
        <w:tc>
          <w:tcPr>
            <w:tcW w:w="1570" w:type="dxa"/>
            <w:tcBorders>
              <w:top w:val="nil"/>
              <w:left w:val="nil"/>
              <w:bottom w:val="single" w:color="auto" w:sz="4" w:space="0"/>
              <w:right w:val="single" w:color="auto" w:sz="4" w:space="0"/>
            </w:tcBorders>
            <w:noWrap/>
            <w:vAlign w:val="center"/>
          </w:tcPr>
          <w:p w14:paraId="1498FA23">
            <w:pPr>
              <w:widowControl/>
              <w:jc w:val="left"/>
              <w:rPr>
                <w:color w:val="auto"/>
                <w:szCs w:val="21"/>
                <w:highlight w:val="none"/>
              </w:rPr>
            </w:pPr>
            <w:r>
              <w:rPr>
                <w:rFonts w:hint="eastAsia"/>
                <w:color w:val="auto"/>
                <w:szCs w:val="21"/>
                <w:highlight w:val="none"/>
              </w:rPr>
              <w:t>20≤X＜100</w:t>
            </w:r>
          </w:p>
        </w:tc>
        <w:tc>
          <w:tcPr>
            <w:tcW w:w="1009" w:type="dxa"/>
            <w:tcBorders>
              <w:top w:val="nil"/>
              <w:left w:val="nil"/>
              <w:bottom w:val="single" w:color="auto" w:sz="4" w:space="0"/>
              <w:right w:val="single" w:color="auto" w:sz="4" w:space="0"/>
            </w:tcBorders>
            <w:noWrap/>
            <w:vAlign w:val="center"/>
          </w:tcPr>
          <w:p w14:paraId="17AA9B96">
            <w:pPr>
              <w:widowControl/>
              <w:jc w:val="left"/>
              <w:rPr>
                <w:color w:val="auto"/>
                <w:szCs w:val="21"/>
                <w:highlight w:val="none"/>
              </w:rPr>
            </w:pPr>
            <w:r>
              <w:rPr>
                <w:rFonts w:hint="eastAsia"/>
                <w:color w:val="auto"/>
                <w:szCs w:val="21"/>
                <w:highlight w:val="none"/>
              </w:rPr>
              <w:t>X＜20</w:t>
            </w:r>
          </w:p>
        </w:tc>
      </w:tr>
      <w:tr w14:paraId="66824F6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78C29998">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0A5532D2">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353D24BB">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6C7670C7">
            <w:pPr>
              <w:widowControl/>
              <w:jc w:val="left"/>
              <w:rPr>
                <w:color w:val="auto"/>
                <w:szCs w:val="21"/>
                <w:highlight w:val="none"/>
              </w:rPr>
            </w:pPr>
            <w:r>
              <w:rPr>
                <w:rFonts w:hint="eastAsia"/>
                <w:color w:val="auto"/>
                <w:szCs w:val="21"/>
                <w:highlight w:val="none"/>
              </w:rPr>
              <w:t>1000≤Y＜30000</w:t>
            </w:r>
          </w:p>
        </w:tc>
        <w:tc>
          <w:tcPr>
            <w:tcW w:w="1570" w:type="dxa"/>
            <w:tcBorders>
              <w:top w:val="nil"/>
              <w:left w:val="nil"/>
              <w:bottom w:val="single" w:color="auto" w:sz="4" w:space="0"/>
              <w:right w:val="single" w:color="auto" w:sz="4" w:space="0"/>
            </w:tcBorders>
            <w:noWrap/>
            <w:vAlign w:val="center"/>
          </w:tcPr>
          <w:p w14:paraId="514B392A">
            <w:pPr>
              <w:widowControl/>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ign w:val="center"/>
          </w:tcPr>
          <w:p w14:paraId="363BA3F8">
            <w:pPr>
              <w:widowControl/>
              <w:jc w:val="left"/>
              <w:rPr>
                <w:color w:val="auto"/>
                <w:szCs w:val="21"/>
                <w:highlight w:val="none"/>
              </w:rPr>
            </w:pPr>
            <w:r>
              <w:rPr>
                <w:rFonts w:hint="eastAsia"/>
                <w:color w:val="auto"/>
                <w:szCs w:val="21"/>
                <w:highlight w:val="none"/>
              </w:rPr>
              <w:t>Y＜100</w:t>
            </w:r>
          </w:p>
        </w:tc>
      </w:tr>
      <w:tr w14:paraId="054A16E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2F35FE68">
            <w:pPr>
              <w:widowControl/>
              <w:jc w:val="center"/>
              <w:rPr>
                <w:color w:val="auto"/>
                <w:szCs w:val="21"/>
                <w:highlight w:val="none"/>
              </w:rPr>
            </w:pPr>
            <w:r>
              <w:rPr>
                <w:rFonts w:hint="eastAsia"/>
                <w:color w:val="auto"/>
                <w:szCs w:val="21"/>
                <w:highlight w:val="none"/>
              </w:rPr>
              <w:t>邮政业</w:t>
            </w:r>
          </w:p>
        </w:tc>
        <w:tc>
          <w:tcPr>
            <w:tcW w:w="1701" w:type="dxa"/>
            <w:tcBorders>
              <w:top w:val="nil"/>
              <w:left w:val="nil"/>
              <w:bottom w:val="single" w:color="auto" w:sz="4" w:space="0"/>
              <w:right w:val="single" w:color="auto" w:sz="4" w:space="0"/>
            </w:tcBorders>
            <w:noWrap/>
            <w:vAlign w:val="center"/>
          </w:tcPr>
          <w:p w14:paraId="3807557E">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489D9D38">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04641278">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ign w:val="center"/>
          </w:tcPr>
          <w:p w14:paraId="4A6B08FF">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ign w:val="center"/>
          </w:tcPr>
          <w:p w14:paraId="451F378E">
            <w:pPr>
              <w:widowControl/>
              <w:jc w:val="left"/>
              <w:rPr>
                <w:color w:val="auto"/>
                <w:szCs w:val="21"/>
                <w:highlight w:val="none"/>
              </w:rPr>
            </w:pPr>
            <w:r>
              <w:rPr>
                <w:rFonts w:hint="eastAsia"/>
                <w:color w:val="auto"/>
                <w:szCs w:val="21"/>
                <w:highlight w:val="none"/>
              </w:rPr>
              <w:t>X＜20</w:t>
            </w:r>
          </w:p>
        </w:tc>
      </w:tr>
      <w:tr w14:paraId="1A17FCC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3514C9F2">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6A46B593">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3305778C">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799416AF">
            <w:pPr>
              <w:widowControl/>
              <w:jc w:val="left"/>
              <w:rPr>
                <w:color w:val="auto"/>
                <w:szCs w:val="21"/>
                <w:highlight w:val="none"/>
              </w:rPr>
            </w:pPr>
            <w:r>
              <w:rPr>
                <w:rFonts w:hint="eastAsia"/>
                <w:color w:val="auto"/>
                <w:szCs w:val="21"/>
                <w:highlight w:val="none"/>
              </w:rPr>
              <w:t>2000≤Y＜30000</w:t>
            </w:r>
          </w:p>
        </w:tc>
        <w:tc>
          <w:tcPr>
            <w:tcW w:w="1570" w:type="dxa"/>
            <w:tcBorders>
              <w:top w:val="nil"/>
              <w:left w:val="nil"/>
              <w:bottom w:val="single" w:color="auto" w:sz="4" w:space="0"/>
              <w:right w:val="single" w:color="auto" w:sz="4" w:space="0"/>
            </w:tcBorders>
            <w:noWrap/>
            <w:vAlign w:val="center"/>
          </w:tcPr>
          <w:p w14:paraId="27C8B732">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ign w:val="center"/>
          </w:tcPr>
          <w:p w14:paraId="177C3A35">
            <w:pPr>
              <w:widowControl/>
              <w:jc w:val="left"/>
              <w:rPr>
                <w:color w:val="auto"/>
                <w:szCs w:val="21"/>
                <w:highlight w:val="none"/>
              </w:rPr>
            </w:pPr>
            <w:r>
              <w:rPr>
                <w:rFonts w:hint="eastAsia"/>
                <w:color w:val="auto"/>
                <w:szCs w:val="21"/>
                <w:highlight w:val="none"/>
              </w:rPr>
              <w:t>Y＜100</w:t>
            </w:r>
          </w:p>
        </w:tc>
      </w:tr>
      <w:tr w14:paraId="7E98C78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662672DE">
            <w:pPr>
              <w:widowControl/>
              <w:jc w:val="center"/>
              <w:rPr>
                <w:color w:val="auto"/>
                <w:szCs w:val="21"/>
                <w:highlight w:val="none"/>
              </w:rPr>
            </w:pPr>
            <w:r>
              <w:rPr>
                <w:rFonts w:hint="eastAsia"/>
                <w:color w:val="auto"/>
                <w:szCs w:val="21"/>
                <w:highlight w:val="none"/>
              </w:rPr>
              <w:t>住宿业</w:t>
            </w:r>
          </w:p>
        </w:tc>
        <w:tc>
          <w:tcPr>
            <w:tcW w:w="1701" w:type="dxa"/>
            <w:tcBorders>
              <w:top w:val="nil"/>
              <w:left w:val="nil"/>
              <w:bottom w:val="single" w:color="auto" w:sz="4" w:space="0"/>
              <w:right w:val="single" w:color="auto" w:sz="4" w:space="0"/>
            </w:tcBorders>
            <w:noWrap/>
            <w:vAlign w:val="center"/>
          </w:tcPr>
          <w:p w14:paraId="0B5E57F5">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4D4A421F">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7CCCCC2A">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ign w:val="center"/>
          </w:tcPr>
          <w:p w14:paraId="2257461E">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ign w:val="center"/>
          </w:tcPr>
          <w:p w14:paraId="6E591056">
            <w:pPr>
              <w:widowControl/>
              <w:jc w:val="left"/>
              <w:rPr>
                <w:color w:val="auto"/>
                <w:szCs w:val="21"/>
                <w:highlight w:val="none"/>
              </w:rPr>
            </w:pPr>
            <w:r>
              <w:rPr>
                <w:rFonts w:hint="eastAsia"/>
                <w:color w:val="auto"/>
                <w:szCs w:val="21"/>
                <w:highlight w:val="none"/>
              </w:rPr>
              <w:t>X＜10</w:t>
            </w:r>
          </w:p>
        </w:tc>
      </w:tr>
      <w:tr w14:paraId="6170B56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5D150F3B">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3247E2A9">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1E18834E">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38F67C3D">
            <w:pPr>
              <w:widowControl/>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ign w:val="center"/>
          </w:tcPr>
          <w:p w14:paraId="511A4093">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ign w:val="center"/>
          </w:tcPr>
          <w:p w14:paraId="59034807">
            <w:pPr>
              <w:widowControl/>
              <w:jc w:val="left"/>
              <w:rPr>
                <w:color w:val="auto"/>
                <w:szCs w:val="21"/>
                <w:highlight w:val="none"/>
              </w:rPr>
            </w:pPr>
            <w:r>
              <w:rPr>
                <w:rFonts w:hint="eastAsia"/>
                <w:color w:val="auto"/>
                <w:szCs w:val="21"/>
                <w:highlight w:val="none"/>
              </w:rPr>
              <w:t>Y＜100</w:t>
            </w:r>
          </w:p>
        </w:tc>
      </w:tr>
      <w:tr w14:paraId="3CB5B5A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7369B234">
            <w:pPr>
              <w:widowControl/>
              <w:jc w:val="center"/>
              <w:rPr>
                <w:color w:val="auto"/>
                <w:szCs w:val="21"/>
                <w:highlight w:val="none"/>
              </w:rPr>
            </w:pPr>
            <w:r>
              <w:rPr>
                <w:rFonts w:hint="eastAsia"/>
                <w:color w:val="auto"/>
                <w:szCs w:val="21"/>
                <w:highlight w:val="none"/>
              </w:rPr>
              <w:t>餐饮业</w:t>
            </w:r>
          </w:p>
        </w:tc>
        <w:tc>
          <w:tcPr>
            <w:tcW w:w="1701" w:type="dxa"/>
            <w:tcBorders>
              <w:top w:val="nil"/>
              <w:left w:val="nil"/>
              <w:bottom w:val="single" w:color="auto" w:sz="4" w:space="0"/>
              <w:right w:val="single" w:color="auto" w:sz="4" w:space="0"/>
            </w:tcBorders>
            <w:noWrap/>
            <w:vAlign w:val="center"/>
          </w:tcPr>
          <w:p w14:paraId="20973F5B">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579E055B">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42149A41">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ign w:val="center"/>
          </w:tcPr>
          <w:p w14:paraId="19405E3D">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ign w:val="center"/>
          </w:tcPr>
          <w:p w14:paraId="77F958D7">
            <w:pPr>
              <w:widowControl/>
              <w:jc w:val="left"/>
              <w:rPr>
                <w:color w:val="auto"/>
                <w:szCs w:val="21"/>
                <w:highlight w:val="none"/>
              </w:rPr>
            </w:pPr>
            <w:r>
              <w:rPr>
                <w:rFonts w:hint="eastAsia"/>
                <w:color w:val="auto"/>
                <w:szCs w:val="21"/>
                <w:highlight w:val="none"/>
              </w:rPr>
              <w:t>X＜10</w:t>
            </w:r>
          </w:p>
        </w:tc>
      </w:tr>
      <w:tr w14:paraId="5D55247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16322DAC">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59EDBECF">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0F53A277">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2C2224DD">
            <w:pPr>
              <w:widowControl/>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ign w:val="center"/>
          </w:tcPr>
          <w:p w14:paraId="44A4688C">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ign w:val="center"/>
          </w:tcPr>
          <w:p w14:paraId="0A56CCB4">
            <w:pPr>
              <w:widowControl/>
              <w:jc w:val="left"/>
              <w:rPr>
                <w:color w:val="auto"/>
                <w:szCs w:val="21"/>
                <w:highlight w:val="none"/>
              </w:rPr>
            </w:pPr>
            <w:r>
              <w:rPr>
                <w:rFonts w:hint="eastAsia"/>
                <w:color w:val="auto"/>
                <w:szCs w:val="21"/>
                <w:highlight w:val="none"/>
              </w:rPr>
              <w:t>Y＜100</w:t>
            </w:r>
          </w:p>
        </w:tc>
      </w:tr>
      <w:tr w14:paraId="63D7A85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1C94170B">
            <w:pPr>
              <w:widowControl/>
              <w:jc w:val="center"/>
              <w:rPr>
                <w:color w:val="auto"/>
                <w:szCs w:val="21"/>
                <w:highlight w:val="none"/>
              </w:rPr>
            </w:pPr>
            <w:r>
              <w:rPr>
                <w:rFonts w:hint="eastAsia"/>
                <w:color w:val="auto"/>
                <w:szCs w:val="21"/>
                <w:highlight w:val="none"/>
              </w:rPr>
              <w:t>信息传输业</w:t>
            </w:r>
          </w:p>
        </w:tc>
        <w:tc>
          <w:tcPr>
            <w:tcW w:w="1701" w:type="dxa"/>
            <w:tcBorders>
              <w:top w:val="nil"/>
              <w:left w:val="nil"/>
              <w:bottom w:val="single" w:color="auto" w:sz="4" w:space="0"/>
              <w:right w:val="single" w:color="auto" w:sz="4" w:space="0"/>
            </w:tcBorders>
            <w:noWrap/>
            <w:vAlign w:val="center"/>
          </w:tcPr>
          <w:p w14:paraId="67D13050">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63EBA83B">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58788BB9">
            <w:pPr>
              <w:widowControl/>
              <w:jc w:val="left"/>
              <w:rPr>
                <w:color w:val="auto"/>
                <w:szCs w:val="21"/>
                <w:highlight w:val="none"/>
              </w:rPr>
            </w:pPr>
            <w:r>
              <w:rPr>
                <w:rFonts w:hint="eastAsia"/>
                <w:color w:val="auto"/>
                <w:szCs w:val="21"/>
                <w:highlight w:val="none"/>
              </w:rPr>
              <w:t>100≤X＜2000</w:t>
            </w:r>
          </w:p>
        </w:tc>
        <w:tc>
          <w:tcPr>
            <w:tcW w:w="1570" w:type="dxa"/>
            <w:tcBorders>
              <w:top w:val="nil"/>
              <w:left w:val="nil"/>
              <w:bottom w:val="single" w:color="auto" w:sz="4" w:space="0"/>
              <w:right w:val="single" w:color="auto" w:sz="4" w:space="0"/>
            </w:tcBorders>
            <w:noWrap/>
            <w:vAlign w:val="center"/>
          </w:tcPr>
          <w:p w14:paraId="46034C7D">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ign w:val="center"/>
          </w:tcPr>
          <w:p w14:paraId="1CEC6ED6">
            <w:pPr>
              <w:widowControl/>
              <w:jc w:val="left"/>
              <w:rPr>
                <w:color w:val="auto"/>
                <w:szCs w:val="21"/>
                <w:highlight w:val="none"/>
              </w:rPr>
            </w:pPr>
            <w:r>
              <w:rPr>
                <w:rFonts w:hint="eastAsia"/>
                <w:color w:val="auto"/>
                <w:szCs w:val="21"/>
                <w:highlight w:val="none"/>
              </w:rPr>
              <w:t>X＜10</w:t>
            </w:r>
          </w:p>
        </w:tc>
      </w:tr>
      <w:tr w14:paraId="1D1D3F7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7FD0B745">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41212259">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4152A3B2">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078CC922">
            <w:pPr>
              <w:widowControl/>
              <w:jc w:val="left"/>
              <w:rPr>
                <w:color w:val="auto"/>
                <w:szCs w:val="21"/>
                <w:highlight w:val="none"/>
              </w:rPr>
            </w:pPr>
            <w:r>
              <w:rPr>
                <w:rFonts w:hint="eastAsia"/>
                <w:color w:val="auto"/>
                <w:szCs w:val="21"/>
                <w:highlight w:val="none"/>
              </w:rPr>
              <w:t>1000≤Y＜100000</w:t>
            </w:r>
          </w:p>
        </w:tc>
        <w:tc>
          <w:tcPr>
            <w:tcW w:w="1570" w:type="dxa"/>
            <w:tcBorders>
              <w:top w:val="nil"/>
              <w:left w:val="nil"/>
              <w:bottom w:val="single" w:color="auto" w:sz="4" w:space="0"/>
              <w:right w:val="single" w:color="auto" w:sz="4" w:space="0"/>
            </w:tcBorders>
            <w:noWrap/>
            <w:vAlign w:val="center"/>
          </w:tcPr>
          <w:p w14:paraId="0D7701B6">
            <w:pPr>
              <w:widowControl/>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ign w:val="center"/>
          </w:tcPr>
          <w:p w14:paraId="434F8D65">
            <w:pPr>
              <w:widowControl/>
              <w:jc w:val="left"/>
              <w:rPr>
                <w:color w:val="auto"/>
                <w:szCs w:val="21"/>
                <w:highlight w:val="none"/>
              </w:rPr>
            </w:pPr>
            <w:r>
              <w:rPr>
                <w:rFonts w:hint="eastAsia"/>
                <w:color w:val="auto"/>
                <w:szCs w:val="21"/>
                <w:highlight w:val="none"/>
              </w:rPr>
              <w:t>Y＜100</w:t>
            </w:r>
          </w:p>
        </w:tc>
      </w:tr>
      <w:tr w14:paraId="2985F76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33A16AD2">
            <w:pPr>
              <w:widowControl/>
              <w:jc w:val="center"/>
              <w:rPr>
                <w:color w:val="auto"/>
                <w:szCs w:val="21"/>
                <w:highlight w:val="none"/>
              </w:rPr>
            </w:pPr>
            <w:r>
              <w:rPr>
                <w:rFonts w:hint="eastAsia"/>
                <w:color w:val="auto"/>
                <w:szCs w:val="21"/>
                <w:highlight w:val="none"/>
              </w:rPr>
              <w:t>软件和信息技术服务业</w:t>
            </w:r>
          </w:p>
        </w:tc>
        <w:tc>
          <w:tcPr>
            <w:tcW w:w="1701" w:type="dxa"/>
            <w:tcBorders>
              <w:top w:val="nil"/>
              <w:left w:val="nil"/>
              <w:bottom w:val="single" w:color="auto" w:sz="4" w:space="0"/>
              <w:right w:val="single" w:color="auto" w:sz="4" w:space="0"/>
            </w:tcBorders>
            <w:noWrap/>
            <w:vAlign w:val="center"/>
          </w:tcPr>
          <w:p w14:paraId="3C8FB741">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42F69B81">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437397ED">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ign w:val="center"/>
          </w:tcPr>
          <w:p w14:paraId="215E4B7C">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ign w:val="center"/>
          </w:tcPr>
          <w:p w14:paraId="229E7572">
            <w:pPr>
              <w:widowControl/>
              <w:jc w:val="left"/>
              <w:rPr>
                <w:color w:val="auto"/>
                <w:szCs w:val="21"/>
                <w:highlight w:val="none"/>
              </w:rPr>
            </w:pPr>
            <w:r>
              <w:rPr>
                <w:rFonts w:hint="eastAsia"/>
                <w:color w:val="auto"/>
                <w:szCs w:val="21"/>
                <w:highlight w:val="none"/>
              </w:rPr>
              <w:t>X＜10</w:t>
            </w:r>
          </w:p>
        </w:tc>
      </w:tr>
      <w:tr w14:paraId="7191B2D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4BF56642">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7337745D">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3439593E">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1C8D2CCC">
            <w:pPr>
              <w:widowControl/>
              <w:jc w:val="left"/>
              <w:rPr>
                <w:color w:val="auto"/>
                <w:szCs w:val="21"/>
                <w:highlight w:val="none"/>
              </w:rPr>
            </w:pPr>
            <w:r>
              <w:rPr>
                <w:rFonts w:hint="eastAsia"/>
                <w:color w:val="auto"/>
                <w:szCs w:val="21"/>
                <w:highlight w:val="none"/>
              </w:rPr>
              <w:t>1000≤Y＜10000</w:t>
            </w:r>
          </w:p>
        </w:tc>
        <w:tc>
          <w:tcPr>
            <w:tcW w:w="1570" w:type="dxa"/>
            <w:tcBorders>
              <w:top w:val="nil"/>
              <w:left w:val="nil"/>
              <w:bottom w:val="single" w:color="auto" w:sz="4" w:space="0"/>
              <w:right w:val="single" w:color="auto" w:sz="4" w:space="0"/>
            </w:tcBorders>
            <w:noWrap/>
            <w:vAlign w:val="center"/>
          </w:tcPr>
          <w:p w14:paraId="6678B6A0">
            <w:pPr>
              <w:widowControl/>
              <w:jc w:val="left"/>
              <w:rPr>
                <w:color w:val="auto"/>
                <w:szCs w:val="21"/>
                <w:highlight w:val="none"/>
              </w:rPr>
            </w:pPr>
            <w:r>
              <w:rPr>
                <w:rFonts w:hint="eastAsia"/>
                <w:color w:val="auto"/>
                <w:szCs w:val="21"/>
                <w:highlight w:val="none"/>
              </w:rPr>
              <w:t>50≤Y＜1000</w:t>
            </w:r>
          </w:p>
        </w:tc>
        <w:tc>
          <w:tcPr>
            <w:tcW w:w="1009" w:type="dxa"/>
            <w:tcBorders>
              <w:top w:val="nil"/>
              <w:left w:val="nil"/>
              <w:bottom w:val="single" w:color="auto" w:sz="4" w:space="0"/>
              <w:right w:val="single" w:color="auto" w:sz="4" w:space="0"/>
            </w:tcBorders>
            <w:noWrap/>
            <w:vAlign w:val="center"/>
          </w:tcPr>
          <w:p w14:paraId="4F0611F6">
            <w:pPr>
              <w:widowControl/>
              <w:jc w:val="left"/>
              <w:rPr>
                <w:color w:val="auto"/>
                <w:szCs w:val="21"/>
                <w:highlight w:val="none"/>
              </w:rPr>
            </w:pPr>
            <w:r>
              <w:rPr>
                <w:rFonts w:hint="eastAsia"/>
                <w:color w:val="auto"/>
                <w:szCs w:val="21"/>
                <w:highlight w:val="none"/>
              </w:rPr>
              <w:t>Y＜50</w:t>
            </w:r>
          </w:p>
        </w:tc>
      </w:tr>
      <w:tr w14:paraId="0A4C916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60F06221">
            <w:pPr>
              <w:widowControl/>
              <w:jc w:val="center"/>
              <w:rPr>
                <w:color w:val="auto"/>
                <w:szCs w:val="21"/>
                <w:highlight w:val="none"/>
              </w:rPr>
            </w:pPr>
            <w:r>
              <w:rPr>
                <w:rFonts w:hint="eastAsia"/>
                <w:color w:val="auto"/>
                <w:szCs w:val="21"/>
                <w:highlight w:val="none"/>
              </w:rPr>
              <w:t>房地产开发经营</w:t>
            </w:r>
          </w:p>
        </w:tc>
        <w:tc>
          <w:tcPr>
            <w:tcW w:w="1701" w:type="dxa"/>
            <w:tcBorders>
              <w:top w:val="nil"/>
              <w:left w:val="nil"/>
              <w:bottom w:val="single" w:color="auto" w:sz="4" w:space="0"/>
              <w:right w:val="single" w:color="auto" w:sz="4" w:space="0"/>
            </w:tcBorders>
            <w:noWrap/>
            <w:vAlign w:val="center"/>
          </w:tcPr>
          <w:p w14:paraId="7970AB51">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35698E47">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1AEA70B9">
            <w:pPr>
              <w:widowControl/>
              <w:jc w:val="left"/>
              <w:rPr>
                <w:color w:val="auto"/>
                <w:szCs w:val="21"/>
                <w:highlight w:val="none"/>
              </w:rPr>
            </w:pPr>
            <w:r>
              <w:rPr>
                <w:rFonts w:hint="eastAsia"/>
                <w:color w:val="auto"/>
                <w:szCs w:val="21"/>
                <w:highlight w:val="none"/>
              </w:rPr>
              <w:t>1000≤Y＜200000</w:t>
            </w:r>
          </w:p>
        </w:tc>
        <w:tc>
          <w:tcPr>
            <w:tcW w:w="1570" w:type="dxa"/>
            <w:tcBorders>
              <w:top w:val="nil"/>
              <w:left w:val="nil"/>
              <w:bottom w:val="single" w:color="auto" w:sz="4" w:space="0"/>
              <w:right w:val="single" w:color="auto" w:sz="4" w:space="0"/>
            </w:tcBorders>
            <w:noWrap/>
            <w:vAlign w:val="center"/>
          </w:tcPr>
          <w:p w14:paraId="681FC33A">
            <w:pPr>
              <w:widowControl/>
              <w:jc w:val="left"/>
              <w:rPr>
                <w:color w:val="auto"/>
                <w:szCs w:val="21"/>
                <w:highlight w:val="none"/>
              </w:rPr>
            </w:pPr>
            <w:r>
              <w:rPr>
                <w:rFonts w:hint="eastAsia"/>
                <w:color w:val="auto"/>
                <w:szCs w:val="21"/>
                <w:highlight w:val="none"/>
              </w:rPr>
              <w:t>100≤X＜1000</w:t>
            </w:r>
          </w:p>
        </w:tc>
        <w:tc>
          <w:tcPr>
            <w:tcW w:w="1009" w:type="dxa"/>
            <w:tcBorders>
              <w:top w:val="nil"/>
              <w:left w:val="nil"/>
              <w:bottom w:val="single" w:color="auto" w:sz="4" w:space="0"/>
              <w:right w:val="single" w:color="auto" w:sz="4" w:space="0"/>
            </w:tcBorders>
            <w:noWrap/>
            <w:vAlign w:val="center"/>
          </w:tcPr>
          <w:p w14:paraId="76D99D1F">
            <w:pPr>
              <w:widowControl/>
              <w:jc w:val="left"/>
              <w:rPr>
                <w:color w:val="auto"/>
                <w:szCs w:val="21"/>
                <w:highlight w:val="none"/>
              </w:rPr>
            </w:pPr>
            <w:r>
              <w:rPr>
                <w:rFonts w:hint="eastAsia"/>
                <w:color w:val="auto"/>
                <w:szCs w:val="21"/>
                <w:highlight w:val="none"/>
              </w:rPr>
              <w:t>X＜100</w:t>
            </w:r>
          </w:p>
        </w:tc>
      </w:tr>
      <w:tr w14:paraId="1CE531A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11E5167F">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37F1A02E">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ign w:val="center"/>
          </w:tcPr>
          <w:p w14:paraId="34C5AABC">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289CF7D9">
            <w:pPr>
              <w:widowControl/>
              <w:jc w:val="left"/>
              <w:rPr>
                <w:color w:val="auto"/>
                <w:szCs w:val="21"/>
                <w:highlight w:val="none"/>
              </w:rPr>
            </w:pPr>
            <w:r>
              <w:rPr>
                <w:rFonts w:hint="eastAsia"/>
                <w:color w:val="auto"/>
                <w:szCs w:val="21"/>
                <w:highlight w:val="none"/>
              </w:rPr>
              <w:t>5000≤Z＜10000</w:t>
            </w:r>
          </w:p>
        </w:tc>
        <w:tc>
          <w:tcPr>
            <w:tcW w:w="1570" w:type="dxa"/>
            <w:tcBorders>
              <w:top w:val="nil"/>
              <w:left w:val="nil"/>
              <w:bottom w:val="single" w:color="auto" w:sz="4" w:space="0"/>
              <w:right w:val="single" w:color="auto" w:sz="4" w:space="0"/>
            </w:tcBorders>
            <w:noWrap/>
            <w:vAlign w:val="center"/>
          </w:tcPr>
          <w:p w14:paraId="4C60AF10">
            <w:pPr>
              <w:widowControl/>
              <w:jc w:val="left"/>
              <w:rPr>
                <w:color w:val="auto"/>
                <w:szCs w:val="21"/>
                <w:highlight w:val="none"/>
              </w:rPr>
            </w:pPr>
            <w:r>
              <w:rPr>
                <w:rFonts w:hint="eastAsia"/>
                <w:color w:val="auto"/>
                <w:szCs w:val="21"/>
                <w:highlight w:val="none"/>
              </w:rPr>
              <w:t>2000≤Y＜5000</w:t>
            </w:r>
          </w:p>
        </w:tc>
        <w:tc>
          <w:tcPr>
            <w:tcW w:w="1009" w:type="dxa"/>
            <w:tcBorders>
              <w:top w:val="nil"/>
              <w:left w:val="nil"/>
              <w:bottom w:val="single" w:color="auto" w:sz="4" w:space="0"/>
              <w:right w:val="single" w:color="auto" w:sz="4" w:space="0"/>
            </w:tcBorders>
            <w:noWrap/>
            <w:vAlign w:val="center"/>
          </w:tcPr>
          <w:p w14:paraId="42DE1569">
            <w:pPr>
              <w:widowControl/>
              <w:jc w:val="left"/>
              <w:rPr>
                <w:color w:val="auto"/>
                <w:szCs w:val="21"/>
                <w:highlight w:val="none"/>
              </w:rPr>
            </w:pPr>
            <w:r>
              <w:rPr>
                <w:rFonts w:hint="eastAsia"/>
                <w:color w:val="auto"/>
                <w:szCs w:val="21"/>
                <w:highlight w:val="none"/>
              </w:rPr>
              <w:t>Y＜2000</w:t>
            </w:r>
          </w:p>
        </w:tc>
      </w:tr>
      <w:tr w14:paraId="5A9E38BC">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45AE34E5">
            <w:pPr>
              <w:widowControl/>
              <w:jc w:val="center"/>
              <w:rPr>
                <w:color w:val="auto"/>
                <w:szCs w:val="21"/>
                <w:highlight w:val="none"/>
              </w:rPr>
            </w:pPr>
            <w:r>
              <w:rPr>
                <w:rFonts w:hint="eastAsia"/>
                <w:color w:val="auto"/>
                <w:szCs w:val="21"/>
                <w:highlight w:val="none"/>
              </w:rPr>
              <w:t>物业管理</w:t>
            </w:r>
          </w:p>
        </w:tc>
        <w:tc>
          <w:tcPr>
            <w:tcW w:w="1701" w:type="dxa"/>
            <w:tcBorders>
              <w:top w:val="nil"/>
              <w:left w:val="nil"/>
              <w:bottom w:val="single" w:color="auto" w:sz="4" w:space="0"/>
              <w:right w:val="single" w:color="auto" w:sz="4" w:space="0"/>
            </w:tcBorders>
            <w:noWrap/>
            <w:vAlign w:val="center"/>
          </w:tcPr>
          <w:p w14:paraId="5DE145BD">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3183E833">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0243A7C5">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ign w:val="center"/>
          </w:tcPr>
          <w:p w14:paraId="4EA25D5D">
            <w:pPr>
              <w:widowControl/>
              <w:jc w:val="left"/>
              <w:rPr>
                <w:color w:val="auto"/>
                <w:szCs w:val="21"/>
                <w:highlight w:val="none"/>
              </w:rPr>
            </w:pPr>
            <w:r>
              <w:rPr>
                <w:rFonts w:hint="eastAsia"/>
                <w:color w:val="auto"/>
                <w:szCs w:val="21"/>
                <w:highlight w:val="none"/>
              </w:rPr>
              <w:t>100≤X＜300</w:t>
            </w:r>
          </w:p>
        </w:tc>
        <w:tc>
          <w:tcPr>
            <w:tcW w:w="1009" w:type="dxa"/>
            <w:tcBorders>
              <w:top w:val="nil"/>
              <w:left w:val="nil"/>
              <w:bottom w:val="single" w:color="auto" w:sz="4" w:space="0"/>
              <w:right w:val="single" w:color="auto" w:sz="4" w:space="0"/>
            </w:tcBorders>
            <w:noWrap/>
            <w:vAlign w:val="center"/>
          </w:tcPr>
          <w:p w14:paraId="73C96E53">
            <w:pPr>
              <w:widowControl/>
              <w:jc w:val="left"/>
              <w:rPr>
                <w:color w:val="auto"/>
                <w:szCs w:val="21"/>
                <w:highlight w:val="none"/>
              </w:rPr>
            </w:pPr>
            <w:r>
              <w:rPr>
                <w:rFonts w:hint="eastAsia"/>
                <w:color w:val="auto"/>
                <w:szCs w:val="21"/>
                <w:highlight w:val="none"/>
              </w:rPr>
              <w:t>X＜100</w:t>
            </w:r>
          </w:p>
        </w:tc>
      </w:tr>
      <w:tr w14:paraId="6095B46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44508157">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55302EAA">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ign w:val="center"/>
          </w:tcPr>
          <w:p w14:paraId="6024FC4A">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35E13C70">
            <w:pPr>
              <w:widowControl/>
              <w:jc w:val="left"/>
              <w:rPr>
                <w:color w:val="auto"/>
                <w:szCs w:val="21"/>
                <w:highlight w:val="none"/>
              </w:rPr>
            </w:pPr>
            <w:r>
              <w:rPr>
                <w:rFonts w:hint="eastAsia"/>
                <w:color w:val="auto"/>
                <w:szCs w:val="21"/>
                <w:highlight w:val="none"/>
              </w:rPr>
              <w:t>1000≤Y＜5000</w:t>
            </w:r>
          </w:p>
        </w:tc>
        <w:tc>
          <w:tcPr>
            <w:tcW w:w="1570" w:type="dxa"/>
            <w:tcBorders>
              <w:top w:val="nil"/>
              <w:left w:val="nil"/>
              <w:bottom w:val="single" w:color="auto" w:sz="4" w:space="0"/>
              <w:right w:val="single" w:color="auto" w:sz="4" w:space="0"/>
            </w:tcBorders>
            <w:noWrap/>
            <w:vAlign w:val="center"/>
          </w:tcPr>
          <w:p w14:paraId="7ED8D5CC">
            <w:pPr>
              <w:widowControl/>
              <w:jc w:val="left"/>
              <w:rPr>
                <w:color w:val="auto"/>
                <w:szCs w:val="21"/>
                <w:highlight w:val="none"/>
              </w:rPr>
            </w:pPr>
            <w:r>
              <w:rPr>
                <w:rFonts w:hint="eastAsia"/>
                <w:color w:val="auto"/>
                <w:szCs w:val="21"/>
                <w:highlight w:val="none"/>
              </w:rPr>
              <w:t>500≤Y＜1000</w:t>
            </w:r>
          </w:p>
        </w:tc>
        <w:tc>
          <w:tcPr>
            <w:tcW w:w="1009" w:type="dxa"/>
            <w:tcBorders>
              <w:top w:val="nil"/>
              <w:left w:val="nil"/>
              <w:bottom w:val="single" w:color="auto" w:sz="4" w:space="0"/>
              <w:right w:val="single" w:color="auto" w:sz="4" w:space="0"/>
            </w:tcBorders>
            <w:noWrap/>
            <w:vAlign w:val="center"/>
          </w:tcPr>
          <w:p w14:paraId="64EF215B">
            <w:pPr>
              <w:widowControl/>
              <w:jc w:val="left"/>
              <w:rPr>
                <w:color w:val="auto"/>
                <w:szCs w:val="21"/>
                <w:highlight w:val="none"/>
              </w:rPr>
            </w:pPr>
            <w:r>
              <w:rPr>
                <w:rFonts w:hint="eastAsia"/>
                <w:color w:val="auto"/>
                <w:szCs w:val="21"/>
                <w:highlight w:val="none"/>
              </w:rPr>
              <w:t>Y＜500</w:t>
            </w:r>
          </w:p>
        </w:tc>
      </w:tr>
      <w:tr w14:paraId="68DCFF4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ign w:val="bottom"/>
          </w:tcPr>
          <w:p w14:paraId="2308DEC4">
            <w:pPr>
              <w:widowControl/>
              <w:jc w:val="center"/>
              <w:rPr>
                <w:color w:val="auto"/>
                <w:szCs w:val="21"/>
                <w:highlight w:val="none"/>
              </w:rPr>
            </w:pPr>
            <w:r>
              <w:rPr>
                <w:rFonts w:hint="eastAsia"/>
                <w:color w:val="auto"/>
                <w:szCs w:val="21"/>
                <w:highlight w:val="none"/>
              </w:rPr>
              <w:t>租赁和商务服务业</w:t>
            </w:r>
          </w:p>
        </w:tc>
        <w:tc>
          <w:tcPr>
            <w:tcW w:w="1701" w:type="dxa"/>
            <w:tcBorders>
              <w:top w:val="nil"/>
              <w:left w:val="nil"/>
              <w:bottom w:val="single" w:color="auto" w:sz="4" w:space="0"/>
              <w:right w:val="single" w:color="auto" w:sz="4" w:space="0"/>
            </w:tcBorders>
            <w:noWrap/>
            <w:vAlign w:val="center"/>
          </w:tcPr>
          <w:p w14:paraId="6A7F15A4">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52487C0D">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1E37E45F">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ign w:val="center"/>
          </w:tcPr>
          <w:p w14:paraId="59021432">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ign w:val="center"/>
          </w:tcPr>
          <w:p w14:paraId="6F0D0C97">
            <w:pPr>
              <w:widowControl/>
              <w:jc w:val="left"/>
              <w:rPr>
                <w:color w:val="auto"/>
                <w:szCs w:val="21"/>
                <w:highlight w:val="none"/>
              </w:rPr>
            </w:pPr>
            <w:r>
              <w:rPr>
                <w:rFonts w:hint="eastAsia"/>
                <w:color w:val="auto"/>
                <w:szCs w:val="21"/>
                <w:highlight w:val="none"/>
              </w:rPr>
              <w:t>X＜10</w:t>
            </w:r>
          </w:p>
        </w:tc>
      </w:tr>
      <w:tr w14:paraId="75E1205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ign w:val="center"/>
          </w:tcPr>
          <w:p w14:paraId="0A25C0EE">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ign w:val="center"/>
          </w:tcPr>
          <w:p w14:paraId="6EFA04C0">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ign w:val="center"/>
          </w:tcPr>
          <w:p w14:paraId="6BA4DB92">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ign w:val="center"/>
          </w:tcPr>
          <w:p w14:paraId="48DB0051">
            <w:pPr>
              <w:widowControl/>
              <w:jc w:val="left"/>
              <w:rPr>
                <w:color w:val="auto"/>
                <w:szCs w:val="21"/>
                <w:highlight w:val="none"/>
              </w:rPr>
            </w:pPr>
            <w:r>
              <w:rPr>
                <w:rFonts w:hint="eastAsia"/>
                <w:color w:val="auto"/>
                <w:szCs w:val="21"/>
                <w:highlight w:val="none"/>
              </w:rPr>
              <w:t>8000≤Z＜120000</w:t>
            </w:r>
          </w:p>
        </w:tc>
        <w:tc>
          <w:tcPr>
            <w:tcW w:w="1570" w:type="dxa"/>
            <w:tcBorders>
              <w:top w:val="nil"/>
              <w:left w:val="nil"/>
              <w:bottom w:val="single" w:color="auto" w:sz="4" w:space="0"/>
              <w:right w:val="single" w:color="auto" w:sz="4" w:space="0"/>
            </w:tcBorders>
            <w:noWrap/>
            <w:vAlign w:val="center"/>
          </w:tcPr>
          <w:p w14:paraId="06365540">
            <w:pPr>
              <w:widowControl/>
              <w:jc w:val="left"/>
              <w:rPr>
                <w:color w:val="auto"/>
                <w:szCs w:val="21"/>
                <w:highlight w:val="none"/>
              </w:rPr>
            </w:pPr>
            <w:r>
              <w:rPr>
                <w:rFonts w:hint="eastAsia"/>
                <w:color w:val="auto"/>
                <w:szCs w:val="21"/>
                <w:highlight w:val="none"/>
              </w:rPr>
              <w:t>100≤Z＜8000</w:t>
            </w:r>
          </w:p>
        </w:tc>
        <w:tc>
          <w:tcPr>
            <w:tcW w:w="1009" w:type="dxa"/>
            <w:tcBorders>
              <w:top w:val="nil"/>
              <w:left w:val="nil"/>
              <w:bottom w:val="single" w:color="auto" w:sz="4" w:space="0"/>
              <w:right w:val="single" w:color="auto" w:sz="4" w:space="0"/>
            </w:tcBorders>
            <w:noWrap/>
            <w:vAlign w:val="center"/>
          </w:tcPr>
          <w:p w14:paraId="20D474E9">
            <w:pPr>
              <w:widowControl/>
              <w:jc w:val="left"/>
              <w:rPr>
                <w:color w:val="auto"/>
                <w:szCs w:val="21"/>
                <w:highlight w:val="none"/>
              </w:rPr>
            </w:pPr>
            <w:r>
              <w:rPr>
                <w:rFonts w:hint="eastAsia"/>
                <w:color w:val="auto"/>
                <w:szCs w:val="21"/>
                <w:highlight w:val="none"/>
              </w:rPr>
              <w:t>Y＜100</w:t>
            </w:r>
          </w:p>
        </w:tc>
      </w:tr>
      <w:tr w14:paraId="7BC24A34">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ign w:val="bottom"/>
          </w:tcPr>
          <w:p w14:paraId="1368989F">
            <w:pPr>
              <w:widowControl/>
              <w:jc w:val="center"/>
              <w:rPr>
                <w:color w:val="auto"/>
                <w:szCs w:val="21"/>
                <w:highlight w:val="none"/>
              </w:rPr>
            </w:pPr>
            <w:r>
              <w:rPr>
                <w:rFonts w:hint="eastAsia"/>
                <w:color w:val="auto"/>
                <w:szCs w:val="21"/>
                <w:highlight w:val="none"/>
              </w:rPr>
              <w:t>其他未列明行业</w:t>
            </w:r>
          </w:p>
        </w:tc>
        <w:tc>
          <w:tcPr>
            <w:tcW w:w="1701" w:type="dxa"/>
            <w:tcBorders>
              <w:top w:val="nil"/>
              <w:left w:val="nil"/>
              <w:bottom w:val="single" w:color="auto" w:sz="4" w:space="0"/>
              <w:right w:val="single" w:color="auto" w:sz="4" w:space="0"/>
            </w:tcBorders>
            <w:noWrap/>
            <w:vAlign w:val="center"/>
          </w:tcPr>
          <w:p w14:paraId="058AE313">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ign w:val="center"/>
          </w:tcPr>
          <w:p w14:paraId="4E309F67">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ign w:val="center"/>
          </w:tcPr>
          <w:p w14:paraId="73A7FC14">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ign w:val="center"/>
          </w:tcPr>
          <w:p w14:paraId="293BEA10">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ign w:val="center"/>
          </w:tcPr>
          <w:p w14:paraId="187A886D">
            <w:pPr>
              <w:widowControl/>
              <w:jc w:val="left"/>
              <w:rPr>
                <w:color w:val="auto"/>
                <w:szCs w:val="21"/>
                <w:highlight w:val="none"/>
              </w:rPr>
            </w:pPr>
            <w:r>
              <w:rPr>
                <w:rFonts w:hint="eastAsia"/>
                <w:color w:val="auto"/>
                <w:szCs w:val="21"/>
                <w:highlight w:val="none"/>
              </w:rPr>
              <w:t>X＜10</w:t>
            </w:r>
          </w:p>
        </w:tc>
      </w:tr>
    </w:tbl>
    <w:p w14:paraId="281B655D">
      <w:pPr>
        <w:spacing w:line="360" w:lineRule="auto"/>
        <w:ind w:firstLine="525" w:firstLineChars="250"/>
        <w:rPr>
          <w:color w:val="auto"/>
          <w:szCs w:val="21"/>
          <w:highlight w:val="none"/>
        </w:rPr>
      </w:pPr>
      <w:r>
        <w:rPr>
          <w:rFonts w:hint="eastAsia"/>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141EFF79">
      <w:pPr>
        <w:spacing w:line="360" w:lineRule="auto"/>
        <w:rPr>
          <w:color w:val="auto"/>
          <w:sz w:val="28"/>
          <w:szCs w:val="28"/>
          <w:highlight w:val="none"/>
        </w:rPr>
      </w:pPr>
      <w:r>
        <w:rPr>
          <w:color w:val="auto"/>
          <w:szCs w:val="21"/>
          <w:highlight w:val="none"/>
        </w:rPr>
        <w:br w:type="page"/>
      </w:r>
      <w:bookmarkStart w:id="25" w:name="_Hlk132788258"/>
      <w:r>
        <w:rPr>
          <w:rFonts w:hint="eastAsia"/>
          <w:color w:val="auto"/>
          <w:sz w:val="28"/>
          <w:szCs w:val="28"/>
          <w:highlight w:val="none"/>
        </w:rPr>
        <w:t>附件2：</w:t>
      </w:r>
    </w:p>
    <w:p w14:paraId="12BEBD65">
      <w:pPr>
        <w:spacing w:line="360" w:lineRule="auto"/>
        <w:rPr>
          <w:color w:val="auto"/>
          <w:szCs w:val="21"/>
          <w:highlight w:val="none"/>
        </w:rPr>
        <w:sectPr>
          <w:footerReference r:id="rId15" w:type="first"/>
          <w:headerReference r:id="rId14" w:type="default"/>
          <w:pgSz w:w="11906" w:h="16838"/>
          <w:pgMar w:top="851" w:right="1133" w:bottom="1246" w:left="1418" w:header="851" w:footer="797" w:gutter="0"/>
          <w:cols w:space="720" w:num="1"/>
          <w:docGrid w:linePitch="312" w:charSpace="0"/>
        </w:sectPr>
      </w:pPr>
      <w:r>
        <w:rPr>
          <w:color w:val="auto"/>
          <w:highlight w:val="none"/>
        </w:rPr>
        <w:drawing>
          <wp:anchor distT="0" distB="0" distL="114300" distR="114300" simplePos="0" relativeHeight="251660288" behindDoc="0" locked="0" layoutInCell="1" allowOverlap="1">
            <wp:simplePos x="0" y="0"/>
            <wp:positionH relativeFrom="column">
              <wp:posOffset>1905</wp:posOffset>
            </wp:positionH>
            <wp:positionV relativeFrom="paragraph">
              <wp:posOffset>205105</wp:posOffset>
            </wp:positionV>
            <wp:extent cx="5573395" cy="8125460"/>
            <wp:effectExtent l="0" t="0" r="8255" b="8890"/>
            <wp:wrapSquare wrapText="bothSides"/>
            <wp:docPr id="2" name="图片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26"/>
                    <pic:cNvPicPr>
                      <a:picLocks noChangeAspect="1"/>
                    </pic:cNvPicPr>
                  </pic:nvPicPr>
                  <pic:blipFill>
                    <a:blip r:embed="rId26"/>
                    <a:stretch>
                      <a:fillRect/>
                    </a:stretch>
                  </pic:blipFill>
                  <pic:spPr>
                    <a:xfrm>
                      <a:off x="0" y="0"/>
                      <a:ext cx="5573395" cy="8125460"/>
                    </a:xfrm>
                    <a:prstGeom prst="rect">
                      <a:avLst/>
                    </a:prstGeom>
                    <a:noFill/>
                    <a:ln>
                      <a:noFill/>
                    </a:ln>
                  </pic:spPr>
                </pic:pic>
              </a:graphicData>
            </a:graphic>
          </wp:anchor>
        </w:drawing>
      </w:r>
      <w:bookmarkEnd w:id="25"/>
    </w:p>
    <w:bookmarkEnd w:id="21"/>
    <w:bookmarkEnd w:id="22"/>
    <w:p w14:paraId="70778813">
      <w:pPr>
        <w:spacing w:line="360" w:lineRule="auto"/>
        <w:rPr>
          <w:color w:val="auto"/>
          <w:sz w:val="28"/>
          <w:szCs w:val="28"/>
          <w:highlight w:val="none"/>
        </w:rPr>
      </w:pPr>
      <w:bookmarkStart w:id="26" w:name="_Toc489863686"/>
      <w:r>
        <w:rPr>
          <w:rFonts w:hint="eastAsia"/>
          <w:color w:val="auto"/>
          <w:sz w:val="28"/>
          <w:szCs w:val="28"/>
          <w:highlight w:val="none"/>
        </w:rPr>
        <w:t>附件3：</w:t>
      </w:r>
    </w:p>
    <w:p w14:paraId="7A18B5DD">
      <w:pPr>
        <w:spacing w:line="528" w:lineRule="exact"/>
        <w:ind w:firstLine="280" w:firstLineChars="100"/>
        <w:jc w:val="center"/>
        <w:rPr>
          <w:color w:val="auto"/>
          <w:sz w:val="28"/>
          <w:szCs w:val="28"/>
          <w:highlight w:val="none"/>
        </w:rPr>
      </w:pPr>
      <w:r>
        <w:rPr>
          <w:rFonts w:hint="eastAsia"/>
          <w:color w:val="auto"/>
          <w:sz w:val="28"/>
          <w:szCs w:val="28"/>
          <w:highlight w:val="none"/>
        </w:rPr>
        <w:t>节能产品政府采购品目清单</w:t>
      </w:r>
    </w:p>
    <w:p w14:paraId="7B787410">
      <w:pPr>
        <w:spacing w:line="151" w:lineRule="exact"/>
        <w:rPr>
          <w:color w:val="auto"/>
          <w:highlight w:val="none"/>
        </w:rPr>
      </w:pPr>
    </w:p>
    <w:tbl>
      <w:tblPr>
        <w:tblStyle w:val="51"/>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314E2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78" w:type="dxa"/>
          </w:tcPr>
          <w:p w14:paraId="2CAFDA80">
            <w:pPr>
              <w:pStyle w:val="248"/>
              <w:spacing w:before="128" w:line="224" w:lineRule="auto"/>
              <w:ind w:left="91"/>
              <w:rPr>
                <w:color w:val="auto"/>
                <w:sz w:val="22"/>
                <w:szCs w:val="22"/>
                <w:highlight w:val="none"/>
              </w:rPr>
            </w:pPr>
            <w:r>
              <w:rPr>
                <w:b/>
                <w:bCs/>
                <w:color w:val="auto"/>
                <w:spacing w:val="-9"/>
                <w:sz w:val="22"/>
                <w:szCs w:val="22"/>
                <w:highlight w:val="none"/>
              </w:rPr>
              <w:t>品目</w:t>
            </w:r>
          </w:p>
          <w:p w14:paraId="3977A44E">
            <w:pPr>
              <w:pStyle w:val="248"/>
              <w:spacing w:before="45" w:line="222" w:lineRule="auto"/>
              <w:ind w:left="72"/>
              <w:rPr>
                <w:color w:val="auto"/>
                <w:sz w:val="22"/>
                <w:szCs w:val="22"/>
                <w:highlight w:val="none"/>
              </w:rPr>
            </w:pPr>
            <w:r>
              <w:rPr>
                <w:b/>
                <w:bCs/>
                <w:color w:val="auto"/>
                <w:spacing w:val="-4"/>
                <w:sz w:val="22"/>
                <w:szCs w:val="22"/>
                <w:highlight w:val="none"/>
              </w:rPr>
              <w:t>序号</w:t>
            </w:r>
          </w:p>
        </w:tc>
        <w:tc>
          <w:tcPr>
            <w:tcW w:w="4879" w:type="dxa"/>
            <w:gridSpan w:val="3"/>
          </w:tcPr>
          <w:p w14:paraId="5F945DE6">
            <w:pPr>
              <w:pStyle w:val="248"/>
              <w:spacing w:before="285" w:line="223" w:lineRule="auto"/>
              <w:ind w:left="2226"/>
              <w:rPr>
                <w:color w:val="auto"/>
                <w:sz w:val="22"/>
                <w:szCs w:val="22"/>
                <w:highlight w:val="none"/>
              </w:rPr>
            </w:pPr>
            <w:r>
              <w:rPr>
                <w:b/>
                <w:bCs/>
                <w:color w:val="auto"/>
                <w:spacing w:val="-5"/>
                <w:sz w:val="22"/>
                <w:szCs w:val="22"/>
                <w:highlight w:val="none"/>
              </w:rPr>
              <w:t>名称</w:t>
            </w:r>
          </w:p>
        </w:tc>
        <w:tc>
          <w:tcPr>
            <w:tcW w:w="2969" w:type="dxa"/>
          </w:tcPr>
          <w:p w14:paraId="190C8BAB">
            <w:pPr>
              <w:pStyle w:val="248"/>
              <w:spacing w:before="285" w:line="220" w:lineRule="auto"/>
              <w:ind w:left="939"/>
              <w:rPr>
                <w:color w:val="auto"/>
                <w:sz w:val="22"/>
                <w:szCs w:val="22"/>
                <w:highlight w:val="none"/>
              </w:rPr>
            </w:pPr>
            <w:r>
              <w:rPr>
                <w:b/>
                <w:bCs/>
                <w:color w:val="auto"/>
                <w:spacing w:val="-4"/>
                <w:sz w:val="22"/>
                <w:szCs w:val="22"/>
                <w:highlight w:val="none"/>
              </w:rPr>
              <w:t>依据的标准</w:t>
            </w:r>
          </w:p>
        </w:tc>
      </w:tr>
      <w:tr w14:paraId="295E4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578" w:type="dxa"/>
            <w:vMerge w:val="restart"/>
            <w:tcBorders>
              <w:bottom w:val="nil"/>
            </w:tcBorders>
          </w:tcPr>
          <w:p w14:paraId="589B8B9D">
            <w:pPr>
              <w:spacing w:line="246" w:lineRule="auto"/>
              <w:rPr>
                <w:rFonts w:ascii="Arial"/>
                <w:color w:val="auto"/>
                <w:highlight w:val="none"/>
              </w:rPr>
            </w:pPr>
          </w:p>
          <w:p w14:paraId="038EFF30">
            <w:pPr>
              <w:spacing w:line="247" w:lineRule="auto"/>
              <w:rPr>
                <w:rFonts w:ascii="Arial"/>
                <w:color w:val="auto"/>
                <w:highlight w:val="none"/>
              </w:rPr>
            </w:pPr>
          </w:p>
          <w:p w14:paraId="294FCF35">
            <w:pPr>
              <w:spacing w:line="247" w:lineRule="auto"/>
              <w:rPr>
                <w:rFonts w:ascii="Arial"/>
                <w:color w:val="auto"/>
                <w:highlight w:val="none"/>
              </w:rPr>
            </w:pPr>
          </w:p>
          <w:p w14:paraId="2E435323">
            <w:pPr>
              <w:spacing w:line="247" w:lineRule="auto"/>
              <w:rPr>
                <w:rFonts w:ascii="Arial"/>
                <w:color w:val="auto"/>
                <w:highlight w:val="none"/>
              </w:rPr>
            </w:pPr>
          </w:p>
          <w:p w14:paraId="0685C2B7">
            <w:pPr>
              <w:pStyle w:val="248"/>
              <w:spacing w:before="62" w:line="258" w:lineRule="exact"/>
              <w:ind w:left="257"/>
              <w:rPr>
                <w:color w:val="auto"/>
                <w:highlight w:val="none"/>
              </w:rPr>
            </w:pPr>
            <w:r>
              <w:rPr>
                <w:color w:val="auto"/>
                <w:position w:val="1"/>
                <w:highlight w:val="none"/>
              </w:rPr>
              <w:t>1</w:t>
            </w:r>
          </w:p>
        </w:tc>
        <w:tc>
          <w:tcPr>
            <w:tcW w:w="1166" w:type="dxa"/>
            <w:vMerge w:val="restart"/>
            <w:tcBorders>
              <w:bottom w:val="nil"/>
            </w:tcBorders>
          </w:tcPr>
          <w:p w14:paraId="3774D679">
            <w:pPr>
              <w:spacing w:line="277" w:lineRule="auto"/>
              <w:rPr>
                <w:rFonts w:ascii="Arial"/>
                <w:color w:val="auto"/>
                <w:highlight w:val="none"/>
              </w:rPr>
            </w:pPr>
          </w:p>
          <w:p w14:paraId="4E0A1332">
            <w:pPr>
              <w:spacing w:line="277" w:lineRule="auto"/>
              <w:rPr>
                <w:rFonts w:ascii="Arial"/>
                <w:color w:val="auto"/>
                <w:highlight w:val="none"/>
              </w:rPr>
            </w:pPr>
          </w:p>
          <w:p w14:paraId="396569D8">
            <w:pPr>
              <w:spacing w:line="278" w:lineRule="auto"/>
              <w:rPr>
                <w:rFonts w:ascii="Arial"/>
                <w:color w:val="auto"/>
                <w:highlight w:val="none"/>
              </w:rPr>
            </w:pPr>
          </w:p>
          <w:p w14:paraId="7B2ED6A1">
            <w:pPr>
              <w:pStyle w:val="248"/>
              <w:spacing w:before="62" w:line="304" w:lineRule="auto"/>
              <w:ind w:left="14" w:right="8" w:hanging="5"/>
              <w:rPr>
                <w:color w:val="auto"/>
                <w:highlight w:val="none"/>
              </w:rPr>
            </w:pPr>
            <w:r>
              <w:rPr>
                <w:color w:val="auto"/>
                <w:spacing w:val="5"/>
                <w:highlight w:val="none"/>
              </w:rPr>
              <w:t>A020101计算</w:t>
            </w:r>
            <w:r>
              <w:rPr>
                <w:color w:val="auto"/>
                <w:spacing w:val="6"/>
                <w:highlight w:val="none"/>
              </w:rPr>
              <w:t>机设备</w:t>
            </w:r>
          </w:p>
        </w:tc>
        <w:tc>
          <w:tcPr>
            <w:tcW w:w="1799" w:type="dxa"/>
          </w:tcPr>
          <w:p w14:paraId="139EB721">
            <w:pPr>
              <w:pStyle w:val="248"/>
              <w:spacing w:before="155" w:line="304" w:lineRule="auto"/>
              <w:ind w:left="17" w:right="10" w:firstLine="1"/>
              <w:rPr>
                <w:color w:val="auto"/>
                <w:highlight w:val="none"/>
              </w:rPr>
            </w:pPr>
            <w:r>
              <w:rPr>
                <w:color w:val="auto"/>
                <w:spacing w:val="3"/>
                <w:highlight w:val="none"/>
              </w:rPr>
              <w:t>★A02010104 台式计</w:t>
            </w:r>
            <w:r>
              <w:rPr>
                <w:color w:val="auto"/>
                <w:spacing w:val="4"/>
                <w:highlight w:val="none"/>
              </w:rPr>
              <w:t>算机</w:t>
            </w:r>
          </w:p>
        </w:tc>
        <w:tc>
          <w:tcPr>
            <w:tcW w:w="1914" w:type="dxa"/>
          </w:tcPr>
          <w:p w14:paraId="3CA2AC7D">
            <w:pPr>
              <w:rPr>
                <w:rFonts w:ascii="Arial"/>
                <w:color w:val="auto"/>
                <w:highlight w:val="none"/>
              </w:rPr>
            </w:pPr>
          </w:p>
        </w:tc>
        <w:tc>
          <w:tcPr>
            <w:tcW w:w="2969" w:type="dxa"/>
          </w:tcPr>
          <w:p w14:paraId="5E2B336B">
            <w:pPr>
              <w:pStyle w:val="248"/>
              <w:spacing w:before="156" w:line="304" w:lineRule="auto"/>
              <w:ind w:left="19" w:right="11" w:firstLine="3"/>
              <w:rPr>
                <w:color w:val="auto"/>
                <w:highlight w:val="none"/>
                <w:lang w:eastAsia="zh-CN"/>
              </w:rPr>
            </w:pPr>
            <w:r>
              <w:rPr>
                <w:color w:val="auto"/>
                <w:spacing w:val="19"/>
                <w:highlight w:val="none"/>
                <w:lang w:eastAsia="zh-CN"/>
              </w:rPr>
              <w:t>《微型计算机能效限定值及能效</w:t>
            </w:r>
            <w:r>
              <w:rPr>
                <w:color w:val="auto"/>
                <w:spacing w:val="6"/>
                <w:highlight w:val="none"/>
                <w:lang w:eastAsia="zh-CN"/>
              </w:rPr>
              <w:t>等级》（</w:t>
            </w:r>
            <w:r>
              <w:rPr>
                <w:color w:val="auto"/>
                <w:highlight w:val="none"/>
                <w:lang w:eastAsia="zh-CN"/>
              </w:rPr>
              <w:t>GB</w:t>
            </w:r>
            <w:r>
              <w:rPr>
                <w:color w:val="auto"/>
                <w:spacing w:val="6"/>
                <w:highlight w:val="none"/>
                <w:lang w:eastAsia="zh-CN"/>
              </w:rPr>
              <w:t xml:space="preserve"> 28380）</w:t>
            </w:r>
          </w:p>
        </w:tc>
      </w:tr>
      <w:tr w14:paraId="65A52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578" w:type="dxa"/>
            <w:vMerge w:val="continue"/>
            <w:tcBorders>
              <w:top w:val="nil"/>
              <w:bottom w:val="nil"/>
            </w:tcBorders>
          </w:tcPr>
          <w:p w14:paraId="03FFED51">
            <w:pPr>
              <w:rPr>
                <w:rFonts w:ascii="Arial"/>
                <w:color w:val="auto"/>
                <w:highlight w:val="none"/>
              </w:rPr>
            </w:pPr>
          </w:p>
        </w:tc>
        <w:tc>
          <w:tcPr>
            <w:tcW w:w="1166" w:type="dxa"/>
            <w:vMerge w:val="continue"/>
            <w:tcBorders>
              <w:top w:val="nil"/>
              <w:bottom w:val="nil"/>
            </w:tcBorders>
          </w:tcPr>
          <w:p w14:paraId="3B9E21F2">
            <w:pPr>
              <w:rPr>
                <w:rFonts w:ascii="Arial"/>
                <w:color w:val="auto"/>
                <w:highlight w:val="none"/>
              </w:rPr>
            </w:pPr>
          </w:p>
        </w:tc>
        <w:tc>
          <w:tcPr>
            <w:tcW w:w="1799" w:type="dxa"/>
          </w:tcPr>
          <w:p w14:paraId="09D77CC0">
            <w:pPr>
              <w:pStyle w:val="248"/>
              <w:spacing w:before="108" w:line="293" w:lineRule="auto"/>
              <w:ind w:left="15" w:right="10" w:firstLine="3"/>
              <w:rPr>
                <w:color w:val="auto"/>
                <w:highlight w:val="none"/>
              </w:rPr>
            </w:pPr>
            <w:r>
              <w:rPr>
                <w:color w:val="auto"/>
                <w:spacing w:val="3"/>
                <w:highlight w:val="none"/>
              </w:rPr>
              <w:t>★A02010105 便携式</w:t>
            </w:r>
            <w:r>
              <w:rPr>
                <w:color w:val="auto"/>
                <w:spacing w:val="6"/>
                <w:highlight w:val="none"/>
              </w:rPr>
              <w:t>计算机</w:t>
            </w:r>
          </w:p>
        </w:tc>
        <w:tc>
          <w:tcPr>
            <w:tcW w:w="1914" w:type="dxa"/>
          </w:tcPr>
          <w:p w14:paraId="5D7710FE">
            <w:pPr>
              <w:rPr>
                <w:rFonts w:ascii="Arial"/>
                <w:color w:val="auto"/>
                <w:highlight w:val="none"/>
              </w:rPr>
            </w:pPr>
          </w:p>
        </w:tc>
        <w:tc>
          <w:tcPr>
            <w:tcW w:w="2969" w:type="dxa"/>
          </w:tcPr>
          <w:p w14:paraId="591B2FB5">
            <w:pPr>
              <w:pStyle w:val="248"/>
              <w:spacing w:before="108" w:line="293" w:lineRule="auto"/>
              <w:ind w:left="19" w:right="11" w:firstLine="3"/>
              <w:rPr>
                <w:color w:val="auto"/>
                <w:highlight w:val="none"/>
                <w:lang w:eastAsia="zh-CN"/>
              </w:rPr>
            </w:pPr>
            <w:r>
              <w:rPr>
                <w:color w:val="auto"/>
                <w:spacing w:val="19"/>
                <w:highlight w:val="none"/>
                <w:lang w:eastAsia="zh-CN"/>
              </w:rPr>
              <w:t>《微型计算机能效限定值及能效</w:t>
            </w:r>
            <w:r>
              <w:rPr>
                <w:color w:val="auto"/>
                <w:spacing w:val="6"/>
                <w:highlight w:val="none"/>
                <w:lang w:eastAsia="zh-CN"/>
              </w:rPr>
              <w:t>等级》（</w:t>
            </w:r>
            <w:r>
              <w:rPr>
                <w:color w:val="auto"/>
                <w:highlight w:val="none"/>
                <w:lang w:eastAsia="zh-CN"/>
              </w:rPr>
              <w:t>GB</w:t>
            </w:r>
            <w:r>
              <w:rPr>
                <w:color w:val="auto"/>
                <w:spacing w:val="6"/>
                <w:highlight w:val="none"/>
                <w:lang w:eastAsia="zh-CN"/>
              </w:rPr>
              <w:t xml:space="preserve"> 28380）</w:t>
            </w:r>
          </w:p>
        </w:tc>
      </w:tr>
      <w:tr w14:paraId="7C321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578" w:type="dxa"/>
            <w:vMerge w:val="continue"/>
            <w:tcBorders>
              <w:top w:val="nil"/>
            </w:tcBorders>
          </w:tcPr>
          <w:p w14:paraId="365F772E">
            <w:pPr>
              <w:rPr>
                <w:rFonts w:ascii="Arial"/>
                <w:color w:val="auto"/>
                <w:highlight w:val="none"/>
              </w:rPr>
            </w:pPr>
          </w:p>
        </w:tc>
        <w:tc>
          <w:tcPr>
            <w:tcW w:w="1166" w:type="dxa"/>
            <w:vMerge w:val="continue"/>
            <w:tcBorders>
              <w:top w:val="nil"/>
            </w:tcBorders>
          </w:tcPr>
          <w:p w14:paraId="32D8FB73">
            <w:pPr>
              <w:rPr>
                <w:rFonts w:ascii="Arial"/>
                <w:color w:val="auto"/>
                <w:highlight w:val="none"/>
              </w:rPr>
            </w:pPr>
          </w:p>
        </w:tc>
        <w:tc>
          <w:tcPr>
            <w:tcW w:w="1799" w:type="dxa"/>
          </w:tcPr>
          <w:p w14:paraId="1FBBD171">
            <w:pPr>
              <w:pStyle w:val="248"/>
              <w:spacing w:before="128" w:line="301" w:lineRule="auto"/>
              <w:ind w:left="15" w:right="10" w:firstLine="3"/>
              <w:rPr>
                <w:color w:val="auto"/>
                <w:highlight w:val="none"/>
                <w:lang w:eastAsia="zh-CN"/>
              </w:rPr>
            </w:pPr>
            <w:r>
              <w:rPr>
                <w:color w:val="auto"/>
                <w:spacing w:val="3"/>
                <w:highlight w:val="none"/>
                <w:lang w:eastAsia="zh-CN"/>
              </w:rPr>
              <w:t>★A02010107 平板式</w:t>
            </w:r>
            <w:r>
              <w:rPr>
                <w:color w:val="auto"/>
                <w:spacing w:val="8"/>
                <w:highlight w:val="none"/>
                <w:lang w:eastAsia="zh-CN"/>
              </w:rPr>
              <w:t>微型计算机</w:t>
            </w:r>
          </w:p>
        </w:tc>
        <w:tc>
          <w:tcPr>
            <w:tcW w:w="1914" w:type="dxa"/>
          </w:tcPr>
          <w:p w14:paraId="56822260">
            <w:pPr>
              <w:rPr>
                <w:rFonts w:ascii="Arial"/>
                <w:color w:val="auto"/>
                <w:highlight w:val="none"/>
              </w:rPr>
            </w:pPr>
          </w:p>
        </w:tc>
        <w:tc>
          <w:tcPr>
            <w:tcW w:w="2969" w:type="dxa"/>
          </w:tcPr>
          <w:p w14:paraId="7C9A17B8">
            <w:pPr>
              <w:pStyle w:val="248"/>
              <w:spacing w:before="128" w:line="301" w:lineRule="auto"/>
              <w:ind w:left="19" w:right="11" w:firstLine="3"/>
              <w:rPr>
                <w:color w:val="auto"/>
                <w:highlight w:val="none"/>
                <w:lang w:eastAsia="zh-CN"/>
              </w:rPr>
            </w:pPr>
            <w:r>
              <w:rPr>
                <w:color w:val="auto"/>
                <w:spacing w:val="19"/>
                <w:highlight w:val="none"/>
                <w:lang w:eastAsia="zh-CN"/>
              </w:rPr>
              <w:t>《微型计算机能效限定值及能效</w:t>
            </w:r>
            <w:r>
              <w:rPr>
                <w:color w:val="auto"/>
                <w:spacing w:val="6"/>
                <w:highlight w:val="none"/>
                <w:lang w:eastAsia="zh-CN"/>
              </w:rPr>
              <w:t>等级》（</w:t>
            </w:r>
            <w:r>
              <w:rPr>
                <w:color w:val="auto"/>
                <w:highlight w:val="none"/>
                <w:lang w:eastAsia="zh-CN"/>
              </w:rPr>
              <w:t>GB</w:t>
            </w:r>
            <w:r>
              <w:rPr>
                <w:color w:val="auto"/>
                <w:spacing w:val="6"/>
                <w:highlight w:val="none"/>
                <w:lang w:eastAsia="zh-CN"/>
              </w:rPr>
              <w:t xml:space="preserve"> 28380）</w:t>
            </w:r>
          </w:p>
        </w:tc>
      </w:tr>
      <w:tr w14:paraId="53A7A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restart"/>
            <w:tcBorders>
              <w:bottom w:val="nil"/>
            </w:tcBorders>
          </w:tcPr>
          <w:p w14:paraId="36854F06">
            <w:pPr>
              <w:spacing w:line="250" w:lineRule="auto"/>
              <w:rPr>
                <w:rFonts w:ascii="Arial"/>
                <w:color w:val="auto"/>
                <w:highlight w:val="none"/>
              </w:rPr>
            </w:pPr>
          </w:p>
          <w:p w14:paraId="3B6A69F5">
            <w:pPr>
              <w:spacing w:line="251" w:lineRule="auto"/>
              <w:rPr>
                <w:rFonts w:ascii="Arial"/>
                <w:color w:val="auto"/>
                <w:highlight w:val="none"/>
              </w:rPr>
            </w:pPr>
          </w:p>
          <w:p w14:paraId="4DD2B9DF">
            <w:pPr>
              <w:spacing w:line="251" w:lineRule="auto"/>
              <w:rPr>
                <w:rFonts w:ascii="Arial"/>
                <w:color w:val="auto"/>
                <w:highlight w:val="none"/>
              </w:rPr>
            </w:pPr>
          </w:p>
          <w:p w14:paraId="22675E7D">
            <w:pPr>
              <w:spacing w:line="251" w:lineRule="auto"/>
              <w:rPr>
                <w:rFonts w:ascii="Arial"/>
                <w:color w:val="auto"/>
                <w:highlight w:val="none"/>
              </w:rPr>
            </w:pPr>
          </w:p>
          <w:p w14:paraId="16F1813E">
            <w:pPr>
              <w:spacing w:line="251" w:lineRule="auto"/>
              <w:rPr>
                <w:rFonts w:ascii="Arial"/>
                <w:color w:val="auto"/>
                <w:highlight w:val="none"/>
              </w:rPr>
            </w:pPr>
          </w:p>
          <w:p w14:paraId="66CDA726">
            <w:pPr>
              <w:spacing w:line="251" w:lineRule="auto"/>
              <w:rPr>
                <w:rFonts w:ascii="Arial"/>
                <w:color w:val="auto"/>
                <w:highlight w:val="none"/>
              </w:rPr>
            </w:pPr>
          </w:p>
          <w:p w14:paraId="4586470C">
            <w:pPr>
              <w:spacing w:line="251" w:lineRule="auto"/>
              <w:rPr>
                <w:rFonts w:ascii="Arial"/>
                <w:color w:val="auto"/>
                <w:highlight w:val="none"/>
              </w:rPr>
            </w:pPr>
          </w:p>
          <w:p w14:paraId="0AC8D81F">
            <w:pPr>
              <w:spacing w:line="251" w:lineRule="auto"/>
              <w:rPr>
                <w:rFonts w:ascii="Arial"/>
                <w:color w:val="auto"/>
                <w:highlight w:val="none"/>
              </w:rPr>
            </w:pPr>
          </w:p>
          <w:p w14:paraId="66C1DE4E">
            <w:pPr>
              <w:pStyle w:val="248"/>
              <w:spacing w:before="61" w:line="258" w:lineRule="exact"/>
              <w:ind w:left="245"/>
              <w:rPr>
                <w:color w:val="auto"/>
                <w:highlight w:val="none"/>
              </w:rPr>
            </w:pPr>
            <w:r>
              <w:rPr>
                <w:color w:val="auto"/>
                <w:position w:val="1"/>
                <w:highlight w:val="none"/>
              </w:rPr>
              <w:t>2</w:t>
            </w:r>
          </w:p>
        </w:tc>
        <w:tc>
          <w:tcPr>
            <w:tcW w:w="1166" w:type="dxa"/>
            <w:vMerge w:val="restart"/>
            <w:tcBorders>
              <w:bottom w:val="nil"/>
            </w:tcBorders>
          </w:tcPr>
          <w:p w14:paraId="46F93290">
            <w:pPr>
              <w:spacing w:line="264" w:lineRule="auto"/>
              <w:rPr>
                <w:rFonts w:ascii="Arial"/>
                <w:color w:val="auto"/>
                <w:highlight w:val="none"/>
              </w:rPr>
            </w:pPr>
          </w:p>
          <w:p w14:paraId="0ECCF4F4">
            <w:pPr>
              <w:spacing w:line="264" w:lineRule="auto"/>
              <w:rPr>
                <w:rFonts w:ascii="Arial"/>
                <w:color w:val="auto"/>
                <w:highlight w:val="none"/>
              </w:rPr>
            </w:pPr>
          </w:p>
          <w:p w14:paraId="117E2C47">
            <w:pPr>
              <w:spacing w:line="264" w:lineRule="auto"/>
              <w:rPr>
                <w:rFonts w:ascii="Arial"/>
                <w:color w:val="auto"/>
                <w:highlight w:val="none"/>
              </w:rPr>
            </w:pPr>
          </w:p>
          <w:p w14:paraId="7F3B5E09">
            <w:pPr>
              <w:spacing w:line="265" w:lineRule="auto"/>
              <w:rPr>
                <w:rFonts w:ascii="Arial"/>
                <w:color w:val="auto"/>
                <w:highlight w:val="none"/>
              </w:rPr>
            </w:pPr>
          </w:p>
          <w:p w14:paraId="456FD660">
            <w:pPr>
              <w:spacing w:line="265" w:lineRule="auto"/>
              <w:rPr>
                <w:rFonts w:ascii="Arial"/>
                <w:color w:val="auto"/>
                <w:highlight w:val="none"/>
              </w:rPr>
            </w:pPr>
          </w:p>
          <w:p w14:paraId="1C738D8B">
            <w:pPr>
              <w:spacing w:line="265" w:lineRule="auto"/>
              <w:rPr>
                <w:rFonts w:ascii="Arial"/>
                <w:color w:val="auto"/>
                <w:highlight w:val="none"/>
              </w:rPr>
            </w:pPr>
          </w:p>
          <w:p w14:paraId="6A0C6F9B">
            <w:pPr>
              <w:spacing w:line="265" w:lineRule="auto"/>
              <w:rPr>
                <w:rFonts w:ascii="Arial"/>
                <w:color w:val="auto"/>
                <w:highlight w:val="none"/>
              </w:rPr>
            </w:pPr>
          </w:p>
          <w:p w14:paraId="0B864354">
            <w:pPr>
              <w:pStyle w:val="248"/>
              <w:spacing w:before="62" w:line="304" w:lineRule="auto"/>
              <w:ind w:left="14" w:right="8" w:hanging="5"/>
              <w:rPr>
                <w:color w:val="auto"/>
                <w:highlight w:val="none"/>
              </w:rPr>
            </w:pPr>
            <w:r>
              <w:rPr>
                <w:color w:val="auto"/>
                <w:spacing w:val="5"/>
                <w:highlight w:val="none"/>
              </w:rPr>
              <w:t>A020106输入</w:t>
            </w:r>
            <w:r>
              <w:rPr>
                <w:color w:val="auto"/>
                <w:spacing w:val="7"/>
                <w:highlight w:val="none"/>
              </w:rPr>
              <w:t>输出设备</w:t>
            </w:r>
          </w:p>
        </w:tc>
        <w:tc>
          <w:tcPr>
            <w:tcW w:w="1799" w:type="dxa"/>
            <w:vMerge w:val="restart"/>
            <w:tcBorders>
              <w:bottom w:val="nil"/>
            </w:tcBorders>
          </w:tcPr>
          <w:p w14:paraId="50048274">
            <w:pPr>
              <w:spacing w:line="315" w:lineRule="auto"/>
              <w:rPr>
                <w:rFonts w:ascii="Arial"/>
                <w:color w:val="auto"/>
                <w:highlight w:val="none"/>
              </w:rPr>
            </w:pPr>
          </w:p>
          <w:p w14:paraId="5F4B9DBF">
            <w:pPr>
              <w:spacing w:line="315" w:lineRule="auto"/>
              <w:rPr>
                <w:rFonts w:ascii="Arial"/>
                <w:color w:val="auto"/>
                <w:highlight w:val="none"/>
              </w:rPr>
            </w:pPr>
          </w:p>
          <w:p w14:paraId="247C6318">
            <w:pPr>
              <w:spacing w:line="315" w:lineRule="auto"/>
              <w:rPr>
                <w:rFonts w:ascii="Arial"/>
                <w:color w:val="auto"/>
                <w:highlight w:val="none"/>
              </w:rPr>
            </w:pPr>
          </w:p>
          <w:p w14:paraId="13ADE051">
            <w:pPr>
              <w:pStyle w:val="248"/>
              <w:spacing w:before="62" w:line="229" w:lineRule="auto"/>
              <w:ind w:left="9"/>
              <w:rPr>
                <w:color w:val="auto"/>
                <w:highlight w:val="none"/>
              </w:rPr>
            </w:pPr>
            <w:r>
              <w:rPr>
                <w:color w:val="auto"/>
                <w:spacing w:val="5"/>
                <w:highlight w:val="none"/>
              </w:rPr>
              <w:t>A02010601打印设备</w:t>
            </w:r>
          </w:p>
        </w:tc>
        <w:tc>
          <w:tcPr>
            <w:tcW w:w="1914" w:type="dxa"/>
          </w:tcPr>
          <w:p w14:paraId="1E801529">
            <w:pPr>
              <w:pStyle w:val="248"/>
              <w:spacing w:before="114" w:line="297" w:lineRule="auto"/>
              <w:ind w:left="31" w:right="8" w:hanging="21"/>
              <w:rPr>
                <w:color w:val="auto"/>
                <w:highlight w:val="none"/>
              </w:rPr>
            </w:pPr>
            <w:r>
              <w:rPr>
                <w:color w:val="auto"/>
                <w:spacing w:val="3"/>
                <w:highlight w:val="none"/>
              </w:rPr>
              <w:t>A0201060101喷墨打</w:t>
            </w:r>
            <w:r>
              <w:rPr>
                <w:color w:val="auto"/>
                <w:spacing w:val="-2"/>
                <w:highlight w:val="none"/>
              </w:rPr>
              <w:t>印机</w:t>
            </w:r>
          </w:p>
        </w:tc>
        <w:tc>
          <w:tcPr>
            <w:tcW w:w="2969" w:type="dxa"/>
          </w:tcPr>
          <w:p w14:paraId="76B1287F">
            <w:pPr>
              <w:pStyle w:val="248"/>
              <w:spacing w:before="114" w:line="297" w:lineRule="auto"/>
              <w:ind w:left="22" w:right="13"/>
              <w:rPr>
                <w:color w:val="auto"/>
                <w:highlight w:val="none"/>
                <w:lang w:eastAsia="zh-CN"/>
              </w:rPr>
            </w:pPr>
            <w:r>
              <w:rPr>
                <w:color w:val="auto"/>
                <w:spacing w:val="5"/>
                <w:highlight w:val="none"/>
                <w:lang w:eastAsia="zh-CN"/>
              </w:rPr>
              <w:t>《复印机、打印机和传真机能效限</w:t>
            </w:r>
            <w:r>
              <w:rPr>
                <w:color w:val="auto"/>
                <w:spacing w:val="7"/>
                <w:highlight w:val="none"/>
                <w:lang w:eastAsia="zh-CN"/>
              </w:rPr>
              <w:t>定值及能效等级》（</w:t>
            </w:r>
            <w:r>
              <w:rPr>
                <w:color w:val="auto"/>
                <w:highlight w:val="none"/>
                <w:lang w:eastAsia="zh-CN"/>
              </w:rPr>
              <w:t>GB</w:t>
            </w:r>
            <w:r>
              <w:rPr>
                <w:color w:val="auto"/>
                <w:spacing w:val="7"/>
                <w:highlight w:val="none"/>
                <w:lang w:eastAsia="zh-CN"/>
              </w:rPr>
              <w:t xml:space="preserve"> 21521）</w:t>
            </w:r>
          </w:p>
        </w:tc>
      </w:tr>
      <w:tr w14:paraId="7A9EB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continue"/>
            <w:tcBorders>
              <w:top w:val="nil"/>
              <w:bottom w:val="nil"/>
            </w:tcBorders>
          </w:tcPr>
          <w:p w14:paraId="6C68CAD1">
            <w:pPr>
              <w:rPr>
                <w:rFonts w:ascii="Arial"/>
                <w:color w:val="auto"/>
                <w:highlight w:val="none"/>
              </w:rPr>
            </w:pPr>
          </w:p>
        </w:tc>
        <w:tc>
          <w:tcPr>
            <w:tcW w:w="1166" w:type="dxa"/>
            <w:vMerge w:val="continue"/>
            <w:tcBorders>
              <w:top w:val="nil"/>
              <w:bottom w:val="nil"/>
            </w:tcBorders>
          </w:tcPr>
          <w:p w14:paraId="4AF2D519">
            <w:pPr>
              <w:rPr>
                <w:rFonts w:ascii="Arial"/>
                <w:color w:val="auto"/>
                <w:highlight w:val="none"/>
              </w:rPr>
            </w:pPr>
          </w:p>
        </w:tc>
        <w:tc>
          <w:tcPr>
            <w:tcW w:w="1799" w:type="dxa"/>
            <w:vMerge w:val="continue"/>
            <w:tcBorders>
              <w:top w:val="nil"/>
              <w:bottom w:val="nil"/>
            </w:tcBorders>
          </w:tcPr>
          <w:p w14:paraId="35DF97BF">
            <w:pPr>
              <w:rPr>
                <w:rFonts w:ascii="Arial"/>
                <w:color w:val="auto"/>
                <w:highlight w:val="none"/>
              </w:rPr>
            </w:pPr>
          </w:p>
        </w:tc>
        <w:tc>
          <w:tcPr>
            <w:tcW w:w="1914" w:type="dxa"/>
          </w:tcPr>
          <w:p w14:paraId="7DD9938C">
            <w:pPr>
              <w:pStyle w:val="248"/>
              <w:spacing w:before="116" w:line="296" w:lineRule="auto"/>
              <w:ind w:left="19" w:right="8"/>
              <w:rPr>
                <w:color w:val="auto"/>
                <w:highlight w:val="none"/>
              </w:rPr>
            </w:pPr>
            <w:r>
              <w:rPr>
                <w:color w:val="auto"/>
                <w:spacing w:val="3"/>
                <w:highlight w:val="none"/>
              </w:rPr>
              <w:t>★A0201060102激光</w:t>
            </w:r>
            <w:r>
              <w:rPr>
                <w:color w:val="auto"/>
                <w:spacing w:val="5"/>
                <w:highlight w:val="none"/>
              </w:rPr>
              <w:t>打印机</w:t>
            </w:r>
          </w:p>
        </w:tc>
        <w:tc>
          <w:tcPr>
            <w:tcW w:w="2969" w:type="dxa"/>
          </w:tcPr>
          <w:p w14:paraId="537D0252">
            <w:pPr>
              <w:pStyle w:val="248"/>
              <w:spacing w:before="116" w:line="296" w:lineRule="auto"/>
              <w:ind w:left="22" w:right="13"/>
              <w:rPr>
                <w:color w:val="auto"/>
                <w:highlight w:val="none"/>
                <w:lang w:eastAsia="zh-CN"/>
              </w:rPr>
            </w:pPr>
            <w:r>
              <w:rPr>
                <w:color w:val="auto"/>
                <w:spacing w:val="5"/>
                <w:highlight w:val="none"/>
                <w:lang w:eastAsia="zh-CN"/>
              </w:rPr>
              <w:t>《复印机、打印机和传真机能效限</w:t>
            </w:r>
            <w:r>
              <w:rPr>
                <w:color w:val="auto"/>
                <w:spacing w:val="7"/>
                <w:highlight w:val="none"/>
                <w:lang w:eastAsia="zh-CN"/>
              </w:rPr>
              <w:t>定值及能效等级》（</w:t>
            </w:r>
            <w:r>
              <w:rPr>
                <w:color w:val="auto"/>
                <w:highlight w:val="none"/>
                <w:lang w:eastAsia="zh-CN"/>
              </w:rPr>
              <w:t>GB</w:t>
            </w:r>
            <w:r>
              <w:rPr>
                <w:color w:val="auto"/>
                <w:spacing w:val="7"/>
                <w:highlight w:val="none"/>
                <w:lang w:eastAsia="zh-CN"/>
              </w:rPr>
              <w:t xml:space="preserve"> 21521）</w:t>
            </w:r>
          </w:p>
        </w:tc>
      </w:tr>
      <w:tr w14:paraId="54D15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continue"/>
            <w:tcBorders>
              <w:top w:val="nil"/>
              <w:bottom w:val="nil"/>
            </w:tcBorders>
          </w:tcPr>
          <w:p w14:paraId="1D4EB180">
            <w:pPr>
              <w:rPr>
                <w:rFonts w:ascii="Arial"/>
                <w:color w:val="auto"/>
                <w:highlight w:val="none"/>
              </w:rPr>
            </w:pPr>
          </w:p>
        </w:tc>
        <w:tc>
          <w:tcPr>
            <w:tcW w:w="1166" w:type="dxa"/>
            <w:vMerge w:val="continue"/>
            <w:tcBorders>
              <w:top w:val="nil"/>
              <w:bottom w:val="nil"/>
            </w:tcBorders>
          </w:tcPr>
          <w:p w14:paraId="62DACCDA">
            <w:pPr>
              <w:rPr>
                <w:rFonts w:ascii="Arial"/>
                <w:color w:val="auto"/>
                <w:highlight w:val="none"/>
              </w:rPr>
            </w:pPr>
          </w:p>
        </w:tc>
        <w:tc>
          <w:tcPr>
            <w:tcW w:w="1799" w:type="dxa"/>
            <w:vMerge w:val="continue"/>
            <w:tcBorders>
              <w:top w:val="nil"/>
            </w:tcBorders>
          </w:tcPr>
          <w:p w14:paraId="6D2E8D3E">
            <w:pPr>
              <w:rPr>
                <w:rFonts w:ascii="Arial"/>
                <w:color w:val="auto"/>
                <w:highlight w:val="none"/>
              </w:rPr>
            </w:pPr>
          </w:p>
        </w:tc>
        <w:tc>
          <w:tcPr>
            <w:tcW w:w="1914" w:type="dxa"/>
          </w:tcPr>
          <w:p w14:paraId="4D959DD2">
            <w:pPr>
              <w:pStyle w:val="248"/>
              <w:spacing w:before="116" w:line="296" w:lineRule="auto"/>
              <w:ind w:left="19" w:right="8"/>
              <w:rPr>
                <w:color w:val="auto"/>
                <w:highlight w:val="none"/>
              </w:rPr>
            </w:pPr>
            <w:r>
              <w:rPr>
                <w:color w:val="auto"/>
                <w:spacing w:val="3"/>
                <w:highlight w:val="none"/>
              </w:rPr>
              <w:t>★A0201060104针式</w:t>
            </w:r>
            <w:r>
              <w:rPr>
                <w:color w:val="auto"/>
                <w:spacing w:val="5"/>
                <w:highlight w:val="none"/>
              </w:rPr>
              <w:t>打印机</w:t>
            </w:r>
          </w:p>
        </w:tc>
        <w:tc>
          <w:tcPr>
            <w:tcW w:w="2969" w:type="dxa"/>
          </w:tcPr>
          <w:p w14:paraId="4A580ADD">
            <w:pPr>
              <w:pStyle w:val="248"/>
              <w:spacing w:before="116" w:line="296" w:lineRule="auto"/>
              <w:ind w:left="22" w:right="13"/>
              <w:rPr>
                <w:color w:val="auto"/>
                <w:highlight w:val="none"/>
                <w:lang w:eastAsia="zh-CN"/>
              </w:rPr>
            </w:pPr>
            <w:r>
              <w:rPr>
                <w:color w:val="auto"/>
                <w:spacing w:val="5"/>
                <w:highlight w:val="none"/>
                <w:lang w:eastAsia="zh-CN"/>
              </w:rPr>
              <w:t>《复印机、打印机和传真机能效限</w:t>
            </w:r>
            <w:r>
              <w:rPr>
                <w:color w:val="auto"/>
                <w:spacing w:val="7"/>
                <w:highlight w:val="none"/>
                <w:lang w:eastAsia="zh-CN"/>
              </w:rPr>
              <w:t>定值及能效等级》（</w:t>
            </w:r>
            <w:r>
              <w:rPr>
                <w:color w:val="auto"/>
                <w:highlight w:val="none"/>
                <w:lang w:eastAsia="zh-CN"/>
              </w:rPr>
              <w:t>GB</w:t>
            </w:r>
            <w:r>
              <w:rPr>
                <w:color w:val="auto"/>
                <w:spacing w:val="7"/>
                <w:highlight w:val="none"/>
                <w:lang w:eastAsia="zh-CN"/>
              </w:rPr>
              <w:t xml:space="preserve"> 21521）</w:t>
            </w:r>
          </w:p>
        </w:tc>
      </w:tr>
      <w:tr w14:paraId="4DB05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578" w:type="dxa"/>
            <w:vMerge w:val="continue"/>
            <w:tcBorders>
              <w:top w:val="nil"/>
              <w:bottom w:val="nil"/>
            </w:tcBorders>
          </w:tcPr>
          <w:p w14:paraId="2691B25C">
            <w:pPr>
              <w:rPr>
                <w:rFonts w:ascii="Arial"/>
                <w:color w:val="auto"/>
                <w:highlight w:val="none"/>
              </w:rPr>
            </w:pPr>
          </w:p>
        </w:tc>
        <w:tc>
          <w:tcPr>
            <w:tcW w:w="1166" w:type="dxa"/>
            <w:vMerge w:val="continue"/>
            <w:tcBorders>
              <w:top w:val="nil"/>
              <w:bottom w:val="nil"/>
            </w:tcBorders>
          </w:tcPr>
          <w:p w14:paraId="3CE1220C">
            <w:pPr>
              <w:rPr>
                <w:rFonts w:ascii="Arial"/>
                <w:color w:val="auto"/>
                <w:highlight w:val="none"/>
              </w:rPr>
            </w:pPr>
          </w:p>
        </w:tc>
        <w:tc>
          <w:tcPr>
            <w:tcW w:w="1799" w:type="dxa"/>
          </w:tcPr>
          <w:p w14:paraId="77B719AB">
            <w:pPr>
              <w:pStyle w:val="248"/>
              <w:spacing w:before="290" w:line="230" w:lineRule="auto"/>
              <w:ind w:left="9"/>
              <w:rPr>
                <w:color w:val="auto"/>
                <w:highlight w:val="none"/>
              </w:rPr>
            </w:pPr>
            <w:r>
              <w:rPr>
                <w:color w:val="auto"/>
                <w:spacing w:val="5"/>
                <w:highlight w:val="none"/>
              </w:rPr>
              <w:t>A02010604显示设备</w:t>
            </w:r>
          </w:p>
        </w:tc>
        <w:tc>
          <w:tcPr>
            <w:tcW w:w="1914" w:type="dxa"/>
          </w:tcPr>
          <w:p w14:paraId="279483F8">
            <w:pPr>
              <w:pStyle w:val="248"/>
              <w:spacing w:before="133" w:line="303" w:lineRule="auto"/>
              <w:ind w:left="20" w:right="8" w:hanging="1"/>
              <w:rPr>
                <w:color w:val="auto"/>
                <w:highlight w:val="none"/>
              </w:rPr>
            </w:pPr>
            <w:r>
              <w:rPr>
                <w:color w:val="auto"/>
                <w:spacing w:val="2"/>
                <w:highlight w:val="none"/>
              </w:rPr>
              <w:t>★A0201060401液晶</w:t>
            </w:r>
            <w:r>
              <w:rPr>
                <w:color w:val="auto"/>
                <w:spacing w:val="5"/>
                <w:highlight w:val="none"/>
              </w:rPr>
              <w:t>显示器</w:t>
            </w:r>
          </w:p>
        </w:tc>
        <w:tc>
          <w:tcPr>
            <w:tcW w:w="2969" w:type="dxa"/>
          </w:tcPr>
          <w:p w14:paraId="7A9334B7">
            <w:pPr>
              <w:pStyle w:val="248"/>
              <w:spacing w:before="133" w:line="303" w:lineRule="auto"/>
              <w:ind w:left="22" w:right="11"/>
              <w:rPr>
                <w:color w:val="auto"/>
                <w:highlight w:val="none"/>
                <w:lang w:eastAsia="zh-CN"/>
              </w:rPr>
            </w:pPr>
            <w:r>
              <w:rPr>
                <w:color w:val="auto"/>
                <w:spacing w:val="19"/>
                <w:highlight w:val="none"/>
                <w:lang w:eastAsia="zh-CN"/>
              </w:rPr>
              <w:t>《计算机显示器能效限定值及能</w:t>
            </w:r>
            <w:r>
              <w:rPr>
                <w:color w:val="auto"/>
                <w:spacing w:val="6"/>
                <w:highlight w:val="none"/>
                <w:lang w:eastAsia="zh-CN"/>
              </w:rPr>
              <w:t>效等级》（</w:t>
            </w:r>
            <w:r>
              <w:rPr>
                <w:color w:val="auto"/>
                <w:highlight w:val="none"/>
                <w:lang w:eastAsia="zh-CN"/>
              </w:rPr>
              <w:t>GB</w:t>
            </w:r>
            <w:r>
              <w:rPr>
                <w:color w:val="auto"/>
                <w:spacing w:val="6"/>
                <w:highlight w:val="none"/>
                <w:lang w:eastAsia="zh-CN"/>
              </w:rPr>
              <w:t xml:space="preserve"> 21520）</w:t>
            </w:r>
          </w:p>
        </w:tc>
      </w:tr>
      <w:tr w14:paraId="19BFF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5" w:hRule="atLeast"/>
        </w:trPr>
        <w:tc>
          <w:tcPr>
            <w:tcW w:w="578" w:type="dxa"/>
            <w:vMerge w:val="continue"/>
            <w:tcBorders>
              <w:top w:val="nil"/>
            </w:tcBorders>
          </w:tcPr>
          <w:p w14:paraId="12C05B04">
            <w:pPr>
              <w:rPr>
                <w:rFonts w:ascii="Arial"/>
                <w:color w:val="auto"/>
                <w:highlight w:val="none"/>
              </w:rPr>
            </w:pPr>
          </w:p>
        </w:tc>
        <w:tc>
          <w:tcPr>
            <w:tcW w:w="1166" w:type="dxa"/>
            <w:vMerge w:val="continue"/>
            <w:tcBorders>
              <w:top w:val="nil"/>
            </w:tcBorders>
          </w:tcPr>
          <w:p w14:paraId="657C08FA">
            <w:pPr>
              <w:rPr>
                <w:rFonts w:ascii="Arial"/>
                <w:color w:val="auto"/>
                <w:highlight w:val="none"/>
              </w:rPr>
            </w:pPr>
          </w:p>
        </w:tc>
        <w:tc>
          <w:tcPr>
            <w:tcW w:w="1799" w:type="dxa"/>
          </w:tcPr>
          <w:p w14:paraId="45606C71">
            <w:pPr>
              <w:spacing w:line="364" w:lineRule="auto"/>
              <w:rPr>
                <w:rFonts w:ascii="Arial"/>
                <w:color w:val="auto"/>
                <w:highlight w:val="none"/>
              </w:rPr>
            </w:pPr>
          </w:p>
          <w:p w14:paraId="1A4C1C61">
            <w:pPr>
              <w:pStyle w:val="248"/>
              <w:spacing w:before="62" w:line="304" w:lineRule="auto"/>
              <w:ind w:left="14" w:right="10" w:hanging="5"/>
              <w:rPr>
                <w:color w:val="auto"/>
                <w:highlight w:val="none"/>
              </w:rPr>
            </w:pPr>
            <w:r>
              <w:rPr>
                <w:color w:val="auto"/>
                <w:spacing w:val="4"/>
                <w:highlight w:val="none"/>
              </w:rPr>
              <w:t>A02010609 图形图像</w:t>
            </w:r>
            <w:r>
              <w:rPr>
                <w:color w:val="auto"/>
                <w:spacing w:val="7"/>
                <w:highlight w:val="none"/>
              </w:rPr>
              <w:t xml:space="preserve"> 输入设备</w:t>
            </w:r>
          </w:p>
        </w:tc>
        <w:tc>
          <w:tcPr>
            <w:tcW w:w="1914" w:type="dxa"/>
          </w:tcPr>
          <w:p w14:paraId="32D93D7D">
            <w:pPr>
              <w:spacing w:line="259" w:lineRule="auto"/>
              <w:rPr>
                <w:rFonts w:ascii="Arial"/>
                <w:color w:val="auto"/>
                <w:highlight w:val="none"/>
              </w:rPr>
            </w:pPr>
          </w:p>
          <w:p w14:paraId="4A5EE1D9">
            <w:pPr>
              <w:spacing w:line="260" w:lineRule="auto"/>
              <w:rPr>
                <w:rFonts w:ascii="Arial"/>
                <w:color w:val="auto"/>
                <w:highlight w:val="none"/>
              </w:rPr>
            </w:pPr>
          </w:p>
          <w:p w14:paraId="065DAB4A">
            <w:pPr>
              <w:pStyle w:val="248"/>
              <w:spacing w:before="61" w:line="229" w:lineRule="auto"/>
              <w:ind w:left="10"/>
              <w:rPr>
                <w:color w:val="auto"/>
                <w:highlight w:val="none"/>
              </w:rPr>
            </w:pPr>
            <w:r>
              <w:rPr>
                <w:color w:val="auto"/>
                <w:spacing w:val="5"/>
                <w:highlight w:val="none"/>
              </w:rPr>
              <w:t>A0201060901扫描仪</w:t>
            </w:r>
          </w:p>
        </w:tc>
        <w:tc>
          <w:tcPr>
            <w:tcW w:w="2969" w:type="dxa"/>
          </w:tcPr>
          <w:p w14:paraId="2F177996">
            <w:pPr>
              <w:pStyle w:val="248"/>
              <w:spacing w:before="114" w:line="299" w:lineRule="auto"/>
              <w:ind w:left="22" w:hanging="3"/>
              <w:rPr>
                <w:color w:val="auto"/>
                <w:highlight w:val="none"/>
                <w:lang w:eastAsia="zh-CN"/>
              </w:rPr>
            </w:pPr>
            <w:r>
              <w:rPr>
                <w:color w:val="auto"/>
                <w:highlight w:val="none"/>
                <w:lang w:eastAsia="zh-CN"/>
              </w:rPr>
              <w:t>参照《复印机、打印机和传真机能</w:t>
            </w:r>
            <w:r>
              <w:rPr>
                <w:color w:val="auto"/>
                <w:spacing w:val="-4"/>
                <w:highlight w:val="none"/>
                <w:lang w:eastAsia="zh-CN"/>
              </w:rPr>
              <w:t>效限定值及能效等级》（GB21521）</w:t>
            </w:r>
            <w:r>
              <w:rPr>
                <w:color w:val="auto"/>
                <w:spacing w:val="4"/>
                <w:highlight w:val="none"/>
                <w:lang w:eastAsia="zh-CN"/>
              </w:rPr>
              <w:t>中打印速度为15 页/分的针式打</w:t>
            </w:r>
            <w:r>
              <w:rPr>
                <w:color w:val="auto"/>
                <w:spacing w:val="2"/>
                <w:highlight w:val="none"/>
                <w:lang w:eastAsia="zh-CN"/>
              </w:rPr>
              <w:t>印机相关要求</w:t>
            </w:r>
          </w:p>
        </w:tc>
      </w:tr>
      <w:tr w14:paraId="65463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578" w:type="dxa"/>
          </w:tcPr>
          <w:p w14:paraId="02E1C4BC">
            <w:pPr>
              <w:pStyle w:val="248"/>
              <w:spacing w:before="246" w:line="256" w:lineRule="exact"/>
              <w:ind w:left="246"/>
              <w:rPr>
                <w:color w:val="auto"/>
                <w:highlight w:val="none"/>
              </w:rPr>
            </w:pPr>
            <w:r>
              <w:rPr>
                <w:color w:val="auto"/>
                <w:position w:val="1"/>
                <w:highlight w:val="none"/>
              </w:rPr>
              <w:t>3</w:t>
            </w:r>
          </w:p>
        </w:tc>
        <w:tc>
          <w:tcPr>
            <w:tcW w:w="1166" w:type="dxa"/>
          </w:tcPr>
          <w:p w14:paraId="447E3558">
            <w:pPr>
              <w:pStyle w:val="248"/>
              <w:spacing w:before="90" w:line="281" w:lineRule="auto"/>
              <w:ind w:left="15" w:right="8" w:hanging="6"/>
              <w:rPr>
                <w:color w:val="auto"/>
                <w:highlight w:val="none"/>
              </w:rPr>
            </w:pPr>
            <w:r>
              <w:rPr>
                <w:color w:val="auto"/>
                <w:spacing w:val="4"/>
                <w:highlight w:val="none"/>
              </w:rPr>
              <w:t>A020202投影</w:t>
            </w:r>
            <w:r>
              <w:rPr>
                <w:color w:val="auto"/>
                <w:highlight w:val="none"/>
              </w:rPr>
              <w:t xml:space="preserve"> 仪</w:t>
            </w:r>
          </w:p>
        </w:tc>
        <w:tc>
          <w:tcPr>
            <w:tcW w:w="1799" w:type="dxa"/>
          </w:tcPr>
          <w:p w14:paraId="46A8D8B1">
            <w:pPr>
              <w:rPr>
                <w:rFonts w:ascii="Arial"/>
                <w:color w:val="auto"/>
                <w:highlight w:val="none"/>
              </w:rPr>
            </w:pPr>
          </w:p>
        </w:tc>
        <w:tc>
          <w:tcPr>
            <w:tcW w:w="1914" w:type="dxa"/>
          </w:tcPr>
          <w:p w14:paraId="7EA6ADE2">
            <w:pPr>
              <w:rPr>
                <w:rFonts w:ascii="Arial"/>
                <w:color w:val="auto"/>
                <w:highlight w:val="none"/>
              </w:rPr>
            </w:pPr>
          </w:p>
        </w:tc>
        <w:tc>
          <w:tcPr>
            <w:tcW w:w="2969" w:type="dxa"/>
          </w:tcPr>
          <w:p w14:paraId="14DEFA41">
            <w:pPr>
              <w:pStyle w:val="248"/>
              <w:spacing w:before="90" w:line="281" w:lineRule="auto"/>
              <w:ind w:left="27" w:hanging="4"/>
              <w:rPr>
                <w:color w:val="auto"/>
                <w:highlight w:val="none"/>
                <w:lang w:eastAsia="zh-CN"/>
              </w:rPr>
            </w:pPr>
            <w:r>
              <w:rPr>
                <w:color w:val="auto"/>
                <w:spacing w:val="6"/>
                <w:highlight w:val="none"/>
                <w:lang w:eastAsia="zh-CN"/>
              </w:rPr>
              <w:t>《投影机能效限定值及能效等级》</w:t>
            </w:r>
            <w:r>
              <w:rPr>
                <w:color w:val="auto"/>
                <w:highlight w:val="none"/>
                <w:lang w:eastAsia="zh-CN"/>
              </w:rPr>
              <w:t xml:space="preserve"> （GB32028）</w:t>
            </w:r>
          </w:p>
        </w:tc>
      </w:tr>
      <w:tr w14:paraId="664E5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578" w:type="dxa"/>
          </w:tcPr>
          <w:p w14:paraId="5FF5CC58">
            <w:pPr>
              <w:pStyle w:val="248"/>
              <w:spacing w:before="289" w:line="258" w:lineRule="exact"/>
              <w:ind w:left="242"/>
              <w:rPr>
                <w:color w:val="auto"/>
                <w:highlight w:val="none"/>
              </w:rPr>
            </w:pPr>
            <w:r>
              <w:rPr>
                <w:color w:val="auto"/>
                <w:position w:val="1"/>
                <w:highlight w:val="none"/>
              </w:rPr>
              <w:t>4</w:t>
            </w:r>
          </w:p>
        </w:tc>
        <w:tc>
          <w:tcPr>
            <w:tcW w:w="1166" w:type="dxa"/>
          </w:tcPr>
          <w:p w14:paraId="2796F738">
            <w:pPr>
              <w:pStyle w:val="248"/>
              <w:spacing w:before="134" w:line="230" w:lineRule="auto"/>
              <w:ind w:left="9"/>
              <w:rPr>
                <w:color w:val="auto"/>
                <w:highlight w:val="none"/>
              </w:rPr>
            </w:pPr>
            <w:r>
              <w:rPr>
                <w:color w:val="auto"/>
                <w:spacing w:val="4"/>
                <w:highlight w:val="none"/>
              </w:rPr>
              <w:t>A020204多功</w:t>
            </w:r>
          </w:p>
          <w:p w14:paraId="120F847C">
            <w:pPr>
              <w:pStyle w:val="248"/>
              <w:spacing w:before="75" w:line="228" w:lineRule="auto"/>
              <w:ind w:left="23"/>
              <w:rPr>
                <w:color w:val="auto"/>
                <w:highlight w:val="none"/>
              </w:rPr>
            </w:pPr>
            <w:r>
              <w:rPr>
                <w:color w:val="auto"/>
                <w:spacing w:val="5"/>
                <w:highlight w:val="none"/>
              </w:rPr>
              <w:t>能一体机</w:t>
            </w:r>
          </w:p>
        </w:tc>
        <w:tc>
          <w:tcPr>
            <w:tcW w:w="1799" w:type="dxa"/>
          </w:tcPr>
          <w:p w14:paraId="315B34EF">
            <w:pPr>
              <w:rPr>
                <w:rFonts w:ascii="Arial"/>
                <w:color w:val="auto"/>
                <w:highlight w:val="none"/>
              </w:rPr>
            </w:pPr>
          </w:p>
        </w:tc>
        <w:tc>
          <w:tcPr>
            <w:tcW w:w="1914" w:type="dxa"/>
          </w:tcPr>
          <w:p w14:paraId="34CFB616">
            <w:pPr>
              <w:rPr>
                <w:rFonts w:ascii="Arial"/>
                <w:color w:val="auto"/>
                <w:highlight w:val="none"/>
              </w:rPr>
            </w:pPr>
          </w:p>
        </w:tc>
        <w:tc>
          <w:tcPr>
            <w:tcW w:w="2969" w:type="dxa"/>
          </w:tcPr>
          <w:p w14:paraId="2FB3F2AD">
            <w:pPr>
              <w:pStyle w:val="248"/>
              <w:spacing w:before="133" w:line="302" w:lineRule="auto"/>
              <w:ind w:left="22" w:right="13"/>
              <w:rPr>
                <w:color w:val="auto"/>
                <w:highlight w:val="none"/>
                <w:lang w:eastAsia="zh-CN"/>
              </w:rPr>
            </w:pPr>
            <w:r>
              <w:rPr>
                <w:color w:val="auto"/>
                <w:spacing w:val="5"/>
                <w:highlight w:val="none"/>
                <w:lang w:eastAsia="zh-CN"/>
              </w:rPr>
              <w:t>《复印机、打印机和传真机能效限</w:t>
            </w:r>
            <w:r>
              <w:rPr>
                <w:color w:val="auto"/>
                <w:spacing w:val="7"/>
                <w:highlight w:val="none"/>
                <w:lang w:eastAsia="zh-CN"/>
              </w:rPr>
              <w:t>定值及能效等级》（</w:t>
            </w:r>
            <w:r>
              <w:rPr>
                <w:color w:val="auto"/>
                <w:highlight w:val="none"/>
                <w:lang w:eastAsia="zh-CN"/>
              </w:rPr>
              <w:t>GB</w:t>
            </w:r>
            <w:r>
              <w:rPr>
                <w:color w:val="auto"/>
                <w:spacing w:val="7"/>
                <w:highlight w:val="none"/>
                <w:lang w:eastAsia="zh-CN"/>
              </w:rPr>
              <w:t xml:space="preserve"> 21521）</w:t>
            </w:r>
          </w:p>
        </w:tc>
      </w:tr>
      <w:tr w14:paraId="0420F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78" w:type="dxa"/>
          </w:tcPr>
          <w:p w14:paraId="1C39E9D2">
            <w:pPr>
              <w:pStyle w:val="248"/>
              <w:spacing w:before="227" w:line="256" w:lineRule="exact"/>
              <w:ind w:left="246"/>
              <w:rPr>
                <w:color w:val="auto"/>
                <w:highlight w:val="none"/>
              </w:rPr>
            </w:pPr>
            <w:r>
              <w:rPr>
                <w:color w:val="auto"/>
                <w:position w:val="1"/>
                <w:highlight w:val="none"/>
              </w:rPr>
              <w:t>5</w:t>
            </w:r>
          </w:p>
        </w:tc>
        <w:tc>
          <w:tcPr>
            <w:tcW w:w="1166" w:type="dxa"/>
          </w:tcPr>
          <w:p w14:paraId="5CB2BB25">
            <w:pPr>
              <w:pStyle w:val="248"/>
              <w:spacing w:before="227" w:line="229" w:lineRule="auto"/>
              <w:ind w:left="9"/>
              <w:rPr>
                <w:color w:val="auto"/>
                <w:highlight w:val="none"/>
              </w:rPr>
            </w:pPr>
            <w:r>
              <w:rPr>
                <w:color w:val="auto"/>
                <w:spacing w:val="4"/>
                <w:highlight w:val="none"/>
              </w:rPr>
              <w:t>A020519泵</w:t>
            </w:r>
          </w:p>
        </w:tc>
        <w:tc>
          <w:tcPr>
            <w:tcW w:w="1799" w:type="dxa"/>
          </w:tcPr>
          <w:p w14:paraId="5E8A21AD">
            <w:pPr>
              <w:pStyle w:val="248"/>
              <w:spacing w:before="227" w:line="229" w:lineRule="auto"/>
              <w:ind w:left="9"/>
              <w:rPr>
                <w:color w:val="auto"/>
                <w:highlight w:val="none"/>
              </w:rPr>
            </w:pPr>
            <w:r>
              <w:rPr>
                <w:color w:val="auto"/>
                <w:spacing w:val="5"/>
                <w:highlight w:val="none"/>
              </w:rPr>
              <w:t>A02051901离心泵</w:t>
            </w:r>
          </w:p>
        </w:tc>
        <w:tc>
          <w:tcPr>
            <w:tcW w:w="1914" w:type="dxa"/>
          </w:tcPr>
          <w:p w14:paraId="24C7F156">
            <w:pPr>
              <w:rPr>
                <w:rFonts w:ascii="Arial"/>
                <w:color w:val="auto"/>
                <w:highlight w:val="none"/>
              </w:rPr>
            </w:pPr>
          </w:p>
        </w:tc>
        <w:tc>
          <w:tcPr>
            <w:tcW w:w="2969" w:type="dxa"/>
          </w:tcPr>
          <w:p w14:paraId="156B3657">
            <w:pPr>
              <w:pStyle w:val="248"/>
              <w:spacing w:before="72" w:line="271" w:lineRule="auto"/>
              <w:ind w:left="17" w:right="11" w:firstLine="6"/>
              <w:rPr>
                <w:color w:val="auto"/>
                <w:highlight w:val="none"/>
                <w:lang w:eastAsia="zh-CN"/>
              </w:rPr>
            </w:pPr>
            <w:r>
              <w:rPr>
                <w:color w:val="auto"/>
                <w:spacing w:val="19"/>
                <w:highlight w:val="none"/>
                <w:lang w:eastAsia="zh-CN"/>
              </w:rPr>
              <w:t>《清水离心泵能效限定值及节能</w:t>
            </w:r>
            <w:r>
              <w:rPr>
                <w:color w:val="auto"/>
                <w:spacing w:val="4"/>
                <w:highlight w:val="none"/>
                <w:lang w:eastAsia="zh-CN"/>
              </w:rPr>
              <w:t>评价值》（</w:t>
            </w:r>
            <w:r>
              <w:rPr>
                <w:color w:val="auto"/>
                <w:highlight w:val="none"/>
                <w:lang w:eastAsia="zh-CN"/>
              </w:rPr>
              <w:t>GB</w:t>
            </w:r>
            <w:r>
              <w:rPr>
                <w:color w:val="auto"/>
                <w:spacing w:val="4"/>
                <w:highlight w:val="none"/>
                <w:lang w:eastAsia="zh-CN"/>
              </w:rPr>
              <w:t>19762）</w:t>
            </w:r>
          </w:p>
        </w:tc>
      </w:tr>
      <w:tr w14:paraId="66405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trPr>
        <w:tc>
          <w:tcPr>
            <w:tcW w:w="578" w:type="dxa"/>
            <w:vMerge w:val="restart"/>
            <w:tcBorders>
              <w:bottom w:val="nil"/>
            </w:tcBorders>
          </w:tcPr>
          <w:p w14:paraId="5C405EFF">
            <w:pPr>
              <w:spacing w:line="290" w:lineRule="auto"/>
              <w:rPr>
                <w:rFonts w:ascii="Arial"/>
                <w:color w:val="auto"/>
                <w:highlight w:val="none"/>
              </w:rPr>
            </w:pPr>
          </w:p>
          <w:p w14:paraId="532E1A83">
            <w:pPr>
              <w:spacing w:line="290" w:lineRule="auto"/>
              <w:rPr>
                <w:rFonts w:ascii="Arial"/>
                <w:color w:val="auto"/>
                <w:highlight w:val="none"/>
              </w:rPr>
            </w:pPr>
          </w:p>
          <w:p w14:paraId="793FFAD3">
            <w:pPr>
              <w:spacing w:line="291" w:lineRule="auto"/>
              <w:rPr>
                <w:rFonts w:ascii="Arial"/>
                <w:color w:val="auto"/>
                <w:highlight w:val="none"/>
              </w:rPr>
            </w:pPr>
          </w:p>
          <w:p w14:paraId="28F8774D">
            <w:pPr>
              <w:pStyle w:val="248"/>
              <w:spacing w:before="62" w:line="256" w:lineRule="exact"/>
              <w:ind w:left="244"/>
              <w:rPr>
                <w:color w:val="auto"/>
                <w:highlight w:val="none"/>
              </w:rPr>
            </w:pPr>
            <w:r>
              <w:rPr>
                <w:color w:val="auto"/>
                <w:position w:val="1"/>
                <w:highlight w:val="none"/>
              </w:rPr>
              <w:t>6</w:t>
            </w:r>
          </w:p>
        </w:tc>
        <w:tc>
          <w:tcPr>
            <w:tcW w:w="1166" w:type="dxa"/>
            <w:vMerge w:val="restart"/>
            <w:tcBorders>
              <w:bottom w:val="nil"/>
            </w:tcBorders>
          </w:tcPr>
          <w:p w14:paraId="536D3A61">
            <w:pPr>
              <w:spacing w:line="358" w:lineRule="auto"/>
              <w:rPr>
                <w:rFonts w:ascii="Arial"/>
                <w:color w:val="auto"/>
                <w:highlight w:val="none"/>
              </w:rPr>
            </w:pPr>
          </w:p>
          <w:p w14:paraId="5B406208">
            <w:pPr>
              <w:spacing w:line="358" w:lineRule="auto"/>
              <w:rPr>
                <w:rFonts w:ascii="Arial"/>
                <w:color w:val="auto"/>
                <w:highlight w:val="none"/>
              </w:rPr>
            </w:pPr>
          </w:p>
          <w:p w14:paraId="2A1CDDEB">
            <w:pPr>
              <w:pStyle w:val="248"/>
              <w:spacing w:before="61" w:line="230" w:lineRule="auto"/>
              <w:ind w:left="9"/>
              <w:rPr>
                <w:color w:val="auto"/>
                <w:highlight w:val="none"/>
              </w:rPr>
            </w:pPr>
            <w:r>
              <w:rPr>
                <w:color w:val="auto"/>
                <w:spacing w:val="5"/>
                <w:highlight w:val="none"/>
              </w:rPr>
              <w:t>A020523制冷</w:t>
            </w:r>
          </w:p>
          <w:p w14:paraId="3B3C0E6C">
            <w:pPr>
              <w:pStyle w:val="248"/>
              <w:spacing w:before="75" w:line="230" w:lineRule="auto"/>
              <w:ind w:left="21"/>
              <w:rPr>
                <w:color w:val="auto"/>
                <w:highlight w:val="none"/>
              </w:rPr>
            </w:pPr>
            <w:r>
              <w:rPr>
                <w:color w:val="auto"/>
                <w:spacing w:val="5"/>
                <w:highlight w:val="none"/>
              </w:rPr>
              <w:t>空调设备</w:t>
            </w:r>
          </w:p>
        </w:tc>
        <w:tc>
          <w:tcPr>
            <w:tcW w:w="1799" w:type="dxa"/>
            <w:vMerge w:val="restart"/>
            <w:tcBorders>
              <w:bottom w:val="nil"/>
            </w:tcBorders>
          </w:tcPr>
          <w:p w14:paraId="7FC4ACD3">
            <w:pPr>
              <w:spacing w:line="358" w:lineRule="auto"/>
              <w:rPr>
                <w:rFonts w:ascii="Arial"/>
                <w:color w:val="auto"/>
                <w:highlight w:val="none"/>
              </w:rPr>
            </w:pPr>
          </w:p>
          <w:p w14:paraId="025DCF8A">
            <w:pPr>
              <w:spacing w:line="358" w:lineRule="auto"/>
              <w:rPr>
                <w:rFonts w:ascii="Arial"/>
                <w:color w:val="auto"/>
                <w:highlight w:val="none"/>
              </w:rPr>
            </w:pPr>
          </w:p>
          <w:p w14:paraId="521A76C8">
            <w:pPr>
              <w:pStyle w:val="248"/>
              <w:spacing w:before="62" w:line="304" w:lineRule="auto"/>
              <w:ind w:left="15" w:right="10" w:firstLine="3"/>
              <w:rPr>
                <w:color w:val="auto"/>
                <w:highlight w:val="none"/>
              </w:rPr>
            </w:pPr>
            <w:r>
              <w:rPr>
                <w:color w:val="auto"/>
                <w:spacing w:val="3"/>
                <w:highlight w:val="none"/>
              </w:rPr>
              <w:t>★A02052301 制冷压</w:t>
            </w:r>
            <w:r>
              <w:rPr>
                <w:color w:val="auto"/>
                <w:spacing w:val="5"/>
                <w:highlight w:val="none"/>
              </w:rPr>
              <w:t>缩机</w:t>
            </w:r>
          </w:p>
        </w:tc>
        <w:tc>
          <w:tcPr>
            <w:tcW w:w="1914" w:type="dxa"/>
          </w:tcPr>
          <w:p w14:paraId="6FA56B96">
            <w:pPr>
              <w:spacing w:line="251" w:lineRule="auto"/>
              <w:rPr>
                <w:rFonts w:ascii="Arial"/>
                <w:color w:val="auto"/>
                <w:highlight w:val="none"/>
              </w:rPr>
            </w:pPr>
          </w:p>
          <w:p w14:paraId="58402836">
            <w:pPr>
              <w:spacing w:line="251" w:lineRule="auto"/>
              <w:rPr>
                <w:rFonts w:ascii="Arial"/>
                <w:color w:val="auto"/>
                <w:highlight w:val="none"/>
              </w:rPr>
            </w:pPr>
          </w:p>
          <w:p w14:paraId="4B0CD20A">
            <w:pPr>
              <w:pStyle w:val="248"/>
              <w:spacing w:before="61" w:line="228" w:lineRule="auto"/>
              <w:ind w:left="18"/>
              <w:rPr>
                <w:color w:val="auto"/>
                <w:highlight w:val="none"/>
              </w:rPr>
            </w:pPr>
            <w:r>
              <w:rPr>
                <w:color w:val="auto"/>
                <w:spacing w:val="6"/>
                <w:highlight w:val="none"/>
              </w:rPr>
              <w:t>冷水机组</w:t>
            </w:r>
          </w:p>
        </w:tc>
        <w:tc>
          <w:tcPr>
            <w:tcW w:w="2969" w:type="dxa"/>
          </w:tcPr>
          <w:p w14:paraId="102E4A69">
            <w:pPr>
              <w:pStyle w:val="248"/>
              <w:spacing w:before="96" w:line="294" w:lineRule="auto"/>
              <w:ind w:left="17" w:right="11" w:firstLine="5"/>
              <w:rPr>
                <w:color w:val="auto"/>
                <w:highlight w:val="none"/>
                <w:lang w:eastAsia="zh-CN"/>
              </w:rPr>
            </w:pPr>
            <w:r>
              <w:rPr>
                <w:color w:val="auto"/>
                <w:spacing w:val="19"/>
                <w:highlight w:val="none"/>
                <w:lang w:eastAsia="zh-CN"/>
              </w:rPr>
              <w:t>《冷水机组能效限定值及能效等</w:t>
            </w:r>
            <w:r>
              <w:rPr>
                <w:color w:val="auto"/>
                <w:spacing w:val="6"/>
                <w:highlight w:val="none"/>
                <w:lang w:eastAsia="zh-CN"/>
              </w:rPr>
              <w:t>级》（</w:t>
            </w:r>
            <w:r>
              <w:rPr>
                <w:color w:val="auto"/>
                <w:highlight w:val="none"/>
                <w:lang w:eastAsia="zh-CN"/>
              </w:rPr>
              <w:t>GB</w:t>
            </w:r>
            <w:r>
              <w:rPr>
                <w:color w:val="auto"/>
                <w:spacing w:val="6"/>
                <w:highlight w:val="none"/>
                <w:lang w:eastAsia="zh-CN"/>
              </w:rPr>
              <w:t>19577</w:t>
            </w:r>
            <w:r>
              <w:rPr>
                <w:color w:val="auto"/>
                <w:spacing w:val="9"/>
                <w:highlight w:val="none"/>
                <w:lang w:eastAsia="zh-CN"/>
              </w:rPr>
              <w:t>），</w:t>
            </w:r>
            <w:r>
              <w:rPr>
                <w:color w:val="auto"/>
                <w:spacing w:val="6"/>
                <w:highlight w:val="none"/>
                <w:lang w:eastAsia="zh-CN"/>
              </w:rPr>
              <w:t>《低环境温度</w:t>
            </w:r>
            <w:r>
              <w:rPr>
                <w:color w:val="auto"/>
                <w:spacing w:val="5"/>
                <w:highlight w:val="none"/>
                <w:lang w:eastAsia="zh-CN"/>
              </w:rPr>
              <w:t>空气源热泵（冷水）机组能效限定</w:t>
            </w:r>
            <w:r>
              <w:rPr>
                <w:color w:val="auto"/>
                <w:spacing w:val="7"/>
                <w:highlight w:val="none"/>
                <w:lang w:eastAsia="zh-CN"/>
              </w:rPr>
              <w:t>值及能效等级》（</w:t>
            </w:r>
            <w:r>
              <w:rPr>
                <w:color w:val="auto"/>
                <w:highlight w:val="none"/>
                <w:lang w:eastAsia="zh-CN"/>
              </w:rPr>
              <w:t>GB</w:t>
            </w:r>
            <w:r>
              <w:rPr>
                <w:color w:val="auto"/>
                <w:spacing w:val="7"/>
                <w:highlight w:val="none"/>
                <w:lang w:eastAsia="zh-CN"/>
              </w:rPr>
              <w:t xml:space="preserve"> 37480）</w:t>
            </w:r>
          </w:p>
        </w:tc>
      </w:tr>
      <w:tr w14:paraId="19BB4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578" w:type="dxa"/>
            <w:vMerge w:val="continue"/>
            <w:tcBorders>
              <w:top w:val="nil"/>
            </w:tcBorders>
          </w:tcPr>
          <w:p w14:paraId="34713C55">
            <w:pPr>
              <w:rPr>
                <w:rFonts w:ascii="Arial"/>
                <w:color w:val="auto"/>
                <w:highlight w:val="none"/>
              </w:rPr>
            </w:pPr>
          </w:p>
        </w:tc>
        <w:tc>
          <w:tcPr>
            <w:tcW w:w="1166" w:type="dxa"/>
            <w:vMerge w:val="continue"/>
            <w:tcBorders>
              <w:top w:val="nil"/>
            </w:tcBorders>
          </w:tcPr>
          <w:p w14:paraId="6BE01472">
            <w:pPr>
              <w:rPr>
                <w:rFonts w:ascii="Arial"/>
                <w:color w:val="auto"/>
                <w:highlight w:val="none"/>
              </w:rPr>
            </w:pPr>
          </w:p>
        </w:tc>
        <w:tc>
          <w:tcPr>
            <w:tcW w:w="1799" w:type="dxa"/>
            <w:vMerge w:val="continue"/>
            <w:tcBorders>
              <w:top w:val="nil"/>
            </w:tcBorders>
          </w:tcPr>
          <w:p w14:paraId="3AB598C8">
            <w:pPr>
              <w:rPr>
                <w:rFonts w:ascii="Arial"/>
                <w:color w:val="auto"/>
                <w:highlight w:val="none"/>
              </w:rPr>
            </w:pPr>
          </w:p>
        </w:tc>
        <w:tc>
          <w:tcPr>
            <w:tcW w:w="1914" w:type="dxa"/>
          </w:tcPr>
          <w:p w14:paraId="30CC9739">
            <w:pPr>
              <w:pStyle w:val="248"/>
              <w:spacing w:before="276" w:line="228" w:lineRule="auto"/>
              <w:ind w:left="19"/>
              <w:rPr>
                <w:color w:val="auto"/>
                <w:highlight w:val="none"/>
              </w:rPr>
            </w:pPr>
            <w:r>
              <w:rPr>
                <w:color w:val="auto"/>
                <w:spacing w:val="7"/>
                <w:highlight w:val="none"/>
              </w:rPr>
              <w:t>水源热泵机组</w:t>
            </w:r>
          </w:p>
        </w:tc>
        <w:tc>
          <w:tcPr>
            <w:tcW w:w="2969" w:type="dxa"/>
          </w:tcPr>
          <w:p w14:paraId="60EBEA90">
            <w:pPr>
              <w:pStyle w:val="248"/>
              <w:spacing w:before="120" w:line="298" w:lineRule="auto"/>
              <w:ind w:left="17" w:right="13" w:firstLine="6"/>
              <w:rPr>
                <w:color w:val="auto"/>
                <w:highlight w:val="none"/>
                <w:lang w:eastAsia="zh-CN"/>
              </w:rPr>
            </w:pPr>
            <w:r>
              <w:rPr>
                <w:color w:val="auto"/>
                <w:spacing w:val="5"/>
                <w:highlight w:val="none"/>
                <w:lang w:eastAsia="zh-CN"/>
              </w:rPr>
              <w:t>《水（地）源热泵机组能效限定值</w:t>
            </w:r>
            <w:r>
              <w:rPr>
                <w:color w:val="auto"/>
                <w:spacing w:val="7"/>
                <w:highlight w:val="none"/>
                <w:lang w:eastAsia="zh-CN"/>
              </w:rPr>
              <w:t>及能效等级》（</w:t>
            </w:r>
            <w:r>
              <w:rPr>
                <w:color w:val="auto"/>
                <w:highlight w:val="none"/>
                <w:lang w:eastAsia="zh-CN"/>
              </w:rPr>
              <w:t>GB</w:t>
            </w:r>
            <w:r>
              <w:rPr>
                <w:color w:val="auto"/>
                <w:spacing w:val="7"/>
                <w:highlight w:val="none"/>
                <w:lang w:eastAsia="zh-CN"/>
              </w:rPr>
              <w:t xml:space="preserve"> 30721）</w:t>
            </w:r>
          </w:p>
        </w:tc>
      </w:tr>
    </w:tbl>
    <w:p w14:paraId="22E22931">
      <w:pPr>
        <w:rPr>
          <w:rFonts w:ascii="Arial"/>
          <w:color w:val="auto"/>
          <w:highlight w:val="none"/>
        </w:rPr>
      </w:pPr>
    </w:p>
    <w:p w14:paraId="453D73A7">
      <w:pPr>
        <w:rPr>
          <w:rFonts w:ascii="Arial" w:hAnsi="Arial" w:eastAsia="Arial" w:cs="Arial"/>
          <w:color w:val="auto"/>
          <w:szCs w:val="21"/>
          <w:highlight w:val="none"/>
        </w:rPr>
        <w:sectPr>
          <w:pgSz w:w="11906" w:h="16838"/>
          <w:pgMar w:top="1431" w:right="1691" w:bottom="0" w:left="1783" w:header="0" w:footer="0" w:gutter="0"/>
          <w:cols w:space="720" w:num="1"/>
        </w:sectPr>
      </w:pPr>
    </w:p>
    <w:p w14:paraId="31732689">
      <w:pPr>
        <w:spacing w:line="91" w:lineRule="auto"/>
        <w:rPr>
          <w:rFonts w:ascii="Arial"/>
          <w:color w:val="auto"/>
          <w:sz w:val="2"/>
          <w:highlight w:val="none"/>
        </w:rPr>
      </w:pPr>
    </w:p>
    <w:tbl>
      <w:tblPr>
        <w:tblStyle w:val="51"/>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58226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578" w:type="dxa"/>
            <w:vMerge w:val="restart"/>
            <w:tcBorders>
              <w:bottom w:val="nil"/>
            </w:tcBorders>
          </w:tcPr>
          <w:p w14:paraId="13A2347C">
            <w:pPr>
              <w:rPr>
                <w:rFonts w:ascii="Arial"/>
                <w:color w:val="auto"/>
                <w:highlight w:val="none"/>
              </w:rPr>
            </w:pPr>
          </w:p>
        </w:tc>
        <w:tc>
          <w:tcPr>
            <w:tcW w:w="1166" w:type="dxa"/>
            <w:vMerge w:val="restart"/>
            <w:tcBorders>
              <w:bottom w:val="nil"/>
            </w:tcBorders>
          </w:tcPr>
          <w:p w14:paraId="6ADC1465">
            <w:pPr>
              <w:rPr>
                <w:rFonts w:ascii="Arial"/>
                <w:color w:val="auto"/>
                <w:highlight w:val="none"/>
              </w:rPr>
            </w:pPr>
          </w:p>
        </w:tc>
        <w:tc>
          <w:tcPr>
            <w:tcW w:w="1799" w:type="dxa"/>
          </w:tcPr>
          <w:p w14:paraId="04D3D195">
            <w:pPr>
              <w:rPr>
                <w:rFonts w:ascii="Arial"/>
                <w:color w:val="auto"/>
                <w:highlight w:val="none"/>
              </w:rPr>
            </w:pPr>
          </w:p>
        </w:tc>
        <w:tc>
          <w:tcPr>
            <w:tcW w:w="1914" w:type="dxa"/>
          </w:tcPr>
          <w:p w14:paraId="3D4F1925">
            <w:pPr>
              <w:pStyle w:val="248"/>
              <w:spacing w:before="159" w:line="310" w:lineRule="auto"/>
              <w:ind w:left="19" w:right="11" w:firstLine="1"/>
              <w:rPr>
                <w:color w:val="auto"/>
                <w:highlight w:val="none"/>
                <w:lang w:eastAsia="zh-CN"/>
              </w:rPr>
            </w:pPr>
            <w:r>
              <w:rPr>
                <w:color w:val="auto"/>
                <w:spacing w:val="18"/>
                <w:highlight w:val="none"/>
                <w:lang w:eastAsia="zh-CN"/>
              </w:rPr>
              <w:t>溴化锂吸收式冷水机</w:t>
            </w:r>
            <w:r>
              <w:rPr>
                <w:color w:val="auto"/>
                <w:highlight w:val="none"/>
                <w:lang w:eastAsia="zh-CN"/>
              </w:rPr>
              <w:t>组</w:t>
            </w:r>
          </w:p>
        </w:tc>
        <w:tc>
          <w:tcPr>
            <w:tcW w:w="2969" w:type="dxa"/>
          </w:tcPr>
          <w:p w14:paraId="6251129A">
            <w:pPr>
              <w:pStyle w:val="248"/>
              <w:spacing w:before="160" w:line="304" w:lineRule="auto"/>
              <w:ind w:left="22" w:right="11"/>
              <w:rPr>
                <w:color w:val="auto"/>
                <w:highlight w:val="none"/>
                <w:lang w:eastAsia="zh-CN"/>
              </w:rPr>
            </w:pPr>
            <w:r>
              <w:rPr>
                <w:color w:val="auto"/>
                <w:spacing w:val="19"/>
                <w:highlight w:val="none"/>
                <w:lang w:eastAsia="zh-CN"/>
              </w:rPr>
              <w:t>《溴化锂吸收式冷水机组能效限</w:t>
            </w:r>
            <w:r>
              <w:rPr>
                <w:color w:val="auto"/>
                <w:spacing w:val="7"/>
                <w:highlight w:val="none"/>
                <w:lang w:eastAsia="zh-CN"/>
              </w:rPr>
              <w:t>定值及能效等级》（</w:t>
            </w:r>
            <w:r>
              <w:rPr>
                <w:color w:val="auto"/>
                <w:highlight w:val="none"/>
                <w:lang w:eastAsia="zh-CN"/>
              </w:rPr>
              <w:t>GB</w:t>
            </w:r>
            <w:r>
              <w:rPr>
                <w:color w:val="auto"/>
                <w:spacing w:val="7"/>
                <w:highlight w:val="none"/>
                <w:lang w:eastAsia="zh-CN"/>
              </w:rPr>
              <w:t xml:space="preserve"> 29540）</w:t>
            </w:r>
          </w:p>
        </w:tc>
      </w:tr>
      <w:tr w14:paraId="0A795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nil"/>
              <w:bottom w:val="nil"/>
            </w:tcBorders>
          </w:tcPr>
          <w:p w14:paraId="1AC4BF64">
            <w:pPr>
              <w:rPr>
                <w:rFonts w:ascii="Arial"/>
                <w:color w:val="auto"/>
                <w:highlight w:val="none"/>
              </w:rPr>
            </w:pPr>
          </w:p>
        </w:tc>
        <w:tc>
          <w:tcPr>
            <w:tcW w:w="1166" w:type="dxa"/>
            <w:vMerge w:val="continue"/>
            <w:tcBorders>
              <w:top w:val="nil"/>
              <w:bottom w:val="nil"/>
            </w:tcBorders>
          </w:tcPr>
          <w:p w14:paraId="75620A86">
            <w:pPr>
              <w:rPr>
                <w:rFonts w:ascii="Arial"/>
                <w:color w:val="auto"/>
                <w:highlight w:val="none"/>
              </w:rPr>
            </w:pPr>
          </w:p>
        </w:tc>
        <w:tc>
          <w:tcPr>
            <w:tcW w:w="1799" w:type="dxa"/>
            <w:vMerge w:val="restart"/>
            <w:tcBorders>
              <w:bottom w:val="nil"/>
            </w:tcBorders>
          </w:tcPr>
          <w:p w14:paraId="22587B87">
            <w:pPr>
              <w:spacing w:line="265" w:lineRule="auto"/>
              <w:rPr>
                <w:rFonts w:ascii="Arial"/>
                <w:color w:val="auto"/>
                <w:highlight w:val="none"/>
              </w:rPr>
            </w:pPr>
          </w:p>
          <w:p w14:paraId="5A53FD47">
            <w:pPr>
              <w:spacing w:line="265" w:lineRule="auto"/>
              <w:rPr>
                <w:rFonts w:ascii="Arial"/>
                <w:color w:val="auto"/>
                <w:highlight w:val="none"/>
              </w:rPr>
            </w:pPr>
          </w:p>
          <w:p w14:paraId="3022EDA2">
            <w:pPr>
              <w:spacing w:line="266" w:lineRule="auto"/>
              <w:rPr>
                <w:rFonts w:ascii="Arial"/>
                <w:color w:val="auto"/>
                <w:highlight w:val="none"/>
              </w:rPr>
            </w:pPr>
          </w:p>
          <w:p w14:paraId="7602AFBB">
            <w:pPr>
              <w:pStyle w:val="248"/>
              <w:spacing w:before="62" w:line="310" w:lineRule="auto"/>
              <w:ind w:left="17" w:right="10"/>
              <w:rPr>
                <w:color w:val="auto"/>
                <w:highlight w:val="none"/>
              </w:rPr>
            </w:pPr>
            <w:r>
              <w:rPr>
                <w:color w:val="auto"/>
                <w:spacing w:val="3"/>
                <w:highlight w:val="none"/>
              </w:rPr>
              <w:t>★A02052305 空调机</w:t>
            </w:r>
            <w:r>
              <w:rPr>
                <w:color w:val="auto"/>
                <w:highlight w:val="none"/>
              </w:rPr>
              <w:t>组</w:t>
            </w:r>
          </w:p>
        </w:tc>
        <w:tc>
          <w:tcPr>
            <w:tcW w:w="1914" w:type="dxa"/>
          </w:tcPr>
          <w:p w14:paraId="267200E0">
            <w:pPr>
              <w:pStyle w:val="248"/>
              <w:spacing w:before="65" w:line="284" w:lineRule="auto"/>
              <w:ind w:left="15" w:right="11" w:firstLine="10"/>
              <w:rPr>
                <w:color w:val="auto"/>
                <w:highlight w:val="none"/>
                <w:lang w:eastAsia="zh-CN"/>
              </w:rPr>
            </w:pPr>
            <w:r>
              <w:rPr>
                <w:color w:val="auto"/>
                <w:spacing w:val="15"/>
                <w:highlight w:val="none"/>
                <w:lang w:eastAsia="zh-CN"/>
              </w:rPr>
              <w:t>多联式空调（热泵）</w:t>
            </w:r>
            <w:r>
              <w:rPr>
                <w:color w:val="auto"/>
                <w:spacing w:val="-8"/>
                <w:highlight w:val="none"/>
                <w:lang w:eastAsia="zh-CN"/>
              </w:rPr>
              <w:t>机组(制冷</w:t>
            </w:r>
            <w:r>
              <w:rPr>
                <w:color w:val="auto"/>
                <w:spacing w:val="5"/>
                <w:highlight w:val="none"/>
                <w:lang w:eastAsia="zh-CN"/>
              </w:rPr>
              <w:t>量&gt;14000W)</w:t>
            </w:r>
          </w:p>
        </w:tc>
        <w:tc>
          <w:tcPr>
            <w:tcW w:w="2969" w:type="dxa"/>
          </w:tcPr>
          <w:p w14:paraId="7F416BB1">
            <w:pPr>
              <w:pStyle w:val="248"/>
              <w:spacing w:before="221" w:line="305" w:lineRule="auto"/>
              <w:ind w:left="22"/>
              <w:rPr>
                <w:color w:val="auto"/>
                <w:highlight w:val="none"/>
                <w:lang w:eastAsia="zh-CN"/>
              </w:rPr>
            </w:pPr>
            <w:r>
              <w:rPr>
                <w:color w:val="auto"/>
                <w:highlight w:val="none"/>
                <w:lang w:eastAsia="zh-CN"/>
              </w:rPr>
              <w:t>《多联式空调（热泵）机组能效限</w:t>
            </w:r>
            <w:r>
              <w:rPr>
                <w:color w:val="auto"/>
                <w:spacing w:val="-4"/>
                <w:highlight w:val="none"/>
                <w:lang w:eastAsia="zh-CN"/>
              </w:rPr>
              <w:t>定值及能源效率等级》（GB21454）</w:t>
            </w:r>
          </w:p>
        </w:tc>
      </w:tr>
      <w:tr w14:paraId="5BDDA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trPr>
        <w:tc>
          <w:tcPr>
            <w:tcW w:w="578" w:type="dxa"/>
            <w:vMerge w:val="continue"/>
            <w:tcBorders>
              <w:top w:val="nil"/>
              <w:bottom w:val="nil"/>
            </w:tcBorders>
          </w:tcPr>
          <w:p w14:paraId="6405B990">
            <w:pPr>
              <w:rPr>
                <w:rFonts w:ascii="Arial"/>
                <w:color w:val="auto"/>
                <w:highlight w:val="none"/>
              </w:rPr>
            </w:pPr>
          </w:p>
        </w:tc>
        <w:tc>
          <w:tcPr>
            <w:tcW w:w="1166" w:type="dxa"/>
            <w:vMerge w:val="continue"/>
            <w:tcBorders>
              <w:top w:val="nil"/>
              <w:bottom w:val="nil"/>
            </w:tcBorders>
          </w:tcPr>
          <w:p w14:paraId="2B69FA26">
            <w:pPr>
              <w:rPr>
                <w:rFonts w:ascii="Arial"/>
                <w:color w:val="auto"/>
                <w:highlight w:val="none"/>
              </w:rPr>
            </w:pPr>
          </w:p>
        </w:tc>
        <w:tc>
          <w:tcPr>
            <w:tcW w:w="1799" w:type="dxa"/>
            <w:vMerge w:val="continue"/>
            <w:tcBorders>
              <w:top w:val="nil"/>
            </w:tcBorders>
          </w:tcPr>
          <w:p w14:paraId="791D242F">
            <w:pPr>
              <w:rPr>
                <w:rFonts w:ascii="Arial"/>
                <w:color w:val="auto"/>
                <w:highlight w:val="none"/>
              </w:rPr>
            </w:pPr>
          </w:p>
        </w:tc>
        <w:tc>
          <w:tcPr>
            <w:tcW w:w="1914" w:type="dxa"/>
          </w:tcPr>
          <w:p w14:paraId="55CC697B">
            <w:pPr>
              <w:spacing w:line="319" w:lineRule="auto"/>
              <w:rPr>
                <w:rFonts w:ascii="Arial"/>
                <w:color w:val="auto"/>
                <w:highlight w:val="none"/>
              </w:rPr>
            </w:pPr>
          </w:p>
          <w:p w14:paraId="126C08C5">
            <w:pPr>
              <w:pStyle w:val="248"/>
              <w:spacing w:before="62" w:line="305" w:lineRule="auto"/>
              <w:ind w:left="51" w:right="11" w:hanging="33"/>
              <w:rPr>
                <w:color w:val="auto"/>
                <w:highlight w:val="none"/>
                <w:lang w:eastAsia="zh-CN"/>
              </w:rPr>
            </w:pPr>
            <w:r>
              <w:rPr>
                <w:color w:val="auto"/>
                <w:spacing w:val="44"/>
                <w:highlight w:val="none"/>
                <w:lang w:eastAsia="zh-CN"/>
              </w:rPr>
              <w:t>单元式空气调节机</w:t>
            </w:r>
            <w:r>
              <w:rPr>
                <w:color w:val="auto"/>
                <w:spacing w:val="2"/>
                <w:highlight w:val="none"/>
                <w:lang w:eastAsia="zh-CN"/>
              </w:rPr>
              <w:t>(制冷量&gt;14000W)</w:t>
            </w:r>
          </w:p>
        </w:tc>
        <w:tc>
          <w:tcPr>
            <w:tcW w:w="2969" w:type="dxa"/>
          </w:tcPr>
          <w:p w14:paraId="6331D2C9">
            <w:pPr>
              <w:pStyle w:val="248"/>
              <w:spacing w:before="72" w:line="290" w:lineRule="auto"/>
              <w:ind w:left="16" w:right="11" w:firstLine="6"/>
              <w:rPr>
                <w:color w:val="auto"/>
                <w:highlight w:val="none"/>
                <w:lang w:eastAsia="zh-CN"/>
              </w:rPr>
            </w:pPr>
            <w:r>
              <w:rPr>
                <w:color w:val="auto"/>
                <w:spacing w:val="19"/>
                <w:highlight w:val="none"/>
                <w:lang w:eastAsia="zh-CN"/>
              </w:rPr>
              <w:t>《单元式空气调节机能效限定值</w:t>
            </w:r>
            <w:r>
              <w:rPr>
                <w:color w:val="auto"/>
                <w:spacing w:val="6"/>
                <w:highlight w:val="none"/>
                <w:lang w:eastAsia="zh-CN"/>
              </w:rPr>
              <w:t>及能效等级》（</w:t>
            </w:r>
            <w:r>
              <w:rPr>
                <w:color w:val="auto"/>
                <w:highlight w:val="none"/>
                <w:lang w:eastAsia="zh-CN"/>
              </w:rPr>
              <w:t>GB</w:t>
            </w:r>
            <w:r>
              <w:rPr>
                <w:color w:val="auto"/>
                <w:spacing w:val="6"/>
                <w:highlight w:val="none"/>
                <w:lang w:eastAsia="zh-CN"/>
              </w:rPr>
              <w:t>19576）《风管</w:t>
            </w:r>
            <w:r>
              <w:rPr>
                <w:color w:val="auto"/>
                <w:spacing w:val="19"/>
                <w:highlight w:val="none"/>
                <w:lang w:eastAsia="zh-CN"/>
              </w:rPr>
              <w:t>送风式空调机组能效限定值及能</w:t>
            </w:r>
            <w:r>
              <w:rPr>
                <w:color w:val="auto"/>
                <w:spacing w:val="7"/>
                <w:highlight w:val="none"/>
                <w:lang w:eastAsia="zh-CN"/>
              </w:rPr>
              <w:t>效等级》（</w:t>
            </w:r>
            <w:r>
              <w:rPr>
                <w:color w:val="auto"/>
                <w:highlight w:val="none"/>
                <w:lang w:eastAsia="zh-CN"/>
              </w:rPr>
              <w:t>GB</w:t>
            </w:r>
            <w:r>
              <w:rPr>
                <w:color w:val="auto"/>
                <w:spacing w:val="7"/>
                <w:highlight w:val="none"/>
                <w:lang w:eastAsia="zh-CN"/>
              </w:rPr>
              <w:t xml:space="preserve"> 37479）</w:t>
            </w:r>
          </w:p>
        </w:tc>
      </w:tr>
      <w:tr w14:paraId="4EDAD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78" w:type="dxa"/>
            <w:vMerge w:val="continue"/>
            <w:tcBorders>
              <w:top w:val="nil"/>
              <w:bottom w:val="nil"/>
            </w:tcBorders>
          </w:tcPr>
          <w:p w14:paraId="08C748E9">
            <w:pPr>
              <w:rPr>
                <w:rFonts w:ascii="Arial"/>
                <w:color w:val="auto"/>
                <w:highlight w:val="none"/>
              </w:rPr>
            </w:pPr>
          </w:p>
        </w:tc>
        <w:tc>
          <w:tcPr>
            <w:tcW w:w="1166" w:type="dxa"/>
            <w:vMerge w:val="continue"/>
            <w:tcBorders>
              <w:top w:val="nil"/>
              <w:bottom w:val="nil"/>
            </w:tcBorders>
          </w:tcPr>
          <w:p w14:paraId="437FEA51">
            <w:pPr>
              <w:rPr>
                <w:rFonts w:ascii="Arial"/>
                <w:color w:val="auto"/>
                <w:highlight w:val="none"/>
              </w:rPr>
            </w:pPr>
          </w:p>
        </w:tc>
        <w:tc>
          <w:tcPr>
            <w:tcW w:w="1799" w:type="dxa"/>
          </w:tcPr>
          <w:p w14:paraId="4AA4A33E">
            <w:pPr>
              <w:pStyle w:val="248"/>
              <w:spacing w:before="146" w:line="303" w:lineRule="auto"/>
              <w:ind w:left="17" w:right="10" w:firstLine="1"/>
              <w:rPr>
                <w:color w:val="auto"/>
                <w:highlight w:val="none"/>
                <w:lang w:eastAsia="zh-CN"/>
              </w:rPr>
            </w:pPr>
            <w:r>
              <w:rPr>
                <w:color w:val="auto"/>
                <w:spacing w:val="3"/>
                <w:highlight w:val="none"/>
                <w:lang w:eastAsia="zh-CN"/>
              </w:rPr>
              <w:t>★A02052309 专用制</w:t>
            </w:r>
            <w:r>
              <w:rPr>
                <w:color w:val="auto"/>
                <w:spacing w:val="8"/>
                <w:highlight w:val="none"/>
                <w:lang w:eastAsia="zh-CN"/>
              </w:rPr>
              <w:t>冷、空调设备</w:t>
            </w:r>
          </w:p>
        </w:tc>
        <w:tc>
          <w:tcPr>
            <w:tcW w:w="1914" w:type="dxa"/>
          </w:tcPr>
          <w:p w14:paraId="48B1F26C">
            <w:pPr>
              <w:pStyle w:val="248"/>
              <w:spacing w:before="300" w:line="228" w:lineRule="auto"/>
              <w:ind w:left="15"/>
              <w:rPr>
                <w:color w:val="auto"/>
                <w:highlight w:val="none"/>
              </w:rPr>
            </w:pPr>
            <w:r>
              <w:rPr>
                <w:color w:val="auto"/>
                <w:spacing w:val="7"/>
                <w:highlight w:val="none"/>
              </w:rPr>
              <w:t>机房空调</w:t>
            </w:r>
          </w:p>
        </w:tc>
        <w:tc>
          <w:tcPr>
            <w:tcW w:w="2969" w:type="dxa"/>
          </w:tcPr>
          <w:p w14:paraId="5D6A0CE9">
            <w:pPr>
              <w:pStyle w:val="248"/>
              <w:spacing w:before="146" w:line="302" w:lineRule="auto"/>
              <w:ind w:left="17" w:right="11" w:firstLine="6"/>
              <w:rPr>
                <w:color w:val="auto"/>
                <w:highlight w:val="none"/>
                <w:lang w:eastAsia="zh-CN"/>
              </w:rPr>
            </w:pPr>
            <w:r>
              <w:rPr>
                <w:color w:val="auto"/>
                <w:spacing w:val="19"/>
                <w:highlight w:val="none"/>
                <w:lang w:eastAsia="zh-CN"/>
              </w:rPr>
              <w:t>《单元式空气调节机能效限定值</w:t>
            </w:r>
            <w:r>
              <w:rPr>
                <w:color w:val="auto"/>
                <w:spacing w:val="5"/>
                <w:highlight w:val="none"/>
                <w:lang w:eastAsia="zh-CN"/>
              </w:rPr>
              <w:t>及能效等级》（</w:t>
            </w:r>
            <w:r>
              <w:rPr>
                <w:color w:val="auto"/>
                <w:highlight w:val="none"/>
                <w:lang w:eastAsia="zh-CN"/>
              </w:rPr>
              <w:t>GB</w:t>
            </w:r>
            <w:r>
              <w:rPr>
                <w:color w:val="auto"/>
                <w:spacing w:val="5"/>
                <w:highlight w:val="none"/>
                <w:lang w:eastAsia="zh-CN"/>
              </w:rPr>
              <w:t>19576）</w:t>
            </w:r>
          </w:p>
        </w:tc>
      </w:tr>
      <w:tr w14:paraId="113C35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578" w:type="dxa"/>
            <w:vMerge w:val="continue"/>
            <w:tcBorders>
              <w:top w:val="nil"/>
            </w:tcBorders>
          </w:tcPr>
          <w:p w14:paraId="66C23A1D">
            <w:pPr>
              <w:rPr>
                <w:rFonts w:ascii="Arial"/>
                <w:color w:val="auto"/>
                <w:highlight w:val="none"/>
              </w:rPr>
            </w:pPr>
          </w:p>
        </w:tc>
        <w:tc>
          <w:tcPr>
            <w:tcW w:w="1166" w:type="dxa"/>
            <w:vMerge w:val="continue"/>
            <w:tcBorders>
              <w:top w:val="nil"/>
            </w:tcBorders>
          </w:tcPr>
          <w:p w14:paraId="79B41B11">
            <w:pPr>
              <w:rPr>
                <w:rFonts w:ascii="Arial"/>
                <w:color w:val="auto"/>
                <w:highlight w:val="none"/>
              </w:rPr>
            </w:pPr>
          </w:p>
        </w:tc>
        <w:tc>
          <w:tcPr>
            <w:tcW w:w="1799" w:type="dxa"/>
          </w:tcPr>
          <w:p w14:paraId="5A03D497">
            <w:pPr>
              <w:spacing w:line="265" w:lineRule="auto"/>
              <w:rPr>
                <w:rFonts w:ascii="Arial"/>
                <w:color w:val="auto"/>
                <w:highlight w:val="none"/>
              </w:rPr>
            </w:pPr>
          </w:p>
          <w:p w14:paraId="7A17A09A">
            <w:pPr>
              <w:spacing w:line="265" w:lineRule="auto"/>
              <w:rPr>
                <w:rFonts w:ascii="Arial"/>
                <w:color w:val="auto"/>
                <w:highlight w:val="none"/>
              </w:rPr>
            </w:pPr>
          </w:p>
          <w:p w14:paraId="34E03DD7">
            <w:pPr>
              <w:pStyle w:val="248"/>
              <w:spacing w:before="62" w:line="230" w:lineRule="auto"/>
              <w:ind w:left="9"/>
              <w:rPr>
                <w:color w:val="auto"/>
                <w:highlight w:val="none"/>
              </w:rPr>
            </w:pPr>
            <w:r>
              <w:rPr>
                <w:color w:val="auto"/>
                <w:spacing w:val="4"/>
                <w:highlight w:val="none"/>
              </w:rPr>
              <w:t>A02052399 其他制冷</w:t>
            </w:r>
          </w:p>
          <w:p w14:paraId="54080246">
            <w:pPr>
              <w:pStyle w:val="248"/>
              <w:spacing w:before="75" w:line="230" w:lineRule="auto"/>
              <w:ind w:left="21"/>
              <w:rPr>
                <w:color w:val="auto"/>
                <w:highlight w:val="none"/>
              </w:rPr>
            </w:pPr>
            <w:r>
              <w:rPr>
                <w:color w:val="auto"/>
                <w:spacing w:val="5"/>
                <w:highlight w:val="none"/>
              </w:rPr>
              <w:t>空调设备</w:t>
            </w:r>
          </w:p>
        </w:tc>
        <w:tc>
          <w:tcPr>
            <w:tcW w:w="1914" w:type="dxa"/>
          </w:tcPr>
          <w:p w14:paraId="5DD77792">
            <w:pPr>
              <w:spacing w:line="343" w:lineRule="auto"/>
              <w:rPr>
                <w:rFonts w:ascii="Arial"/>
                <w:color w:val="auto"/>
                <w:highlight w:val="none"/>
              </w:rPr>
            </w:pPr>
          </w:p>
          <w:p w14:paraId="3DEE0EB8">
            <w:pPr>
              <w:spacing w:line="343" w:lineRule="auto"/>
              <w:rPr>
                <w:rFonts w:ascii="Arial"/>
                <w:color w:val="auto"/>
                <w:highlight w:val="none"/>
              </w:rPr>
            </w:pPr>
          </w:p>
          <w:p w14:paraId="3E0228C4">
            <w:pPr>
              <w:pStyle w:val="248"/>
              <w:spacing w:before="62" w:line="231" w:lineRule="auto"/>
              <w:ind w:left="18"/>
              <w:rPr>
                <w:color w:val="auto"/>
                <w:highlight w:val="none"/>
              </w:rPr>
            </w:pPr>
            <w:r>
              <w:rPr>
                <w:color w:val="auto"/>
                <w:spacing w:val="6"/>
                <w:highlight w:val="none"/>
              </w:rPr>
              <w:t>冷却塔</w:t>
            </w:r>
          </w:p>
        </w:tc>
        <w:tc>
          <w:tcPr>
            <w:tcW w:w="2969" w:type="dxa"/>
          </w:tcPr>
          <w:p w14:paraId="3CDEC010">
            <w:pPr>
              <w:pStyle w:val="248"/>
              <w:spacing w:before="284" w:line="304" w:lineRule="auto"/>
              <w:ind w:left="23"/>
              <w:rPr>
                <w:color w:val="auto"/>
                <w:highlight w:val="none"/>
                <w:lang w:eastAsia="zh-CN"/>
              </w:rPr>
            </w:pPr>
            <w:r>
              <w:rPr>
                <w:color w:val="auto"/>
                <w:spacing w:val="2"/>
                <w:highlight w:val="none"/>
                <w:lang w:eastAsia="zh-CN"/>
              </w:rPr>
              <w:t>《机械通风冷却塔 第 1 部分：中</w:t>
            </w:r>
            <w:r>
              <w:rPr>
                <w:color w:val="auto"/>
                <w:spacing w:val="-6"/>
                <w:highlight w:val="none"/>
                <w:lang w:eastAsia="zh-CN"/>
              </w:rPr>
              <w:t>小型开式冷却塔》（GB/T7190.1</w:t>
            </w:r>
            <w:r>
              <w:rPr>
                <w:color w:val="auto"/>
                <w:spacing w:val="-49"/>
                <w:w w:val="97"/>
                <w:highlight w:val="none"/>
                <w:lang w:eastAsia="zh-CN"/>
              </w:rPr>
              <w:t>）；</w:t>
            </w:r>
            <w:r>
              <w:rPr>
                <w:color w:val="auto"/>
                <w:spacing w:val="2"/>
                <w:highlight w:val="none"/>
                <w:lang w:eastAsia="zh-CN"/>
              </w:rPr>
              <w:t>《机械通风冷却塔 第 2 部分：大</w:t>
            </w:r>
            <w:r>
              <w:rPr>
                <w:color w:val="auto"/>
                <w:spacing w:val="4"/>
                <w:highlight w:val="none"/>
                <w:lang w:eastAsia="zh-CN"/>
              </w:rPr>
              <w:t>型开式冷却塔》（</w:t>
            </w:r>
            <w:r>
              <w:rPr>
                <w:color w:val="auto"/>
                <w:highlight w:val="none"/>
                <w:lang w:eastAsia="zh-CN"/>
              </w:rPr>
              <w:t>GB</w:t>
            </w:r>
            <w:r>
              <w:rPr>
                <w:color w:val="auto"/>
                <w:spacing w:val="4"/>
                <w:highlight w:val="none"/>
                <w:lang w:eastAsia="zh-CN"/>
              </w:rPr>
              <w:t xml:space="preserve"> /T 7190.2）</w:t>
            </w:r>
          </w:p>
        </w:tc>
      </w:tr>
      <w:tr w14:paraId="2B9E3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tcPr>
          <w:p w14:paraId="41051B34">
            <w:pPr>
              <w:pStyle w:val="248"/>
              <w:spacing w:before="272" w:line="257" w:lineRule="exact"/>
              <w:ind w:left="247"/>
              <w:rPr>
                <w:color w:val="auto"/>
                <w:highlight w:val="none"/>
              </w:rPr>
            </w:pPr>
            <w:r>
              <w:rPr>
                <w:color w:val="auto"/>
                <w:position w:val="1"/>
                <w:highlight w:val="none"/>
              </w:rPr>
              <w:t>7</w:t>
            </w:r>
          </w:p>
        </w:tc>
        <w:tc>
          <w:tcPr>
            <w:tcW w:w="1166" w:type="dxa"/>
          </w:tcPr>
          <w:p w14:paraId="5A6FDA16">
            <w:pPr>
              <w:pStyle w:val="248"/>
              <w:spacing w:before="273" w:line="228" w:lineRule="auto"/>
              <w:ind w:left="9"/>
              <w:rPr>
                <w:color w:val="auto"/>
                <w:highlight w:val="none"/>
              </w:rPr>
            </w:pPr>
            <w:r>
              <w:rPr>
                <w:color w:val="auto"/>
                <w:spacing w:val="3"/>
                <w:highlight w:val="none"/>
              </w:rPr>
              <w:t>A020601电机</w:t>
            </w:r>
          </w:p>
        </w:tc>
        <w:tc>
          <w:tcPr>
            <w:tcW w:w="1799" w:type="dxa"/>
          </w:tcPr>
          <w:p w14:paraId="32931B14">
            <w:pPr>
              <w:rPr>
                <w:rFonts w:ascii="Arial"/>
                <w:color w:val="auto"/>
                <w:highlight w:val="none"/>
              </w:rPr>
            </w:pPr>
          </w:p>
        </w:tc>
        <w:tc>
          <w:tcPr>
            <w:tcW w:w="1914" w:type="dxa"/>
          </w:tcPr>
          <w:p w14:paraId="0EA0D14E">
            <w:pPr>
              <w:rPr>
                <w:rFonts w:ascii="Arial"/>
                <w:color w:val="auto"/>
                <w:highlight w:val="none"/>
              </w:rPr>
            </w:pPr>
          </w:p>
        </w:tc>
        <w:tc>
          <w:tcPr>
            <w:tcW w:w="2969" w:type="dxa"/>
          </w:tcPr>
          <w:p w14:paraId="26625C22">
            <w:pPr>
              <w:pStyle w:val="248"/>
              <w:spacing w:before="116" w:line="296" w:lineRule="auto"/>
              <w:ind w:left="22" w:right="11"/>
              <w:rPr>
                <w:color w:val="auto"/>
                <w:highlight w:val="none"/>
                <w:lang w:eastAsia="zh-CN"/>
              </w:rPr>
            </w:pPr>
            <w:r>
              <w:rPr>
                <w:color w:val="auto"/>
                <w:spacing w:val="19"/>
                <w:highlight w:val="none"/>
                <w:lang w:eastAsia="zh-CN"/>
              </w:rPr>
              <w:t>《中小型三相异步电动机能效限</w:t>
            </w:r>
            <w:r>
              <w:rPr>
                <w:color w:val="auto"/>
                <w:spacing w:val="5"/>
                <w:highlight w:val="none"/>
                <w:lang w:eastAsia="zh-CN"/>
              </w:rPr>
              <w:t>定值及能效等级》（</w:t>
            </w:r>
            <w:r>
              <w:rPr>
                <w:color w:val="auto"/>
                <w:highlight w:val="none"/>
                <w:lang w:eastAsia="zh-CN"/>
              </w:rPr>
              <w:t>GB</w:t>
            </w:r>
            <w:r>
              <w:rPr>
                <w:color w:val="auto"/>
                <w:spacing w:val="5"/>
                <w:highlight w:val="none"/>
                <w:lang w:eastAsia="zh-CN"/>
              </w:rPr>
              <w:t>18613）</w:t>
            </w:r>
          </w:p>
        </w:tc>
      </w:tr>
      <w:tr w14:paraId="55A5E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578" w:type="dxa"/>
          </w:tcPr>
          <w:p w14:paraId="44C0B01D">
            <w:pPr>
              <w:pStyle w:val="248"/>
              <w:spacing w:before="251" w:line="257" w:lineRule="exact"/>
              <w:ind w:left="243"/>
              <w:rPr>
                <w:color w:val="auto"/>
                <w:highlight w:val="none"/>
              </w:rPr>
            </w:pPr>
            <w:r>
              <w:rPr>
                <w:color w:val="auto"/>
                <w:position w:val="1"/>
                <w:highlight w:val="none"/>
              </w:rPr>
              <w:t>8</w:t>
            </w:r>
          </w:p>
        </w:tc>
        <w:tc>
          <w:tcPr>
            <w:tcW w:w="1166" w:type="dxa"/>
          </w:tcPr>
          <w:p w14:paraId="58F6A178">
            <w:pPr>
              <w:pStyle w:val="248"/>
              <w:spacing w:before="96" w:line="285" w:lineRule="auto"/>
              <w:ind w:left="15" w:right="8" w:hanging="6"/>
              <w:rPr>
                <w:color w:val="auto"/>
                <w:highlight w:val="none"/>
              </w:rPr>
            </w:pPr>
            <w:r>
              <w:rPr>
                <w:color w:val="auto"/>
                <w:spacing w:val="5"/>
                <w:highlight w:val="none"/>
              </w:rPr>
              <w:t>A020602变压</w:t>
            </w:r>
            <w:r>
              <w:rPr>
                <w:color w:val="auto"/>
                <w:spacing w:val="1"/>
                <w:highlight w:val="none"/>
              </w:rPr>
              <w:t>器</w:t>
            </w:r>
          </w:p>
        </w:tc>
        <w:tc>
          <w:tcPr>
            <w:tcW w:w="1799" w:type="dxa"/>
          </w:tcPr>
          <w:p w14:paraId="613621FA">
            <w:pPr>
              <w:pStyle w:val="248"/>
              <w:spacing w:before="252" w:line="230" w:lineRule="auto"/>
              <w:ind w:left="15"/>
              <w:rPr>
                <w:color w:val="auto"/>
                <w:highlight w:val="none"/>
              </w:rPr>
            </w:pPr>
            <w:r>
              <w:rPr>
                <w:color w:val="auto"/>
                <w:spacing w:val="8"/>
                <w:highlight w:val="none"/>
              </w:rPr>
              <w:t>配电变压器</w:t>
            </w:r>
          </w:p>
        </w:tc>
        <w:tc>
          <w:tcPr>
            <w:tcW w:w="1914" w:type="dxa"/>
          </w:tcPr>
          <w:p w14:paraId="2E840E57">
            <w:pPr>
              <w:rPr>
                <w:rFonts w:ascii="Arial"/>
                <w:color w:val="auto"/>
                <w:highlight w:val="none"/>
              </w:rPr>
            </w:pPr>
          </w:p>
        </w:tc>
        <w:tc>
          <w:tcPr>
            <w:tcW w:w="2969" w:type="dxa"/>
          </w:tcPr>
          <w:p w14:paraId="060F4068">
            <w:pPr>
              <w:pStyle w:val="248"/>
              <w:spacing w:before="96" w:line="285" w:lineRule="auto"/>
              <w:ind w:left="25" w:right="11" w:hanging="2"/>
              <w:rPr>
                <w:color w:val="auto"/>
                <w:highlight w:val="none"/>
                <w:lang w:eastAsia="zh-CN"/>
              </w:rPr>
            </w:pPr>
            <w:r>
              <w:rPr>
                <w:color w:val="auto"/>
                <w:spacing w:val="19"/>
                <w:highlight w:val="none"/>
                <w:lang w:eastAsia="zh-CN"/>
              </w:rPr>
              <w:t>《三相配电变压器能效限定值及</w:t>
            </w:r>
            <w:r>
              <w:rPr>
                <w:color w:val="auto"/>
                <w:spacing w:val="6"/>
                <w:highlight w:val="none"/>
                <w:lang w:eastAsia="zh-CN"/>
              </w:rPr>
              <w:t>能效等级》（</w:t>
            </w:r>
            <w:r>
              <w:rPr>
                <w:color w:val="auto"/>
                <w:highlight w:val="none"/>
                <w:lang w:eastAsia="zh-CN"/>
              </w:rPr>
              <w:t>GB</w:t>
            </w:r>
            <w:r>
              <w:rPr>
                <w:color w:val="auto"/>
                <w:spacing w:val="6"/>
                <w:highlight w:val="none"/>
                <w:lang w:eastAsia="zh-CN"/>
              </w:rPr>
              <w:t xml:space="preserve"> 20052）</w:t>
            </w:r>
          </w:p>
        </w:tc>
      </w:tr>
      <w:tr w14:paraId="67F46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578" w:type="dxa"/>
          </w:tcPr>
          <w:p w14:paraId="6CC6EBB0">
            <w:pPr>
              <w:spacing w:line="284" w:lineRule="auto"/>
              <w:rPr>
                <w:rFonts w:ascii="Arial"/>
                <w:color w:val="auto"/>
                <w:highlight w:val="none"/>
              </w:rPr>
            </w:pPr>
          </w:p>
          <w:p w14:paraId="2632D8E2">
            <w:pPr>
              <w:pStyle w:val="248"/>
              <w:spacing w:before="62" w:line="256" w:lineRule="exact"/>
              <w:ind w:left="243"/>
              <w:rPr>
                <w:color w:val="auto"/>
                <w:highlight w:val="none"/>
              </w:rPr>
            </w:pPr>
            <w:r>
              <w:rPr>
                <w:color w:val="auto"/>
                <w:position w:val="1"/>
                <w:highlight w:val="none"/>
              </w:rPr>
              <w:t>9</w:t>
            </w:r>
          </w:p>
        </w:tc>
        <w:tc>
          <w:tcPr>
            <w:tcW w:w="1166" w:type="dxa"/>
          </w:tcPr>
          <w:p w14:paraId="3BEAB234">
            <w:pPr>
              <w:pStyle w:val="248"/>
              <w:spacing w:before="192" w:line="306" w:lineRule="auto"/>
              <w:ind w:left="16" w:right="8" w:firstLine="2"/>
              <w:rPr>
                <w:color w:val="auto"/>
                <w:highlight w:val="none"/>
              </w:rPr>
            </w:pPr>
            <w:r>
              <w:rPr>
                <w:color w:val="auto"/>
                <w:spacing w:val="4"/>
                <w:highlight w:val="none"/>
              </w:rPr>
              <w:t>★A020609镇流器</w:t>
            </w:r>
          </w:p>
        </w:tc>
        <w:tc>
          <w:tcPr>
            <w:tcW w:w="1799" w:type="dxa"/>
          </w:tcPr>
          <w:p w14:paraId="628F3FC1">
            <w:pPr>
              <w:spacing w:line="284" w:lineRule="auto"/>
              <w:rPr>
                <w:rFonts w:ascii="Arial"/>
                <w:color w:val="auto"/>
                <w:highlight w:val="none"/>
              </w:rPr>
            </w:pPr>
          </w:p>
          <w:p w14:paraId="7C0E80D6">
            <w:pPr>
              <w:pStyle w:val="248"/>
              <w:spacing w:before="62" w:line="229" w:lineRule="auto"/>
              <w:ind w:left="19"/>
              <w:rPr>
                <w:color w:val="auto"/>
                <w:highlight w:val="none"/>
              </w:rPr>
            </w:pPr>
            <w:r>
              <w:rPr>
                <w:color w:val="auto"/>
                <w:spacing w:val="8"/>
                <w:highlight w:val="none"/>
              </w:rPr>
              <w:t>管型荧光灯镇流器</w:t>
            </w:r>
          </w:p>
        </w:tc>
        <w:tc>
          <w:tcPr>
            <w:tcW w:w="1914" w:type="dxa"/>
          </w:tcPr>
          <w:p w14:paraId="00D104C1">
            <w:pPr>
              <w:rPr>
                <w:rFonts w:ascii="Arial"/>
                <w:color w:val="auto"/>
                <w:highlight w:val="none"/>
              </w:rPr>
            </w:pPr>
          </w:p>
        </w:tc>
        <w:tc>
          <w:tcPr>
            <w:tcW w:w="2969" w:type="dxa"/>
          </w:tcPr>
          <w:p w14:paraId="7781A477">
            <w:pPr>
              <w:pStyle w:val="248"/>
              <w:spacing w:before="192" w:line="304" w:lineRule="auto"/>
              <w:ind w:left="17" w:right="11" w:firstLine="6"/>
              <w:rPr>
                <w:color w:val="auto"/>
                <w:highlight w:val="none"/>
                <w:lang w:eastAsia="zh-CN"/>
              </w:rPr>
            </w:pPr>
            <w:r>
              <w:rPr>
                <w:color w:val="auto"/>
                <w:spacing w:val="19"/>
                <w:highlight w:val="none"/>
                <w:lang w:eastAsia="zh-CN"/>
              </w:rPr>
              <w:t>《管形荧光灯镇流器能效限定值</w:t>
            </w:r>
            <w:r>
              <w:rPr>
                <w:color w:val="auto"/>
                <w:spacing w:val="5"/>
                <w:highlight w:val="none"/>
                <w:lang w:eastAsia="zh-CN"/>
              </w:rPr>
              <w:t>及能效等级》（</w:t>
            </w:r>
            <w:r>
              <w:rPr>
                <w:color w:val="auto"/>
                <w:highlight w:val="none"/>
                <w:lang w:eastAsia="zh-CN"/>
              </w:rPr>
              <w:t>GB</w:t>
            </w:r>
            <w:r>
              <w:rPr>
                <w:color w:val="auto"/>
                <w:spacing w:val="5"/>
                <w:highlight w:val="none"/>
                <w:lang w:eastAsia="zh-CN"/>
              </w:rPr>
              <w:t>17896）</w:t>
            </w:r>
          </w:p>
        </w:tc>
      </w:tr>
      <w:tr w14:paraId="2D06A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578" w:type="dxa"/>
            <w:vMerge w:val="restart"/>
            <w:tcBorders>
              <w:bottom w:val="nil"/>
            </w:tcBorders>
          </w:tcPr>
          <w:p w14:paraId="5E8435FF">
            <w:pPr>
              <w:spacing w:line="258" w:lineRule="auto"/>
              <w:rPr>
                <w:rFonts w:ascii="Arial"/>
                <w:color w:val="auto"/>
                <w:highlight w:val="none"/>
              </w:rPr>
            </w:pPr>
          </w:p>
          <w:p w14:paraId="24B98116">
            <w:pPr>
              <w:spacing w:line="258" w:lineRule="auto"/>
              <w:rPr>
                <w:rFonts w:ascii="Arial"/>
                <w:color w:val="auto"/>
                <w:highlight w:val="none"/>
              </w:rPr>
            </w:pPr>
          </w:p>
          <w:p w14:paraId="488E11A2">
            <w:pPr>
              <w:spacing w:line="258" w:lineRule="auto"/>
              <w:rPr>
                <w:rFonts w:ascii="Arial"/>
                <w:color w:val="auto"/>
                <w:highlight w:val="none"/>
              </w:rPr>
            </w:pPr>
          </w:p>
          <w:p w14:paraId="323F1D62">
            <w:pPr>
              <w:spacing w:line="258" w:lineRule="auto"/>
              <w:rPr>
                <w:rFonts w:ascii="Arial"/>
                <w:color w:val="auto"/>
                <w:highlight w:val="none"/>
              </w:rPr>
            </w:pPr>
          </w:p>
          <w:p w14:paraId="58C5B173">
            <w:pPr>
              <w:spacing w:line="258" w:lineRule="auto"/>
              <w:rPr>
                <w:rFonts w:ascii="Arial"/>
                <w:color w:val="auto"/>
                <w:highlight w:val="none"/>
              </w:rPr>
            </w:pPr>
          </w:p>
          <w:p w14:paraId="20235B64">
            <w:pPr>
              <w:spacing w:line="258" w:lineRule="auto"/>
              <w:rPr>
                <w:rFonts w:ascii="Arial"/>
                <w:color w:val="auto"/>
                <w:highlight w:val="none"/>
              </w:rPr>
            </w:pPr>
          </w:p>
          <w:p w14:paraId="7CF52408">
            <w:pPr>
              <w:spacing w:line="259" w:lineRule="auto"/>
              <w:rPr>
                <w:rFonts w:ascii="Arial"/>
                <w:color w:val="auto"/>
                <w:highlight w:val="none"/>
              </w:rPr>
            </w:pPr>
          </w:p>
          <w:p w14:paraId="56CC00E0">
            <w:pPr>
              <w:spacing w:line="259" w:lineRule="auto"/>
              <w:rPr>
                <w:rFonts w:ascii="Arial"/>
                <w:color w:val="auto"/>
                <w:highlight w:val="none"/>
              </w:rPr>
            </w:pPr>
          </w:p>
          <w:p w14:paraId="1970D815">
            <w:pPr>
              <w:spacing w:line="259" w:lineRule="auto"/>
              <w:rPr>
                <w:rFonts w:ascii="Arial"/>
                <w:color w:val="auto"/>
                <w:highlight w:val="none"/>
              </w:rPr>
            </w:pPr>
          </w:p>
          <w:p w14:paraId="7EF8E8C7">
            <w:pPr>
              <w:spacing w:line="259" w:lineRule="auto"/>
              <w:rPr>
                <w:rFonts w:ascii="Arial"/>
                <w:color w:val="auto"/>
                <w:highlight w:val="none"/>
              </w:rPr>
            </w:pPr>
          </w:p>
          <w:p w14:paraId="517F0827">
            <w:pPr>
              <w:pStyle w:val="248"/>
              <w:spacing w:before="62" w:line="256" w:lineRule="exact"/>
              <w:ind w:left="209"/>
              <w:rPr>
                <w:color w:val="auto"/>
                <w:highlight w:val="none"/>
              </w:rPr>
            </w:pPr>
            <w:r>
              <w:rPr>
                <w:color w:val="auto"/>
                <w:spacing w:val="-7"/>
                <w:position w:val="1"/>
                <w:highlight w:val="none"/>
              </w:rPr>
              <w:t>10</w:t>
            </w:r>
          </w:p>
        </w:tc>
        <w:tc>
          <w:tcPr>
            <w:tcW w:w="1166" w:type="dxa"/>
            <w:vMerge w:val="restart"/>
            <w:tcBorders>
              <w:bottom w:val="nil"/>
            </w:tcBorders>
          </w:tcPr>
          <w:p w14:paraId="6663359B">
            <w:pPr>
              <w:spacing w:line="242" w:lineRule="auto"/>
              <w:rPr>
                <w:rFonts w:ascii="Arial"/>
                <w:color w:val="auto"/>
                <w:highlight w:val="none"/>
              </w:rPr>
            </w:pPr>
          </w:p>
          <w:p w14:paraId="728DFFF9">
            <w:pPr>
              <w:spacing w:line="243" w:lineRule="auto"/>
              <w:rPr>
                <w:rFonts w:ascii="Arial"/>
                <w:color w:val="auto"/>
                <w:highlight w:val="none"/>
              </w:rPr>
            </w:pPr>
          </w:p>
          <w:p w14:paraId="6B87013F">
            <w:pPr>
              <w:spacing w:line="243" w:lineRule="auto"/>
              <w:rPr>
                <w:rFonts w:ascii="Arial"/>
                <w:color w:val="auto"/>
                <w:highlight w:val="none"/>
              </w:rPr>
            </w:pPr>
          </w:p>
          <w:p w14:paraId="5A71DEF8">
            <w:pPr>
              <w:spacing w:line="243" w:lineRule="auto"/>
              <w:rPr>
                <w:rFonts w:ascii="Arial"/>
                <w:color w:val="auto"/>
                <w:highlight w:val="none"/>
              </w:rPr>
            </w:pPr>
          </w:p>
          <w:p w14:paraId="333179CA">
            <w:pPr>
              <w:spacing w:line="243" w:lineRule="auto"/>
              <w:rPr>
                <w:rFonts w:ascii="Arial"/>
                <w:color w:val="auto"/>
                <w:highlight w:val="none"/>
              </w:rPr>
            </w:pPr>
          </w:p>
          <w:p w14:paraId="7716F98C">
            <w:pPr>
              <w:spacing w:line="243" w:lineRule="auto"/>
              <w:rPr>
                <w:rFonts w:ascii="Arial"/>
                <w:color w:val="auto"/>
                <w:highlight w:val="none"/>
              </w:rPr>
            </w:pPr>
          </w:p>
          <w:p w14:paraId="2000A3E4">
            <w:pPr>
              <w:spacing w:line="243" w:lineRule="auto"/>
              <w:rPr>
                <w:rFonts w:ascii="Arial"/>
                <w:color w:val="auto"/>
                <w:highlight w:val="none"/>
              </w:rPr>
            </w:pPr>
          </w:p>
          <w:p w14:paraId="75F35B8C">
            <w:pPr>
              <w:spacing w:line="243" w:lineRule="auto"/>
              <w:rPr>
                <w:rFonts w:ascii="Arial"/>
                <w:color w:val="auto"/>
                <w:highlight w:val="none"/>
              </w:rPr>
            </w:pPr>
          </w:p>
          <w:p w14:paraId="51A9EABB">
            <w:pPr>
              <w:spacing w:line="243" w:lineRule="auto"/>
              <w:rPr>
                <w:rFonts w:ascii="Arial"/>
                <w:color w:val="auto"/>
                <w:highlight w:val="none"/>
              </w:rPr>
            </w:pPr>
          </w:p>
          <w:p w14:paraId="2968D57C">
            <w:pPr>
              <w:spacing w:line="243" w:lineRule="auto"/>
              <w:rPr>
                <w:rFonts w:ascii="Arial"/>
                <w:color w:val="auto"/>
                <w:highlight w:val="none"/>
              </w:rPr>
            </w:pPr>
          </w:p>
          <w:p w14:paraId="52D9B022">
            <w:pPr>
              <w:pStyle w:val="248"/>
              <w:spacing w:before="62" w:line="305" w:lineRule="auto"/>
              <w:ind w:left="16" w:right="8" w:hanging="7"/>
              <w:rPr>
                <w:color w:val="auto"/>
                <w:highlight w:val="none"/>
              </w:rPr>
            </w:pPr>
            <w:r>
              <w:rPr>
                <w:color w:val="auto"/>
                <w:spacing w:val="4"/>
                <w:highlight w:val="none"/>
              </w:rPr>
              <w:t>A020618生活</w:t>
            </w:r>
            <w:r>
              <w:rPr>
                <w:color w:val="auto"/>
                <w:spacing w:val="6"/>
                <w:highlight w:val="none"/>
              </w:rPr>
              <w:t>用电器</w:t>
            </w:r>
          </w:p>
        </w:tc>
        <w:tc>
          <w:tcPr>
            <w:tcW w:w="1799" w:type="dxa"/>
          </w:tcPr>
          <w:p w14:paraId="7EA66A67">
            <w:pPr>
              <w:pStyle w:val="248"/>
              <w:spacing w:before="276" w:line="230" w:lineRule="auto"/>
              <w:ind w:left="9"/>
              <w:rPr>
                <w:color w:val="auto"/>
                <w:highlight w:val="none"/>
              </w:rPr>
            </w:pPr>
            <w:r>
              <w:rPr>
                <w:color w:val="auto"/>
                <w:spacing w:val="3"/>
                <w:highlight w:val="none"/>
              </w:rPr>
              <w:t>A0206180101电冰箱</w:t>
            </w:r>
          </w:p>
        </w:tc>
        <w:tc>
          <w:tcPr>
            <w:tcW w:w="1914" w:type="dxa"/>
          </w:tcPr>
          <w:p w14:paraId="59856CCA">
            <w:pPr>
              <w:rPr>
                <w:rFonts w:ascii="Arial"/>
                <w:color w:val="auto"/>
                <w:highlight w:val="none"/>
              </w:rPr>
            </w:pPr>
          </w:p>
        </w:tc>
        <w:tc>
          <w:tcPr>
            <w:tcW w:w="2969" w:type="dxa"/>
          </w:tcPr>
          <w:p w14:paraId="0A2003E8">
            <w:pPr>
              <w:pStyle w:val="248"/>
              <w:spacing w:before="119" w:line="296" w:lineRule="auto"/>
              <w:ind w:left="22" w:right="11"/>
              <w:rPr>
                <w:color w:val="auto"/>
                <w:highlight w:val="none"/>
                <w:lang w:eastAsia="zh-CN"/>
              </w:rPr>
            </w:pPr>
            <w:r>
              <w:rPr>
                <w:color w:val="auto"/>
                <w:spacing w:val="19"/>
                <w:highlight w:val="none"/>
                <w:lang w:eastAsia="zh-CN"/>
              </w:rPr>
              <w:t>《家用电冰箱耗电量限定值及能</w:t>
            </w:r>
            <w:r>
              <w:rPr>
                <w:color w:val="auto"/>
                <w:spacing w:val="4"/>
                <w:highlight w:val="none"/>
                <w:lang w:eastAsia="zh-CN"/>
              </w:rPr>
              <w:t>效等级》（</w:t>
            </w:r>
            <w:r>
              <w:rPr>
                <w:color w:val="auto"/>
                <w:highlight w:val="none"/>
                <w:lang w:eastAsia="zh-CN"/>
              </w:rPr>
              <w:t>GB</w:t>
            </w:r>
            <w:r>
              <w:rPr>
                <w:color w:val="auto"/>
                <w:spacing w:val="4"/>
                <w:highlight w:val="none"/>
                <w:lang w:eastAsia="zh-CN"/>
              </w:rPr>
              <w:t>12021.2）</w:t>
            </w:r>
          </w:p>
        </w:tc>
      </w:tr>
      <w:tr w14:paraId="0C40C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8" w:hRule="atLeast"/>
        </w:trPr>
        <w:tc>
          <w:tcPr>
            <w:tcW w:w="578" w:type="dxa"/>
            <w:vMerge w:val="continue"/>
            <w:tcBorders>
              <w:top w:val="nil"/>
              <w:bottom w:val="nil"/>
            </w:tcBorders>
          </w:tcPr>
          <w:p w14:paraId="214FCEA2">
            <w:pPr>
              <w:rPr>
                <w:rFonts w:ascii="Arial"/>
                <w:color w:val="auto"/>
                <w:highlight w:val="none"/>
              </w:rPr>
            </w:pPr>
          </w:p>
        </w:tc>
        <w:tc>
          <w:tcPr>
            <w:tcW w:w="1166" w:type="dxa"/>
            <w:vMerge w:val="continue"/>
            <w:tcBorders>
              <w:top w:val="nil"/>
              <w:bottom w:val="nil"/>
            </w:tcBorders>
          </w:tcPr>
          <w:p w14:paraId="282C52CD">
            <w:pPr>
              <w:rPr>
                <w:rFonts w:ascii="Arial"/>
                <w:color w:val="auto"/>
                <w:highlight w:val="none"/>
              </w:rPr>
            </w:pPr>
          </w:p>
        </w:tc>
        <w:tc>
          <w:tcPr>
            <w:tcW w:w="1799" w:type="dxa"/>
            <w:vMerge w:val="restart"/>
            <w:tcBorders>
              <w:bottom w:val="nil"/>
            </w:tcBorders>
          </w:tcPr>
          <w:p w14:paraId="52033880">
            <w:pPr>
              <w:spacing w:line="247" w:lineRule="auto"/>
              <w:rPr>
                <w:rFonts w:ascii="Arial"/>
                <w:color w:val="auto"/>
                <w:highlight w:val="none"/>
              </w:rPr>
            </w:pPr>
          </w:p>
          <w:p w14:paraId="67D31467">
            <w:pPr>
              <w:spacing w:line="248" w:lineRule="auto"/>
              <w:rPr>
                <w:rFonts w:ascii="Arial"/>
                <w:color w:val="auto"/>
                <w:highlight w:val="none"/>
              </w:rPr>
            </w:pPr>
          </w:p>
          <w:p w14:paraId="4CE785C9">
            <w:pPr>
              <w:spacing w:line="248" w:lineRule="auto"/>
              <w:rPr>
                <w:rFonts w:ascii="Arial"/>
                <w:color w:val="auto"/>
                <w:highlight w:val="none"/>
              </w:rPr>
            </w:pPr>
          </w:p>
          <w:p w14:paraId="65D49A92">
            <w:pPr>
              <w:spacing w:line="248" w:lineRule="auto"/>
              <w:rPr>
                <w:rFonts w:ascii="Arial"/>
                <w:color w:val="auto"/>
                <w:highlight w:val="none"/>
              </w:rPr>
            </w:pPr>
          </w:p>
          <w:p w14:paraId="4E532A78">
            <w:pPr>
              <w:spacing w:line="248" w:lineRule="auto"/>
              <w:rPr>
                <w:rFonts w:ascii="Arial"/>
                <w:color w:val="auto"/>
                <w:highlight w:val="none"/>
              </w:rPr>
            </w:pPr>
          </w:p>
          <w:p w14:paraId="28B112D6">
            <w:pPr>
              <w:spacing w:line="248" w:lineRule="auto"/>
              <w:rPr>
                <w:rFonts w:ascii="Arial"/>
                <w:color w:val="auto"/>
                <w:highlight w:val="none"/>
              </w:rPr>
            </w:pPr>
          </w:p>
          <w:p w14:paraId="2BC34F7F">
            <w:pPr>
              <w:spacing w:line="248" w:lineRule="auto"/>
              <w:rPr>
                <w:rFonts w:ascii="Arial"/>
                <w:color w:val="auto"/>
                <w:highlight w:val="none"/>
              </w:rPr>
            </w:pPr>
          </w:p>
          <w:p w14:paraId="7728C4A4">
            <w:pPr>
              <w:pStyle w:val="248"/>
              <w:spacing w:before="62" w:line="304" w:lineRule="auto"/>
              <w:ind w:left="14" w:right="10" w:firstLine="3"/>
              <w:rPr>
                <w:color w:val="auto"/>
                <w:highlight w:val="none"/>
              </w:rPr>
            </w:pPr>
            <w:r>
              <w:rPr>
                <w:color w:val="auto"/>
                <w:spacing w:val="3"/>
                <w:highlight w:val="none"/>
              </w:rPr>
              <w:t>★A0206180203 空调</w:t>
            </w:r>
            <w:r>
              <w:rPr>
                <w:color w:val="auto"/>
                <w:spacing w:val="2"/>
                <w:highlight w:val="none"/>
              </w:rPr>
              <w:t>机</w:t>
            </w:r>
          </w:p>
        </w:tc>
        <w:tc>
          <w:tcPr>
            <w:tcW w:w="1914" w:type="dxa"/>
          </w:tcPr>
          <w:p w14:paraId="0973F009">
            <w:pPr>
              <w:spacing w:line="261" w:lineRule="auto"/>
              <w:rPr>
                <w:rFonts w:ascii="Arial"/>
                <w:color w:val="auto"/>
                <w:highlight w:val="none"/>
              </w:rPr>
            </w:pPr>
          </w:p>
          <w:p w14:paraId="0246A4EE">
            <w:pPr>
              <w:spacing w:line="261" w:lineRule="auto"/>
              <w:rPr>
                <w:rFonts w:ascii="Arial"/>
                <w:color w:val="auto"/>
                <w:highlight w:val="none"/>
              </w:rPr>
            </w:pPr>
          </w:p>
          <w:p w14:paraId="3CE72784">
            <w:pPr>
              <w:spacing w:line="261" w:lineRule="auto"/>
              <w:rPr>
                <w:rFonts w:ascii="Arial"/>
                <w:color w:val="auto"/>
                <w:highlight w:val="none"/>
              </w:rPr>
            </w:pPr>
          </w:p>
          <w:p w14:paraId="3CB7073A">
            <w:pPr>
              <w:pStyle w:val="248"/>
              <w:spacing w:before="62" w:line="230" w:lineRule="auto"/>
              <w:ind w:left="17"/>
              <w:rPr>
                <w:color w:val="auto"/>
                <w:highlight w:val="none"/>
              </w:rPr>
            </w:pPr>
            <w:r>
              <w:rPr>
                <w:color w:val="auto"/>
                <w:spacing w:val="8"/>
                <w:highlight w:val="none"/>
              </w:rPr>
              <w:t>房间空气调节器</w:t>
            </w:r>
          </w:p>
        </w:tc>
        <w:tc>
          <w:tcPr>
            <w:tcW w:w="2969" w:type="dxa"/>
          </w:tcPr>
          <w:p w14:paraId="6571B600">
            <w:pPr>
              <w:pStyle w:val="248"/>
              <w:spacing w:before="68" w:line="293" w:lineRule="auto"/>
              <w:ind w:left="17" w:firstLine="5"/>
              <w:rPr>
                <w:color w:val="auto"/>
                <w:highlight w:val="none"/>
                <w:lang w:eastAsia="zh-CN"/>
              </w:rPr>
            </w:pPr>
            <w:r>
              <w:rPr>
                <w:color w:val="auto"/>
                <w:spacing w:val="14"/>
                <w:highlight w:val="none"/>
                <w:lang w:eastAsia="zh-CN"/>
              </w:rPr>
              <w:t>《转速可控型房间空气调节器能</w:t>
            </w:r>
            <w:r>
              <w:rPr>
                <w:color w:val="auto"/>
                <w:spacing w:val="-9"/>
                <w:highlight w:val="none"/>
                <w:lang w:eastAsia="zh-CN"/>
              </w:rPr>
              <w:t>效限定值及能效等级》（ GB</w:t>
            </w:r>
            <w:r>
              <w:rPr>
                <w:color w:val="auto"/>
                <w:highlight w:val="none"/>
                <w:lang w:eastAsia="zh-CN"/>
              </w:rPr>
              <w:t xml:space="preserve">  21455-2013</w:t>
            </w:r>
            <w:r>
              <w:rPr>
                <w:color w:val="auto"/>
                <w:spacing w:val="12"/>
                <w:highlight w:val="none"/>
                <w:lang w:eastAsia="zh-CN"/>
              </w:rPr>
              <w:t>），</w:t>
            </w:r>
            <w:r>
              <w:rPr>
                <w:color w:val="auto"/>
                <w:highlight w:val="none"/>
                <w:lang w:eastAsia="zh-CN"/>
              </w:rPr>
              <w:t>待 2019年修订发  布后，按《房间空气调节器能效限</w:t>
            </w:r>
            <w:r>
              <w:rPr>
                <w:color w:val="auto"/>
                <w:spacing w:val="-5"/>
                <w:highlight w:val="none"/>
                <w:lang w:eastAsia="zh-CN"/>
              </w:rPr>
              <w:t>定值及能效等级》（GB21455-2019）</w:t>
            </w:r>
            <w:r>
              <w:rPr>
                <w:color w:val="auto"/>
                <w:highlight w:val="none"/>
                <w:lang w:eastAsia="zh-CN"/>
              </w:rPr>
              <w:t>实施。</w:t>
            </w:r>
          </w:p>
        </w:tc>
      </w:tr>
      <w:tr w14:paraId="29E15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nil"/>
              <w:bottom w:val="nil"/>
            </w:tcBorders>
          </w:tcPr>
          <w:p w14:paraId="1C8B6DA4">
            <w:pPr>
              <w:rPr>
                <w:rFonts w:ascii="Arial"/>
                <w:color w:val="auto"/>
                <w:highlight w:val="none"/>
              </w:rPr>
            </w:pPr>
          </w:p>
        </w:tc>
        <w:tc>
          <w:tcPr>
            <w:tcW w:w="1166" w:type="dxa"/>
            <w:vMerge w:val="continue"/>
            <w:tcBorders>
              <w:top w:val="nil"/>
              <w:bottom w:val="nil"/>
            </w:tcBorders>
          </w:tcPr>
          <w:p w14:paraId="392CA018">
            <w:pPr>
              <w:rPr>
                <w:rFonts w:ascii="Arial"/>
                <w:color w:val="auto"/>
                <w:highlight w:val="none"/>
              </w:rPr>
            </w:pPr>
          </w:p>
        </w:tc>
        <w:tc>
          <w:tcPr>
            <w:tcW w:w="1799" w:type="dxa"/>
            <w:vMerge w:val="continue"/>
            <w:tcBorders>
              <w:top w:val="nil"/>
              <w:bottom w:val="nil"/>
            </w:tcBorders>
          </w:tcPr>
          <w:p w14:paraId="4F04A52F">
            <w:pPr>
              <w:rPr>
                <w:rFonts w:ascii="Arial"/>
                <w:color w:val="auto"/>
                <w:highlight w:val="none"/>
              </w:rPr>
            </w:pPr>
          </w:p>
        </w:tc>
        <w:tc>
          <w:tcPr>
            <w:tcW w:w="1914" w:type="dxa"/>
          </w:tcPr>
          <w:p w14:paraId="1AC2F2F9">
            <w:pPr>
              <w:pStyle w:val="248"/>
              <w:spacing w:before="71" w:line="282" w:lineRule="auto"/>
              <w:ind w:left="15" w:right="11" w:firstLine="10"/>
              <w:rPr>
                <w:color w:val="auto"/>
                <w:highlight w:val="none"/>
                <w:lang w:eastAsia="zh-CN"/>
              </w:rPr>
            </w:pPr>
            <w:r>
              <w:rPr>
                <w:color w:val="auto"/>
                <w:spacing w:val="15"/>
                <w:highlight w:val="none"/>
                <w:lang w:eastAsia="zh-CN"/>
              </w:rPr>
              <w:t>多联式空调（热泵）</w:t>
            </w:r>
            <w:r>
              <w:rPr>
                <w:color w:val="auto"/>
                <w:spacing w:val="-4"/>
                <w:highlight w:val="none"/>
                <w:lang w:eastAsia="zh-CN"/>
              </w:rPr>
              <w:t>机 组 （制 冷 量 ≤</w:t>
            </w:r>
            <w:r>
              <w:rPr>
                <w:color w:val="auto"/>
                <w:spacing w:val="3"/>
                <w:highlight w:val="none"/>
                <w:lang w:eastAsia="zh-CN"/>
              </w:rPr>
              <w:t>14000W）</w:t>
            </w:r>
          </w:p>
        </w:tc>
        <w:tc>
          <w:tcPr>
            <w:tcW w:w="2969" w:type="dxa"/>
          </w:tcPr>
          <w:p w14:paraId="26A665C6">
            <w:pPr>
              <w:pStyle w:val="248"/>
              <w:spacing w:before="225" w:line="305" w:lineRule="auto"/>
              <w:ind w:left="22"/>
              <w:rPr>
                <w:color w:val="auto"/>
                <w:highlight w:val="none"/>
                <w:lang w:eastAsia="zh-CN"/>
              </w:rPr>
            </w:pPr>
            <w:r>
              <w:rPr>
                <w:color w:val="auto"/>
                <w:highlight w:val="none"/>
                <w:lang w:eastAsia="zh-CN"/>
              </w:rPr>
              <w:t>《多联式空调（热泵）机组能效限</w:t>
            </w:r>
            <w:r>
              <w:rPr>
                <w:color w:val="auto"/>
                <w:spacing w:val="-4"/>
                <w:highlight w:val="none"/>
                <w:lang w:eastAsia="zh-CN"/>
              </w:rPr>
              <w:t>定值及能源效率等级》（GB21454）</w:t>
            </w:r>
          </w:p>
        </w:tc>
      </w:tr>
      <w:tr w14:paraId="5C5D0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578" w:type="dxa"/>
            <w:vMerge w:val="continue"/>
            <w:tcBorders>
              <w:top w:val="nil"/>
              <w:bottom w:val="nil"/>
            </w:tcBorders>
          </w:tcPr>
          <w:p w14:paraId="095B6B5F">
            <w:pPr>
              <w:rPr>
                <w:rFonts w:ascii="Arial"/>
                <w:color w:val="auto"/>
                <w:highlight w:val="none"/>
              </w:rPr>
            </w:pPr>
          </w:p>
        </w:tc>
        <w:tc>
          <w:tcPr>
            <w:tcW w:w="1166" w:type="dxa"/>
            <w:vMerge w:val="continue"/>
            <w:tcBorders>
              <w:top w:val="nil"/>
              <w:bottom w:val="nil"/>
            </w:tcBorders>
          </w:tcPr>
          <w:p w14:paraId="64C231A2">
            <w:pPr>
              <w:rPr>
                <w:rFonts w:ascii="Arial"/>
                <w:color w:val="auto"/>
                <w:highlight w:val="none"/>
              </w:rPr>
            </w:pPr>
          </w:p>
        </w:tc>
        <w:tc>
          <w:tcPr>
            <w:tcW w:w="1799" w:type="dxa"/>
            <w:vMerge w:val="continue"/>
            <w:tcBorders>
              <w:top w:val="nil"/>
            </w:tcBorders>
          </w:tcPr>
          <w:p w14:paraId="5A64501F">
            <w:pPr>
              <w:rPr>
                <w:rFonts w:ascii="Arial"/>
                <w:color w:val="auto"/>
                <w:highlight w:val="none"/>
              </w:rPr>
            </w:pPr>
          </w:p>
        </w:tc>
        <w:tc>
          <w:tcPr>
            <w:tcW w:w="1914" w:type="dxa"/>
          </w:tcPr>
          <w:p w14:paraId="4ABB0C27">
            <w:pPr>
              <w:spacing w:line="319" w:lineRule="auto"/>
              <w:rPr>
                <w:rFonts w:ascii="Arial"/>
                <w:color w:val="auto"/>
                <w:highlight w:val="none"/>
              </w:rPr>
            </w:pPr>
          </w:p>
          <w:p w14:paraId="1A99D0EE">
            <w:pPr>
              <w:pStyle w:val="248"/>
              <w:spacing w:before="61" w:line="305" w:lineRule="auto"/>
              <w:ind w:left="51" w:right="11" w:hanging="33"/>
              <w:rPr>
                <w:color w:val="auto"/>
                <w:highlight w:val="none"/>
                <w:lang w:eastAsia="zh-CN"/>
              </w:rPr>
            </w:pPr>
            <w:r>
              <w:rPr>
                <w:color w:val="auto"/>
                <w:spacing w:val="44"/>
                <w:highlight w:val="none"/>
                <w:lang w:eastAsia="zh-CN"/>
              </w:rPr>
              <w:t>单元式空气调节机</w:t>
            </w:r>
            <w:r>
              <w:rPr>
                <w:color w:val="auto"/>
                <w:spacing w:val="3"/>
                <w:highlight w:val="none"/>
                <w:lang w:eastAsia="zh-CN"/>
              </w:rPr>
              <w:t>(制冷量≤14000W)</w:t>
            </w:r>
          </w:p>
        </w:tc>
        <w:tc>
          <w:tcPr>
            <w:tcW w:w="2969" w:type="dxa"/>
          </w:tcPr>
          <w:p w14:paraId="1BDFECCA">
            <w:pPr>
              <w:pStyle w:val="248"/>
              <w:spacing w:before="72" w:line="287" w:lineRule="auto"/>
              <w:ind w:left="17" w:right="11" w:firstLine="6"/>
              <w:rPr>
                <w:color w:val="auto"/>
                <w:highlight w:val="none"/>
                <w:lang w:eastAsia="zh-CN"/>
              </w:rPr>
            </w:pPr>
            <w:r>
              <w:rPr>
                <w:color w:val="auto"/>
                <w:spacing w:val="19"/>
                <w:highlight w:val="none"/>
                <w:lang w:eastAsia="zh-CN"/>
              </w:rPr>
              <w:t>《单元式空气调节机能效限定值</w:t>
            </w:r>
            <w:r>
              <w:rPr>
                <w:color w:val="auto"/>
                <w:spacing w:val="-5"/>
                <w:highlight w:val="none"/>
                <w:lang w:eastAsia="zh-CN"/>
              </w:rPr>
              <w:t>及能源效率等级》（GB19576）《风</w:t>
            </w:r>
            <w:r>
              <w:rPr>
                <w:color w:val="auto"/>
                <w:spacing w:val="19"/>
                <w:highlight w:val="none"/>
                <w:lang w:eastAsia="zh-CN"/>
              </w:rPr>
              <w:t>管送风式空调机组能效限定值及</w:t>
            </w:r>
            <w:r>
              <w:rPr>
                <w:color w:val="auto"/>
                <w:spacing w:val="7"/>
                <w:highlight w:val="none"/>
                <w:lang w:eastAsia="zh-CN"/>
              </w:rPr>
              <w:t>能效等级》（</w:t>
            </w:r>
            <w:r>
              <w:rPr>
                <w:color w:val="auto"/>
                <w:highlight w:val="none"/>
                <w:lang w:eastAsia="zh-CN"/>
              </w:rPr>
              <w:t>GB</w:t>
            </w:r>
            <w:r>
              <w:rPr>
                <w:color w:val="auto"/>
                <w:spacing w:val="7"/>
                <w:highlight w:val="none"/>
                <w:lang w:eastAsia="zh-CN"/>
              </w:rPr>
              <w:t xml:space="preserve"> 37479）</w:t>
            </w:r>
          </w:p>
        </w:tc>
      </w:tr>
      <w:tr w14:paraId="68E1C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78" w:type="dxa"/>
            <w:vMerge w:val="continue"/>
            <w:tcBorders>
              <w:top w:val="nil"/>
            </w:tcBorders>
          </w:tcPr>
          <w:p w14:paraId="3021A0B0">
            <w:pPr>
              <w:rPr>
                <w:rFonts w:ascii="Arial"/>
                <w:color w:val="auto"/>
                <w:highlight w:val="none"/>
              </w:rPr>
            </w:pPr>
          </w:p>
        </w:tc>
        <w:tc>
          <w:tcPr>
            <w:tcW w:w="1166" w:type="dxa"/>
            <w:vMerge w:val="continue"/>
            <w:tcBorders>
              <w:top w:val="nil"/>
            </w:tcBorders>
          </w:tcPr>
          <w:p w14:paraId="520454A1">
            <w:pPr>
              <w:rPr>
                <w:rFonts w:ascii="Arial"/>
                <w:color w:val="auto"/>
                <w:highlight w:val="none"/>
              </w:rPr>
            </w:pPr>
          </w:p>
        </w:tc>
        <w:tc>
          <w:tcPr>
            <w:tcW w:w="1799" w:type="dxa"/>
          </w:tcPr>
          <w:p w14:paraId="6A7A1213">
            <w:pPr>
              <w:pStyle w:val="248"/>
              <w:spacing w:before="230" w:line="228" w:lineRule="auto"/>
              <w:ind w:left="9"/>
              <w:rPr>
                <w:color w:val="auto"/>
                <w:highlight w:val="none"/>
              </w:rPr>
            </w:pPr>
            <w:r>
              <w:rPr>
                <w:color w:val="auto"/>
                <w:spacing w:val="5"/>
                <w:highlight w:val="none"/>
              </w:rPr>
              <w:t>A0206180301洗衣机</w:t>
            </w:r>
          </w:p>
        </w:tc>
        <w:tc>
          <w:tcPr>
            <w:tcW w:w="1914" w:type="dxa"/>
          </w:tcPr>
          <w:p w14:paraId="1032EFED">
            <w:pPr>
              <w:rPr>
                <w:rFonts w:ascii="Arial"/>
                <w:color w:val="auto"/>
                <w:highlight w:val="none"/>
              </w:rPr>
            </w:pPr>
          </w:p>
        </w:tc>
        <w:tc>
          <w:tcPr>
            <w:tcW w:w="2969" w:type="dxa"/>
          </w:tcPr>
          <w:p w14:paraId="6A2A8A5B">
            <w:pPr>
              <w:pStyle w:val="248"/>
              <w:spacing w:before="74" w:line="276" w:lineRule="auto"/>
              <w:ind w:left="19" w:right="11" w:firstLine="3"/>
              <w:rPr>
                <w:color w:val="auto"/>
                <w:highlight w:val="none"/>
                <w:lang w:eastAsia="zh-CN"/>
              </w:rPr>
            </w:pPr>
            <w:r>
              <w:rPr>
                <w:color w:val="auto"/>
                <w:spacing w:val="19"/>
                <w:highlight w:val="none"/>
                <w:lang w:eastAsia="zh-CN"/>
              </w:rPr>
              <w:t>《电动洗衣机能效水效限定值及</w:t>
            </w:r>
            <w:r>
              <w:rPr>
                <w:color w:val="auto"/>
                <w:spacing w:val="4"/>
                <w:highlight w:val="none"/>
                <w:lang w:eastAsia="zh-CN"/>
              </w:rPr>
              <w:t>等级》（</w:t>
            </w:r>
            <w:r>
              <w:rPr>
                <w:color w:val="auto"/>
                <w:highlight w:val="none"/>
                <w:lang w:eastAsia="zh-CN"/>
              </w:rPr>
              <w:t>GB</w:t>
            </w:r>
            <w:r>
              <w:rPr>
                <w:color w:val="auto"/>
                <w:spacing w:val="4"/>
                <w:highlight w:val="none"/>
                <w:lang w:eastAsia="zh-CN"/>
              </w:rPr>
              <w:t>12021.4）</w:t>
            </w:r>
          </w:p>
        </w:tc>
      </w:tr>
    </w:tbl>
    <w:p w14:paraId="3878D6BE">
      <w:pPr>
        <w:rPr>
          <w:rFonts w:ascii="Arial"/>
          <w:color w:val="auto"/>
          <w:highlight w:val="none"/>
        </w:rPr>
      </w:pPr>
    </w:p>
    <w:p w14:paraId="0D182FF6">
      <w:pPr>
        <w:rPr>
          <w:rFonts w:ascii="Arial" w:hAnsi="Arial" w:eastAsia="Arial" w:cs="Arial"/>
          <w:color w:val="auto"/>
          <w:szCs w:val="21"/>
          <w:highlight w:val="none"/>
        </w:rPr>
        <w:sectPr>
          <w:pgSz w:w="11906" w:h="16838"/>
          <w:pgMar w:top="1431" w:right="1691" w:bottom="0" w:left="1783" w:header="0" w:footer="0" w:gutter="0"/>
          <w:cols w:space="720" w:num="1"/>
        </w:sectPr>
      </w:pPr>
    </w:p>
    <w:p w14:paraId="3F398F09">
      <w:pPr>
        <w:spacing w:line="91" w:lineRule="auto"/>
        <w:rPr>
          <w:rFonts w:ascii="Arial"/>
          <w:color w:val="auto"/>
          <w:sz w:val="2"/>
          <w:highlight w:val="none"/>
        </w:rPr>
      </w:pPr>
    </w:p>
    <w:tbl>
      <w:tblPr>
        <w:tblStyle w:val="51"/>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35FF9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578" w:type="dxa"/>
            <w:vMerge w:val="restart"/>
            <w:tcBorders>
              <w:bottom w:val="nil"/>
            </w:tcBorders>
          </w:tcPr>
          <w:p w14:paraId="70DBEA6D">
            <w:pPr>
              <w:rPr>
                <w:rFonts w:ascii="Arial"/>
                <w:color w:val="auto"/>
                <w:highlight w:val="none"/>
              </w:rPr>
            </w:pPr>
          </w:p>
        </w:tc>
        <w:tc>
          <w:tcPr>
            <w:tcW w:w="1166" w:type="dxa"/>
            <w:vMerge w:val="restart"/>
            <w:tcBorders>
              <w:bottom w:val="nil"/>
            </w:tcBorders>
          </w:tcPr>
          <w:p w14:paraId="207CC184">
            <w:pPr>
              <w:rPr>
                <w:rFonts w:ascii="Arial"/>
                <w:color w:val="auto"/>
                <w:highlight w:val="none"/>
              </w:rPr>
            </w:pPr>
          </w:p>
        </w:tc>
        <w:tc>
          <w:tcPr>
            <w:tcW w:w="1799" w:type="dxa"/>
            <w:vMerge w:val="restart"/>
            <w:tcBorders>
              <w:bottom w:val="nil"/>
            </w:tcBorders>
          </w:tcPr>
          <w:p w14:paraId="17C0748E">
            <w:pPr>
              <w:spacing w:line="244" w:lineRule="auto"/>
              <w:rPr>
                <w:rFonts w:ascii="Arial"/>
                <w:color w:val="auto"/>
                <w:highlight w:val="none"/>
              </w:rPr>
            </w:pPr>
          </w:p>
          <w:p w14:paraId="73FD1396">
            <w:pPr>
              <w:spacing w:line="244" w:lineRule="auto"/>
              <w:rPr>
                <w:rFonts w:ascii="Arial"/>
                <w:color w:val="auto"/>
                <w:highlight w:val="none"/>
              </w:rPr>
            </w:pPr>
          </w:p>
          <w:p w14:paraId="4A74E50E">
            <w:pPr>
              <w:spacing w:line="244" w:lineRule="auto"/>
              <w:rPr>
                <w:rFonts w:ascii="Arial"/>
                <w:color w:val="auto"/>
                <w:highlight w:val="none"/>
              </w:rPr>
            </w:pPr>
          </w:p>
          <w:p w14:paraId="2F972EAA">
            <w:pPr>
              <w:spacing w:line="244" w:lineRule="auto"/>
              <w:rPr>
                <w:rFonts w:ascii="Arial"/>
                <w:color w:val="auto"/>
                <w:highlight w:val="none"/>
              </w:rPr>
            </w:pPr>
          </w:p>
          <w:p w14:paraId="4E0294A4">
            <w:pPr>
              <w:spacing w:line="245" w:lineRule="auto"/>
              <w:rPr>
                <w:rFonts w:ascii="Arial"/>
                <w:color w:val="auto"/>
                <w:highlight w:val="none"/>
              </w:rPr>
            </w:pPr>
          </w:p>
          <w:p w14:paraId="1C65CF2A">
            <w:pPr>
              <w:spacing w:line="245" w:lineRule="auto"/>
              <w:rPr>
                <w:rFonts w:ascii="Arial"/>
                <w:color w:val="auto"/>
                <w:highlight w:val="none"/>
              </w:rPr>
            </w:pPr>
          </w:p>
          <w:p w14:paraId="4D22FEE8">
            <w:pPr>
              <w:pStyle w:val="248"/>
              <w:spacing w:before="62" w:line="229" w:lineRule="auto"/>
              <w:ind w:left="9"/>
              <w:rPr>
                <w:color w:val="auto"/>
                <w:highlight w:val="none"/>
              </w:rPr>
            </w:pPr>
            <w:r>
              <w:rPr>
                <w:color w:val="auto"/>
                <w:spacing w:val="5"/>
                <w:highlight w:val="none"/>
              </w:rPr>
              <w:t>A02061808热水器</w:t>
            </w:r>
          </w:p>
        </w:tc>
        <w:tc>
          <w:tcPr>
            <w:tcW w:w="1914" w:type="dxa"/>
          </w:tcPr>
          <w:p w14:paraId="35745B6C">
            <w:pPr>
              <w:pStyle w:val="248"/>
              <w:spacing w:before="275" w:line="229" w:lineRule="auto"/>
              <w:ind w:left="19"/>
              <w:rPr>
                <w:color w:val="auto"/>
                <w:highlight w:val="none"/>
              </w:rPr>
            </w:pPr>
            <w:r>
              <w:rPr>
                <w:color w:val="auto"/>
                <w:spacing w:val="7"/>
                <w:highlight w:val="none"/>
              </w:rPr>
              <w:t>★电热水器</w:t>
            </w:r>
          </w:p>
        </w:tc>
        <w:tc>
          <w:tcPr>
            <w:tcW w:w="2969" w:type="dxa"/>
          </w:tcPr>
          <w:p w14:paraId="3629955C">
            <w:pPr>
              <w:pStyle w:val="248"/>
              <w:spacing w:before="119" w:line="297" w:lineRule="auto"/>
              <w:ind w:left="25" w:right="11" w:hanging="2"/>
              <w:rPr>
                <w:color w:val="auto"/>
                <w:highlight w:val="none"/>
                <w:lang w:eastAsia="zh-CN"/>
              </w:rPr>
            </w:pPr>
            <w:r>
              <w:rPr>
                <w:color w:val="auto"/>
                <w:spacing w:val="19"/>
                <w:highlight w:val="none"/>
                <w:lang w:eastAsia="zh-CN"/>
              </w:rPr>
              <w:t>《储水式电热水器能效限定值及</w:t>
            </w:r>
            <w:r>
              <w:rPr>
                <w:color w:val="auto"/>
                <w:spacing w:val="6"/>
                <w:highlight w:val="none"/>
                <w:lang w:eastAsia="zh-CN"/>
              </w:rPr>
              <w:t>能效等级》（</w:t>
            </w:r>
            <w:r>
              <w:rPr>
                <w:color w:val="auto"/>
                <w:highlight w:val="none"/>
                <w:lang w:eastAsia="zh-CN"/>
              </w:rPr>
              <w:t>GB</w:t>
            </w:r>
            <w:r>
              <w:rPr>
                <w:color w:val="auto"/>
                <w:spacing w:val="6"/>
                <w:highlight w:val="none"/>
                <w:lang w:eastAsia="zh-CN"/>
              </w:rPr>
              <w:t xml:space="preserve">  21519）</w:t>
            </w:r>
          </w:p>
        </w:tc>
      </w:tr>
      <w:tr w14:paraId="01BB9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nil"/>
              <w:bottom w:val="nil"/>
            </w:tcBorders>
          </w:tcPr>
          <w:p w14:paraId="19906E1E">
            <w:pPr>
              <w:rPr>
                <w:rFonts w:ascii="Arial"/>
                <w:color w:val="auto"/>
                <w:highlight w:val="none"/>
              </w:rPr>
            </w:pPr>
          </w:p>
        </w:tc>
        <w:tc>
          <w:tcPr>
            <w:tcW w:w="1166" w:type="dxa"/>
            <w:vMerge w:val="continue"/>
            <w:tcBorders>
              <w:top w:val="nil"/>
              <w:bottom w:val="nil"/>
            </w:tcBorders>
          </w:tcPr>
          <w:p w14:paraId="304AEA66">
            <w:pPr>
              <w:rPr>
                <w:rFonts w:ascii="Arial"/>
                <w:color w:val="auto"/>
                <w:highlight w:val="none"/>
              </w:rPr>
            </w:pPr>
          </w:p>
        </w:tc>
        <w:tc>
          <w:tcPr>
            <w:tcW w:w="1799" w:type="dxa"/>
            <w:vMerge w:val="continue"/>
            <w:tcBorders>
              <w:top w:val="nil"/>
              <w:bottom w:val="nil"/>
            </w:tcBorders>
          </w:tcPr>
          <w:p w14:paraId="70681051">
            <w:pPr>
              <w:rPr>
                <w:rFonts w:ascii="Arial"/>
                <w:color w:val="auto"/>
                <w:highlight w:val="none"/>
              </w:rPr>
            </w:pPr>
          </w:p>
        </w:tc>
        <w:tc>
          <w:tcPr>
            <w:tcW w:w="1914" w:type="dxa"/>
          </w:tcPr>
          <w:p w14:paraId="00BFA09E">
            <w:pPr>
              <w:spacing w:line="315" w:lineRule="auto"/>
              <w:rPr>
                <w:rFonts w:ascii="Arial"/>
                <w:color w:val="auto"/>
                <w:highlight w:val="none"/>
              </w:rPr>
            </w:pPr>
          </w:p>
          <w:p w14:paraId="0F72DBC3">
            <w:pPr>
              <w:pStyle w:val="248"/>
              <w:spacing w:before="61" w:line="229" w:lineRule="auto"/>
              <w:ind w:left="15"/>
              <w:rPr>
                <w:color w:val="auto"/>
                <w:highlight w:val="none"/>
              </w:rPr>
            </w:pPr>
            <w:r>
              <w:rPr>
                <w:color w:val="auto"/>
                <w:spacing w:val="8"/>
                <w:highlight w:val="none"/>
              </w:rPr>
              <w:t>燃气热水器</w:t>
            </w:r>
          </w:p>
        </w:tc>
        <w:tc>
          <w:tcPr>
            <w:tcW w:w="2969" w:type="dxa"/>
          </w:tcPr>
          <w:p w14:paraId="2C0BD5C8">
            <w:pPr>
              <w:pStyle w:val="248"/>
              <w:spacing w:before="68" w:line="283" w:lineRule="auto"/>
              <w:ind w:left="25" w:hanging="2"/>
              <w:rPr>
                <w:color w:val="auto"/>
                <w:highlight w:val="none"/>
                <w:lang w:eastAsia="zh-CN"/>
              </w:rPr>
            </w:pPr>
            <w:r>
              <w:rPr>
                <w:color w:val="auto"/>
                <w:spacing w:val="17"/>
                <w:highlight w:val="none"/>
                <w:lang w:eastAsia="zh-CN"/>
              </w:rPr>
              <w:t>《家用燃气快速热水器和燃气采</w:t>
            </w:r>
            <w:r>
              <w:rPr>
                <w:color w:val="auto"/>
                <w:spacing w:val="5"/>
                <w:highlight w:val="none"/>
                <w:lang w:eastAsia="zh-CN"/>
              </w:rPr>
              <w:t>暖热水炉能效限定值及能效等级》</w:t>
            </w:r>
            <w:r>
              <w:rPr>
                <w:color w:val="auto"/>
                <w:spacing w:val="1"/>
                <w:highlight w:val="none"/>
                <w:lang w:eastAsia="zh-CN"/>
              </w:rPr>
              <w:t>（</w:t>
            </w:r>
            <w:r>
              <w:rPr>
                <w:color w:val="auto"/>
                <w:highlight w:val="none"/>
                <w:lang w:eastAsia="zh-CN"/>
              </w:rPr>
              <w:t>GB</w:t>
            </w:r>
            <w:r>
              <w:rPr>
                <w:color w:val="auto"/>
                <w:spacing w:val="1"/>
                <w:highlight w:val="none"/>
                <w:lang w:eastAsia="zh-CN"/>
              </w:rPr>
              <w:t>20665）</w:t>
            </w:r>
          </w:p>
        </w:tc>
      </w:tr>
      <w:tr w14:paraId="4CFC7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578" w:type="dxa"/>
            <w:vMerge w:val="continue"/>
            <w:tcBorders>
              <w:top w:val="nil"/>
              <w:bottom w:val="nil"/>
            </w:tcBorders>
          </w:tcPr>
          <w:p w14:paraId="49549F6A">
            <w:pPr>
              <w:rPr>
                <w:rFonts w:ascii="Arial"/>
                <w:color w:val="auto"/>
                <w:highlight w:val="none"/>
              </w:rPr>
            </w:pPr>
          </w:p>
        </w:tc>
        <w:tc>
          <w:tcPr>
            <w:tcW w:w="1166" w:type="dxa"/>
            <w:vMerge w:val="continue"/>
            <w:tcBorders>
              <w:top w:val="nil"/>
              <w:bottom w:val="nil"/>
            </w:tcBorders>
          </w:tcPr>
          <w:p w14:paraId="262635EF">
            <w:pPr>
              <w:rPr>
                <w:rFonts w:ascii="Arial"/>
                <w:color w:val="auto"/>
                <w:highlight w:val="none"/>
              </w:rPr>
            </w:pPr>
          </w:p>
        </w:tc>
        <w:tc>
          <w:tcPr>
            <w:tcW w:w="1799" w:type="dxa"/>
            <w:vMerge w:val="continue"/>
            <w:tcBorders>
              <w:top w:val="nil"/>
              <w:bottom w:val="nil"/>
            </w:tcBorders>
          </w:tcPr>
          <w:p w14:paraId="26F09062">
            <w:pPr>
              <w:rPr>
                <w:rFonts w:ascii="Arial"/>
                <w:color w:val="auto"/>
                <w:highlight w:val="none"/>
              </w:rPr>
            </w:pPr>
          </w:p>
        </w:tc>
        <w:tc>
          <w:tcPr>
            <w:tcW w:w="1914" w:type="dxa"/>
          </w:tcPr>
          <w:p w14:paraId="511DDD79">
            <w:pPr>
              <w:spacing w:line="248" w:lineRule="auto"/>
              <w:rPr>
                <w:rFonts w:ascii="Arial"/>
                <w:color w:val="auto"/>
                <w:highlight w:val="none"/>
              </w:rPr>
            </w:pPr>
          </w:p>
          <w:p w14:paraId="6366872E">
            <w:pPr>
              <w:pStyle w:val="248"/>
              <w:spacing w:before="62" w:line="229" w:lineRule="auto"/>
              <w:ind w:left="20"/>
              <w:rPr>
                <w:color w:val="auto"/>
                <w:highlight w:val="none"/>
              </w:rPr>
            </w:pPr>
            <w:r>
              <w:rPr>
                <w:color w:val="auto"/>
                <w:spacing w:val="7"/>
                <w:highlight w:val="none"/>
              </w:rPr>
              <w:t>热泵热水器</w:t>
            </w:r>
          </w:p>
        </w:tc>
        <w:tc>
          <w:tcPr>
            <w:tcW w:w="2969" w:type="dxa"/>
          </w:tcPr>
          <w:p w14:paraId="46D324F6">
            <w:pPr>
              <w:pStyle w:val="248"/>
              <w:spacing w:before="156" w:line="304" w:lineRule="auto"/>
              <w:ind w:left="25" w:right="13" w:hanging="2"/>
              <w:rPr>
                <w:color w:val="auto"/>
                <w:highlight w:val="none"/>
                <w:lang w:eastAsia="zh-CN"/>
              </w:rPr>
            </w:pPr>
            <w:r>
              <w:rPr>
                <w:color w:val="auto"/>
                <w:spacing w:val="5"/>
                <w:highlight w:val="none"/>
                <w:lang w:eastAsia="zh-CN"/>
              </w:rPr>
              <w:t>《热泵热水机（器）能效限定值及</w:t>
            </w:r>
            <w:r>
              <w:rPr>
                <w:color w:val="auto"/>
                <w:spacing w:val="6"/>
                <w:highlight w:val="none"/>
                <w:lang w:eastAsia="zh-CN"/>
              </w:rPr>
              <w:t>能效等级》（</w:t>
            </w:r>
            <w:r>
              <w:rPr>
                <w:color w:val="auto"/>
                <w:highlight w:val="none"/>
                <w:lang w:eastAsia="zh-CN"/>
              </w:rPr>
              <w:t>GB</w:t>
            </w:r>
            <w:r>
              <w:rPr>
                <w:color w:val="auto"/>
                <w:spacing w:val="6"/>
                <w:highlight w:val="none"/>
                <w:lang w:eastAsia="zh-CN"/>
              </w:rPr>
              <w:t xml:space="preserve"> 29541）</w:t>
            </w:r>
          </w:p>
        </w:tc>
      </w:tr>
      <w:tr w14:paraId="4DD21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continue"/>
            <w:tcBorders>
              <w:top w:val="nil"/>
            </w:tcBorders>
          </w:tcPr>
          <w:p w14:paraId="3D7BA54D">
            <w:pPr>
              <w:rPr>
                <w:rFonts w:ascii="Arial"/>
                <w:color w:val="auto"/>
                <w:highlight w:val="none"/>
              </w:rPr>
            </w:pPr>
          </w:p>
        </w:tc>
        <w:tc>
          <w:tcPr>
            <w:tcW w:w="1166" w:type="dxa"/>
            <w:vMerge w:val="continue"/>
            <w:tcBorders>
              <w:top w:val="nil"/>
            </w:tcBorders>
          </w:tcPr>
          <w:p w14:paraId="1328E8A2">
            <w:pPr>
              <w:rPr>
                <w:rFonts w:ascii="Arial"/>
                <w:color w:val="auto"/>
                <w:highlight w:val="none"/>
              </w:rPr>
            </w:pPr>
          </w:p>
        </w:tc>
        <w:tc>
          <w:tcPr>
            <w:tcW w:w="1799" w:type="dxa"/>
            <w:vMerge w:val="continue"/>
            <w:tcBorders>
              <w:top w:val="nil"/>
            </w:tcBorders>
          </w:tcPr>
          <w:p w14:paraId="15EA1EB8">
            <w:pPr>
              <w:rPr>
                <w:rFonts w:ascii="Arial"/>
                <w:color w:val="auto"/>
                <w:highlight w:val="none"/>
              </w:rPr>
            </w:pPr>
          </w:p>
        </w:tc>
        <w:tc>
          <w:tcPr>
            <w:tcW w:w="1914" w:type="dxa"/>
          </w:tcPr>
          <w:p w14:paraId="2F72F231">
            <w:pPr>
              <w:pStyle w:val="248"/>
              <w:spacing w:before="271" w:line="229" w:lineRule="auto"/>
              <w:ind w:left="16"/>
              <w:rPr>
                <w:color w:val="auto"/>
                <w:highlight w:val="none"/>
              </w:rPr>
            </w:pPr>
            <w:r>
              <w:rPr>
                <w:color w:val="auto"/>
                <w:spacing w:val="8"/>
                <w:highlight w:val="none"/>
              </w:rPr>
              <w:t>太阳能热水系统</w:t>
            </w:r>
          </w:p>
        </w:tc>
        <w:tc>
          <w:tcPr>
            <w:tcW w:w="2969" w:type="dxa"/>
          </w:tcPr>
          <w:p w14:paraId="62D0D827">
            <w:pPr>
              <w:pStyle w:val="248"/>
              <w:spacing w:before="114" w:line="297" w:lineRule="auto"/>
              <w:ind w:left="17" w:right="11" w:firstLine="5"/>
              <w:rPr>
                <w:color w:val="auto"/>
                <w:highlight w:val="none"/>
                <w:lang w:eastAsia="zh-CN"/>
              </w:rPr>
            </w:pPr>
            <w:r>
              <w:rPr>
                <w:color w:val="auto"/>
                <w:spacing w:val="19"/>
                <w:highlight w:val="none"/>
                <w:lang w:eastAsia="zh-CN"/>
              </w:rPr>
              <w:t>《家用太阳能热水系统能效限定</w:t>
            </w:r>
            <w:r>
              <w:rPr>
                <w:color w:val="auto"/>
                <w:spacing w:val="7"/>
                <w:highlight w:val="none"/>
                <w:lang w:eastAsia="zh-CN"/>
              </w:rPr>
              <w:t>值及能效等级》（</w:t>
            </w:r>
            <w:r>
              <w:rPr>
                <w:color w:val="auto"/>
                <w:highlight w:val="none"/>
                <w:lang w:eastAsia="zh-CN"/>
              </w:rPr>
              <w:t>GB</w:t>
            </w:r>
            <w:r>
              <w:rPr>
                <w:color w:val="auto"/>
                <w:spacing w:val="7"/>
                <w:highlight w:val="none"/>
                <w:lang w:eastAsia="zh-CN"/>
              </w:rPr>
              <w:t xml:space="preserve"> 26969）</w:t>
            </w:r>
          </w:p>
        </w:tc>
      </w:tr>
      <w:tr w14:paraId="52974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578" w:type="dxa"/>
            <w:vMerge w:val="restart"/>
            <w:tcBorders>
              <w:bottom w:val="nil"/>
            </w:tcBorders>
          </w:tcPr>
          <w:p w14:paraId="6C4334A6">
            <w:pPr>
              <w:spacing w:line="269" w:lineRule="auto"/>
              <w:rPr>
                <w:rFonts w:ascii="Arial"/>
                <w:color w:val="auto"/>
                <w:highlight w:val="none"/>
              </w:rPr>
            </w:pPr>
          </w:p>
          <w:p w14:paraId="3FAAE794">
            <w:pPr>
              <w:spacing w:line="269" w:lineRule="auto"/>
              <w:rPr>
                <w:rFonts w:ascii="Arial"/>
                <w:color w:val="auto"/>
                <w:highlight w:val="none"/>
              </w:rPr>
            </w:pPr>
          </w:p>
          <w:p w14:paraId="5ACC3863">
            <w:pPr>
              <w:spacing w:line="269" w:lineRule="auto"/>
              <w:rPr>
                <w:rFonts w:ascii="Arial"/>
                <w:color w:val="auto"/>
                <w:highlight w:val="none"/>
              </w:rPr>
            </w:pPr>
          </w:p>
          <w:p w14:paraId="08C7E6ED">
            <w:pPr>
              <w:spacing w:line="269" w:lineRule="auto"/>
              <w:rPr>
                <w:rFonts w:ascii="Arial"/>
                <w:color w:val="auto"/>
                <w:highlight w:val="none"/>
              </w:rPr>
            </w:pPr>
          </w:p>
          <w:p w14:paraId="4945262A">
            <w:pPr>
              <w:spacing w:line="269" w:lineRule="auto"/>
              <w:rPr>
                <w:rFonts w:ascii="Arial"/>
                <w:color w:val="auto"/>
                <w:highlight w:val="none"/>
              </w:rPr>
            </w:pPr>
          </w:p>
          <w:p w14:paraId="7DC5B494">
            <w:pPr>
              <w:spacing w:line="269" w:lineRule="auto"/>
              <w:rPr>
                <w:rFonts w:ascii="Arial"/>
                <w:color w:val="auto"/>
                <w:highlight w:val="none"/>
              </w:rPr>
            </w:pPr>
          </w:p>
          <w:p w14:paraId="5FFE93E0">
            <w:pPr>
              <w:pStyle w:val="248"/>
              <w:spacing w:before="61" w:line="258" w:lineRule="exact"/>
              <w:ind w:left="209"/>
              <w:rPr>
                <w:color w:val="auto"/>
                <w:highlight w:val="none"/>
              </w:rPr>
            </w:pPr>
            <w:r>
              <w:rPr>
                <w:color w:val="auto"/>
                <w:spacing w:val="-7"/>
                <w:position w:val="1"/>
                <w:highlight w:val="none"/>
              </w:rPr>
              <w:t>11</w:t>
            </w:r>
          </w:p>
        </w:tc>
        <w:tc>
          <w:tcPr>
            <w:tcW w:w="1166" w:type="dxa"/>
            <w:vMerge w:val="restart"/>
            <w:tcBorders>
              <w:bottom w:val="nil"/>
            </w:tcBorders>
          </w:tcPr>
          <w:p w14:paraId="7E660A4E">
            <w:pPr>
              <w:spacing w:line="243" w:lineRule="auto"/>
              <w:rPr>
                <w:rFonts w:ascii="Arial"/>
                <w:color w:val="auto"/>
                <w:highlight w:val="none"/>
              </w:rPr>
            </w:pPr>
          </w:p>
          <w:p w14:paraId="70749215">
            <w:pPr>
              <w:spacing w:line="243" w:lineRule="auto"/>
              <w:rPr>
                <w:rFonts w:ascii="Arial"/>
                <w:color w:val="auto"/>
                <w:highlight w:val="none"/>
              </w:rPr>
            </w:pPr>
          </w:p>
          <w:p w14:paraId="08898AF3">
            <w:pPr>
              <w:spacing w:line="243" w:lineRule="auto"/>
              <w:rPr>
                <w:rFonts w:ascii="Arial"/>
                <w:color w:val="auto"/>
                <w:highlight w:val="none"/>
              </w:rPr>
            </w:pPr>
          </w:p>
          <w:p w14:paraId="79EE86FC">
            <w:pPr>
              <w:spacing w:line="243" w:lineRule="auto"/>
              <w:rPr>
                <w:rFonts w:ascii="Arial"/>
                <w:color w:val="auto"/>
                <w:highlight w:val="none"/>
              </w:rPr>
            </w:pPr>
          </w:p>
          <w:p w14:paraId="67D07E5C">
            <w:pPr>
              <w:spacing w:line="243" w:lineRule="auto"/>
              <w:rPr>
                <w:rFonts w:ascii="Arial"/>
                <w:color w:val="auto"/>
                <w:highlight w:val="none"/>
              </w:rPr>
            </w:pPr>
          </w:p>
          <w:p w14:paraId="1774F050">
            <w:pPr>
              <w:spacing w:line="244" w:lineRule="auto"/>
              <w:rPr>
                <w:rFonts w:ascii="Arial"/>
                <w:color w:val="auto"/>
                <w:highlight w:val="none"/>
              </w:rPr>
            </w:pPr>
          </w:p>
          <w:p w14:paraId="703034AA">
            <w:pPr>
              <w:pStyle w:val="248"/>
              <w:spacing w:before="61" w:line="305" w:lineRule="auto"/>
              <w:ind w:left="18" w:right="8" w:hanging="9"/>
              <w:rPr>
                <w:color w:val="auto"/>
                <w:highlight w:val="none"/>
              </w:rPr>
            </w:pPr>
            <w:r>
              <w:rPr>
                <w:color w:val="auto"/>
                <w:spacing w:val="5"/>
                <w:highlight w:val="none"/>
              </w:rPr>
              <w:t>A020619照明</w:t>
            </w:r>
            <w:r>
              <w:rPr>
                <w:color w:val="auto"/>
                <w:spacing w:val="3"/>
                <w:highlight w:val="none"/>
              </w:rPr>
              <w:t>设备</w:t>
            </w:r>
          </w:p>
        </w:tc>
        <w:tc>
          <w:tcPr>
            <w:tcW w:w="1799" w:type="dxa"/>
          </w:tcPr>
          <w:p w14:paraId="5A67A892">
            <w:pPr>
              <w:pStyle w:val="248"/>
              <w:spacing w:before="198" w:line="304" w:lineRule="auto"/>
              <w:ind w:left="20" w:right="12" w:hanging="2"/>
              <w:rPr>
                <w:color w:val="auto"/>
                <w:highlight w:val="none"/>
                <w:lang w:eastAsia="zh-CN"/>
              </w:rPr>
            </w:pPr>
            <w:r>
              <w:rPr>
                <w:color w:val="auto"/>
                <w:spacing w:val="19"/>
                <w:highlight w:val="none"/>
                <w:lang w:eastAsia="zh-CN"/>
              </w:rPr>
              <w:t>★普通照明用双端</w:t>
            </w:r>
            <w:r>
              <w:rPr>
                <w:color w:val="auto"/>
                <w:spacing w:val="4"/>
                <w:highlight w:val="none"/>
                <w:lang w:eastAsia="zh-CN"/>
              </w:rPr>
              <w:t>荧光灯</w:t>
            </w:r>
          </w:p>
        </w:tc>
        <w:tc>
          <w:tcPr>
            <w:tcW w:w="1914" w:type="dxa"/>
          </w:tcPr>
          <w:p w14:paraId="5C06E15C">
            <w:pPr>
              <w:rPr>
                <w:rFonts w:ascii="Arial"/>
                <w:color w:val="auto"/>
                <w:highlight w:val="none"/>
              </w:rPr>
            </w:pPr>
          </w:p>
        </w:tc>
        <w:tc>
          <w:tcPr>
            <w:tcW w:w="2969" w:type="dxa"/>
          </w:tcPr>
          <w:p w14:paraId="52646ACE">
            <w:pPr>
              <w:pStyle w:val="248"/>
              <w:spacing w:before="198" w:line="304" w:lineRule="auto"/>
              <w:ind w:left="22" w:right="11"/>
              <w:rPr>
                <w:color w:val="auto"/>
                <w:highlight w:val="none"/>
                <w:lang w:eastAsia="zh-CN"/>
              </w:rPr>
            </w:pPr>
            <w:r>
              <w:rPr>
                <w:color w:val="auto"/>
                <w:spacing w:val="19"/>
                <w:highlight w:val="none"/>
                <w:lang w:eastAsia="zh-CN"/>
              </w:rPr>
              <w:t>《普通照明用双端荧光灯能效限</w:t>
            </w:r>
            <w:r>
              <w:rPr>
                <w:color w:val="auto"/>
                <w:spacing w:val="5"/>
                <w:highlight w:val="none"/>
                <w:lang w:eastAsia="zh-CN"/>
              </w:rPr>
              <w:t>定值及能效等级》（</w:t>
            </w:r>
            <w:r>
              <w:rPr>
                <w:color w:val="auto"/>
                <w:highlight w:val="none"/>
                <w:lang w:eastAsia="zh-CN"/>
              </w:rPr>
              <w:t>GB</w:t>
            </w:r>
            <w:r>
              <w:rPr>
                <w:color w:val="auto"/>
                <w:spacing w:val="5"/>
                <w:highlight w:val="none"/>
                <w:lang w:eastAsia="zh-CN"/>
              </w:rPr>
              <w:t>19043）</w:t>
            </w:r>
          </w:p>
        </w:tc>
      </w:tr>
      <w:tr w14:paraId="7D31A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578" w:type="dxa"/>
            <w:vMerge w:val="continue"/>
            <w:tcBorders>
              <w:top w:val="nil"/>
              <w:bottom w:val="nil"/>
            </w:tcBorders>
          </w:tcPr>
          <w:p w14:paraId="694913B6">
            <w:pPr>
              <w:rPr>
                <w:rFonts w:ascii="Arial"/>
                <w:color w:val="auto"/>
                <w:highlight w:val="none"/>
              </w:rPr>
            </w:pPr>
          </w:p>
        </w:tc>
        <w:tc>
          <w:tcPr>
            <w:tcW w:w="1166" w:type="dxa"/>
            <w:vMerge w:val="continue"/>
            <w:tcBorders>
              <w:top w:val="nil"/>
              <w:bottom w:val="nil"/>
            </w:tcBorders>
          </w:tcPr>
          <w:p w14:paraId="0B81DFD3">
            <w:pPr>
              <w:rPr>
                <w:rFonts w:ascii="Arial"/>
                <w:color w:val="auto"/>
                <w:highlight w:val="none"/>
              </w:rPr>
            </w:pPr>
          </w:p>
        </w:tc>
        <w:tc>
          <w:tcPr>
            <w:tcW w:w="1799" w:type="dxa"/>
          </w:tcPr>
          <w:p w14:paraId="70822D99">
            <w:pPr>
              <w:pStyle w:val="248"/>
              <w:spacing w:before="156" w:line="305" w:lineRule="auto"/>
              <w:ind w:left="14" w:right="7" w:hanging="1"/>
              <w:rPr>
                <w:color w:val="auto"/>
                <w:highlight w:val="none"/>
              </w:rPr>
            </w:pPr>
            <w:r>
              <w:rPr>
                <w:color w:val="auto"/>
                <w:highlight w:val="none"/>
              </w:rPr>
              <w:t>LED</w:t>
            </w:r>
            <w:r>
              <w:rPr>
                <w:color w:val="auto"/>
                <w:spacing w:val="19"/>
                <w:highlight w:val="none"/>
              </w:rPr>
              <w:t>道路/隧道照明</w:t>
            </w:r>
            <w:r>
              <w:rPr>
                <w:color w:val="auto"/>
                <w:spacing w:val="5"/>
                <w:highlight w:val="none"/>
              </w:rPr>
              <w:t>产品</w:t>
            </w:r>
          </w:p>
        </w:tc>
        <w:tc>
          <w:tcPr>
            <w:tcW w:w="1914" w:type="dxa"/>
          </w:tcPr>
          <w:p w14:paraId="50CCADF5">
            <w:pPr>
              <w:rPr>
                <w:rFonts w:ascii="Arial"/>
                <w:color w:val="auto"/>
                <w:highlight w:val="none"/>
              </w:rPr>
            </w:pPr>
          </w:p>
        </w:tc>
        <w:tc>
          <w:tcPr>
            <w:tcW w:w="2969" w:type="dxa"/>
          </w:tcPr>
          <w:p w14:paraId="53BD9742">
            <w:pPr>
              <w:pStyle w:val="248"/>
              <w:spacing w:before="156" w:line="305" w:lineRule="auto"/>
              <w:ind w:left="22"/>
              <w:rPr>
                <w:color w:val="auto"/>
                <w:highlight w:val="none"/>
              </w:rPr>
            </w:pPr>
            <w:r>
              <w:rPr>
                <w:color w:val="auto"/>
                <w:spacing w:val="7"/>
                <w:highlight w:val="none"/>
              </w:rPr>
              <w:t xml:space="preserve">《道路和隧道照明用 </w:t>
            </w:r>
            <w:r>
              <w:rPr>
                <w:color w:val="auto"/>
                <w:highlight w:val="none"/>
              </w:rPr>
              <w:t>LED</w:t>
            </w:r>
            <w:r>
              <w:rPr>
                <w:color w:val="auto"/>
                <w:spacing w:val="7"/>
                <w:highlight w:val="none"/>
              </w:rPr>
              <w:t xml:space="preserve"> 灯具能</w:t>
            </w:r>
            <w:r>
              <w:rPr>
                <w:color w:val="auto"/>
                <w:spacing w:val="-4"/>
                <w:highlight w:val="none"/>
              </w:rPr>
              <w:t>效限定值及能效等级》（GB37478）</w:t>
            </w:r>
          </w:p>
        </w:tc>
      </w:tr>
      <w:tr w14:paraId="1B35C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578" w:type="dxa"/>
            <w:vMerge w:val="continue"/>
            <w:tcBorders>
              <w:top w:val="nil"/>
              <w:bottom w:val="nil"/>
            </w:tcBorders>
          </w:tcPr>
          <w:p w14:paraId="17EDC01A">
            <w:pPr>
              <w:rPr>
                <w:rFonts w:ascii="Arial"/>
                <w:color w:val="auto"/>
                <w:highlight w:val="none"/>
              </w:rPr>
            </w:pPr>
          </w:p>
        </w:tc>
        <w:tc>
          <w:tcPr>
            <w:tcW w:w="1166" w:type="dxa"/>
            <w:vMerge w:val="continue"/>
            <w:tcBorders>
              <w:top w:val="nil"/>
              <w:bottom w:val="nil"/>
            </w:tcBorders>
          </w:tcPr>
          <w:p w14:paraId="4DE3493F">
            <w:pPr>
              <w:rPr>
                <w:rFonts w:ascii="Arial"/>
                <w:color w:val="auto"/>
                <w:highlight w:val="none"/>
              </w:rPr>
            </w:pPr>
          </w:p>
        </w:tc>
        <w:tc>
          <w:tcPr>
            <w:tcW w:w="1799" w:type="dxa"/>
          </w:tcPr>
          <w:p w14:paraId="01DED5DA">
            <w:pPr>
              <w:rPr>
                <w:rFonts w:ascii="Arial"/>
                <w:color w:val="auto"/>
                <w:highlight w:val="none"/>
              </w:rPr>
            </w:pPr>
          </w:p>
          <w:p w14:paraId="7C6354CE">
            <w:pPr>
              <w:pStyle w:val="248"/>
              <w:spacing w:before="62" w:line="229" w:lineRule="auto"/>
              <w:ind w:left="13"/>
              <w:rPr>
                <w:color w:val="auto"/>
                <w:highlight w:val="none"/>
              </w:rPr>
            </w:pPr>
            <w:r>
              <w:rPr>
                <w:color w:val="auto"/>
                <w:highlight w:val="none"/>
              </w:rPr>
              <w:t>LED</w:t>
            </w:r>
            <w:r>
              <w:rPr>
                <w:color w:val="auto"/>
                <w:spacing w:val="8"/>
                <w:highlight w:val="none"/>
              </w:rPr>
              <w:t>筒灯</w:t>
            </w:r>
          </w:p>
        </w:tc>
        <w:tc>
          <w:tcPr>
            <w:tcW w:w="1914" w:type="dxa"/>
          </w:tcPr>
          <w:p w14:paraId="451A6049">
            <w:pPr>
              <w:rPr>
                <w:rFonts w:ascii="Arial"/>
                <w:color w:val="auto"/>
                <w:highlight w:val="none"/>
              </w:rPr>
            </w:pPr>
          </w:p>
        </w:tc>
        <w:tc>
          <w:tcPr>
            <w:tcW w:w="2969" w:type="dxa"/>
          </w:tcPr>
          <w:p w14:paraId="4A21403A">
            <w:pPr>
              <w:pStyle w:val="248"/>
              <w:spacing w:before="148" w:line="304" w:lineRule="auto"/>
              <w:ind w:left="17" w:right="13" w:firstLine="5"/>
              <w:rPr>
                <w:color w:val="auto"/>
                <w:highlight w:val="none"/>
              </w:rPr>
            </w:pPr>
            <w:r>
              <w:rPr>
                <w:color w:val="auto"/>
                <w:spacing w:val="12"/>
                <w:highlight w:val="none"/>
              </w:rPr>
              <w:t xml:space="preserve">《室内照明用 </w:t>
            </w:r>
            <w:r>
              <w:rPr>
                <w:color w:val="auto"/>
                <w:highlight w:val="none"/>
              </w:rPr>
              <w:t>LED</w:t>
            </w:r>
            <w:r>
              <w:rPr>
                <w:color w:val="auto"/>
                <w:spacing w:val="12"/>
                <w:highlight w:val="none"/>
              </w:rPr>
              <w:t xml:space="preserve"> 产品能效限定</w:t>
            </w:r>
            <w:r>
              <w:rPr>
                <w:color w:val="auto"/>
                <w:spacing w:val="7"/>
                <w:highlight w:val="none"/>
              </w:rPr>
              <w:t>值及能效等级》（</w:t>
            </w:r>
            <w:r>
              <w:rPr>
                <w:color w:val="auto"/>
                <w:highlight w:val="none"/>
              </w:rPr>
              <w:t>GB</w:t>
            </w:r>
            <w:r>
              <w:rPr>
                <w:color w:val="auto"/>
                <w:spacing w:val="7"/>
                <w:highlight w:val="none"/>
              </w:rPr>
              <w:t xml:space="preserve"> 30255）</w:t>
            </w:r>
          </w:p>
        </w:tc>
      </w:tr>
      <w:tr w14:paraId="6CAA3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trPr>
        <w:tc>
          <w:tcPr>
            <w:tcW w:w="578" w:type="dxa"/>
            <w:vMerge w:val="continue"/>
            <w:tcBorders>
              <w:top w:val="nil"/>
            </w:tcBorders>
          </w:tcPr>
          <w:p w14:paraId="5C2DB275">
            <w:pPr>
              <w:rPr>
                <w:rFonts w:ascii="Arial"/>
                <w:color w:val="auto"/>
                <w:highlight w:val="none"/>
              </w:rPr>
            </w:pPr>
          </w:p>
        </w:tc>
        <w:tc>
          <w:tcPr>
            <w:tcW w:w="1166" w:type="dxa"/>
            <w:vMerge w:val="continue"/>
            <w:tcBorders>
              <w:top w:val="nil"/>
            </w:tcBorders>
          </w:tcPr>
          <w:p w14:paraId="40935A33">
            <w:pPr>
              <w:rPr>
                <w:rFonts w:ascii="Arial"/>
                <w:color w:val="auto"/>
                <w:highlight w:val="none"/>
              </w:rPr>
            </w:pPr>
          </w:p>
        </w:tc>
        <w:tc>
          <w:tcPr>
            <w:tcW w:w="1799" w:type="dxa"/>
          </w:tcPr>
          <w:p w14:paraId="7807D17C">
            <w:pPr>
              <w:pStyle w:val="248"/>
              <w:spacing w:before="265" w:line="304" w:lineRule="auto"/>
              <w:ind w:left="47" w:right="12" w:hanging="33"/>
              <w:rPr>
                <w:color w:val="auto"/>
                <w:highlight w:val="none"/>
                <w:lang w:eastAsia="zh-CN"/>
              </w:rPr>
            </w:pPr>
            <w:r>
              <w:rPr>
                <w:color w:val="auto"/>
                <w:spacing w:val="30"/>
                <w:highlight w:val="none"/>
                <w:lang w:eastAsia="zh-CN"/>
              </w:rPr>
              <w:t>普通照明用非定向</w:t>
            </w:r>
            <w:r>
              <w:rPr>
                <w:color w:val="auto"/>
                <w:spacing w:val="-1"/>
                <w:highlight w:val="none"/>
                <w:lang w:eastAsia="zh-CN"/>
              </w:rPr>
              <w:t>自镇流LED灯</w:t>
            </w:r>
          </w:p>
        </w:tc>
        <w:tc>
          <w:tcPr>
            <w:tcW w:w="1914" w:type="dxa"/>
          </w:tcPr>
          <w:p w14:paraId="39BD3EF9">
            <w:pPr>
              <w:rPr>
                <w:rFonts w:ascii="Arial"/>
                <w:color w:val="auto"/>
                <w:highlight w:val="none"/>
              </w:rPr>
            </w:pPr>
          </w:p>
        </w:tc>
        <w:tc>
          <w:tcPr>
            <w:tcW w:w="2969" w:type="dxa"/>
          </w:tcPr>
          <w:p w14:paraId="46EFA8BD">
            <w:pPr>
              <w:pStyle w:val="248"/>
              <w:spacing w:before="265" w:line="304" w:lineRule="auto"/>
              <w:ind w:left="17" w:right="13" w:firstLine="5"/>
              <w:rPr>
                <w:color w:val="auto"/>
                <w:highlight w:val="none"/>
              </w:rPr>
            </w:pPr>
            <w:r>
              <w:rPr>
                <w:color w:val="auto"/>
                <w:spacing w:val="12"/>
                <w:highlight w:val="none"/>
              </w:rPr>
              <w:t xml:space="preserve">《室内照明用 </w:t>
            </w:r>
            <w:r>
              <w:rPr>
                <w:color w:val="auto"/>
                <w:highlight w:val="none"/>
              </w:rPr>
              <w:t>LED</w:t>
            </w:r>
            <w:r>
              <w:rPr>
                <w:color w:val="auto"/>
                <w:spacing w:val="12"/>
                <w:highlight w:val="none"/>
              </w:rPr>
              <w:t xml:space="preserve"> 产品能效限定</w:t>
            </w:r>
            <w:r>
              <w:rPr>
                <w:color w:val="auto"/>
                <w:spacing w:val="7"/>
                <w:highlight w:val="none"/>
              </w:rPr>
              <w:t>值及能效等级》（</w:t>
            </w:r>
            <w:r>
              <w:rPr>
                <w:color w:val="auto"/>
                <w:highlight w:val="none"/>
              </w:rPr>
              <w:t>GB</w:t>
            </w:r>
            <w:r>
              <w:rPr>
                <w:color w:val="auto"/>
                <w:spacing w:val="7"/>
                <w:highlight w:val="none"/>
              </w:rPr>
              <w:t xml:space="preserve"> 30255）</w:t>
            </w:r>
          </w:p>
        </w:tc>
      </w:tr>
      <w:tr w14:paraId="30004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78" w:type="dxa"/>
          </w:tcPr>
          <w:p w14:paraId="0D90B600">
            <w:pPr>
              <w:pStyle w:val="248"/>
              <w:spacing w:before="301" w:line="258" w:lineRule="exact"/>
              <w:ind w:left="209"/>
              <w:rPr>
                <w:color w:val="auto"/>
                <w:highlight w:val="none"/>
              </w:rPr>
            </w:pPr>
            <w:r>
              <w:rPr>
                <w:color w:val="auto"/>
                <w:spacing w:val="-7"/>
                <w:position w:val="1"/>
                <w:highlight w:val="none"/>
              </w:rPr>
              <w:t>12</w:t>
            </w:r>
          </w:p>
        </w:tc>
        <w:tc>
          <w:tcPr>
            <w:tcW w:w="1166" w:type="dxa"/>
          </w:tcPr>
          <w:p w14:paraId="368F7C5A">
            <w:pPr>
              <w:pStyle w:val="248"/>
              <w:spacing w:before="145" w:line="305" w:lineRule="auto"/>
              <w:ind w:left="14" w:right="8" w:firstLine="3"/>
              <w:rPr>
                <w:color w:val="auto"/>
                <w:highlight w:val="none"/>
              </w:rPr>
            </w:pPr>
            <w:r>
              <w:rPr>
                <w:color w:val="auto"/>
                <w:spacing w:val="1"/>
                <w:highlight w:val="none"/>
              </w:rPr>
              <w:t>★A020910电</w:t>
            </w:r>
            <w:r>
              <w:rPr>
                <w:color w:val="auto"/>
                <w:spacing w:val="6"/>
                <w:highlight w:val="none"/>
              </w:rPr>
              <w:t>视设备</w:t>
            </w:r>
          </w:p>
        </w:tc>
        <w:tc>
          <w:tcPr>
            <w:tcW w:w="1799" w:type="dxa"/>
          </w:tcPr>
          <w:p w14:paraId="43F5D81F">
            <w:pPr>
              <w:pStyle w:val="248"/>
              <w:spacing w:before="145" w:line="304" w:lineRule="auto"/>
              <w:ind w:left="18" w:right="10" w:hanging="9"/>
              <w:rPr>
                <w:color w:val="auto"/>
                <w:highlight w:val="none"/>
                <w:lang w:eastAsia="zh-CN"/>
              </w:rPr>
            </w:pPr>
            <w:r>
              <w:rPr>
                <w:color w:val="auto"/>
                <w:spacing w:val="4"/>
                <w:highlight w:val="none"/>
                <w:lang w:eastAsia="zh-CN"/>
              </w:rPr>
              <w:t>A02091001 普通电视</w:t>
            </w:r>
            <w:r>
              <w:rPr>
                <w:color w:val="auto"/>
                <w:spacing w:val="6"/>
                <w:highlight w:val="none"/>
                <w:lang w:eastAsia="zh-CN"/>
              </w:rPr>
              <w:t>设备（电视机）</w:t>
            </w:r>
          </w:p>
        </w:tc>
        <w:tc>
          <w:tcPr>
            <w:tcW w:w="1914" w:type="dxa"/>
          </w:tcPr>
          <w:p w14:paraId="3BE53C1A">
            <w:pPr>
              <w:rPr>
                <w:rFonts w:ascii="Arial"/>
                <w:color w:val="auto"/>
                <w:highlight w:val="none"/>
              </w:rPr>
            </w:pPr>
          </w:p>
        </w:tc>
        <w:tc>
          <w:tcPr>
            <w:tcW w:w="2969" w:type="dxa"/>
          </w:tcPr>
          <w:p w14:paraId="4C82085A">
            <w:pPr>
              <w:pStyle w:val="248"/>
              <w:spacing w:before="146" w:line="305" w:lineRule="auto"/>
              <w:ind w:left="21" w:right="11" w:firstLine="2"/>
              <w:rPr>
                <w:color w:val="auto"/>
                <w:highlight w:val="none"/>
                <w:lang w:eastAsia="zh-CN"/>
              </w:rPr>
            </w:pPr>
            <w:r>
              <w:rPr>
                <w:color w:val="auto"/>
                <w:spacing w:val="19"/>
                <w:highlight w:val="none"/>
                <w:lang w:eastAsia="zh-CN"/>
              </w:rPr>
              <w:t>《平板电视能效限定值及能效等</w:t>
            </w:r>
            <w:r>
              <w:rPr>
                <w:color w:val="auto"/>
                <w:spacing w:val="4"/>
                <w:highlight w:val="none"/>
                <w:lang w:eastAsia="zh-CN"/>
              </w:rPr>
              <w:t>级》（</w:t>
            </w:r>
            <w:r>
              <w:rPr>
                <w:color w:val="auto"/>
                <w:highlight w:val="none"/>
                <w:lang w:eastAsia="zh-CN"/>
              </w:rPr>
              <w:t>GB</w:t>
            </w:r>
            <w:r>
              <w:rPr>
                <w:color w:val="auto"/>
                <w:spacing w:val="4"/>
                <w:highlight w:val="none"/>
                <w:lang w:eastAsia="zh-CN"/>
              </w:rPr>
              <w:t>24850）</w:t>
            </w:r>
          </w:p>
        </w:tc>
      </w:tr>
      <w:tr w14:paraId="1CD21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6" w:hRule="atLeast"/>
        </w:trPr>
        <w:tc>
          <w:tcPr>
            <w:tcW w:w="578" w:type="dxa"/>
          </w:tcPr>
          <w:p w14:paraId="3C5228A1">
            <w:pPr>
              <w:spacing w:line="268" w:lineRule="auto"/>
              <w:rPr>
                <w:rFonts w:ascii="Arial"/>
                <w:color w:val="auto"/>
                <w:highlight w:val="none"/>
              </w:rPr>
            </w:pPr>
          </w:p>
          <w:p w14:paraId="15483B73">
            <w:pPr>
              <w:spacing w:line="269" w:lineRule="auto"/>
              <w:rPr>
                <w:rFonts w:ascii="Arial"/>
                <w:color w:val="auto"/>
                <w:highlight w:val="none"/>
              </w:rPr>
            </w:pPr>
          </w:p>
          <w:p w14:paraId="5393EC2B">
            <w:pPr>
              <w:spacing w:line="269" w:lineRule="auto"/>
              <w:rPr>
                <w:rFonts w:ascii="Arial"/>
                <w:color w:val="auto"/>
                <w:highlight w:val="none"/>
              </w:rPr>
            </w:pPr>
          </w:p>
          <w:p w14:paraId="3D8F5532">
            <w:pPr>
              <w:pStyle w:val="248"/>
              <w:spacing w:before="62" w:line="256" w:lineRule="exact"/>
              <w:ind w:left="209"/>
              <w:rPr>
                <w:color w:val="auto"/>
                <w:highlight w:val="none"/>
              </w:rPr>
            </w:pPr>
            <w:r>
              <w:rPr>
                <w:color w:val="auto"/>
                <w:spacing w:val="-7"/>
                <w:position w:val="1"/>
                <w:highlight w:val="none"/>
              </w:rPr>
              <w:t>13</w:t>
            </w:r>
          </w:p>
        </w:tc>
        <w:tc>
          <w:tcPr>
            <w:tcW w:w="1166" w:type="dxa"/>
          </w:tcPr>
          <w:p w14:paraId="4A149E52">
            <w:pPr>
              <w:spacing w:line="325" w:lineRule="auto"/>
              <w:rPr>
                <w:rFonts w:ascii="Arial"/>
                <w:color w:val="auto"/>
                <w:highlight w:val="none"/>
              </w:rPr>
            </w:pPr>
          </w:p>
          <w:p w14:paraId="09AD18C4">
            <w:pPr>
              <w:spacing w:line="326" w:lineRule="auto"/>
              <w:rPr>
                <w:rFonts w:ascii="Arial"/>
                <w:color w:val="auto"/>
                <w:highlight w:val="none"/>
              </w:rPr>
            </w:pPr>
          </w:p>
          <w:p w14:paraId="4DD1538B">
            <w:pPr>
              <w:pStyle w:val="248"/>
              <w:spacing w:before="62" w:line="305" w:lineRule="auto"/>
              <w:ind w:left="16" w:right="8" w:firstLine="2"/>
              <w:rPr>
                <w:color w:val="auto"/>
                <w:highlight w:val="none"/>
              </w:rPr>
            </w:pPr>
            <w:r>
              <w:rPr>
                <w:color w:val="auto"/>
                <w:spacing w:val="4"/>
                <w:highlight w:val="none"/>
              </w:rPr>
              <w:t>★A020911视</w:t>
            </w:r>
            <w:r>
              <w:rPr>
                <w:color w:val="auto"/>
                <w:spacing w:val="6"/>
                <w:highlight w:val="none"/>
              </w:rPr>
              <w:t>频设备</w:t>
            </w:r>
          </w:p>
        </w:tc>
        <w:tc>
          <w:tcPr>
            <w:tcW w:w="1799" w:type="dxa"/>
          </w:tcPr>
          <w:p w14:paraId="2F0F0BC7">
            <w:pPr>
              <w:spacing w:line="325" w:lineRule="auto"/>
              <w:rPr>
                <w:rFonts w:ascii="Arial"/>
                <w:color w:val="auto"/>
                <w:highlight w:val="none"/>
              </w:rPr>
            </w:pPr>
          </w:p>
          <w:p w14:paraId="09C15EAD">
            <w:pPr>
              <w:spacing w:line="326" w:lineRule="auto"/>
              <w:rPr>
                <w:rFonts w:ascii="Arial"/>
                <w:color w:val="auto"/>
                <w:highlight w:val="none"/>
              </w:rPr>
            </w:pPr>
          </w:p>
          <w:p w14:paraId="6A4602AC">
            <w:pPr>
              <w:pStyle w:val="248"/>
              <w:spacing w:before="62" w:line="305" w:lineRule="auto"/>
              <w:ind w:left="18" w:right="10" w:hanging="9"/>
              <w:rPr>
                <w:color w:val="auto"/>
                <w:highlight w:val="none"/>
              </w:rPr>
            </w:pPr>
            <w:r>
              <w:rPr>
                <w:color w:val="auto"/>
                <w:spacing w:val="4"/>
                <w:highlight w:val="none"/>
              </w:rPr>
              <w:t>A02091107 视频监控</w:t>
            </w:r>
            <w:r>
              <w:rPr>
                <w:color w:val="auto"/>
                <w:spacing w:val="3"/>
                <w:highlight w:val="none"/>
              </w:rPr>
              <w:t>设备</w:t>
            </w:r>
          </w:p>
        </w:tc>
        <w:tc>
          <w:tcPr>
            <w:tcW w:w="1914" w:type="dxa"/>
          </w:tcPr>
          <w:p w14:paraId="2D91FCD5">
            <w:pPr>
              <w:spacing w:line="268" w:lineRule="auto"/>
              <w:rPr>
                <w:rFonts w:ascii="Arial"/>
                <w:color w:val="auto"/>
                <w:highlight w:val="none"/>
              </w:rPr>
            </w:pPr>
          </w:p>
          <w:p w14:paraId="051C8C58">
            <w:pPr>
              <w:spacing w:line="269" w:lineRule="auto"/>
              <w:rPr>
                <w:rFonts w:ascii="Arial"/>
                <w:color w:val="auto"/>
                <w:highlight w:val="none"/>
              </w:rPr>
            </w:pPr>
          </w:p>
          <w:p w14:paraId="686E2A6B">
            <w:pPr>
              <w:spacing w:line="269" w:lineRule="auto"/>
              <w:rPr>
                <w:rFonts w:ascii="Arial"/>
                <w:color w:val="auto"/>
                <w:highlight w:val="none"/>
              </w:rPr>
            </w:pPr>
          </w:p>
          <w:p w14:paraId="59628554">
            <w:pPr>
              <w:pStyle w:val="248"/>
              <w:spacing w:before="62" w:line="230" w:lineRule="auto"/>
              <w:ind w:left="17"/>
              <w:rPr>
                <w:color w:val="auto"/>
                <w:highlight w:val="none"/>
              </w:rPr>
            </w:pPr>
            <w:r>
              <w:rPr>
                <w:color w:val="auto"/>
                <w:spacing w:val="6"/>
                <w:highlight w:val="none"/>
              </w:rPr>
              <w:t>监视器</w:t>
            </w:r>
          </w:p>
        </w:tc>
        <w:tc>
          <w:tcPr>
            <w:tcW w:w="2969" w:type="dxa"/>
          </w:tcPr>
          <w:p w14:paraId="5AFB1207">
            <w:pPr>
              <w:pStyle w:val="248"/>
              <w:spacing w:before="93" w:line="303" w:lineRule="auto"/>
              <w:ind w:left="17" w:right="11" w:firstLine="23"/>
              <w:rPr>
                <w:color w:val="auto"/>
                <w:highlight w:val="none"/>
                <w:lang w:eastAsia="zh-CN"/>
              </w:rPr>
            </w:pPr>
            <w:r>
              <w:rPr>
                <w:color w:val="auto"/>
                <w:spacing w:val="18"/>
                <w:highlight w:val="none"/>
                <w:lang w:eastAsia="zh-CN"/>
              </w:rPr>
              <w:t>以射频信号为主要信号输入的监</w:t>
            </w:r>
            <w:r>
              <w:rPr>
                <w:color w:val="auto"/>
                <w:spacing w:val="5"/>
                <w:highlight w:val="none"/>
                <w:lang w:eastAsia="zh-CN"/>
              </w:rPr>
              <w:t>视器应符合《平板电视能效限定值</w:t>
            </w:r>
            <w:r>
              <w:rPr>
                <w:color w:val="auto"/>
                <w:spacing w:val="8"/>
                <w:highlight w:val="none"/>
                <w:lang w:eastAsia="zh-CN"/>
              </w:rPr>
              <w:t>及能效等级》（</w:t>
            </w:r>
            <w:r>
              <w:rPr>
                <w:color w:val="auto"/>
                <w:highlight w:val="none"/>
                <w:lang w:eastAsia="zh-CN"/>
              </w:rPr>
              <w:t>GB</w:t>
            </w:r>
            <w:r>
              <w:rPr>
                <w:color w:val="auto"/>
                <w:spacing w:val="8"/>
                <w:highlight w:val="none"/>
                <w:lang w:eastAsia="zh-CN"/>
              </w:rPr>
              <w:t xml:space="preserve"> 24850</w:t>
            </w:r>
            <w:r>
              <w:rPr>
                <w:color w:val="auto"/>
                <w:highlight w:val="none"/>
                <w:lang w:eastAsia="zh-CN"/>
              </w:rPr>
              <w:t>），</w:t>
            </w:r>
          </w:p>
          <w:p w14:paraId="0DB2302E">
            <w:pPr>
              <w:pStyle w:val="248"/>
              <w:spacing w:before="1" w:line="290" w:lineRule="auto"/>
              <w:ind w:left="17" w:right="11" w:firstLine="23"/>
              <w:rPr>
                <w:color w:val="auto"/>
                <w:highlight w:val="none"/>
                <w:lang w:eastAsia="zh-CN"/>
              </w:rPr>
            </w:pPr>
            <w:r>
              <w:rPr>
                <w:color w:val="auto"/>
                <w:spacing w:val="18"/>
                <w:highlight w:val="none"/>
                <w:lang w:eastAsia="zh-CN"/>
              </w:rPr>
              <w:t>以数字信号为主要信号输入的监</w:t>
            </w:r>
            <w:r>
              <w:rPr>
                <w:color w:val="auto"/>
                <w:spacing w:val="5"/>
                <w:highlight w:val="none"/>
                <w:lang w:eastAsia="zh-CN"/>
              </w:rPr>
              <w:t>视器应符合《计算机显示器能效限</w:t>
            </w:r>
            <w:r>
              <w:rPr>
                <w:color w:val="auto"/>
                <w:spacing w:val="7"/>
                <w:highlight w:val="none"/>
                <w:lang w:eastAsia="zh-CN"/>
              </w:rPr>
              <w:t xml:space="preserve"> 定值及能效等级》（</w:t>
            </w:r>
            <w:r>
              <w:rPr>
                <w:color w:val="auto"/>
                <w:highlight w:val="none"/>
                <w:lang w:eastAsia="zh-CN"/>
              </w:rPr>
              <w:t>GB</w:t>
            </w:r>
            <w:r>
              <w:rPr>
                <w:color w:val="auto"/>
                <w:spacing w:val="7"/>
                <w:highlight w:val="none"/>
                <w:lang w:eastAsia="zh-CN"/>
              </w:rPr>
              <w:t xml:space="preserve"> 21520）</w:t>
            </w:r>
          </w:p>
        </w:tc>
      </w:tr>
      <w:tr w14:paraId="4A3D9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78" w:type="dxa"/>
          </w:tcPr>
          <w:p w14:paraId="62106274">
            <w:pPr>
              <w:pStyle w:val="248"/>
              <w:spacing w:before="298" w:line="258" w:lineRule="exact"/>
              <w:ind w:left="209"/>
              <w:rPr>
                <w:color w:val="auto"/>
                <w:highlight w:val="none"/>
              </w:rPr>
            </w:pPr>
            <w:r>
              <w:rPr>
                <w:color w:val="auto"/>
                <w:spacing w:val="-7"/>
                <w:position w:val="1"/>
                <w:highlight w:val="none"/>
              </w:rPr>
              <w:t>14</w:t>
            </w:r>
          </w:p>
        </w:tc>
        <w:tc>
          <w:tcPr>
            <w:tcW w:w="1166" w:type="dxa"/>
          </w:tcPr>
          <w:p w14:paraId="2B756B20">
            <w:pPr>
              <w:pStyle w:val="248"/>
              <w:spacing w:before="142" w:line="304" w:lineRule="auto"/>
              <w:ind w:left="15" w:right="8" w:hanging="6"/>
              <w:rPr>
                <w:color w:val="auto"/>
                <w:highlight w:val="none"/>
              </w:rPr>
            </w:pPr>
            <w:r>
              <w:rPr>
                <w:color w:val="auto"/>
                <w:spacing w:val="5"/>
                <w:highlight w:val="none"/>
              </w:rPr>
              <w:t>A031210饮食</w:t>
            </w:r>
            <w:r>
              <w:rPr>
                <w:color w:val="auto"/>
                <w:spacing w:val="7"/>
                <w:highlight w:val="none"/>
              </w:rPr>
              <w:t>炊事机械</w:t>
            </w:r>
          </w:p>
        </w:tc>
        <w:tc>
          <w:tcPr>
            <w:tcW w:w="1799" w:type="dxa"/>
          </w:tcPr>
          <w:p w14:paraId="37D9A990">
            <w:pPr>
              <w:pStyle w:val="248"/>
              <w:spacing w:before="297" w:line="230" w:lineRule="auto"/>
              <w:ind w:left="19"/>
              <w:rPr>
                <w:color w:val="auto"/>
                <w:highlight w:val="none"/>
              </w:rPr>
            </w:pPr>
            <w:r>
              <w:rPr>
                <w:color w:val="auto"/>
                <w:spacing w:val="7"/>
                <w:highlight w:val="none"/>
              </w:rPr>
              <w:t>商用燃气灶具</w:t>
            </w:r>
          </w:p>
        </w:tc>
        <w:tc>
          <w:tcPr>
            <w:tcW w:w="1914" w:type="dxa"/>
          </w:tcPr>
          <w:p w14:paraId="040BA189">
            <w:pPr>
              <w:rPr>
                <w:rFonts w:ascii="Arial"/>
                <w:color w:val="auto"/>
                <w:highlight w:val="none"/>
              </w:rPr>
            </w:pPr>
          </w:p>
        </w:tc>
        <w:tc>
          <w:tcPr>
            <w:tcW w:w="2969" w:type="dxa"/>
          </w:tcPr>
          <w:p w14:paraId="130998D7">
            <w:pPr>
              <w:pStyle w:val="248"/>
              <w:spacing w:before="142" w:line="304" w:lineRule="auto"/>
              <w:ind w:left="22" w:right="11"/>
              <w:rPr>
                <w:color w:val="auto"/>
                <w:highlight w:val="none"/>
                <w:lang w:eastAsia="zh-CN"/>
              </w:rPr>
            </w:pPr>
            <w:r>
              <w:rPr>
                <w:color w:val="auto"/>
                <w:spacing w:val="19"/>
                <w:highlight w:val="none"/>
                <w:lang w:eastAsia="zh-CN"/>
              </w:rPr>
              <w:t>《商用燃气灶具能效限定值及能</w:t>
            </w:r>
            <w:r>
              <w:rPr>
                <w:color w:val="auto"/>
                <w:spacing w:val="6"/>
                <w:highlight w:val="none"/>
                <w:lang w:eastAsia="zh-CN"/>
              </w:rPr>
              <w:t>效等级》（</w:t>
            </w:r>
            <w:r>
              <w:rPr>
                <w:color w:val="auto"/>
                <w:highlight w:val="none"/>
                <w:lang w:eastAsia="zh-CN"/>
              </w:rPr>
              <w:t>GB</w:t>
            </w:r>
            <w:r>
              <w:rPr>
                <w:color w:val="auto"/>
                <w:spacing w:val="6"/>
                <w:highlight w:val="none"/>
                <w:lang w:eastAsia="zh-CN"/>
              </w:rPr>
              <w:t xml:space="preserve"> 30531）</w:t>
            </w:r>
          </w:p>
        </w:tc>
      </w:tr>
      <w:tr w14:paraId="4415D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578" w:type="dxa"/>
            <w:vMerge w:val="restart"/>
            <w:tcBorders>
              <w:bottom w:val="nil"/>
            </w:tcBorders>
          </w:tcPr>
          <w:p w14:paraId="672A7017">
            <w:pPr>
              <w:spacing w:line="290" w:lineRule="auto"/>
              <w:rPr>
                <w:rFonts w:ascii="Arial"/>
                <w:color w:val="auto"/>
                <w:highlight w:val="none"/>
              </w:rPr>
            </w:pPr>
          </w:p>
          <w:p w14:paraId="7E29C95D">
            <w:pPr>
              <w:spacing w:line="290" w:lineRule="auto"/>
              <w:rPr>
                <w:rFonts w:ascii="Arial"/>
                <w:color w:val="auto"/>
                <w:highlight w:val="none"/>
              </w:rPr>
            </w:pPr>
          </w:p>
          <w:p w14:paraId="5C990364">
            <w:pPr>
              <w:spacing w:line="291" w:lineRule="auto"/>
              <w:rPr>
                <w:rFonts w:ascii="Arial"/>
                <w:color w:val="auto"/>
                <w:highlight w:val="none"/>
              </w:rPr>
            </w:pPr>
          </w:p>
          <w:p w14:paraId="51FCF27D">
            <w:pPr>
              <w:spacing w:line="291" w:lineRule="auto"/>
              <w:rPr>
                <w:rFonts w:ascii="Arial"/>
                <w:color w:val="auto"/>
                <w:highlight w:val="none"/>
              </w:rPr>
            </w:pPr>
          </w:p>
          <w:p w14:paraId="1D1B4C35">
            <w:pPr>
              <w:pStyle w:val="248"/>
              <w:spacing w:before="62" w:line="257" w:lineRule="exact"/>
              <w:ind w:left="209"/>
              <w:rPr>
                <w:color w:val="auto"/>
                <w:highlight w:val="none"/>
              </w:rPr>
            </w:pPr>
            <w:r>
              <w:rPr>
                <w:color w:val="auto"/>
                <w:spacing w:val="-7"/>
                <w:position w:val="1"/>
                <w:highlight w:val="none"/>
              </w:rPr>
              <w:t>15</w:t>
            </w:r>
          </w:p>
        </w:tc>
        <w:tc>
          <w:tcPr>
            <w:tcW w:w="1166" w:type="dxa"/>
            <w:vMerge w:val="restart"/>
            <w:tcBorders>
              <w:bottom w:val="nil"/>
            </w:tcBorders>
          </w:tcPr>
          <w:p w14:paraId="6F67CF98">
            <w:pPr>
              <w:spacing w:line="251" w:lineRule="auto"/>
              <w:rPr>
                <w:rFonts w:ascii="Arial"/>
                <w:color w:val="auto"/>
                <w:highlight w:val="none"/>
              </w:rPr>
            </w:pPr>
          </w:p>
          <w:p w14:paraId="5AD903D2">
            <w:pPr>
              <w:spacing w:line="251" w:lineRule="auto"/>
              <w:rPr>
                <w:rFonts w:ascii="Arial"/>
                <w:color w:val="auto"/>
                <w:highlight w:val="none"/>
              </w:rPr>
            </w:pPr>
          </w:p>
          <w:p w14:paraId="5642041E">
            <w:pPr>
              <w:spacing w:line="252" w:lineRule="auto"/>
              <w:rPr>
                <w:rFonts w:ascii="Arial"/>
                <w:color w:val="auto"/>
                <w:highlight w:val="none"/>
              </w:rPr>
            </w:pPr>
          </w:p>
          <w:p w14:paraId="6CD8B65A">
            <w:pPr>
              <w:pStyle w:val="248"/>
              <w:spacing w:before="62" w:line="307" w:lineRule="auto"/>
              <w:ind w:left="15" w:right="8" w:firstLine="3"/>
              <w:rPr>
                <w:color w:val="auto"/>
                <w:highlight w:val="none"/>
              </w:rPr>
            </w:pPr>
            <w:r>
              <w:rPr>
                <w:color w:val="auto"/>
                <w:spacing w:val="3"/>
                <w:highlight w:val="none"/>
              </w:rPr>
              <w:t>★A060805便</w:t>
            </w:r>
            <w:r>
              <w:rPr>
                <w:color w:val="auto"/>
                <w:spacing w:val="1"/>
                <w:highlight w:val="none"/>
              </w:rPr>
              <w:t>器</w:t>
            </w:r>
          </w:p>
        </w:tc>
        <w:tc>
          <w:tcPr>
            <w:tcW w:w="1799" w:type="dxa"/>
          </w:tcPr>
          <w:p w14:paraId="34AFB3F2">
            <w:pPr>
              <w:spacing w:line="282" w:lineRule="auto"/>
              <w:rPr>
                <w:rFonts w:ascii="Arial"/>
                <w:color w:val="auto"/>
                <w:highlight w:val="none"/>
              </w:rPr>
            </w:pPr>
          </w:p>
          <w:p w14:paraId="16A0B6D3">
            <w:pPr>
              <w:pStyle w:val="248"/>
              <w:spacing w:before="62" w:line="229" w:lineRule="auto"/>
              <w:ind w:left="16"/>
              <w:rPr>
                <w:color w:val="auto"/>
                <w:highlight w:val="none"/>
              </w:rPr>
            </w:pPr>
            <w:r>
              <w:rPr>
                <w:color w:val="auto"/>
                <w:spacing w:val="6"/>
                <w:highlight w:val="none"/>
              </w:rPr>
              <w:t>坐便器</w:t>
            </w:r>
          </w:p>
        </w:tc>
        <w:tc>
          <w:tcPr>
            <w:tcW w:w="1914" w:type="dxa"/>
          </w:tcPr>
          <w:p w14:paraId="2A562247">
            <w:pPr>
              <w:rPr>
                <w:rFonts w:ascii="Arial"/>
                <w:color w:val="auto"/>
                <w:highlight w:val="none"/>
              </w:rPr>
            </w:pPr>
          </w:p>
        </w:tc>
        <w:tc>
          <w:tcPr>
            <w:tcW w:w="2969" w:type="dxa"/>
          </w:tcPr>
          <w:p w14:paraId="2BC525BF">
            <w:pPr>
              <w:pStyle w:val="248"/>
              <w:spacing w:before="189" w:line="311" w:lineRule="auto"/>
              <w:ind w:left="27" w:hanging="4"/>
              <w:rPr>
                <w:color w:val="auto"/>
                <w:highlight w:val="none"/>
                <w:lang w:eastAsia="zh-CN"/>
              </w:rPr>
            </w:pPr>
            <w:r>
              <w:rPr>
                <w:color w:val="auto"/>
                <w:spacing w:val="6"/>
                <w:highlight w:val="none"/>
                <w:lang w:eastAsia="zh-CN"/>
              </w:rPr>
              <w:t>《坐便器水效限定值及水效等级》</w:t>
            </w:r>
            <w:r>
              <w:rPr>
                <w:color w:val="auto"/>
                <w:spacing w:val="1"/>
                <w:highlight w:val="none"/>
                <w:lang w:eastAsia="zh-CN"/>
              </w:rPr>
              <w:t>（</w:t>
            </w:r>
            <w:r>
              <w:rPr>
                <w:color w:val="auto"/>
                <w:highlight w:val="none"/>
                <w:lang w:eastAsia="zh-CN"/>
              </w:rPr>
              <w:t>GB</w:t>
            </w:r>
            <w:r>
              <w:rPr>
                <w:color w:val="auto"/>
                <w:spacing w:val="1"/>
                <w:highlight w:val="none"/>
                <w:lang w:eastAsia="zh-CN"/>
              </w:rPr>
              <w:t>25502）</w:t>
            </w:r>
          </w:p>
        </w:tc>
      </w:tr>
      <w:tr w14:paraId="6BD3B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578" w:type="dxa"/>
            <w:vMerge w:val="continue"/>
            <w:tcBorders>
              <w:top w:val="nil"/>
              <w:bottom w:val="nil"/>
            </w:tcBorders>
          </w:tcPr>
          <w:p w14:paraId="1EEA14CB">
            <w:pPr>
              <w:rPr>
                <w:rFonts w:ascii="Arial"/>
                <w:color w:val="auto"/>
                <w:highlight w:val="none"/>
              </w:rPr>
            </w:pPr>
          </w:p>
        </w:tc>
        <w:tc>
          <w:tcPr>
            <w:tcW w:w="1166" w:type="dxa"/>
            <w:vMerge w:val="continue"/>
            <w:tcBorders>
              <w:top w:val="nil"/>
              <w:bottom w:val="nil"/>
            </w:tcBorders>
          </w:tcPr>
          <w:p w14:paraId="631FBD0D">
            <w:pPr>
              <w:rPr>
                <w:rFonts w:ascii="Arial"/>
                <w:color w:val="auto"/>
                <w:highlight w:val="none"/>
              </w:rPr>
            </w:pPr>
          </w:p>
        </w:tc>
        <w:tc>
          <w:tcPr>
            <w:tcW w:w="1799" w:type="dxa"/>
          </w:tcPr>
          <w:p w14:paraId="7F52A3A6">
            <w:pPr>
              <w:spacing w:line="283" w:lineRule="auto"/>
              <w:rPr>
                <w:rFonts w:ascii="Arial"/>
                <w:color w:val="auto"/>
                <w:highlight w:val="none"/>
              </w:rPr>
            </w:pPr>
          </w:p>
          <w:p w14:paraId="12381496">
            <w:pPr>
              <w:pStyle w:val="248"/>
              <w:spacing w:before="62" w:line="229" w:lineRule="auto"/>
              <w:ind w:left="14"/>
              <w:rPr>
                <w:color w:val="auto"/>
                <w:highlight w:val="none"/>
              </w:rPr>
            </w:pPr>
            <w:r>
              <w:rPr>
                <w:color w:val="auto"/>
                <w:spacing w:val="6"/>
                <w:highlight w:val="none"/>
              </w:rPr>
              <w:t>蹲便器</w:t>
            </w:r>
          </w:p>
        </w:tc>
        <w:tc>
          <w:tcPr>
            <w:tcW w:w="1914" w:type="dxa"/>
          </w:tcPr>
          <w:p w14:paraId="4E3EA0F7">
            <w:pPr>
              <w:rPr>
                <w:rFonts w:ascii="Arial"/>
                <w:color w:val="auto"/>
                <w:highlight w:val="none"/>
              </w:rPr>
            </w:pPr>
          </w:p>
        </w:tc>
        <w:tc>
          <w:tcPr>
            <w:tcW w:w="2969" w:type="dxa"/>
          </w:tcPr>
          <w:p w14:paraId="7D4CA0D0">
            <w:pPr>
              <w:pStyle w:val="248"/>
              <w:spacing w:before="191" w:line="304" w:lineRule="auto"/>
              <w:ind w:left="22" w:right="11"/>
              <w:rPr>
                <w:color w:val="auto"/>
                <w:highlight w:val="none"/>
                <w:lang w:eastAsia="zh-CN"/>
              </w:rPr>
            </w:pPr>
            <w:r>
              <w:rPr>
                <w:color w:val="auto"/>
                <w:spacing w:val="19"/>
                <w:highlight w:val="none"/>
                <w:lang w:eastAsia="zh-CN"/>
              </w:rPr>
              <w:t>《蹲便器用水效率限定值及用水</w:t>
            </w:r>
            <w:r>
              <w:rPr>
                <w:color w:val="auto"/>
                <w:spacing w:val="6"/>
                <w:highlight w:val="none"/>
                <w:lang w:eastAsia="zh-CN"/>
              </w:rPr>
              <w:t>效率等级》（</w:t>
            </w:r>
            <w:r>
              <w:rPr>
                <w:color w:val="auto"/>
                <w:highlight w:val="none"/>
                <w:lang w:eastAsia="zh-CN"/>
              </w:rPr>
              <w:t>GB</w:t>
            </w:r>
            <w:r>
              <w:rPr>
                <w:color w:val="auto"/>
                <w:spacing w:val="6"/>
                <w:highlight w:val="none"/>
                <w:lang w:eastAsia="zh-CN"/>
              </w:rPr>
              <w:t xml:space="preserve"> 30717）</w:t>
            </w:r>
          </w:p>
        </w:tc>
      </w:tr>
      <w:tr w14:paraId="52344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trPr>
        <w:tc>
          <w:tcPr>
            <w:tcW w:w="578" w:type="dxa"/>
            <w:vMerge w:val="continue"/>
            <w:tcBorders>
              <w:top w:val="nil"/>
            </w:tcBorders>
          </w:tcPr>
          <w:p w14:paraId="2871C5FB">
            <w:pPr>
              <w:rPr>
                <w:rFonts w:ascii="Arial"/>
                <w:color w:val="auto"/>
                <w:highlight w:val="none"/>
              </w:rPr>
            </w:pPr>
          </w:p>
        </w:tc>
        <w:tc>
          <w:tcPr>
            <w:tcW w:w="1166" w:type="dxa"/>
            <w:vMerge w:val="continue"/>
            <w:tcBorders>
              <w:top w:val="nil"/>
            </w:tcBorders>
          </w:tcPr>
          <w:p w14:paraId="3D19F3D2">
            <w:pPr>
              <w:rPr>
                <w:rFonts w:ascii="Arial"/>
                <w:color w:val="auto"/>
                <w:highlight w:val="none"/>
              </w:rPr>
            </w:pPr>
          </w:p>
        </w:tc>
        <w:tc>
          <w:tcPr>
            <w:tcW w:w="1799" w:type="dxa"/>
          </w:tcPr>
          <w:p w14:paraId="6DEB04E2">
            <w:pPr>
              <w:spacing w:line="284" w:lineRule="auto"/>
              <w:rPr>
                <w:rFonts w:ascii="Arial"/>
                <w:color w:val="auto"/>
                <w:highlight w:val="none"/>
              </w:rPr>
            </w:pPr>
          </w:p>
          <w:p w14:paraId="3F5D7B33">
            <w:pPr>
              <w:pStyle w:val="248"/>
              <w:spacing w:before="61" w:line="229" w:lineRule="auto"/>
              <w:ind w:left="20"/>
              <w:rPr>
                <w:color w:val="auto"/>
                <w:highlight w:val="none"/>
              </w:rPr>
            </w:pPr>
            <w:r>
              <w:rPr>
                <w:color w:val="auto"/>
                <w:spacing w:val="4"/>
                <w:highlight w:val="none"/>
              </w:rPr>
              <w:t>小便器</w:t>
            </w:r>
          </w:p>
        </w:tc>
        <w:tc>
          <w:tcPr>
            <w:tcW w:w="1914" w:type="dxa"/>
          </w:tcPr>
          <w:p w14:paraId="4248FD7F">
            <w:pPr>
              <w:rPr>
                <w:rFonts w:ascii="Arial"/>
                <w:color w:val="auto"/>
                <w:highlight w:val="none"/>
              </w:rPr>
            </w:pPr>
          </w:p>
        </w:tc>
        <w:tc>
          <w:tcPr>
            <w:tcW w:w="2969" w:type="dxa"/>
          </w:tcPr>
          <w:p w14:paraId="4DBF5ED4">
            <w:pPr>
              <w:pStyle w:val="248"/>
              <w:spacing w:before="192" w:line="304" w:lineRule="auto"/>
              <w:ind w:left="22" w:right="11"/>
              <w:rPr>
                <w:color w:val="auto"/>
                <w:highlight w:val="none"/>
                <w:lang w:eastAsia="zh-CN"/>
              </w:rPr>
            </w:pPr>
            <w:r>
              <w:rPr>
                <w:color w:val="auto"/>
                <w:spacing w:val="19"/>
                <w:highlight w:val="none"/>
                <w:lang w:eastAsia="zh-CN"/>
              </w:rPr>
              <w:t>《小便器用水效率限定值及用水</w:t>
            </w:r>
            <w:r>
              <w:rPr>
                <w:color w:val="auto"/>
                <w:spacing w:val="6"/>
                <w:highlight w:val="none"/>
                <w:lang w:eastAsia="zh-CN"/>
              </w:rPr>
              <w:t>效率等级》（</w:t>
            </w:r>
            <w:r>
              <w:rPr>
                <w:color w:val="auto"/>
                <w:highlight w:val="none"/>
                <w:lang w:eastAsia="zh-CN"/>
              </w:rPr>
              <w:t>GB</w:t>
            </w:r>
            <w:r>
              <w:rPr>
                <w:color w:val="auto"/>
                <w:spacing w:val="6"/>
                <w:highlight w:val="none"/>
                <w:lang w:eastAsia="zh-CN"/>
              </w:rPr>
              <w:t xml:space="preserve"> 28377）</w:t>
            </w:r>
          </w:p>
        </w:tc>
      </w:tr>
    </w:tbl>
    <w:p w14:paraId="11B503FE">
      <w:pPr>
        <w:rPr>
          <w:rFonts w:ascii="Arial"/>
          <w:color w:val="auto"/>
          <w:highlight w:val="none"/>
        </w:rPr>
      </w:pPr>
    </w:p>
    <w:p w14:paraId="3A482677">
      <w:pPr>
        <w:rPr>
          <w:rFonts w:ascii="Arial" w:hAnsi="Arial" w:eastAsia="Arial" w:cs="Arial"/>
          <w:color w:val="auto"/>
          <w:szCs w:val="21"/>
          <w:highlight w:val="none"/>
        </w:rPr>
        <w:sectPr>
          <w:pgSz w:w="11906" w:h="16838"/>
          <w:pgMar w:top="1431" w:right="1691" w:bottom="0" w:left="1783" w:header="0" w:footer="0" w:gutter="0"/>
          <w:cols w:space="720" w:num="1"/>
        </w:sectPr>
      </w:pPr>
    </w:p>
    <w:p w14:paraId="62A46B4E">
      <w:pPr>
        <w:spacing w:line="91" w:lineRule="auto"/>
        <w:rPr>
          <w:rFonts w:ascii="Arial"/>
          <w:color w:val="auto"/>
          <w:sz w:val="2"/>
          <w:highlight w:val="none"/>
        </w:rPr>
      </w:pPr>
    </w:p>
    <w:tbl>
      <w:tblPr>
        <w:tblStyle w:val="51"/>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4ADBF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578" w:type="dxa"/>
          </w:tcPr>
          <w:p w14:paraId="502BFC4F">
            <w:pPr>
              <w:spacing w:line="312" w:lineRule="auto"/>
              <w:rPr>
                <w:rFonts w:ascii="Arial"/>
                <w:color w:val="auto"/>
                <w:highlight w:val="none"/>
              </w:rPr>
            </w:pPr>
          </w:p>
          <w:p w14:paraId="6BED9CC5">
            <w:pPr>
              <w:pStyle w:val="248"/>
              <w:spacing w:before="61" w:line="257" w:lineRule="exact"/>
              <w:ind w:left="209"/>
              <w:rPr>
                <w:color w:val="auto"/>
                <w:highlight w:val="none"/>
              </w:rPr>
            </w:pPr>
            <w:r>
              <w:rPr>
                <w:color w:val="auto"/>
                <w:spacing w:val="-7"/>
                <w:position w:val="1"/>
                <w:highlight w:val="none"/>
              </w:rPr>
              <w:t>16</w:t>
            </w:r>
          </w:p>
        </w:tc>
        <w:tc>
          <w:tcPr>
            <w:tcW w:w="1166" w:type="dxa"/>
          </w:tcPr>
          <w:p w14:paraId="184DAEA5">
            <w:pPr>
              <w:pStyle w:val="248"/>
              <w:spacing w:before="220" w:line="304" w:lineRule="auto"/>
              <w:ind w:left="22" w:right="8" w:hanging="4"/>
              <w:rPr>
                <w:color w:val="auto"/>
                <w:highlight w:val="none"/>
              </w:rPr>
            </w:pPr>
            <w:r>
              <w:rPr>
                <w:color w:val="auto"/>
                <w:spacing w:val="3"/>
                <w:highlight w:val="none"/>
              </w:rPr>
              <w:t>★A060806水</w:t>
            </w:r>
            <w:r>
              <w:rPr>
                <w:color w:val="auto"/>
                <w:highlight w:val="none"/>
              </w:rPr>
              <w:t xml:space="preserve"> 嘴</w:t>
            </w:r>
          </w:p>
        </w:tc>
        <w:tc>
          <w:tcPr>
            <w:tcW w:w="1799" w:type="dxa"/>
          </w:tcPr>
          <w:p w14:paraId="7760B4EE">
            <w:pPr>
              <w:rPr>
                <w:rFonts w:ascii="Arial"/>
                <w:color w:val="auto"/>
                <w:highlight w:val="none"/>
              </w:rPr>
            </w:pPr>
          </w:p>
        </w:tc>
        <w:tc>
          <w:tcPr>
            <w:tcW w:w="1914" w:type="dxa"/>
          </w:tcPr>
          <w:p w14:paraId="43DF726B">
            <w:pPr>
              <w:rPr>
                <w:rFonts w:ascii="Arial"/>
                <w:color w:val="auto"/>
                <w:highlight w:val="none"/>
              </w:rPr>
            </w:pPr>
          </w:p>
        </w:tc>
        <w:tc>
          <w:tcPr>
            <w:tcW w:w="2969" w:type="dxa"/>
          </w:tcPr>
          <w:p w14:paraId="53A19BC9">
            <w:pPr>
              <w:pStyle w:val="248"/>
              <w:spacing w:before="220" w:line="304" w:lineRule="auto"/>
              <w:ind w:left="19" w:right="11" w:firstLine="3"/>
              <w:rPr>
                <w:color w:val="auto"/>
                <w:highlight w:val="none"/>
                <w:lang w:eastAsia="zh-CN"/>
              </w:rPr>
            </w:pPr>
            <w:r>
              <w:rPr>
                <w:color w:val="auto"/>
                <w:spacing w:val="19"/>
                <w:highlight w:val="none"/>
                <w:lang w:eastAsia="zh-CN"/>
              </w:rPr>
              <w:t>《水嘴用水效率限定值及用水效</w:t>
            </w:r>
            <w:r>
              <w:rPr>
                <w:color w:val="auto"/>
                <w:spacing w:val="6"/>
                <w:highlight w:val="none"/>
                <w:lang w:eastAsia="zh-CN"/>
              </w:rPr>
              <w:t>率等级》（</w:t>
            </w:r>
            <w:r>
              <w:rPr>
                <w:color w:val="auto"/>
                <w:highlight w:val="none"/>
                <w:lang w:eastAsia="zh-CN"/>
              </w:rPr>
              <w:t>GB</w:t>
            </w:r>
            <w:r>
              <w:rPr>
                <w:color w:val="auto"/>
                <w:spacing w:val="6"/>
                <w:highlight w:val="none"/>
                <w:lang w:eastAsia="zh-CN"/>
              </w:rPr>
              <w:t xml:space="preserve"> 25501）</w:t>
            </w:r>
          </w:p>
        </w:tc>
      </w:tr>
      <w:tr w14:paraId="3925C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78" w:type="dxa"/>
          </w:tcPr>
          <w:p w14:paraId="7D61CC0E">
            <w:pPr>
              <w:spacing w:line="268" w:lineRule="auto"/>
              <w:rPr>
                <w:rFonts w:ascii="Arial"/>
                <w:color w:val="auto"/>
                <w:highlight w:val="none"/>
              </w:rPr>
            </w:pPr>
          </w:p>
          <w:p w14:paraId="52BC330B">
            <w:pPr>
              <w:pStyle w:val="248"/>
              <w:spacing w:before="62" w:line="257" w:lineRule="exact"/>
              <w:ind w:left="209"/>
              <w:rPr>
                <w:color w:val="auto"/>
                <w:highlight w:val="none"/>
              </w:rPr>
            </w:pPr>
            <w:r>
              <w:rPr>
                <w:color w:val="auto"/>
                <w:spacing w:val="-7"/>
                <w:position w:val="1"/>
                <w:highlight w:val="none"/>
              </w:rPr>
              <w:t>17</w:t>
            </w:r>
          </w:p>
        </w:tc>
        <w:tc>
          <w:tcPr>
            <w:tcW w:w="1166" w:type="dxa"/>
          </w:tcPr>
          <w:p w14:paraId="0D894E99">
            <w:pPr>
              <w:pStyle w:val="248"/>
              <w:spacing w:before="176" w:line="305" w:lineRule="auto"/>
              <w:ind w:left="15" w:right="8" w:hanging="6"/>
              <w:rPr>
                <w:color w:val="auto"/>
                <w:highlight w:val="none"/>
              </w:rPr>
            </w:pPr>
            <w:r>
              <w:rPr>
                <w:color w:val="auto"/>
                <w:spacing w:val="5"/>
                <w:highlight w:val="none"/>
              </w:rPr>
              <w:t>A060807便器</w:t>
            </w:r>
            <w:r>
              <w:rPr>
                <w:color w:val="auto"/>
                <w:spacing w:val="6"/>
                <w:highlight w:val="none"/>
              </w:rPr>
              <w:t>冲洗阀</w:t>
            </w:r>
          </w:p>
        </w:tc>
        <w:tc>
          <w:tcPr>
            <w:tcW w:w="1799" w:type="dxa"/>
          </w:tcPr>
          <w:p w14:paraId="45076D3E">
            <w:pPr>
              <w:rPr>
                <w:rFonts w:ascii="Arial"/>
                <w:color w:val="auto"/>
                <w:highlight w:val="none"/>
              </w:rPr>
            </w:pPr>
          </w:p>
        </w:tc>
        <w:tc>
          <w:tcPr>
            <w:tcW w:w="1914" w:type="dxa"/>
          </w:tcPr>
          <w:p w14:paraId="1C89DDE5">
            <w:pPr>
              <w:rPr>
                <w:rFonts w:ascii="Arial"/>
                <w:color w:val="auto"/>
                <w:highlight w:val="none"/>
              </w:rPr>
            </w:pPr>
          </w:p>
        </w:tc>
        <w:tc>
          <w:tcPr>
            <w:tcW w:w="2969" w:type="dxa"/>
          </w:tcPr>
          <w:p w14:paraId="22F3B01B">
            <w:pPr>
              <w:pStyle w:val="248"/>
              <w:spacing w:before="177" w:line="304" w:lineRule="auto"/>
              <w:ind w:left="19" w:right="11" w:firstLine="3"/>
              <w:rPr>
                <w:color w:val="auto"/>
                <w:highlight w:val="none"/>
                <w:lang w:eastAsia="zh-CN"/>
              </w:rPr>
            </w:pPr>
            <w:r>
              <w:rPr>
                <w:color w:val="auto"/>
                <w:spacing w:val="19"/>
                <w:highlight w:val="none"/>
                <w:lang w:eastAsia="zh-CN"/>
              </w:rPr>
              <w:t>《便器冲洗阀用水效率限定值及</w:t>
            </w:r>
            <w:r>
              <w:rPr>
                <w:color w:val="auto"/>
                <w:spacing w:val="7"/>
                <w:highlight w:val="none"/>
                <w:lang w:eastAsia="zh-CN"/>
              </w:rPr>
              <w:t>用水效率等级》（</w:t>
            </w:r>
            <w:r>
              <w:rPr>
                <w:color w:val="auto"/>
                <w:highlight w:val="none"/>
                <w:lang w:eastAsia="zh-CN"/>
              </w:rPr>
              <w:t>GB</w:t>
            </w:r>
            <w:r>
              <w:rPr>
                <w:color w:val="auto"/>
                <w:spacing w:val="7"/>
                <w:highlight w:val="none"/>
                <w:lang w:eastAsia="zh-CN"/>
              </w:rPr>
              <w:t xml:space="preserve"> 28379）</w:t>
            </w:r>
          </w:p>
        </w:tc>
      </w:tr>
      <w:tr w14:paraId="6C626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578" w:type="dxa"/>
          </w:tcPr>
          <w:p w14:paraId="13033402">
            <w:pPr>
              <w:spacing w:line="289" w:lineRule="auto"/>
              <w:rPr>
                <w:rFonts w:ascii="Arial"/>
                <w:color w:val="auto"/>
                <w:highlight w:val="none"/>
              </w:rPr>
            </w:pPr>
          </w:p>
          <w:p w14:paraId="6B80AC41">
            <w:pPr>
              <w:pStyle w:val="248"/>
              <w:spacing w:before="62" w:line="256" w:lineRule="exact"/>
              <w:ind w:left="209"/>
              <w:rPr>
                <w:color w:val="auto"/>
                <w:highlight w:val="none"/>
              </w:rPr>
            </w:pPr>
            <w:r>
              <w:rPr>
                <w:color w:val="auto"/>
                <w:spacing w:val="-7"/>
                <w:position w:val="1"/>
                <w:highlight w:val="none"/>
              </w:rPr>
              <w:t>18</w:t>
            </w:r>
          </w:p>
        </w:tc>
        <w:tc>
          <w:tcPr>
            <w:tcW w:w="1166" w:type="dxa"/>
          </w:tcPr>
          <w:p w14:paraId="4A6B9F83">
            <w:pPr>
              <w:pStyle w:val="248"/>
              <w:spacing w:before="196" w:line="307" w:lineRule="auto"/>
              <w:ind w:left="15" w:right="8" w:hanging="6"/>
              <w:rPr>
                <w:color w:val="auto"/>
                <w:highlight w:val="none"/>
              </w:rPr>
            </w:pPr>
            <w:r>
              <w:rPr>
                <w:color w:val="auto"/>
                <w:spacing w:val="4"/>
                <w:highlight w:val="none"/>
              </w:rPr>
              <w:t>A060810淋浴</w:t>
            </w:r>
            <w:r>
              <w:rPr>
                <w:color w:val="auto"/>
                <w:spacing w:val="1"/>
                <w:highlight w:val="none"/>
              </w:rPr>
              <w:t>器</w:t>
            </w:r>
          </w:p>
        </w:tc>
        <w:tc>
          <w:tcPr>
            <w:tcW w:w="1799" w:type="dxa"/>
          </w:tcPr>
          <w:p w14:paraId="140E695E">
            <w:pPr>
              <w:rPr>
                <w:rFonts w:ascii="Arial"/>
                <w:color w:val="auto"/>
                <w:highlight w:val="none"/>
              </w:rPr>
            </w:pPr>
          </w:p>
        </w:tc>
        <w:tc>
          <w:tcPr>
            <w:tcW w:w="1914" w:type="dxa"/>
          </w:tcPr>
          <w:p w14:paraId="51444BA2">
            <w:pPr>
              <w:rPr>
                <w:rFonts w:ascii="Arial"/>
                <w:color w:val="auto"/>
                <w:highlight w:val="none"/>
              </w:rPr>
            </w:pPr>
          </w:p>
        </w:tc>
        <w:tc>
          <w:tcPr>
            <w:tcW w:w="2969" w:type="dxa"/>
          </w:tcPr>
          <w:p w14:paraId="068FF545">
            <w:pPr>
              <w:pStyle w:val="248"/>
              <w:spacing w:before="197" w:line="304" w:lineRule="auto"/>
              <w:ind w:left="22" w:right="11"/>
              <w:rPr>
                <w:color w:val="auto"/>
                <w:highlight w:val="none"/>
                <w:lang w:eastAsia="zh-CN"/>
              </w:rPr>
            </w:pPr>
            <w:r>
              <w:rPr>
                <w:color w:val="auto"/>
                <w:spacing w:val="19"/>
                <w:highlight w:val="none"/>
                <w:lang w:eastAsia="zh-CN"/>
              </w:rPr>
              <w:t>《淋浴器用水效率限定值及用水</w:t>
            </w:r>
            <w:r>
              <w:rPr>
                <w:color w:val="auto"/>
                <w:spacing w:val="6"/>
                <w:highlight w:val="none"/>
                <w:lang w:eastAsia="zh-CN"/>
              </w:rPr>
              <w:t>效率等级》（</w:t>
            </w:r>
            <w:r>
              <w:rPr>
                <w:color w:val="auto"/>
                <w:highlight w:val="none"/>
                <w:lang w:eastAsia="zh-CN"/>
              </w:rPr>
              <w:t>GB</w:t>
            </w:r>
            <w:r>
              <w:rPr>
                <w:color w:val="auto"/>
                <w:spacing w:val="6"/>
                <w:highlight w:val="none"/>
                <w:lang w:eastAsia="zh-CN"/>
              </w:rPr>
              <w:t xml:space="preserve"> 28378）</w:t>
            </w:r>
          </w:p>
        </w:tc>
      </w:tr>
    </w:tbl>
    <w:p w14:paraId="3419A531">
      <w:pPr>
        <w:spacing w:after="120" w:line="360" w:lineRule="auto"/>
        <w:rPr>
          <w:rFonts w:ascii="宋体" w:hAnsi="宋体"/>
          <w:color w:val="auto"/>
          <w:szCs w:val="21"/>
          <w:highlight w:val="none"/>
        </w:rPr>
      </w:pPr>
      <w:r>
        <w:rPr>
          <w:rFonts w:hint="eastAsia" w:ascii="宋体" w:hAnsi="宋体"/>
          <w:color w:val="auto"/>
          <w:spacing w:val="-3"/>
          <w:szCs w:val="21"/>
          <w:highlight w:val="none"/>
        </w:rPr>
        <w:t>注：1.节能产品认证应依据相关国家标准的最新版本。</w:t>
      </w:r>
    </w:p>
    <w:p w14:paraId="0E94B0A5">
      <w:pPr>
        <w:spacing w:after="120" w:line="360" w:lineRule="auto"/>
        <w:ind w:firstLine="465"/>
        <w:rPr>
          <w:color w:val="auto"/>
          <w:highlight w:val="none"/>
        </w:rPr>
        <w:sectPr>
          <w:headerReference r:id="rId17" w:type="first"/>
          <w:headerReference r:id="rId16" w:type="default"/>
          <w:pgSz w:w="11906" w:h="16838"/>
          <w:pgMar w:top="993" w:right="1133" w:bottom="1246" w:left="1418" w:header="851" w:footer="992" w:gutter="0"/>
          <w:cols w:space="720" w:num="1"/>
          <w:titlePg/>
          <w:docGrid w:linePitch="312" w:charSpace="0"/>
        </w:sectPr>
      </w:pPr>
      <w:r>
        <w:rPr>
          <w:rFonts w:hint="eastAsia" w:ascii="宋体" w:hAnsi="宋体"/>
          <w:color w:val="auto"/>
          <w:szCs w:val="21"/>
          <w:highlight w:val="none"/>
        </w:rPr>
        <w:t>2.以“★”标注的为政府强制采购产品。</w:t>
      </w:r>
    </w:p>
    <w:p w14:paraId="305BBB77">
      <w:pPr>
        <w:spacing w:line="528" w:lineRule="exact"/>
        <w:jc w:val="left"/>
        <w:rPr>
          <w:color w:val="auto"/>
          <w:sz w:val="28"/>
          <w:szCs w:val="28"/>
          <w:highlight w:val="none"/>
        </w:rPr>
      </w:pPr>
      <w:r>
        <w:rPr>
          <w:rFonts w:hint="eastAsia"/>
          <w:color w:val="auto"/>
          <w:sz w:val="28"/>
          <w:szCs w:val="28"/>
          <w:highlight w:val="none"/>
        </w:rPr>
        <w:t>附件4：</w:t>
      </w:r>
    </w:p>
    <w:p w14:paraId="78BE17AC">
      <w:pPr>
        <w:spacing w:line="528" w:lineRule="exact"/>
        <w:ind w:firstLine="280" w:firstLineChars="100"/>
        <w:jc w:val="center"/>
        <w:rPr>
          <w:color w:val="auto"/>
          <w:sz w:val="28"/>
          <w:szCs w:val="28"/>
          <w:highlight w:val="none"/>
        </w:rPr>
      </w:pPr>
      <w:r>
        <w:rPr>
          <w:rFonts w:hint="eastAsia"/>
          <w:color w:val="auto"/>
          <w:sz w:val="28"/>
          <w:szCs w:val="28"/>
          <w:highlight w:val="none"/>
        </w:rPr>
        <w:t>环境标志产品政府采购品目清单</w:t>
      </w:r>
    </w:p>
    <w:p w14:paraId="7BDE513C">
      <w:pPr>
        <w:spacing w:before="41"/>
        <w:rPr>
          <w:color w:val="auto"/>
          <w:highlight w:val="none"/>
        </w:rPr>
      </w:pPr>
    </w:p>
    <w:p w14:paraId="284D6855">
      <w:pPr>
        <w:spacing w:before="41"/>
        <w:rPr>
          <w:color w:val="auto"/>
          <w:highlight w:val="none"/>
        </w:rPr>
      </w:pPr>
    </w:p>
    <w:tbl>
      <w:tblPr>
        <w:tblStyle w:val="51"/>
        <w:tblW w:w="105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3543"/>
      </w:tblGrid>
      <w:tr w14:paraId="3006D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Pr>
          <w:p w14:paraId="147448B1">
            <w:pPr>
              <w:pStyle w:val="248"/>
              <w:spacing w:before="70" w:line="223" w:lineRule="auto"/>
              <w:ind w:left="129"/>
              <w:rPr>
                <w:color w:val="auto"/>
                <w:highlight w:val="none"/>
              </w:rPr>
            </w:pPr>
            <w:r>
              <w:rPr>
                <w:b/>
                <w:bCs/>
                <w:color w:val="auto"/>
                <w:spacing w:val="-12"/>
                <w:highlight w:val="none"/>
              </w:rPr>
              <w:t>品目</w:t>
            </w:r>
          </w:p>
          <w:p w14:paraId="29584B47">
            <w:pPr>
              <w:pStyle w:val="248"/>
              <w:spacing w:before="91" w:line="222" w:lineRule="auto"/>
              <w:ind w:left="114"/>
              <w:rPr>
                <w:color w:val="auto"/>
                <w:highlight w:val="none"/>
              </w:rPr>
            </w:pPr>
            <w:r>
              <w:rPr>
                <w:b/>
                <w:bCs/>
                <w:color w:val="auto"/>
                <w:spacing w:val="-4"/>
                <w:highlight w:val="none"/>
              </w:rPr>
              <w:t>序号</w:t>
            </w:r>
          </w:p>
        </w:tc>
        <w:tc>
          <w:tcPr>
            <w:tcW w:w="6462" w:type="dxa"/>
            <w:gridSpan w:val="3"/>
          </w:tcPr>
          <w:p w14:paraId="04625C2E">
            <w:pPr>
              <w:pStyle w:val="248"/>
              <w:spacing w:before="224" w:line="222" w:lineRule="auto"/>
              <w:ind w:left="3054"/>
              <w:rPr>
                <w:color w:val="auto"/>
                <w:highlight w:val="none"/>
              </w:rPr>
            </w:pPr>
            <w:r>
              <w:rPr>
                <w:b/>
                <w:bCs/>
                <w:color w:val="auto"/>
                <w:spacing w:val="-6"/>
                <w:highlight w:val="none"/>
              </w:rPr>
              <w:t>名称</w:t>
            </w:r>
          </w:p>
        </w:tc>
        <w:tc>
          <w:tcPr>
            <w:tcW w:w="3543" w:type="dxa"/>
          </w:tcPr>
          <w:p w14:paraId="2F70FA56">
            <w:pPr>
              <w:pStyle w:val="248"/>
              <w:spacing w:before="224" w:line="219" w:lineRule="auto"/>
              <w:ind w:left="1325"/>
              <w:rPr>
                <w:color w:val="auto"/>
                <w:highlight w:val="none"/>
              </w:rPr>
            </w:pPr>
            <w:r>
              <w:rPr>
                <w:b/>
                <w:bCs/>
                <w:color w:val="auto"/>
                <w:spacing w:val="-4"/>
                <w:highlight w:val="none"/>
              </w:rPr>
              <w:t>依据的标准</w:t>
            </w:r>
          </w:p>
        </w:tc>
      </w:tr>
      <w:tr w14:paraId="22737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restart"/>
            <w:tcBorders>
              <w:bottom w:val="nil"/>
            </w:tcBorders>
          </w:tcPr>
          <w:p w14:paraId="74C033D7">
            <w:pPr>
              <w:pStyle w:val="248"/>
              <w:spacing w:before="66" w:line="242" w:lineRule="auto"/>
              <w:ind w:left="128"/>
              <w:rPr>
                <w:color w:val="auto"/>
                <w:highlight w:val="none"/>
              </w:rPr>
            </w:pPr>
            <w:r>
              <w:rPr>
                <w:color w:val="auto"/>
                <w:highlight w:val="none"/>
              </w:rPr>
              <w:t>1</w:t>
            </w:r>
          </w:p>
        </w:tc>
        <w:tc>
          <w:tcPr>
            <w:tcW w:w="1542" w:type="dxa"/>
            <w:vMerge w:val="restart"/>
            <w:tcBorders>
              <w:bottom w:val="nil"/>
            </w:tcBorders>
          </w:tcPr>
          <w:p w14:paraId="7A8B8DAC">
            <w:pPr>
              <w:pStyle w:val="248"/>
              <w:spacing w:before="65" w:line="323" w:lineRule="auto"/>
              <w:ind w:left="110" w:right="108" w:hanging="8"/>
              <w:rPr>
                <w:color w:val="auto"/>
                <w:highlight w:val="none"/>
              </w:rPr>
            </w:pPr>
            <w:r>
              <w:rPr>
                <w:color w:val="auto"/>
                <w:spacing w:val="3"/>
                <w:highlight w:val="none"/>
              </w:rPr>
              <w:t>A020101计算机</w:t>
            </w:r>
            <w:r>
              <w:rPr>
                <w:color w:val="auto"/>
                <w:spacing w:val="-3"/>
                <w:highlight w:val="none"/>
              </w:rPr>
              <w:t>设备</w:t>
            </w:r>
          </w:p>
        </w:tc>
        <w:tc>
          <w:tcPr>
            <w:tcW w:w="2672" w:type="dxa"/>
          </w:tcPr>
          <w:p w14:paraId="347505B5">
            <w:pPr>
              <w:pStyle w:val="248"/>
              <w:spacing w:before="66" w:line="220" w:lineRule="auto"/>
              <w:ind w:left="103"/>
              <w:rPr>
                <w:color w:val="auto"/>
                <w:highlight w:val="none"/>
              </w:rPr>
            </w:pPr>
            <w:r>
              <w:rPr>
                <w:color w:val="auto"/>
                <w:spacing w:val="-1"/>
                <w:highlight w:val="none"/>
              </w:rPr>
              <w:t>A02010103服务器</w:t>
            </w:r>
          </w:p>
        </w:tc>
        <w:tc>
          <w:tcPr>
            <w:tcW w:w="2248" w:type="dxa"/>
          </w:tcPr>
          <w:p w14:paraId="3137349F">
            <w:pPr>
              <w:rPr>
                <w:rFonts w:ascii="Arial"/>
                <w:color w:val="auto"/>
                <w:highlight w:val="none"/>
              </w:rPr>
            </w:pPr>
          </w:p>
        </w:tc>
        <w:tc>
          <w:tcPr>
            <w:tcW w:w="3543" w:type="dxa"/>
          </w:tcPr>
          <w:p w14:paraId="08CBF231">
            <w:pPr>
              <w:pStyle w:val="248"/>
              <w:spacing w:before="66" w:line="219" w:lineRule="auto"/>
              <w:ind w:left="109"/>
              <w:rPr>
                <w:color w:val="auto"/>
                <w:highlight w:val="none"/>
              </w:rPr>
            </w:pPr>
            <w:r>
              <w:rPr>
                <w:color w:val="auto"/>
                <w:spacing w:val="-2"/>
                <w:highlight w:val="none"/>
              </w:rPr>
              <w:t>HJ2507网络服务器</w:t>
            </w:r>
          </w:p>
        </w:tc>
      </w:tr>
      <w:tr w14:paraId="429F5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546B0A98">
            <w:pPr>
              <w:rPr>
                <w:rFonts w:ascii="Arial"/>
                <w:color w:val="auto"/>
                <w:highlight w:val="none"/>
              </w:rPr>
            </w:pPr>
          </w:p>
        </w:tc>
        <w:tc>
          <w:tcPr>
            <w:tcW w:w="1542" w:type="dxa"/>
            <w:vMerge w:val="continue"/>
            <w:tcBorders>
              <w:top w:val="nil"/>
              <w:bottom w:val="nil"/>
            </w:tcBorders>
          </w:tcPr>
          <w:p w14:paraId="04DDCB8C">
            <w:pPr>
              <w:rPr>
                <w:rFonts w:ascii="Arial"/>
                <w:color w:val="auto"/>
                <w:highlight w:val="none"/>
              </w:rPr>
            </w:pPr>
          </w:p>
        </w:tc>
        <w:tc>
          <w:tcPr>
            <w:tcW w:w="2672" w:type="dxa"/>
          </w:tcPr>
          <w:p w14:paraId="4946CB96">
            <w:pPr>
              <w:pStyle w:val="248"/>
              <w:spacing w:before="65" w:line="219" w:lineRule="auto"/>
              <w:ind w:left="103"/>
              <w:rPr>
                <w:color w:val="auto"/>
                <w:highlight w:val="none"/>
              </w:rPr>
            </w:pPr>
            <w:r>
              <w:rPr>
                <w:color w:val="auto"/>
                <w:spacing w:val="-2"/>
                <w:highlight w:val="none"/>
              </w:rPr>
              <w:t>A02010104台式计算机</w:t>
            </w:r>
          </w:p>
        </w:tc>
        <w:tc>
          <w:tcPr>
            <w:tcW w:w="2248" w:type="dxa"/>
          </w:tcPr>
          <w:p w14:paraId="3F7929AA">
            <w:pPr>
              <w:rPr>
                <w:rFonts w:ascii="Arial"/>
                <w:color w:val="auto"/>
                <w:highlight w:val="none"/>
              </w:rPr>
            </w:pPr>
          </w:p>
        </w:tc>
        <w:tc>
          <w:tcPr>
            <w:tcW w:w="3543" w:type="dxa"/>
          </w:tcPr>
          <w:p w14:paraId="0451E507">
            <w:pPr>
              <w:pStyle w:val="248"/>
              <w:spacing w:before="64" w:line="219" w:lineRule="auto"/>
              <w:ind w:left="109"/>
              <w:rPr>
                <w:color w:val="auto"/>
                <w:highlight w:val="none"/>
                <w:lang w:eastAsia="zh-CN"/>
              </w:rPr>
            </w:pPr>
            <w:r>
              <w:rPr>
                <w:color w:val="auto"/>
                <w:spacing w:val="-1"/>
                <w:highlight w:val="none"/>
                <w:lang w:eastAsia="zh-CN"/>
              </w:rPr>
              <w:t>HJ2536微型计算机、显示器</w:t>
            </w:r>
          </w:p>
        </w:tc>
      </w:tr>
      <w:tr w14:paraId="38AA5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5F30BD2D">
            <w:pPr>
              <w:rPr>
                <w:rFonts w:ascii="Arial"/>
                <w:color w:val="auto"/>
                <w:highlight w:val="none"/>
              </w:rPr>
            </w:pPr>
          </w:p>
        </w:tc>
        <w:tc>
          <w:tcPr>
            <w:tcW w:w="1542" w:type="dxa"/>
            <w:vMerge w:val="continue"/>
            <w:tcBorders>
              <w:top w:val="nil"/>
              <w:bottom w:val="nil"/>
            </w:tcBorders>
          </w:tcPr>
          <w:p w14:paraId="5F66A896">
            <w:pPr>
              <w:rPr>
                <w:rFonts w:ascii="Arial"/>
                <w:color w:val="auto"/>
                <w:highlight w:val="none"/>
              </w:rPr>
            </w:pPr>
          </w:p>
        </w:tc>
        <w:tc>
          <w:tcPr>
            <w:tcW w:w="2672" w:type="dxa"/>
          </w:tcPr>
          <w:p w14:paraId="01D8DB33">
            <w:pPr>
              <w:pStyle w:val="248"/>
              <w:spacing w:before="64" w:line="219" w:lineRule="auto"/>
              <w:ind w:left="103"/>
              <w:rPr>
                <w:color w:val="auto"/>
                <w:highlight w:val="none"/>
              </w:rPr>
            </w:pPr>
            <w:r>
              <w:rPr>
                <w:color w:val="auto"/>
                <w:spacing w:val="-1"/>
                <w:highlight w:val="none"/>
              </w:rPr>
              <w:t>A02010105便携式计算机</w:t>
            </w:r>
          </w:p>
        </w:tc>
        <w:tc>
          <w:tcPr>
            <w:tcW w:w="2248" w:type="dxa"/>
          </w:tcPr>
          <w:p w14:paraId="50B147C6">
            <w:pPr>
              <w:rPr>
                <w:rFonts w:ascii="Arial"/>
                <w:color w:val="auto"/>
                <w:highlight w:val="none"/>
              </w:rPr>
            </w:pPr>
          </w:p>
        </w:tc>
        <w:tc>
          <w:tcPr>
            <w:tcW w:w="3543" w:type="dxa"/>
          </w:tcPr>
          <w:p w14:paraId="339607BB">
            <w:pPr>
              <w:pStyle w:val="248"/>
              <w:spacing w:before="64" w:line="219" w:lineRule="auto"/>
              <w:ind w:left="109"/>
              <w:rPr>
                <w:color w:val="auto"/>
                <w:highlight w:val="none"/>
                <w:lang w:eastAsia="zh-CN"/>
              </w:rPr>
            </w:pPr>
            <w:r>
              <w:rPr>
                <w:color w:val="auto"/>
                <w:spacing w:val="-1"/>
                <w:highlight w:val="none"/>
                <w:lang w:eastAsia="zh-CN"/>
              </w:rPr>
              <w:t>HJ2536微型计算机、显示器</w:t>
            </w:r>
          </w:p>
        </w:tc>
      </w:tr>
      <w:tr w14:paraId="4ADB2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tcPr>
          <w:p w14:paraId="54AF16B4">
            <w:pPr>
              <w:rPr>
                <w:rFonts w:ascii="Arial"/>
                <w:color w:val="auto"/>
                <w:highlight w:val="none"/>
              </w:rPr>
            </w:pPr>
          </w:p>
        </w:tc>
        <w:tc>
          <w:tcPr>
            <w:tcW w:w="1542" w:type="dxa"/>
            <w:vMerge w:val="continue"/>
            <w:tcBorders>
              <w:top w:val="nil"/>
              <w:bottom w:val="nil"/>
            </w:tcBorders>
          </w:tcPr>
          <w:p w14:paraId="32E53199">
            <w:pPr>
              <w:rPr>
                <w:rFonts w:ascii="Arial"/>
                <w:color w:val="auto"/>
                <w:highlight w:val="none"/>
              </w:rPr>
            </w:pPr>
          </w:p>
        </w:tc>
        <w:tc>
          <w:tcPr>
            <w:tcW w:w="2672" w:type="dxa"/>
          </w:tcPr>
          <w:p w14:paraId="480A9EC8">
            <w:pPr>
              <w:pStyle w:val="248"/>
              <w:spacing w:before="64" w:line="219" w:lineRule="auto"/>
              <w:ind w:left="103"/>
              <w:rPr>
                <w:color w:val="auto"/>
                <w:highlight w:val="none"/>
              </w:rPr>
            </w:pPr>
            <w:r>
              <w:rPr>
                <w:color w:val="auto"/>
                <w:spacing w:val="-1"/>
                <w:highlight w:val="none"/>
              </w:rPr>
              <w:t>A02010107平板式微型计算机</w:t>
            </w:r>
          </w:p>
        </w:tc>
        <w:tc>
          <w:tcPr>
            <w:tcW w:w="2248" w:type="dxa"/>
          </w:tcPr>
          <w:p w14:paraId="5B161C4D">
            <w:pPr>
              <w:rPr>
                <w:rFonts w:ascii="Arial"/>
                <w:color w:val="auto"/>
                <w:highlight w:val="none"/>
              </w:rPr>
            </w:pPr>
          </w:p>
        </w:tc>
        <w:tc>
          <w:tcPr>
            <w:tcW w:w="3543" w:type="dxa"/>
          </w:tcPr>
          <w:p w14:paraId="3773F6AA">
            <w:pPr>
              <w:pStyle w:val="248"/>
              <w:spacing w:before="63" w:line="219" w:lineRule="auto"/>
              <w:ind w:left="109"/>
              <w:rPr>
                <w:color w:val="auto"/>
                <w:highlight w:val="none"/>
                <w:lang w:eastAsia="zh-CN"/>
              </w:rPr>
            </w:pPr>
            <w:r>
              <w:rPr>
                <w:color w:val="auto"/>
                <w:spacing w:val="-1"/>
                <w:highlight w:val="none"/>
                <w:lang w:eastAsia="zh-CN"/>
              </w:rPr>
              <w:t>HJ2536微型计算机、显示器</w:t>
            </w:r>
          </w:p>
        </w:tc>
      </w:tr>
      <w:tr w14:paraId="61295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33A19CB2">
            <w:pPr>
              <w:rPr>
                <w:rFonts w:ascii="Arial"/>
                <w:color w:val="auto"/>
                <w:highlight w:val="none"/>
              </w:rPr>
            </w:pPr>
          </w:p>
        </w:tc>
        <w:tc>
          <w:tcPr>
            <w:tcW w:w="1542" w:type="dxa"/>
            <w:vMerge w:val="continue"/>
            <w:tcBorders>
              <w:top w:val="nil"/>
              <w:bottom w:val="nil"/>
            </w:tcBorders>
          </w:tcPr>
          <w:p w14:paraId="1F4321FA">
            <w:pPr>
              <w:rPr>
                <w:rFonts w:ascii="Arial"/>
                <w:color w:val="auto"/>
                <w:highlight w:val="none"/>
              </w:rPr>
            </w:pPr>
          </w:p>
        </w:tc>
        <w:tc>
          <w:tcPr>
            <w:tcW w:w="2672" w:type="dxa"/>
          </w:tcPr>
          <w:p w14:paraId="5801D9E9">
            <w:pPr>
              <w:pStyle w:val="248"/>
              <w:spacing w:before="65" w:line="219" w:lineRule="auto"/>
              <w:ind w:left="103"/>
              <w:rPr>
                <w:color w:val="auto"/>
                <w:highlight w:val="none"/>
              </w:rPr>
            </w:pPr>
            <w:r>
              <w:rPr>
                <w:color w:val="auto"/>
                <w:spacing w:val="-2"/>
                <w:highlight w:val="none"/>
              </w:rPr>
              <w:t>A02010108网络计算机</w:t>
            </w:r>
          </w:p>
        </w:tc>
        <w:tc>
          <w:tcPr>
            <w:tcW w:w="2248" w:type="dxa"/>
          </w:tcPr>
          <w:p w14:paraId="31A303F5">
            <w:pPr>
              <w:rPr>
                <w:rFonts w:ascii="Arial"/>
                <w:color w:val="auto"/>
                <w:highlight w:val="none"/>
              </w:rPr>
            </w:pPr>
          </w:p>
        </w:tc>
        <w:tc>
          <w:tcPr>
            <w:tcW w:w="3543" w:type="dxa"/>
          </w:tcPr>
          <w:p w14:paraId="315AE26C">
            <w:pPr>
              <w:pStyle w:val="248"/>
              <w:spacing w:before="64" w:line="219" w:lineRule="auto"/>
              <w:ind w:left="109"/>
              <w:rPr>
                <w:color w:val="auto"/>
                <w:highlight w:val="none"/>
                <w:lang w:eastAsia="zh-CN"/>
              </w:rPr>
            </w:pPr>
            <w:r>
              <w:rPr>
                <w:color w:val="auto"/>
                <w:spacing w:val="-1"/>
                <w:highlight w:val="none"/>
                <w:lang w:eastAsia="zh-CN"/>
              </w:rPr>
              <w:t>HJ2536微型计算机、显示器</w:t>
            </w:r>
          </w:p>
        </w:tc>
      </w:tr>
      <w:tr w14:paraId="1F3AB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6F5D75F4">
            <w:pPr>
              <w:rPr>
                <w:rFonts w:ascii="Arial"/>
                <w:color w:val="auto"/>
                <w:highlight w:val="none"/>
              </w:rPr>
            </w:pPr>
          </w:p>
        </w:tc>
        <w:tc>
          <w:tcPr>
            <w:tcW w:w="1542" w:type="dxa"/>
            <w:vMerge w:val="continue"/>
            <w:tcBorders>
              <w:top w:val="nil"/>
              <w:bottom w:val="nil"/>
            </w:tcBorders>
          </w:tcPr>
          <w:p w14:paraId="4F5C27CA">
            <w:pPr>
              <w:rPr>
                <w:rFonts w:ascii="Arial"/>
                <w:color w:val="auto"/>
                <w:highlight w:val="none"/>
              </w:rPr>
            </w:pPr>
          </w:p>
        </w:tc>
        <w:tc>
          <w:tcPr>
            <w:tcW w:w="2672" w:type="dxa"/>
          </w:tcPr>
          <w:p w14:paraId="2EA3BD78">
            <w:pPr>
              <w:pStyle w:val="248"/>
              <w:spacing w:before="64" w:line="219" w:lineRule="auto"/>
              <w:ind w:left="103"/>
              <w:rPr>
                <w:color w:val="auto"/>
                <w:highlight w:val="none"/>
              </w:rPr>
            </w:pPr>
            <w:r>
              <w:rPr>
                <w:color w:val="auto"/>
                <w:highlight w:val="none"/>
              </w:rPr>
              <w:t>A02010109 计算机工作站</w:t>
            </w:r>
          </w:p>
        </w:tc>
        <w:tc>
          <w:tcPr>
            <w:tcW w:w="2248" w:type="dxa"/>
          </w:tcPr>
          <w:p w14:paraId="28DA31A8">
            <w:pPr>
              <w:rPr>
                <w:rFonts w:ascii="Arial"/>
                <w:color w:val="auto"/>
                <w:highlight w:val="none"/>
              </w:rPr>
            </w:pPr>
          </w:p>
        </w:tc>
        <w:tc>
          <w:tcPr>
            <w:tcW w:w="3543" w:type="dxa"/>
          </w:tcPr>
          <w:p w14:paraId="338CBA52">
            <w:pPr>
              <w:pStyle w:val="248"/>
              <w:spacing w:before="64" w:line="219" w:lineRule="auto"/>
              <w:ind w:left="109"/>
              <w:rPr>
                <w:color w:val="auto"/>
                <w:highlight w:val="none"/>
                <w:lang w:eastAsia="zh-CN"/>
              </w:rPr>
            </w:pPr>
            <w:r>
              <w:rPr>
                <w:color w:val="auto"/>
                <w:spacing w:val="-1"/>
                <w:highlight w:val="none"/>
                <w:lang w:eastAsia="zh-CN"/>
              </w:rPr>
              <w:t>HJ2536微型计算机、显示器</w:t>
            </w:r>
          </w:p>
        </w:tc>
      </w:tr>
      <w:tr w14:paraId="5CF88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tcPr>
          <w:p w14:paraId="2518FBA2">
            <w:pPr>
              <w:rPr>
                <w:rFonts w:ascii="Arial"/>
                <w:color w:val="auto"/>
                <w:highlight w:val="none"/>
              </w:rPr>
            </w:pPr>
          </w:p>
        </w:tc>
        <w:tc>
          <w:tcPr>
            <w:tcW w:w="1542" w:type="dxa"/>
            <w:vMerge w:val="continue"/>
            <w:tcBorders>
              <w:top w:val="nil"/>
            </w:tcBorders>
          </w:tcPr>
          <w:p w14:paraId="7E24BE13">
            <w:pPr>
              <w:rPr>
                <w:rFonts w:ascii="Arial"/>
                <w:color w:val="auto"/>
                <w:highlight w:val="none"/>
              </w:rPr>
            </w:pPr>
          </w:p>
        </w:tc>
        <w:tc>
          <w:tcPr>
            <w:tcW w:w="2672" w:type="dxa"/>
          </w:tcPr>
          <w:p w14:paraId="4C189029">
            <w:pPr>
              <w:pStyle w:val="248"/>
              <w:spacing w:before="64" w:line="219" w:lineRule="auto"/>
              <w:ind w:left="103"/>
              <w:rPr>
                <w:color w:val="auto"/>
                <w:highlight w:val="none"/>
              </w:rPr>
            </w:pPr>
            <w:r>
              <w:rPr>
                <w:color w:val="auto"/>
                <w:spacing w:val="-1"/>
                <w:highlight w:val="none"/>
              </w:rPr>
              <w:t>A02010199其他计算机设备</w:t>
            </w:r>
          </w:p>
        </w:tc>
        <w:tc>
          <w:tcPr>
            <w:tcW w:w="2248" w:type="dxa"/>
          </w:tcPr>
          <w:p w14:paraId="72FDB49A">
            <w:pPr>
              <w:rPr>
                <w:rFonts w:ascii="Arial"/>
                <w:color w:val="auto"/>
                <w:highlight w:val="none"/>
              </w:rPr>
            </w:pPr>
          </w:p>
        </w:tc>
        <w:tc>
          <w:tcPr>
            <w:tcW w:w="3543" w:type="dxa"/>
          </w:tcPr>
          <w:p w14:paraId="04E99D98">
            <w:pPr>
              <w:pStyle w:val="248"/>
              <w:spacing w:before="64" w:line="219" w:lineRule="auto"/>
              <w:ind w:left="109"/>
              <w:rPr>
                <w:color w:val="auto"/>
                <w:highlight w:val="none"/>
                <w:lang w:eastAsia="zh-CN"/>
              </w:rPr>
            </w:pPr>
            <w:r>
              <w:rPr>
                <w:color w:val="auto"/>
                <w:spacing w:val="-1"/>
                <w:highlight w:val="none"/>
                <w:lang w:eastAsia="zh-CN"/>
              </w:rPr>
              <w:t>HJ2536微型计算机、显示器</w:t>
            </w:r>
          </w:p>
        </w:tc>
      </w:tr>
      <w:tr w14:paraId="2CB41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3FBDB66A">
            <w:pPr>
              <w:pStyle w:val="248"/>
              <w:spacing w:before="64" w:line="242" w:lineRule="auto"/>
              <w:ind w:left="116"/>
              <w:rPr>
                <w:color w:val="auto"/>
                <w:highlight w:val="none"/>
              </w:rPr>
            </w:pPr>
            <w:r>
              <w:rPr>
                <w:color w:val="auto"/>
                <w:highlight w:val="none"/>
              </w:rPr>
              <w:t>2</w:t>
            </w:r>
          </w:p>
        </w:tc>
        <w:tc>
          <w:tcPr>
            <w:tcW w:w="1542" w:type="dxa"/>
            <w:vMerge w:val="restart"/>
            <w:tcBorders>
              <w:bottom w:val="nil"/>
            </w:tcBorders>
          </w:tcPr>
          <w:p w14:paraId="738680F2">
            <w:pPr>
              <w:pStyle w:val="248"/>
              <w:spacing w:before="64" w:line="323" w:lineRule="auto"/>
              <w:ind w:left="123" w:right="108" w:hanging="21"/>
              <w:rPr>
                <w:color w:val="auto"/>
                <w:highlight w:val="none"/>
              </w:rPr>
            </w:pPr>
            <w:r>
              <w:rPr>
                <w:color w:val="auto"/>
                <w:spacing w:val="3"/>
                <w:highlight w:val="none"/>
              </w:rPr>
              <w:t>A020106输入输</w:t>
            </w:r>
            <w:r>
              <w:rPr>
                <w:color w:val="auto"/>
                <w:spacing w:val="-5"/>
                <w:highlight w:val="none"/>
              </w:rPr>
              <w:t>出设备</w:t>
            </w:r>
          </w:p>
        </w:tc>
        <w:tc>
          <w:tcPr>
            <w:tcW w:w="2672" w:type="dxa"/>
            <w:vMerge w:val="restart"/>
            <w:tcBorders>
              <w:bottom w:val="nil"/>
            </w:tcBorders>
          </w:tcPr>
          <w:p w14:paraId="0C07B227">
            <w:pPr>
              <w:pStyle w:val="248"/>
              <w:spacing w:before="64" w:line="220" w:lineRule="auto"/>
              <w:ind w:left="103"/>
              <w:rPr>
                <w:color w:val="auto"/>
                <w:highlight w:val="none"/>
              </w:rPr>
            </w:pPr>
            <w:r>
              <w:rPr>
                <w:color w:val="auto"/>
                <w:spacing w:val="-1"/>
                <w:highlight w:val="none"/>
              </w:rPr>
              <w:t>A02010601打印设备</w:t>
            </w:r>
          </w:p>
        </w:tc>
        <w:tc>
          <w:tcPr>
            <w:tcW w:w="2248" w:type="dxa"/>
          </w:tcPr>
          <w:p w14:paraId="36E8E7AB">
            <w:pPr>
              <w:pStyle w:val="248"/>
              <w:spacing w:before="65" w:line="219" w:lineRule="auto"/>
              <w:ind w:left="105"/>
              <w:rPr>
                <w:color w:val="auto"/>
                <w:highlight w:val="none"/>
              </w:rPr>
            </w:pPr>
            <w:r>
              <w:rPr>
                <w:color w:val="auto"/>
                <w:highlight w:val="none"/>
              </w:rPr>
              <w:t>A0201060101 喷墨打印机</w:t>
            </w:r>
          </w:p>
        </w:tc>
        <w:tc>
          <w:tcPr>
            <w:tcW w:w="3543" w:type="dxa"/>
          </w:tcPr>
          <w:p w14:paraId="16062C1F">
            <w:pPr>
              <w:pStyle w:val="248"/>
              <w:spacing w:before="64" w:line="219" w:lineRule="auto"/>
              <w:ind w:left="109"/>
              <w:rPr>
                <w:color w:val="auto"/>
                <w:highlight w:val="none"/>
                <w:lang w:eastAsia="zh-CN"/>
              </w:rPr>
            </w:pPr>
            <w:r>
              <w:rPr>
                <w:color w:val="auto"/>
                <w:spacing w:val="-1"/>
                <w:highlight w:val="none"/>
                <w:lang w:eastAsia="zh-CN"/>
              </w:rPr>
              <w:t>HJ2512打印机、传真机及多功能一体机</w:t>
            </w:r>
          </w:p>
        </w:tc>
      </w:tr>
      <w:tr w14:paraId="3A737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17181CF5">
            <w:pPr>
              <w:rPr>
                <w:rFonts w:ascii="Arial"/>
                <w:color w:val="auto"/>
                <w:highlight w:val="none"/>
              </w:rPr>
            </w:pPr>
          </w:p>
        </w:tc>
        <w:tc>
          <w:tcPr>
            <w:tcW w:w="1542" w:type="dxa"/>
            <w:vMerge w:val="continue"/>
            <w:tcBorders>
              <w:top w:val="nil"/>
              <w:bottom w:val="nil"/>
            </w:tcBorders>
          </w:tcPr>
          <w:p w14:paraId="7526F727">
            <w:pPr>
              <w:rPr>
                <w:rFonts w:ascii="Arial"/>
                <w:color w:val="auto"/>
                <w:highlight w:val="none"/>
              </w:rPr>
            </w:pPr>
          </w:p>
        </w:tc>
        <w:tc>
          <w:tcPr>
            <w:tcW w:w="2672" w:type="dxa"/>
            <w:vMerge w:val="continue"/>
            <w:tcBorders>
              <w:top w:val="nil"/>
              <w:bottom w:val="nil"/>
            </w:tcBorders>
          </w:tcPr>
          <w:p w14:paraId="4EF0B163">
            <w:pPr>
              <w:rPr>
                <w:rFonts w:ascii="Arial"/>
                <w:color w:val="auto"/>
                <w:highlight w:val="none"/>
              </w:rPr>
            </w:pPr>
          </w:p>
        </w:tc>
        <w:tc>
          <w:tcPr>
            <w:tcW w:w="2248" w:type="dxa"/>
          </w:tcPr>
          <w:p w14:paraId="721FBDF2">
            <w:pPr>
              <w:pStyle w:val="248"/>
              <w:spacing w:before="64" w:line="219" w:lineRule="auto"/>
              <w:ind w:left="105"/>
              <w:rPr>
                <w:color w:val="auto"/>
                <w:highlight w:val="none"/>
              </w:rPr>
            </w:pPr>
            <w:r>
              <w:rPr>
                <w:color w:val="auto"/>
                <w:highlight w:val="none"/>
              </w:rPr>
              <w:t>A0201060102 激光打印机</w:t>
            </w:r>
          </w:p>
        </w:tc>
        <w:tc>
          <w:tcPr>
            <w:tcW w:w="3543" w:type="dxa"/>
          </w:tcPr>
          <w:p w14:paraId="3AC3A1DB">
            <w:pPr>
              <w:pStyle w:val="248"/>
              <w:spacing w:before="64" w:line="219" w:lineRule="auto"/>
              <w:ind w:left="109"/>
              <w:rPr>
                <w:color w:val="auto"/>
                <w:highlight w:val="none"/>
                <w:lang w:eastAsia="zh-CN"/>
              </w:rPr>
            </w:pPr>
            <w:r>
              <w:rPr>
                <w:color w:val="auto"/>
                <w:spacing w:val="-1"/>
                <w:highlight w:val="none"/>
                <w:lang w:eastAsia="zh-CN"/>
              </w:rPr>
              <w:t>HJ2512打印机、传真机及多功能一体机</w:t>
            </w:r>
          </w:p>
        </w:tc>
      </w:tr>
      <w:tr w14:paraId="6CC91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tcPr>
          <w:p w14:paraId="42D441A0">
            <w:pPr>
              <w:rPr>
                <w:rFonts w:ascii="Arial"/>
                <w:color w:val="auto"/>
                <w:highlight w:val="none"/>
              </w:rPr>
            </w:pPr>
          </w:p>
        </w:tc>
        <w:tc>
          <w:tcPr>
            <w:tcW w:w="1542" w:type="dxa"/>
            <w:vMerge w:val="continue"/>
            <w:tcBorders>
              <w:top w:val="nil"/>
              <w:bottom w:val="nil"/>
            </w:tcBorders>
          </w:tcPr>
          <w:p w14:paraId="02111336">
            <w:pPr>
              <w:rPr>
                <w:rFonts w:ascii="Arial"/>
                <w:color w:val="auto"/>
                <w:highlight w:val="none"/>
              </w:rPr>
            </w:pPr>
          </w:p>
        </w:tc>
        <w:tc>
          <w:tcPr>
            <w:tcW w:w="2672" w:type="dxa"/>
            <w:vMerge w:val="continue"/>
            <w:tcBorders>
              <w:top w:val="nil"/>
              <w:bottom w:val="nil"/>
            </w:tcBorders>
          </w:tcPr>
          <w:p w14:paraId="0C2FB293">
            <w:pPr>
              <w:rPr>
                <w:rFonts w:ascii="Arial"/>
                <w:color w:val="auto"/>
                <w:highlight w:val="none"/>
              </w:rPr>
            </w:pPr>
          </w:p>
        </w:tc>
        <w:tc>
          <w:tcPr>
            <w:tcW w:w="2248" w:type="dxa"/>
          </w:tcPr>
          <w:p w14:paraId="61146DFE">
            <w:pPr>
              <w:pStyle w:val="248"/>
              <w:spacing w:before="64" w:line="219" w:lineRule="auto"/>
              <w:ind w:left="105"/>
              <w:rPr>
                <w:color w:val="auto"/>
                <w:highlight w:val="none"/>
              </w:rPr>
            </w:pPr>
            <w:r>
              <w:rPr>
                <w:color w:val="auto"/>
                <w:highlight w:val="none"/>
              </w:rPr>
              <w:t>A0201060103 热式打印机</w:t>
            </w:r>
          </w:p>
        </w:tc>
        <w:tc>
          <w:tcPr>
            <w:tcW w:w="3543" w:type="dxa"/>
          </w:tcPr>
          <w:p w14:paraId="055B1584">
            <w:pPr>
              <w:pStyle w:val="248"/>
              <w:spacing w:before="64" w:line="219" w:lineRule="auto"/>
              <w:ind w:left="109"/>
              <w:rPr>
                <w:color w:val="auto"/>
                <w:highlight w:val="none"/>
                <w:lang w:eastAsia="zh-CN"/>
              </w:rPr>
            </w:pPr>
            <w:r>
              <w:rPr>
                <w:color w:val="auto"/>
                <w:spacing w:val="-1"/>
                <w:highlight w:val="none"/>
                <w:lang w:eastAsia="zh-CN"/>
              </w:rPr>
              <w:t>HJ2512打印机、传真机及多功能一体机</w:t>
            </w:r>
          </w:p>
        </w:tc>
      </w:tr>
      <w:tr w14:paraId="346B8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7E00004C">
            <w:pPr>
              <w:rPr>
                <w:rFonts w:ascii="Arial"/>
                <w:color w:val="auto"/>
                <w:highlight w:val="none"/>
              </w:rPr>
            </w:pPr>
          </w:p>
        </w:tc>
        <w:tc>
          <w:tcPr>
            <w:tcW w:w="1542" w:type="dxa"/>
            <w:vMerge w:val="continue"/>
            <w:tcBorders>
              <w:top w:val="nil"/>
              <w:bottom w:val="nil"/>
            </w:tcBorders>
          </w:tcPr>
          <w:p w14:paraId="6E075943">
            <w:pPr>
              <w:rPr>
                <w:rFonts w:ascii="Arial"/>
                <w:color w:val="auto"/>
                <w:highlight w:val="none"/>
              </w:rPr>
            </w:pPr>
          </w:p>
        </w:tc>
        <w:tc>
          <w:tcPr>
            <w:tcW w:w="2672" w:type="dxa"/>
            <w:vMerge w:val="continue"/>
            <w:tcBorders>
              <w:top w:val="nil"/>
            </w:tcBorders>
          </w:tcPr>
          <w:p w14:paraId="59200FF7">
            <w:pPr>
              <w:rPr>
                <w:rFonts w:ascii="Arial"/>
                <w:color w:val="auto"/>
                <w:highlight w:val="none"/>
              </w:rPr>
            </w:pPr>
          </w:p>
        </w:tc>
        <w:tc>
          <w:tcPr>
            <w:tcW w:w="2248" w:type="dxa"/>
          </w:tcPr>
          <w:p w14:paraId="43D326B4">
            <w:pPr>
              <w:pStyle w:val="248"/>
              <w:spacing w:before="65" w:line="219" w:lineRule="auto"/>
              <w:ind w:left="105"/>
              <w:rPr>
                <w:color w:val="auto"/>
                <w:highlight w:val="none"/>
              </w:rPr>
            </w:pPr>
            <w:r>
              <w:rPr>
                <w:color w:val="auto"/>
                <w:highlight w:val="none"/>
              </w:rPr>
              <w:t>A0201060104 针式打印机</w:t>
            </w:r>
          </w:p>
        </w:tc>
        <w:tc>
          <w:tcPr>
            <w:tcW w:w="3543" w:type="dxa"/>
          </w:tcPr>
          <w:p w14:paraId="366E442F">
            <w:pPr>
              <w:pStyle w:val="248"/>
              <w:spacing w:before="64" w:line="219" w:lineRule="auto"/>
              <w:ind w:left="109"/>
              <w:rPr>
                <w:color w:val="auto"/>
                <w:highlight w:val="none"/>
                <w:lang w:eastAsia="zh-CN"/>
              </w:rPr>
            </w:pPr>
            <w:r>
              <w:rPr>
                <w:color w:val="auto"/>
                <w:spacing w:val="-1"/>
                <w:highlight w:val="none"/>
                <w:lang w:eastAsia="zh-CN"/>
              </w:rPr>
              <w:t>HJ2512打印机、传真机及多功能一体机</w:t>
            </w:r>
          </w:p>
        </w:tc>
      </w:tr>
      <w:tr w14:paraId="279D5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1FCA64BE">
            <w:pPr>
              <w:rPr>
                <w:rFonts w:ascii="Arial"/>
                <w:color w:val="auto"/>
                <w:highlight w:val="none"/>
              </w:rPr>
            </w:pPr>
          </w:p>
        </w:tc>
        <w:tc>
          <w:tcPr>
            <w:tcW w:w="1542" w:type="dxa"/>
            <w:vMerge w:val="continue"/>
            <w:tcBorders>
              <w:top w:val="nil"/>
              <w:bottom w:val="nil"/>
            </w:tcBorders>
          </w:tcPr>
          <w:p w14:paraId="3558C919">
            <w:pPr>
              <w:rPr>
                <w:rFonts w:ascii="Arial"/>
                <w:color w:val="auto"/>
                <w:highlight w:val="none"/>
              </w:rPr>
            </w:pPr>
          </w:p>
        </w:tc>
        <w:tc>
          <w:tcPr>
            <w:tcW w:w="2672" w:type="dxa"/>
            <w:vMerge w:val="restart"/>
            <w:tcBorders>
              <w:bottom w:val="nil"/>
            </w:tcBorders>
          </w:tcPr>
          <w:p w14:paraId="5029DD95">
            <w:pPr>
              <w:pStyle w:val="248"/>
              <w:spacing w:before="64" w:line="222" w:lineRule="auto"/>
              <w:ind w:left="103"/>
              <w:rPr>
                <w:color w:val="auto"/>
                <w:highlight w:val="none"/>
              </w:rPr>
            </w:pPr>
            <w:r>
              <w:rPr>
                <w:color w:val="auto"/>
                <w:highlight w:val="none"/>
              </w:rPr>
              <w:t>A02010604 显示设备</w:t>
            </w:r>
          </w:p>
        </w:tc>
        <w:tc>
          <w:tcPr>
            <w:tcW w:w="2248" w:type="dxa"/>
          </w:tcPr>
          <w:p w14:paraId="17FDA089">
            <w:pPr>
              <w:pStyle w:val="248"/>
              <w:spacing w:before="64" w:line="221" w:lineRule="auto"/>
              <w:ind w:left="105"/>
              <w:rPr>
                <w:color w:val="auto"/>
                <w:highlight w:val="none"/>
              </w:rPr>
            </w:pPr>
            <w:r>
              <w:rPr>
                <w:color w:val="auto"/>
                <w:highlight w:val="none"/>
              </w:rPr>
              <w:t>A0201060401 液晶显示器</w:t>
            </w:r>
          </w:p>
        </w:tc>
        <w:tc>
          <w:tcPr>
            <w:tcW w:w="3543" w:type="dxa"/>
          </w:tcPr>
          <w:p w14:paraId="7BD61148">
            <w:pPr>
              <w:pStyle w:val="248"/>
              <w:spacing w:before="64" w:line="219" w:lineRule="auto"/>
              <w:ind w:left="109"/>
              <w:rPr>
                <w:color w:val="auto"/>
                <w:highlight w:val="none"/>
                <w:lang w:eastAsia="zh-CN"/>
              </w:rPr>
            </w:pPr>
            <w:r>
              <w:rPr>
                <w:color w:val="auto"/>
                <w:spacing w:val="-1"/>
                <w:highlight w:val="none"/>
                <w:lang w:eastAsia="zh-CN"/>
              </w:rPr>
              <w:t>HJ2536微型计算机、显示器</w:t>
            </w:r>
          </w:p>
        </w:tc>
      </w:tr>
      <w:tr w14:paraId="1852A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tcPr>
          <w:p w14:paraId="6602B7BB">
            <w:pPr>
              <w:rPr>
                <w:rFonts w:ascii="Arial"/>
                <w:color w:val="auto"/>
                <w:highlight w:val="none"/>
              </w:rPr>
            </w:pPr>
          </w:p>
        </w:tc>
        <w:tc>
          <w:tcPr>
            <w:tcW w:w="1542" w:type="dxa"/>
            <w:vMerge w:val="continue"/>
            <w:tcBorders>
              <w:top w:val="nil"/>
              <w:bottom w:val="nil"/>
            </w:tcBorders>
          </w:tcPr>
          <w:p w14:paraId="7E85A21C">
            <w:pPr>
              <w:rPr>
                <w:rFonts w:ascii="Arial"/>
                <w:color w:val="auto"/>
                <w:highlight w:val="none"/>
              </w:rPr>
            </w:pPr>
          </w:p>
        </w:tc>
        <w:tc>
          <w:tcPr>
            <w:tcW w:w="2672" w:type="dxa"/>
            <w:vMerge w:val="continue"/>
            <w:tcBorders>
              <w:top w:val="nil"/>
            </w:tcBorders>
          </w:tcPr>
          <w:p w14:paraId="47F06C2B">
            <w:pPr>
              <w:rPr>
                <w:rFonts w:ascii="Arial"/>
                <w:color w:val="auto"/>
                <w:highlight w:val="none"/>
              </w:rPr>
            </w:pPr>
          </w:p>
        </w:tc>
        <w:tc>
          <w:tcPr>
            <w:tcW w:w="2248" w:type="dxa"/>
          </w:tcPr>
          <w:p w14:paraId="632F98FD">
            <w:pPr>
              <w:pStyle w:val="248"/>
              <w:spacing w:before="64" w:line="221" w:lineRule="auto"/>
              <w:ind w:left="105"/>
              <w:rPr>
                <w:color w:val="auto"/>
                <w:highlight w:val="none"/>
              </w:rPr>
            </w:pPr>
            <w:r>
              <w:rPr>
                <w:color w:val="auto"/>
                <w:highlight w:val="none"/>
              </w:rPr>
              <w:t>A0201060499 其他显示器</w:t>
            </w:r>
          </w:p>
        </w:tc>
        <w:tc>
          <w:tcPr>
            <w:tcW w:w="3543" w:type="dxa"/>
          </w:tcPr>
          <w:p w14:paraId="7484B599">
            <w:pPr>
              <w:pStyle w:val="248"/>
              <w:spacing w:before="63" w:line="219" w:lineRule="auto"/>
              <w:ind w:left="109"/>
              <w:rPr>
                <w:color w:val="auto"/>
                <w:highlight w:val="none"/>
                <w:lang w:eastAsia="zh-CN"/>
              </w:rPr>
            </w:pPr>
            <w:r>
              <w:rPr>
                <w:color w:val="auto"/>
                <w:spacing w:val="-1"/>
                <w:highlight w:val="none"/>
                <w:lang w:eastAsia="zh-CN"/>
              </w:rPr>
              <w:t>HJ2536微型计算机、显示器</w:t>
            </w:r>
          </w:p>
        </w:tc>
      </w:tr>
      <w:tr w14:paraId="39C55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tcPr>
          <w:p w14:paraId="1BD95294">
            <w:pPr>
              <w:rPr>
                <w:rFonts w:ascii="Arial"/>
                <w:color w:val="auto"/>
                <w:highlight w:val="none"/>
              </w:rPr>
            </w:pPr>
          </w:p>
        </w:tc>
        <w:tc>
          <w:tcPr>
            <w:tcW w:w="1542" w:type="dxa"/>
            <w:vMerge w:val="continue"/>
            <w:tcBorders>
              <w:top w:val="nil"/>
            </w:tcBorders>
          </w:tcPr>
          <w:p w14:paraId="11775C46">
            <w:pPr>
              <w:rPr>
                <w:rFonts w:ascii="Arial"/>
                <w:color w:val="auto"/>
                <w:highlight w:val="none"/>
              </w:rPr>
            </w:pPr>
          </w:p>
        </w:tc>
        <w:tc>
          <w:tcPr>
            <w:tcW w:w="2672" w:type="dxa"/>
          </w:tcPr>
          <w:p w14:paraId="09DA57EA">
            <w:pPr>
              <w:pStyle w:val="248"/>
              <w:spacing w:before="64" w:line="220" w:lineRule="auto"/>
              <w:ind w:left="103"/>
              <w:rPr>
                <w:color w:val="auto"/>
                <w:highlight w:val="none"/>
              </w:rPr>
            </w:pPr>
            <w:r>
              <w:rPr>
                <w:color w:val="auto"/>
                <w:spacing w:val="-2"/>
                <w:highlight w:val="none"/>
              </w:rPr>
              <w:t>A02010609图形图像输入设备</w:t>
            </w:r>
          </w:p>
        </w:tc>
        <w:tc>
          <w:tcPr>
            <w:tcW w:w="2248" w:type="dxa"/>
          </w:tcPr>
          <w:p w14:paraId="0E2E7B62">
            <w:pPr>
              <w:pStyle w:val="248"/>
              <w:spacing w:before="64" w:line="220" w:lineRule="auto"/>
              <w:ind w:left="105"/>
              <w:rPr>
                <w:color w:val="auto"/>
                <w:highlight w:val="none"/>
              </w:rPr>
            </w:pPr>
            <w:r>
              <w:rPr>
                <w:color w:val="auto"/>
                <w:highlight w:val="none"/>
              </w:rPr>
              <w:t>A0201060901 扫描仪</w:t>
            </w:r>
          </w:p>
        </w:tc>
        <w:tc>
          <w:tcPr>
            <w:tcW w:w="3543" w:type="dxa"/>
          </w:tcPr>
          <w:p w14:paraId="3EA13B63">
            <w:pPr>
              <w:pStyle w:val="248"/>
              <w:spacing w:before="64" w:line="219" w:lineRule="auto"/>
              <w:ind w:left="109"/>
              <w:rPr>
                <w:color w:val="auto"/>
                <w:highlight w:val="none"/>
              </w:rPr>
            </w:pPr>
            <w:r>
              <w:rPr>
                <w:color w:val="auto"/>
                <w:spacing w:val="-1"/>
                <w:highlight w:val="none"/>
              </w:rPr>
              <w:t>HJ2517扫描仪</w:t>
            </w:r>
          </w:p>
        </w:tc>
      </w:tr>
      <w:tr w14:paraId="4C386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tcPr>
          <w:p w14:paraId="571B37AE">
            <w:pPr>
              <w:pStyle w:val="248"/>
              <w:spacing w:before="64"/>
              <w:ind w:left="118"/>
              <w:rPr>
                <w:color w:val="auto"/>
                <w:highlight w:val="none"/>
              </w:rPr>
            </w:pPr>
            <w:r>
              <w:rPr>
                <w:color w:val="auto"/>
                <w:highlight w:val="none"/>
              </w:rPr>
              <w:t>3</w:t>
            </w:r>
          </w:p>
        </w:tc>
        <w:tc>
          <w:tcPr>
            <w:tcW w:w="1542" w:type="dxa"/>
          </w:tcPr>
          <w:p w14:paraId="78F6B504">
            <w:pPr>
              <w:pStyle w:val="248"/>
              <w:spacing w:before="64" w:line="220" w:lineRule="auto"/>
              <w:ind w:left="102"/>
              <w:rPr>
                <w:color w:val="auto"/>
                <w:highlight w:val="none"/>
              </w:rPr>
            </w:pPr>
            <w:r>
              <w:rPr>
                <w:color w:val="auto"/>
                <w:spacing w:val="-1"/>
                <w:highlight w:val="none"/>
              </w:rPr>
              <w:t>A020202投影仪</w:t>
            </w:r>
          </w:p>
        </w:tc>
        <w:tc>
          <w:tcPr>
            <w:tcW w:w="2672" w:type="dxa"/>
          </w:tcPr>
          <w:p w14:paraId="336DB9EE">
            <w:pPr>
              <w:rPr>
                <w:rFonts w:ascii="Arial"/>
                <w:color w:val="auto"/>
                <w:highlight w:val="none"/>
              </w:rPr>
            </w:pPr>
          </w:p>
        </w:tc>
        <w:tc>
          <w:tcPr>
            <w:tcW w:w="2248" w:type="dxa"/>
          </w:tcPr>
          <w:p w14:paraId="13A87FBB">
            <w:pPr>
              <w:rPr>
                <w:rFonts w:ascii="Arial"/>
                <w:color w:val="auto"/>
                <w:highlight w:val="none"/>
              </w:rPr>
            </w:pPr>
          </w:p>
        </w:tc>
        <w:tc>
          <w:tcPr>
            <w:tcW w:w="3543" w:type="dxa"/>
          </w:tcPr>
          <w:p w14:paraId="29412B5D">
            <w:pPr>
              <w:pStyle w:val="248"/>
              <w:spacing w:before="64" w:line="219" w:lineRule="auto"/>
              <w:ind w:left="109"/>
              <w:rPr>
                <w:color w:val="auto"/>
                <w:highlight w:val="none"/>
              </w:rPr>
            </w:pPr>
            <w:r>
              <w:rPr>
                <w:color w:val="auto"/>
                <w:spacing w:val="-1"/>
                <w:highlight w:val="none"/>
              </w:rPr>
              <w:t>HJ2516投影仪</w:t>
            </w:r>
          </w:p>
        </w:tc>
      </w:tr>
      <w:tr w14:paraId="2F88D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tcPr>
          <w:p w14:paraId="070ABBCD">
            <w:pPr>
              <w:pStyle w:val="248"/>
              <w:spacing w:before="64" w:line="242" w:lineRule="auto"/>
              <w:ind w:left="114"/>
              <w:rPr>
                <w:color w:val="auto"/>
                <w:highlight w:val="none"/>
              </w:rPr>
            </w:pPr>
            <w:r>
              <w:rPr>
                <w:color w:val="auto"/>
                <w:highlight w:val="none"/>
              </w:rPr>
              <w:t>4</w:t>
            </w:r>
          </w:p>
        </w:tc>
        <w:tc>
          <w:tcPr>
            <w:tcW w:w="1542" w:type="dxa"/>
          </w:tcPr>
          <w:p w14:paraId="53C1678C">
            <w:pPr>
              <w:pStyle w:val="248"/>
              <w:spacing w:before="64" w:line="219" w:lineRule="auto"/>
              <w:ind w:left="102"/>
              <w:rPr>
                <w:color w:val="auto"/>
                <w:highlight w:val="none"/>
              </w:rPr>
            </w:pPr>
            <w:r>
              <w:rPr>
                <w:color w:val="auto"/>
                <w:spacing w:val="-1"/>
                <w:highlight w:val="none"/>
              </w:rPr>
              <w:t>A020201复印机</w:t>
            </w:r>
          </w:p>
        </w:tc>
        <w:tc>
          <w:tcPr>
            <w:tcW w:w="2672" w:type="dxa"/>
          </w:tcPr>
          <w:p w14:paraId="72501882">
            <w:pPr>
              <w:rPr>
                <w:rFonts w:ascii="Arial"/>
                <w:color w:val="auto"/>
                <w:highlight w:val="none"/>
              </w:rPr>
            </w:pPr>
          </w:p>
        </w:tc>
        <w:tc>
          <w:tcPr>
            <w:tcW w:w="2248" w:type="dxa"/>
          </w:tcPr>
          <w:p w14:paraId="1FE3253D">
            <w:pPr>
              <w:rPr>
                <w:rFonts w:ascii="Arial"/>
                <w:color w:val="auto"/>
                <w:highlight w:val="none"/>
              </w:rPr>
            </w:pPr>
          </w:p>
        </w:tc>
        <w:tc>
          <w:tcPr>
            <w:tcW w:w="3543" w:type="dxa"/>
          </w:tcPr>
          <w:p w14:paraId="2D188B6F">
            <w:pPr>
              <w:pStyle w:val="248"/>
              <w:spacing w:before="64" w:line="219" w:lineRule="auto"/>
              <w:ind w:left="109"/>
              <w:rPr>
                <w:color w:val="auto"/>
                <w:highlight w:val="none"/>
                <w:lang w:eastAsia="zh-CN"/>
              </w:rPr>
            </w:pPr>
            <w:r>
              <w:rPr>
                <w:color w:val="auto"/>
                <w:highlight w:val="none"/>
                <w:lang w:eastAsia="zh-CN"/>
              </w:rPr>
              <w:t>HJ424 数字式复印（包括多功能）设备</w:t>
            </w:r>
          </w:p>
        </w:tc>
      </w:tr>
      <w:tr w14:paraId="29B86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4F08EFD3">
            <w:pPr>
              <w:pStyle w:val="248"/>
              <w:spacing w:before="65"/>
              <w:ind w:left="118"/>
              <w:rPr>
                <w:color w:val="auto"/>
                <w:highlight w:val="none"/>
              </w:rPr>
            </w:pPr>
            <w:r>
              <w:rPr>
                <w:color w:val="auto"/>
                <w:highlight w:val="none"/>
              </w:rPr>
              <w:t>5</w:t>
            </w:r>
          </w:p>
        </w:tc>
        <w:tc>
          <w:tcPr>
            <w:tcW w:w="1542" w:type="dxa"/>
          </w:tcPr>
          <w:p w14:paraId="11AF4BC5">
            <w:pPr>
              <w:pStyle w:val="248"/>
              <w:spacing w:before="64" w:line="284" w:lineRule="auto"/>
              <w:ind w:left="110" w:right="108" w:hanging="8"/>
              <w:rPr>
                <w:color w:val="auto"/>
                <w:highlight w:val="none"/>
              </w:rPr>
            </w:pPr>
            <w:r>
              <w:rPr>
                <w:color w:val="auto"/>
                <w:spacing w:val="2"/>
                <w:highlight w:val="none"/>
              </w:rPr>
              <w:t>A020204多功能</w:t>
            </w:r>
            <w:r>
              <w:rPr>
                <w:color w:val="auto"/>
                <w:spacing w:val="-4"/>
                <w:highlight w:val="none"/>
              </w:rPr>
              <w:t>一体机</w:t>
            </w:r>
          </w:p>
        </w:tc>
        <w:tc>
          <w:tcPr>
            <w:tcW w:w="2672" w:type="dxa"/>
          </w:tcPr>
          <w:p w14:paraId="0A2505B4">
            <w:pPr>
              <w:rPr>
                <w:rFonts w:ascii="Arial"/>
                <w:color w:val="auto"/>
                <w:highlight w:val="none"/>
              </w:rPr>
            </w:pPr>
          </w:p>
        </w:tc>
        <w:tc>
          <w:tcPr>
            <w:tcW w:w="2248" w:type="dxa"/>
          </w:tcPr>
          <w:p w14:paraId="4B9CFD4C">
            <w:pPr>
              <w:rPr>
                <w:rFonts w:ascii="Arial"/>
                <w:color w:val="auto"/>
                <w:highlight w:val="none"/>
              </w:rPr>
            </w:pPr>
          </w:p>
        </w:tc>
        <w:tc>
          <w:tcPr>
            <w:tcW w:w="3543" w:type="dxa"/>
          </w:tcPr>
          <w:p w14:paraId="56286193">
            <w:pPr>
              <w:pStyle w:val="248"/>
              <w:spacing w:before="64" w:line="219" w:lineRule="auto"/>
              <w:ind w:left="109"/>
              <w:rPr>
                <w:color w:val="auto"/>
                <w:highlight w:val="none"/>
                <w:lang w:eastAsia="zh-CN"/>
              </w:rPr>
            </w:pPr>
            <w:r>
              <w:rPr>
                <w:color w:val="auto"/>
                <w:highlight w:val="none"/>
                <w:lang w:eastAsia="zh-CN"/>
              </w:rPr>
              <w:t>HJ424 数字式复印（包括多功能）设备</w:t>
            </w:r>
          </w:p>
        </w:tc>
      </w:tr>
      <w:tr w14:paraId="6FAD6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628EDAD1">
            <w:pPr>
              <w:pStyle w:val="248"/>
              <w:spacing w:before="65"/>
              <w:ind w:left="116"/>
              <w:rPr>
                <w:color w:val="auto"/>
                <w:highlight w:val="none"/>
              </w:rPr>
            </w:pPr>
            <w:r>
              <w:rPr>
                <w:color w:val="auto"/>
                <w:highlight w:val="none"/>
              </w:rPr>
              <w:t>6</w:t>
            </w:r>
          </w:p>
        </w:tc>
        <w:tc>
          <w:tcPr>
            <w:tcW w:w="1542" w:type="dxa"/>
          </w:tcPr>
          <w:p w14:paraId="75DED3CF">
            <w:pPr>
              <w:pStyle w:val="248"/>
              <w:spacing w:before="66" w:line="283" w:lineRule="auto"/>
              <w:ind w:left="109" w:right="108" w:hanging="7"/>
              <w:rPr>
                <w:color w:val="auto"/>
                <w:highlight w:val="none"/>
              </w:rPr>
            </w:pPr>
            <w:r>
              <w:rPr>
                <w:color w:val="auto"/>
                <w:spacing w:val="-1"/>
                <w:highlight w:val="none"/>
              </w:rPr>
              <w:t>A020210文印设</w:t>
            </w:r>
            <w:r>
              <w:rPr>
                <w:color w:val="auto"/>
                <w:highlight w:val="none"/>
              </w:rPr>
              <w:t xml:space="preserve"> 备</w:t>
            </w:r>
          </w:p>
        </w:tc>
        <w:tc>
          <w:tcPr>
            <w:tcW w:w="2672" w:type="dxa"/>
          </w:tcPr>
          <w:p w14:paraId="4BC6FEE7">
            <w:pPr>
              <w:pStyle w:val="248"/>
              <w:spacing w:before="65" w:line="219" w:lineRule="auto"/>
              <w:ind w:left="103"/>
              <w:rPr>
                <w:color w:val="auto"/>
                <w:highlight w:val="none"/>
              </w:rPr>
            </w:pPr>
            <w:r>
              <w:rPr>
                <w:color w:val="auto"/>
                <w:highlight w:val="none"/>
              </w:rPr>
              <w:t>A02021001 速印机</w:t>
            </w:r>
          </w:p>
        </w:tc>
        <w:tc>
          <w:tcPr>
            <w:tcW w:w="2248" w:type="dxa"/>
          </w:tcPr>
          <w:p w14:paraId="0A117092">
            <w:pPr>
              <w:rPr>
                <w:rFonts w:ascii="Arial"/>
                <w:color w:val="auto"/>
                <w:highlight w:val="none"/>
              </w:rPr>
            </w:pPr>
          </w:p>
        </w:tc>
        <w:tc>
          <w:tcPr>
            <w:tcW w:w="3543" w:type="dxa"/>
          </w:tcPr>
          <w:p w14:paraId="1837DAFB">
            <w:pPr>
              <w:pStyle w:val="248"/>
              <w:spacing w:before="65" w:line="219" w:lineRule="auto"/>
              <w:ind w:left="109"/>
              <w:rPr>
                <w:color w:val="auto"/>
                <w:highlight w:val="none"/>
                <w:lang w:eastAsia="zh-CN"/>
              </w:rPr>
            </w:pPr>
            <w:r>
              <w:rPr>
                <w:color w:val="auto"/>
                <w:spacing w:val="-1"/>
                <w:highlight w:val="none"/>
                <w:lang w:eastAsia="zh-CN"/>
              </w:rPr>
              <w:t>HJ472 数字式一体化速印机</w:t>
            </w:r>
          </w:p>
        </w:tc>
      </w:tr>
      <w:tr w14:paraId="1C7D8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583" w:type="dxa"/>
          </w:tcPr>
          <w:p w14:paraId="382F6113">
            <w:pPr>
              <w:pStyle w:val="248"/>
              <w:spacing w:before="66"/>
              <w:ind w:left="119"/>
              <w:rPr>
                <w:color w:val="auto"/>
                <w:highlight w:val="none"/>
              </w:rPr>
            </w:pPr>
            <w:r>
              <w:rPr>
                <w:color w:val="auto"/>
                <w:highlight w:val="none"/>
              </w:rPr>
              <w:t>7</w:t>
            </w:r>
          </w:p>
        </w:tc>
        <w:tc>
          <w:tcPr>
            <w:tcW w:w="1542" w:type="dxa"/>
          </w:tcPr>
          <w:p w14:paraId="2596F9DB">
            <w:pPr>
              <w:pStyle w:val="248"/>
              <w:spacing w:before="67" w:line="301" w:lineRule="auto"/>
              <w:ind w:left="109" w:right="32" w:hanging="7"/>
              <w:rPr>
                <w:color w:val="auto"/>
                <w:highlight w:val="none"/>
                <w:lang w:eastAsia="zh-CN"/>
              </w:rPr>
            </w:pPr>
            <w:r>
              <w:rPr>
                <w:color w:val="auto"/>
                <w:spacing w:val="3"/>
                <w:highlight w:val="none"/>
                <w:lang w:eastAsia="zh-CN"/>
              </w:rPr>
              <w:t>A020301载货汽</w:t>
            </w:r>
            <w:r>
              <w:rPr>
                <w:color w:val="auto"/>
                <w:spacing w:val="-6"/>
                <w:highlight w:val="none"/>
                <w:lang w:eastAsia="zh-CN"/>
              </w:rPr>
              <w:t>车（含自卸汽车）</w:t>
            </w:r>
          </w:p>
        </w:tc>
        <w:tc>
          <w:tcPr>
            <w:tcW w:w="2672" w:type="dxa"/>
          </w:tcPr>
          <w:p w14:paraId="0376FC7B">
            <w:pPr>
              <w:rPr>
                <w:rFonts w:ascii="Arial"/>
                <w:color w:val="auto"/>
                <w:highlight w:val="none"/>
              </w:rPr>
            </w:pPr>
          </w:p>
        </w:tc>
        <w:tc>
          <w:tcPr>
            <w:tcW w:w="2248" w:type="dxa"/>
          </w:tcPr>
          <w:p w14:paraId="42166F14">
            <w:pPr>
              <w:rPr>
                <w:rFonts w:ascii="Arial"/>
                <w:color w:val="auto"/>
                <w:highlight w:val="none"/>
              </w:rPr>
            </w:pPr>
          </w:p>
        </w:tc>
        <w:tc>
          <w:tcPr>
            <w:tcW w:w="3543" w:type="dxa"/>
          </w:tcPr>
          <w:p w14:paraId="3C981380">
            <w:pPr>
              <w:pStyle w:val="248"/>
              <w:spacing w:before="65" w:line="219" w:lineRule="auto"/>
              <w:ind w:left="109"/>
              <w:rPr>
                <w:color w:val="auto"/>
                <w:highlight w:val="none"/>
              </w:rPr>
            </w:pPr>
            <w:r>
              <w:rPr>
                <w:color w:val="auto"/>
                <w:spacing w:val="-1"/>
                <w:highlight w:val="none"/>
              </w:rPr>
              <w:t>HJ2532轻型汽车</w:t>
            </w:r>
          </w:p>
        </w:tc>
      </w:tr>
      <w:tr w14:paraId="51A49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583" w:type="dxa"/>
            <w:vMerge w:val="restart"/>
            <w:tcBorders>
              <w:bottom w:val="nil"/>
            </w:tcBorders>
          </w:tcPr>
          <w:p w14:paraId="2B93C42F">
            <w:pPr>
              <w:pStyle w:val="248"/>
              <w:spacing w:before="67"/>
              <w:ind w:left="115"/>
              <w:rPr>
                <w:color w:val="auto"/>
                <w:highlight w:val="none"/>
              </w:rPr>
            </w:pPr>
            <w:r>
              <w:rPr>
                <w:color w:val="auto"/>
                <w:highlight w:val="none"/>
              </w:rPr>
              <w:t>8</w:t>
            </w:r>
          </w:p>
        </w:tc>
        <w:tc>
          <w:tcPr>
            <w:tcW w:w="1542" w:type="dxa"/>
            <w:vMerge w:val="restart"/>
            <w:tcBorders>
              <w:bottom w:val="nil"/>
            </w:tcBorders>
          </w:tcPr>
          <w:p w14:paraId="7CC771BE">
            <w:pPr>
              <w:pStyle w:val="248"/>
              <w:spacing w:before="66" w:line="322" w:lineRule="auto"/>
              <w:ind w:left="112" w:right="108" w:hanging="10"/>
              <w:rPr>
                <w:color w:val="auto"/>
                <w:highlight w:val="none"/>
              </w:rPr>
            </w:pPr>
            <w:r>
              <w:rPr>
                <w:color w:val="auto"/>
                <w:spacing w:val="3"/>
                <w:highlight w:val="none"/>
              </w:rPr>
              <w:t>A020305乘用车</w:t>
            </w:r>
            <w:r>
              <w:rPr>
                <w:color w:val="auto"/>
                <w:spacing w:val="-3"/>
                <w:highlight w:val="none"/>
              </w:rPr>
              <w:t>（轿车）</w:t>
            </w:r>
          </w:p>
        </w:tc>
        <w:tc>
          <w:tcPr>
            <w:tcW w:w="2672" w:type="dxa"/>
          </w:tcPr>
          <w:p w14:paraId="20DF9325">
            <w:pPr>
              <w:pStyle w:val="248"/>
              <w:spacing w:before="66" w:line="220" w:lineRule="auto"/>
              <w:ind w:left="103"/>
              <w:rPr>
                <w:color w:val="auto"/>
                <w:highlight w:val="none"/>
              </w:rPr>
            </w:pPr>
            <w:r>
              <w:rPr>
                <w:color w:val="auto"/>
                <w:highlight w:val="none"/>
              </w:rPr>
              <w:t>A02030501 轿车</w:t>
            </w:r>
          </w:p>
        </w:tc>
        <w:tc>
          <w:tcPr>
            <w:tcW w:w="2248" w:type="dxa"/>
          </w:tcPr>
          <w:p w14:paraId="21A55FAC">
            <w:pPr>
              <w:rPr>
                <w:rFonts w:ascii="Arial"/>
                <w:color w:val="auto"/>
                <w:highlight w:val="none"/>
              </w:rPr>
            </w:pPr>
          </w:p>
        </w:tc>
        <w:tc>
          <w:tcPr>
            <w:tcW w:w="3543" w:type="dxa"/>
          </w:tcPr>
          <w:p w14:paraId="7EE51537">
            <w:pPr>
              <w:pStyle w:val="248"/>
              <w:spacing w:before="66" w:line="219" w:lineRule="auto"/>
              <w:ind w:left="109"/>
              <w:rPr>
                <w:color w:val="auto"/>
                <w:highlight w:val="none"/>
              </w:rPr>
            </w:pPr>
            <w:r>
              <w:rPr>
                <w:color w:val="auto"/>
                <w:spacing w:val="-1"/>
                <w:highlight w:val="none"/>
              </w:rPr>
              <w:t>HJ2532轻型汽车</w:t>
            </w:r>
          </w:p>
        </w:tc>
      </w:tr>
      <w:tr w14:paraId="6F877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tcPr>
          <w:p w14:paraId="14E048DE">
            <w:pPr>
              <w:rPr>
                <w:rFonts w:ascii="Arial"/>
                <w:color w:val="auto"/>
                <w:highlight w:val="none"/>
              </w:rPr>
            </w:pPr>
          </w:p>
        </w:tc>
        <w:tc>
          <w:tcPr>
            <w:tcW w:w="1542" w:type="dxa"/>
            <w:vMerge w:val="continue"/>
            <w:tcBorders>
              <w:top w:val="nil"/>
            </w:tcBorders>
          </w:tcPr>
          <w:p w14:paraId="539487A8">
            <w:pPr>
              <w:rPr>
                <w:rFonts w:ascii="Arial"/>
                <w:color w:val="auto"/>
                <w:highlight w:val="none"/>
              </w:rPr>
            </w:pPr>
          </w:p>
        </w:tc>
        <w:tc>
          <w:tcPr>
            <w:tcW w:w="2672" w:type="dxa"/>
          </w:tcPr>
          <w:p w14:paraId="47827F69">
            <w:pPr>
              <w:pStyle w:val="248"/>
              <w:spacing w:before="66" w:line="220" w:lineRule="auto"/>
              <w:ind w:left="103"/>
              <w:rPr>
                <w:color w:val="auto"/>
                <w:highlight w:val="none"/>
              </w:rPr>
            </w:pPr>
            <w:r>
              <w:rPr>
                <w:color w:val="auto"/>
                <w:spacing w:val="-1"/>
                <w:highlight w:val="none"/>
              </w:rPr>
              <w:t>A02030599其他乘用车（轿车）</w:t>
            </w:r>
          </w:p>
        </w:tc>
        <w:tc>
          <w:tcPr>
            <w:tcW w:w="2248" w:type="dxa"/>
          </w:tcPr>
          <w:p w14:paraId="587141F6">
            <w:pPr>
              <w:rPr>
                <w:rFonts w:ascii="Arial"/>
                <w:color w:val="auto"/>
                <w:highlight w:val="none"/>
              </w:rPr>
            </w:pPr>
          </w:p>
        </w:tc>
        <w:tc>
          <w:tcPr>
            <w:tcW w:w="3543" w:type="dxa"/>
          </w:tcPr>
          <w:p w14:paraId="5A136AB4">
            <w:pPr>
              <w:pStyle w:val="248"/>
              <w:spacing w:before="66" w:line="219" w:lineRule="auto"/>
              <w:ind w:left="109"/>
              <w:rPr>
                <w:color w:val="auto"/>
                <w:highlight w:val="none"/>
              </w:rPr>
            </w:pPr>
            <w:r>
              <w:rPr>
                <w:color w:val="auto"/>
                <w:spacing w:val="-1"/>
                <w:highlight w:val="none"/>
              </w:rPr>
              <w:t>HJ2532轻型汽车</w:t>
            </w:r>
          </w:p>
        </w:tc>
      </w:tr>
      <w:tr w14:paraId="13DAA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tcPr>
          <w:p w14:paraId="19EF0C30">
            <w:pPr>
              <w:pStyle w:val="248"/>
              <w:spacing w:before="66"/>
              <w:ind w:left="115"/>
              <w:rPr>
                <w:color w:val="auto"/>
                <w:highlight w:val="none"/>
              </w:rPr>
            </w:pPr>
            <w:r>
              <w:rPr>
                <w:color w:val="auto"/>
                <w:highlight w:val="none"/>
              </w:rPr>
              <w:t>9</w:t>
            </w:r>
          </w:p>
        </w:tc>
        <w:tc>
          <w:tcPr>
            <w:tcW w:w="1542" w:type="dxa"/>
          </w:tcPr>
          <w:p w14:paraId="51D27571">
            <w:pPr>
              <w:pStyle w:val="248"/>
              <w:spacing w:before="66" w:line="220" w:lineRule="auto"/>
              <w:ind w:left="102"/>
              <w:rPr>
                <w:color w:val="auto"/>
                <w:highlight w:val="none"/>
              </w:rPr>
            </w:pPr>
            <w:r>
              <w:rPr>
                <w:color w:val="auto"/>
                <w:spacing w:val="-1"/>
                <w:highlight w:val="none"/>
              </w:rPr>
              <w:t>A020306客车</w:t>
            </w:r>
          </w:p>
        </w:tc>
        <w:tc>
          <w:tcPr>
            <w:tcW w:w="2672" w:type="dxa"/>
          </w:tcPr>
          <w:p w14:paraId="70514D29">
            <w:pPr>
              <w:pStyle w:val="248"/>
              <w:spacing w:before="66" w:line="220" w:lineRule="auto"/>
              <w:ind w:left="103"/>
              <w:rPr>
                <w:color w:val="auto"/>
                <w:highlight w:val="none"/>
              </w:rPr>
            </w:pPr>
            <w:r>
              <w:rPr>
                <w:color w:val="auto"/>
                <w:spacing w:val="-1"/>
                <w:highlight w:val="none"/>
              </w:rPr>
              <w:t>A02030601小型客车</w:t>
            </w:r>
          </w:p>
        </w:tc>
        <w:tc>
          <w:tcPr>
            <w:tcW w:w="2248" w:type="dxa"/>
          </w:tcPr>
          <w:p w14:paraId="2DD2CA14">
            <w:pPr>
              <w:rPr>
                <w:rFonts w:ascii="Arial"/>
                <w:color w:val="auto"/>
                <w:highlight w:val="none"/>
              </w:rPr>
            </w:pPr>
          </w:p>
        </w:tc>
        <w:tc>
          <w:tcPr>
            <w:tcW w:w="3543" w:type="dxa"/>
          </w:tcPr>
          <w:p w14:paraId="63811A57">
            <w:pPr>
              <w:pStyle w:val="248"/>
              <w:spacing w:before="66" w:line="219" w:lineRule="auto"/>
              <w:ind w:left="109"/>
              <w:rPr>
                <w:color w:val="auto"/>
                <w:highlight w:val="none"/>
              </w:rPr>
            </w:pPr>
            <w:r>
              <w:rPr>
                <w:color w:val="auto"/>
                <w:spacing w:val="-1"/>
                <w:highlight w:val="none"/>
              </w:rPr>
              <w:t>HJ2532轻型汽车</w:t>
            </w:r>
          </w:p>
        </w:tc>
      </w:tr>
      <w:tr w14:paraId="272CD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05D4A515">
            <w:pPr>
              <w:pStyle w:val="248"/>
              <w:spacing w:before="67"/>
              <w:ind w:left="128"/>
              <w:rPr>
                <w:color w:val="auto"/>
                <w:highlight w:val="none"/>
              </w:rPr>
            </w:pPr>
            <w:r>
              <w:rPr>
                <w:color w:val="auto"/>
                <w:spacing w:val="-10"/>
                <w:highlight w:val="none"/>
              </w:rPr>
              <w:t>10</w:t>
            </w:r>
          </w:p>
        </w:tc>
        <w:tc>
          <w:tcPr>
            <w:tcW w:w="1542" w:type="dxa"/>
          </w:tcPr>
          <w:p w14:paraId="75773F77">
            <w:pPr>
              <w:pStyle w:val="248"/>
              <w:spacing w:before="66" w:line="283" w:lineRule="auto"/>
              <w:ind w:left="106" w:right="108" w:hanging="4"/>
              <w:rPr>
                <w:color w:val="auto"/>
                <w:highlight w:val="none"/>
              </w:rPr>
            </w:pPr>
            <w:r>
              <w:rPr>
                <w:color w:val="auto"/>
                <w:spacing w:val="3"/>
                <w:highlight w:val="none"/>
              </w:rPr>
              <w:t>A020307专用车</w:t>
            </w:r>
            <w:r>
              <w:rPr>
                <w:color w:val="auto"/>
                <w:highlight w:val="none"/>
              </w:rPr>
              <w:t xml:space="preserve"> 辆</w:t>
            </w:r>
          </w:p>
        </w:tc>
        <w:tc>
          <w:tcPr>
            <w:tcW w:w="2672" w:type="dxa"/>
          </w:tcPr>
          <w:p w14:paraId="100821E0">
            <w:pPr>
              <w:pStyle w:val="248"/>
              <w:spacing w:before="66" w:line="220" w:lineRule="auto"/>
              <w:ind w:left="103"/>
              <w:rPr>
                <w:color w:val="auto"/>
                <w:highlight w:val="none"/>
              </w:rPr>
            </w:pPr>
            <w:r>
              <w:rPr>
                <w:color w:val="auto"/>
                <w:spacing w:val="-1"/>
                <w:highlight w:val="none"/>
              </w:rPr>
              <w:t>A02030799其他专用汽车</w:t>
            </w:r>
          </w:p>
        </w:tc>
        <w:tc>
          <w:tcPr>
            <w:tcW w:w="2248" w:type="dxa"/>
          </w:tcPr>
          <w:p w14:paraId="6E3D3A37">
            <w:pPr>
              <w:rPr>
                <w:rFonts w:ascii="Arial"/>
                <w:color w:val="auto"/>
                <w:highlight w:val="none"/>
              </w:rPr>
            </w:pPr>
          </w:p>
        </w:tc>
        <w:tc>
          <w:tcPr>
            <w:tcW w:w="3543" w:type="dxa"/>
          </w:tcPr>
          <w:p w14:paraId="580B1DF8">
            <w:pPr>
              <w:pStyle w:val="248"/>
              <w:spacing w:before="66" w:line="219" w:lineRule="auto"/>
              <w:ind w:left="109"/>
              <w:rPr>
                <w:color w:val="auto"/>
                <w:highlight w:val="none"/>
              </w:rPr>
            </w:pPr>
            <w:r>
              <w:rPr>
                <w:color w:val="auto"/>
                <w:spacing w:val="-1"/>
                <w:highlight w:val="none"/>
              </w:rPr>
              <w:t>HJ2532轻型汽车</w:t>
            </w:r>
          </w:p>
        </w:tc>
      </w:tr>
      <w:tr w14:paraId="1DAAE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83" w:type="dxa"/>
            <w:vMerge w:val="restart"/>
            <w:tcBorders>
              <w:bottom w:val="nil"/>
            </w:tcBorders>
          </w:tcPr>
          <w:p w14:paraId="25722E63">
            <w:pPr>
              <w:pStyle w:val="248"/>
              <w:spacing w:before="69" w:line="242" w:lineRule="auto"/>
              <w:ind w:left="128"/>
              <w:rPr>
                <w:color w:val="auto"/>
                <w:highlight w:val="none"/>
              </w:rPr>
            </w:pPr>
            <w:r>
              <w:rPr>
                <w:color w:val="auto"/>
                <w:spacing w:val="-10"/>
                <w:highlight w:val="none"/>
              </w:rPr>
              <w:t>11</w:t>
            </w:r>
          </w:p>
        </w:tc>
        <w:tc>
          <w:tcPr>
            <w:tcW w:w="1542" w:type="dxa"/>
            <w:vMerge w:val="restart"/>
            <w:tcBorders>
              <w:bottom w:val="nil"/>
            </w:tcBorders>
          </w:tcPr>
          <w:p w14:paraId="204951D5">
            <w:pPr>
              <w:pStyle w:val="248"/>
              <w:spacing w:before="69" w:line="323" w:lineRule="auto"/>
              <w:ind w:left="109" w:right="108" w:hanging="7"/>
              <w:rPr>
                <w:color w:val="auto"/>
                <w:highlight w:val="none"/>
              </w:rPr>
            </w:pPr>
            <w:r>
              <w:rPr>
                <w:color w:val="auto"/>
                <w:spacing w:val="3"/>
                <w:highlight w:val="none"/>
              </w:rPr>
              <w:t>A020523制冷空</w:t>
            </w:r>
            <w:r>
              <w:rPr>
                <w:color w:val="auto"/>
                <w:spacing w:val="-2"/>
                <w:highlight w:val="none"/>
              </w:rPr>
              <w:t>调设备</w:t>
            </w:r>
          </w:p>
        </w:tc>
        <w:tc>
          <w:tcPr>
            <w:tcW w:w="2672" w:type="dxa"/>
          </w:tcPr>
          <w:p w14:paraId="2693CDB1">
            <w:pPr>
              <w:pStyle w:val="248"/>
              <w:spacing w:before="70" w:line="219" w:lineRule="auto"/>
              <w:ind w:left="103"/>
              <w:rPr>
                <w:color w:val="auto"/>
                <w:highlight w:val="none"/>
              </w:rPr>
            </w:pPr>
            <w:r>
              <w:rPr>
                <w:color w:val="auto"/>
                <w:highlight w:val="none"/>
              </w:rPr>
              <w:t>A02052301 制冷压缩机</w:t>
            </w:r>
          </w:p>
        </w:tc>
        <w:tc>
          <w:tcPr>
            <w:tcW w:w="2248" w:type="dxa"/>
          </w:tcPr>
          <w:p w14:paraId="5DA76A3E">
            <w:pPr>
              <w:rPr>
                <w:rFonts w:ascii="Arial"/>
                <w:color w:val="auto"/>
                <w:highlight w:val="none"/>
              </w:rPr>
            </w:pPr>
          </w:p>
        </w:tc>
        <w:tc>
          <w:tcPr>
            <w:tcW w:w="3543" w:type="dxa"/>
          </w:tcPr>
          <w:p w14:paraId="51CE4801">
            <w:pPr>
              <w:pStyle w:val="248"/>
              <w:spacing w:before="69" w:line="219" w:lineRule="auto"/>
              <w:ind w:left="109"/>
              <w:rPr>
                <w:color w:val="auto"/>
                <w:highlight w:val="none"/>
              </w:rPr>
            </w:pPr>
            <w:r>
              <w:rPr>
                <w:color w:val="auto"/>
                <w:spacing w:val="-1"/>
                <w:highlight w:val="none"/>
              </w:rPr>
              <w:t>HJ2531工商用制冷设备</w:t>
            </w:r>
          </w:p>
        </w:tc>
      </w:tr>
      <w:tr w14:paraId="5BBF1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vMerge w:val="continue"/>
            <w:tcBorders>
              <w:top w:val="nil"/>
              <w:bottom w:val="nil"/>
            </w:tcBorders>
          </w:tcPr>
          <w:p w14:paraId="1AEBA888">
            <w:pPr>
              <w:rPr>
                <w:rFonts w:ascii="Arial"/>
                <w:color w:val="auto"/>
                <w:highlight w:val="none"/>
              </w:rPr>
            </w:pPr>
          </w:p>
        </w:tc>
        <w:tc>
          <w:tcPr>
            <w:tcW w:w="1542" w:type="dxa"/>
            <w:vMerge w:val="continue"/>
            <w:tcBorders>
              <w:top w:val="nil"/>
              <w:bottom w:val="nil"/>
            </w:tcBorders>
          </w:tcPr>
          <w:p w14:paraId="72447AA4">
            <w:pPr>
              <w:rPr>
                <w:rFonts w:ascii="Arial"/>
                <w:color w:val="auto"/>
                <w:highlight w:val="none"/>
              </w:rPr>
            </w:pPr>
          </w:p>
        </w:tc>
        <w:tc>
          <w:tcPr>
            <w:tcW w:w="2672" w:type="dxa"/>
          </w:tcPr>
          <w:p w14:paraId="44E2233F">
            <w:pPr>
              <w:pStyle w:val="248"/>
              <w:spacing w:before="67" w:line="219" w:lineRule="auto"/>
              <w:ind w:left="103"/>
              <w:rPr>
                <w:color w:val="auto"/>
                <w:highlight w:val="none"/>
              </w:rPr>
            </w:pPr>
            <w:r>
              <w:rPr>
                <w:color w:val="auto"/>
                <w:highlight w:val="none"/>
              </w:rPr>
              <w:t>A02052305 空调机组</w:t>
            </w:r>
          </w:p>
        </w:tc>
        <w:tc>
          <w:tcPr>
            <w:tcW w:w="2248" w:type="dxa"/>
          </w:tcPr>
          <w:p w14:paraId="31E9E19D">
            <w:pPr>
              <w:rPr>
                <w:rFonts w:ascii="Arial"/>
                <w:color w:val="auto"/>
                <w:highlight w:val="none"/>
              </w:rPr>
            </w:pPr>
          </w:p>
        </w:tc>
        <w:tc>
          <w:tcPr>
            <w:tcW w:w="3543" w:type="dxa"/>
          </w:tcPr>
          <w:p w14:paraId="407EE91C">
            <w:pPr>
              <w:pStyle w:val="248"/>
              <w:spacing w:before="67" w:line="219" w:lineRule="auto"/>
              <w:ind w:left="109"/>
              <w:rPr>
                <w:color w:val="auto"/>
                <w:highlight w:val="none"/>
              </w:rPr>
            </w:pPr>
            <w:r>
              <w:rPr>
                <w:color w:val="auto"/>
                <w:spacing w:val="-1"/>
                <w:highlight w:val="none"/>
              </w:rPr>
              <w:t>HJ2531工商用制冷设备</w:t>
            </w:r>
          </w:p>
        </w:tc>
      </w:tr>
      <w:tr w14:paraId="49FBB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vMerge w:val="continue"/>
            <w:tcBorders>
              <w:top w:val="nil"/>
            </w:tcBorders>
          </w:tcPr>
          <w:p w14:paraId="52E8EAAF">
            <w:pPr>
              <w:rPr>
                <w:rFonts w:ascii="Arial"/>
                <w:color w:val="auto"/>
                <w:highlight w:val="none"/>
              </w:rPr>
            </w:pPr>
          </w:p>
        </w:tc>
        <w:tc>
          <w:tcPr>
            <w:tcW w:w="1542" w:type="dxa"/>
            <w:vMerge w:val="continue"/>
            <w:tcBorders>
              <w:top w:val="nil"/>
            </w:tcBorders>
          </w:tcPr>
          <w:p w14:paraId="1BE5277E">
            <w:pPr>
              <w:rPr>
                <w:rFonts w:ascii="Arial"/>
                <w:color w:val="auto"/>
                <w:highlight w:val="none"/>
              </w:rPr>
            </w:pPr>
          </w:p>
        </w:tc>
        <w:tc>
          <w:tcPr>
            <w:tcW w:w="2672" w:type="dxa"/>
          </w:tcPr>
          <w:p w14:paraId="52F0165B">
            <w:pPr>
              <w:pStyle w:val="248"/>
              <w:spacing w:before="67" w:line="221" w:lineRule="auto"/>
              <w:ind w:left="103"/>
              <w:rPr>
                <w:color w:val="auto"/>
                <w:highlight w:val="none"/>
                <w:lang w:eastAsia="zh-CN"/>
              </w:rPr>
            </w:pPr>
            <w:r>
              <w:rPr>
                <w:color w:val="auto"/>
                <w:spacing w:val="-2"/>
                <w:highlight w:val="none"/>
                <w:lang w:eastAsia="zh-CN"/>
              </w:rPr>
              <w:t>A02052309专用制冷、空调设备</w:t>
            </w:r>
          </w:p>
        </w:tc>
        <w:tc>
          <w:tcPr>
            <w:tcW w:w="2248" w:type="dxa"/>
          </w:tcPr>
          <w:p w14:paraId="7468EF84">
            <w:pPr>
              <w:rPr>
                <w:rFonts w:ascii="Arial"/>
                <w:color w:val="auto"/>
                <w:highlight w:val="none"/>
              </w:rPr>
            </w:pPr>
          </w:p>
        </w:tc>
        <w:tc>
          <w:tcPr>
            <w:tcW w:w="3543" w:type="dxa"/>
          </w:tcPr>
          <w:p w14:paraId="1EF45C34">
            <w:pPr>
              <w:pStyle w:val="248"/>
              <w:spacing w:before="67" w:line="219" w:lineRule="auto"/>
              <w:ind w:left="109"/>
              <w:rPr>
                <w:color w:val="auto"/>
                <w:highlight w:val="none"/>
              </w:rPr>
            </w:pPr>
            <w:r>
              <w:rPr>
                <w:color w:val="auto"/>
                <w:spacing w:val="-1"/>
                <w:highlight w:val="none"/>
              </w:rPr>
              <w:t>HJ2531工商用制冷设备</w:t>
            </w:r>
          </w:p>
        </w:tc>
      </w:tr>
      <w:tr w14:paraId="28B19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380BF6E7">
            <w:pPr>
              <w:pStyle w:val="248"/>
              <w:spacing w:before="68" w:line="242" w:lineRule="auto"/>
              <w:ind w:left="128"/>
              <w:rPr>
                <w:color w:val="auto"/>
                <w:highlight w:val="none"/>
              </w:rPr>
            </w:pPr>
            <w:r>
              <w:rPr>
                <w:color w:val="auto"/>
                <w:spacing w:val="-10"/>
                <w:highlight w:val="none"/>
              </w:rPr>
              <w:t>12</w:t>
            </w:r>
          </w:p>
        </w:tc>
        <w:tc>
          <w:tcPr>
            <w:tcW w:w="1542" w:type="dxa"/>
            <w:vMerge w:val="restart"/>
            <w:tcBorders>
              <w:bottom w:val="nil"/>
            </w:tcBorders>
          </w:tcPr>
          <w:p w14:paraId="1E45159C">
            <w:pPr>
              <w:pStyle w:val="248"/>
              <w:spacing w:before="69" w:line="324" w:lineRule="auto"/>
              <w:ind w:left="128" w:right="108" w:hanging="26"/>
              <w:rPr>
                <w:color w:val="auto"/>
                <w:highlight w:val="none"/>
              </w:rPr>
            </w:pPr>
            <w:r>
              <w:rPr>
                <w:color w:val="auto"/>
                <w:spacing w:val="3"/>
                <w:highlight w:val="none"/>
              </w:rPr>
              <w:t>A020618生活用</w:t>
            </w:r>
            <w:r>
              <w:rPr>
                <w:color w:val="auto"/>
                <w:spacing w:val="-8"/>
                <w:highlight w:val="none"/>
              </w:rPr>
              <w:t>电器</w:t>
            </w:r>
          </w:p>
        </w:tc>
        <w:tc>
          <w:tcPr>
            <w:tcW w:w="2672" w:type="dxa"/>
          </w:tcPr>
          <w:p w14:paraId="4C197CFA">
            <w:pPr>
              <w:pStyle w:val="248"/>
              <w:spacing w:before="68" w:line="221" w:lineRule="auto"/>
              <w:ind w:left="103"/>
              <w:rPr>
                <w:color w:val="auto"/>
                <w:highlight w:val="none"/>
              </w:rPr>
            </w:pPr>
            <w:r>
              <w:rPr>
                <w:color w:val="auto"/>
                <w:spacing w:val="-1"/>
                <w:highlight w:val="none"/>
              </w:rPr>
              <w:t>A02061802空气调节电器</w:t>
            </w:r>
          </w:p>
        </w:tc>
        <w:tc>
          <w:tcPr>
            <w:tcW w:w="2248" w:type="dxa"/>
          </w:tcPr>
          <w:p w14:paraId="5A31A671">
            <w:pPr>
              <w:pStyle w:val="248"/>
              <w:spacing w:before="68" w:line="219" w:lineRule="auto"/>
              <w:ind w:left="105"/>
              <w:rPr>
                <w:color w:val="auto"/>
                <w:highlight w:val="none"/>
              </w:rPr>
            </w:pPr>
            <w:r>
              <w:rPr>
                <w:color w:val="auto"/>
                <w:spacing w:val="-1"/>
                <w:highlight w:val="none"/>
              </w:rPr>
              <w:t>A0206180203空调机</w:t>
            </w:r>
          </w:p>
        </w:tc>
        <w:tc>
          <w:tcPr>
            <w:tcW w:w="3543" w:type="dxa"/>
          </w:tcPr>
          <w:p w14:paraId="496AEE18">
            <w:pPr>
              <w:pStyle w:val="248"/>
              <w:spacing w:before="68" w:line="219" w:lineRule="auto"/>
              <w:ind w:left="109"/>
              <w:rPr>
                <w:color w:val="auto"/>
                <w:highlight w:val="none"/>
              </w:rPr>
            </w:pPr>
            <w:r>
              <w:rPr>
                <w:color w:val="auto"/>
                <w:spacing w:val="-1"/>
                <w:highlight w:val="none"/>
              </w:rPr>
              <w:t>HJ2535房间空气调节器</w:t>
            </w:r>
          </w:p>
        </w:tc>
      </w:tr>
      <w:tr w14:paraId="1C09E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583" w:type="dxa"/>
            <w:vMerge w:val="continue"/>
            <w:tcBorders>
              <w:top w:val="nil"/>
            </w:tcBorders>
          </w:tcPr>
          <w:p w14:paraId="0CFE406C">
            <w:pPr>
              <w:rPr>
                <w:rFonts w:ascii="Arial"/>
                <w:color w:val="auto"/>
                <w:highlight w:val="none"/>
              </w:rPr>
            </w:pPr>
          </w:p>
        </w:tc>
        <w:tc>
          <w:tcPr>
            <w:tcW w:w="1542" w:type="dxa"/>
            <w:vMerge w:val="continue"/>
            <w:tcBorders>
              <w:top w:val="nil"/>
            </w:tcBorders>
          </w:tcPr>
          <w:p w14:paraId="655F76DC">
            <w:pPr>
              <w:rPr>
                <w:rFonts w:ascii="Arial"/>
                <w:color w:val="auto"/>
                <w:highlight w:val="none"/>
              </w:rPr>
            </w:pPr>
          </w:p>
        </w:tc>
        <w:tc>
          <w:tcPr>
            <w:tcW w:w="2672" w:type="dxa"/>
          </w:tcPr>
          <w:p w14:paraId="1A139C2F">
            <w:pPr>
              <w:pStyle w:val="248"/>
              <w:spacing w:before="68" w:line="220" w:lineRule="auto"/>
              <w:ind w:left="103"/>
              <w:rPr>
                <w:color w:val="auto"/>
                <w:highlight w:val="none"/>
              </w:rPr>
            </w:pPr>
            <w:r>
              <w:rPr>
                <w:color w:val="auto"/>
                <w:spacing w:val="-1"/>
                <w:highlight w:val="none"/>
              </w:rPr>
              <w:t>A02061808热水器</w:t>
            </w:r>
          </w:p>
        </w:tc>
        <w:tc>
          <w:tcPr>
            <w:tcW w:w="2248" w:type="dxa"/>
          </w:tcPr>
          <w:p w14:paraId="66DFDF37">
            <w:pPr>
              <w:rPr>
                <w:rFonts w:ascii="Arial"/>
                <w:color w:val="auto"/>
                <w:highlight w:val="none"/>
              </w:rPr>
            </w:pPr>
          </w:p>
        </w:tc>
        <w:tc>
          <w:tcPr>
            <w:tcW w:w="3543" w:type="dxa"/>
          </w:tcPr>
          <w:p w14:paraId="573CFF13">
            <w:pPr>
              <w:pStyle w:val="248"/>
              <w:spacing w:before="67" w:line="219" w:lineRule="auto"/>
              <w:ind w:left="109"/>
              <w:rPr>
                <w:color w:val="auto"/>
                <w:highlight w:val="none"/>
              </w:rPr>
            </w:pPr>
            <w:r>
              <w:rPr>
                <w:color w:val="auto"/>
                <w:spacing w:val="-1"/>
                <w:highlight w:val="none"/>
              </w:rPr>
              <w:t>HJ/T362太阳能集热器</w:t>
            </w:r>
          </w:p>
        </w:tc>
      </w:tr>
    </w:tbl>
    <w:p w14:paraId="484EA5F4">
      <w:pPr>
        <w:rPr>
          <w:rFonts w:ascii="Arial"/>
          <w:color w:val="auto"/>
          <w:highlight w:val="none"/>
        </w:rPr>
      </w:pPr>
    </w:p>
    <w:p w14:paraId="2CDA3C08">
      <w:pPr>
        <w:rPr>
          <w:rFonts w:ascii="Arial" w:hAnsi="Arial" w:eastAsia="Arial" w:cs="Arial"/>
          <w:color w:val="auto"/>
          <w:szCs w:val="21"/>
          <w:highlight w:val="none"/>
        </w:rPr>
        <w:sectPr>
          <w:pgSz w:w="11906" w:h="16838"/>
          <w:pgMar w:top="1425" w:right="644" w:bottom="0" w:left="667" w:header="0" w:footer="0" w:gutter="0"/>
          <w:cols w:space="720" w:num="1"/>
        </w:sectPr>
      </w:pPr>
    </w:p>
    <w:p w14:paraId="1F90E4EF">
      <w:pPr>
        <w:spacing w:line="91" w:lineRule="auto"/>
        <w:rPr>
          <w:rFonts w:ascii="Arial"/>
          <w:color w:val="auto"/>
          <w:sz w:val="2"/>
          <w:highlight w:val="none"/>
        </w:rPr>
      </w:pPr>
    </w:p>
    <w:tbl>
      <w:tblPr>
        <w:tblStyle w:val="51"/>
        <w:tblW w:w="105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3543"/>
      </w:tblGrid>
      <w:tr w14:paraId="620D3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Pr>
          <w:p w14:paraId="02FAD264">
            <w:pPr>
              <w:pStyle w:val="248"/>
              <w:spacing w:before="68"/>
              <w:ind w:left="128"/>
              <w:rPr>
                <w:color w:val="auto"/>
                <w:highlight w:val="none"/>
              </w:rPr>
            </w:pPr>
            <w:r>
              <w:rPr>
                <w:color w:val="auto"/>
                <w:spacing w:val="-10"/>
                <w:highlight w:val="none"/>
              </w:rPr>
              <w:t>13</w:t>
            </w:r>
          </w:p>
        </w:tc>
        <w:tc>
          <w:tcPr>
            <w:tcW w:w="1542" w:type="dxa"/>
          </w:tcPr>
          <w:p w14:paraId="0C4750D9">
            <w:pPr>
              <w:pStyle w:val="248"/>
              <w:spacing w:before="69" w:line="284" w:lineRule="auto"/>
              <w:ind w:left="109" w:right="108" w:hanging="7"/>
              <w:rPr>
                <w:color w:val="auto"/>
                <w:highlight w:val="none"/>
              </w:rPr>
            </w:pPr>
            <w:r>
              <w:rPr>
                <w:color w:val="auto"/>
                <w:spacing w:val="-2"/>
                <w:highlight w:val="none"/>
              </w:rPr>
              <w:t>A020619照明设</w:t>
            </w:r>
            <w:r>
              <w:rPr>
                <w:color w:val="auto"/>
                <w:highlight w:val="none"/>
              </w:rPr>
              <w:t xml:space="preserve"> 备</w:t>
            </w:r>
          </w:p>
        </w:tc>
        <w:tc>
          <w:tcPr>
            <w:tcW w:w="2672" w:type="dxa"/>
          </w:tcPr>
          <w:p w14:paraId="00E6512F">
            <w:pPr>
              <w:pStyle w:val="248"/>
              <w:spacing w:before="68" w:line="220" w:lineRule="auto"/>
              <w:ind w:left="103"/>
              <w:rPr>
                <w:color w:val="auto"/>
                <w:highlight w:val="none"/>
              </w:rPr>
            </w:pPr>
            <w:r>
              <w:rPr>
                <w:color w:val="auto"/>
                <w:spacing w:val="-1"/>
                <w:highlight w:val="none"/>
              </w:rPr>
              <w:t>A02061908室内照明灯具</w:t>
            </w:r>
          </w:p>
        </w:tc>
        <w:tc>
          <w:tcPr>
            <w:tcW w:w="2248" w:type="dxa"/>
          </w:tcPr>
          <w:p w14:paraId="169E779F">
            <w:pPr>
              <w:rPr>
                <w:rFonts w:ascii="Arial"/>
                <w:color w:val="auto"/>
                <w:highlight w:val="none"/>
              </w:rPr>
            </w:pPr>
          </w:p>
        </w:tc>
        <w:tc>
          <w:tcPr>
            <w:tcW w:w="3543" w:type="dxa"/>
          </w:tcPr>
          <w:p w14:paraId="293C9E32">
            <w:pPr>
              <w:pStyle w:val="248"/>
              <w:spacing w:before="67" w:line="219" w:lineRule="auto"/>
              <w:ind w:left="109"/>
              <w:rPr>
                <w:color w:val="auto"/>
                <w:highlight w:val="none"/>
              </w:rPr>
            </w:pPr>
            <w:r>
              <w:rPr>
                <w:color w:val="auto"/>
                <w:spacing w:val="-1"/>
                <w:highlight w:val="none"/>
              </w:rPr>
              <w:t>HJ2518照明光源</w:t>
            </w:r>
          </w:p>
        </w:tc>
      </w:tr>
      <w:tr w14:paraId="6D7EB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3" w:type="dxa"/>
          </w:tcPr>
          <w:p w14:paraId="0BADA6CB">
            <w:pPr>
              <w:pStyle w:val="248"/>
              <w:spacing w:before="63" w:line="242" w:lineRule="auto"/>
              <w:ind w:left="128"/>
              <w:rPr>
                <w:color w:val="auto"/>
                <w:highlight w:val="none"/>
              </w:rPr>
            </w:pPr>
            <w:r>
              <w:rPr>
                <w:color w:val="auto"/>
                <w:spacing w:val="-10"/>
                <w:highlight w:val="none"/>
              </w:rPr>
              <w:t>14</w:t>
            </w:r>
          </w:p>
        </w:tc>
        <w:tc>
          <w:tcPr>
            <w:tcW w:w="1542" w:type="dxa"/>
          </w:tcPr>
          <w:p w14:paraId="21C82311">
            <w:pPr>
              <w:pStyle w:val="248"/>
              <w:spacing w:before="64" w:line="296" w:lineRule="auto"/>
              <w:ind w:left="109" w:right="106" w:hanging="7"/>
              <w:rPr>
                <w:color w:val="auto"/>
                <w:highlight w:val="none"/>
                <w:lang w:eastAsia="zh-CN"/>
              </w:rPr>
            </w:pPr>
            <w:r>
              <w:rPr>
                <w:color w:val="auto"/>
                <w:spacing w:val="3"/>
                <w:highlight w:val="none"/>
                <w:lang w:eastAsia="zh-CN"/>
              </w:rPr>
              <w:t>A020810传真及</w:t>
            </w:r>
            <w:r>
              <w:rPr>
                <w:color w:val="auto"/>
                <w:spacing w:val="8"/>
                <w:highlight w:val="none"/>
                <w:lang w:eastAsia="zh-CN"/>
              </w:rPr>
              <w:t>数据数字通信设</w:t>
            </w:r>
            <w:r>
              <w:rPr>
                <w:color w:val="auto"/>
                <w:highlight w:val="none"/>
                <w:lang w:eastAsia="zh-CN"/>
              </w:rPr>
              <w:t>备</w:t>
            </w:r>
          </w:p>
        </w:tc>
        <w:tc>
          <w:tcPr>
            <w:tcW w:w="2672" w:type="dxa"/>
          </w:tcPr>
          <w:p w14:paraId="38C55432">
            <w:pPr>
              <w:pStyle w:val="248"/>
              <w:spacing w:before="64" w:line="219" w:lineRule="auto"/>
              <w:ind w:left="103"/>
              <w:rPr>
                <w:color w:val="auto"/>
                <w:highlight w:val="none"/>
              </w:rPr>
            </w:pPr>
            <w:r>
              <w:rPr>
                <w:color w:val="auto"/>
                <w:spacing w:val="-1"/>
                <w:highlight w:val="none"/>
              </w:rPr>
              <w:t>A02081001传真通信设备</w:t>
            </w:r>
          </w:p>
        </w:tc>
        <w:tc>
          <w:tcPr>
            <w:tcW w:w="2248" w:type="dxa"/>
          </w:tcPr>
          <w:p w14:paraId="5C1707BE">
            <w:pPr>
              <w:rPr>
                <w:rFonts w:ascii="Arial"/>
                <w:color w:val="auto"/>
                <w:highlight w:val="none"/>
              </w:rPr>
            </w:pPr>
          </w:p>
        </w:tc>
        <w:tc>
          <w:tcPr>
            <w:tcW w:w="3543" w:type="dxa"/>
          </w:tcPr>
          <w:p w14:paraId="176EFA32">
            <w:pPr>
              <w:pStyle w:val="248"/>
              <w:spacing w:before="63" w:line="219" w:lineRule="auto"/>
              <w:ind w:left="109"/>
              <w:rPr>
                <w:color w:val="auto"/>
                <w:highlight w:val="none"/>
                <w:lang w:eastAsia="zh-CN"/>
              </w:rPr>
            </w:pPr>
            <w:r>
              <w:rPr>
                <w:color w:val="auto"/>
                <w:spacing w:val="-1"/>
                <w:highlight w:val="none"/>
                <w:lang w:eastAsia="zh-CN"/>
              </w:rPr>
              <w:t>HJ2512打印机、传真机及多功能一体机</w:t>
            </w:r>
          </w:p>
        </w:tc>
      </w:tr>
      <w:tr w14:paraId="3ED26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tcPr>
          <w:p w14:paraId="509270C4">
            <w:pPr>
              <w:pStyle w:val="248"/>
              <w:spacing w:before="64"/>
              <w:ind w:left="128"/>
              <w:rPr>
                <w:color w:val="auto"/>
                <w:highlight w:val="none"/>
              </w:rPr>
            </w:pPr>
            <w:r>
              <w:rPr>
                <w:color w:val="auto"/>
                <w:spacing w:val="-10"/>
                <w:highlight w:val="none"/>
              </w:rPr>
              <w:t>15</w:t>
            </w:r>
          </w:p>
        </w:tc>
        <w:tc>
          <w:tcPr>
            <w:tcW w:w="1542" w:type="dxa"/>
            <w:vMerge w:val="restart"/>
            <w:tcBorders>
              <w:bottom w:val="nil"/>
            </w:tcBorders>
          </w:tcPr>
          <w:p w14:paraId="03F4D71D">
            <w:pPr>
              <w:pStyle w:val="248"/>
              <w:spacing w:before="64" w:line="323" w:lineRule="auto"/>
              <w:ind w:left="109" w:right="108" w:hanging="7"/>
              <w:rPr>
                <w:color w:val="auto"/>
                <w:highlight w:val="none"/>
              </w:rPr>
            </w:pPr>
            <w:r>
              <w:rPr>
                <w:color w:val="auto"/>
                <w:spacing w:val="1"/>
                <w:highlight w:val="none"/>
              </w:rPr>
              <w:t>A020910电视设</w:t>
            </w:r>
            <w:r>
              <w:rPr>
                <w:color w:val="auto"/>
                <w:highlight w:val="none"/>
              </w:rPr>
              <w:t xml:space="preserve"> 备</w:t>
            </w:r>
          </w:p>
        </w:tc>
        <w:tc>
          <w:tcPr>
            <w:tcW w:w="2672" w:type="dxa"/>
          </w:tcPr>
          <w:p w14:paraId="37C44579">
            <w:pPr>
              <w:pStyle w:val="248"/>
              <w:spacing w:before="64" w:line="284" w:lineRule="auto"/>
              <w:ind w:left="107" w:right="107" w:hanging="4"/>
              <w:rPr>
                <w:color w:val="auto"/>
                <w:highlight w:val="none"/>
                <w:lang w:eastAsia="zh-CN"/>
              </w:rPr>
            </w:pPr>
            <w:r>
              <w:rPr>
                <w:color w:val="auto"/>
                <w:spacing w:val="-2"/>
                <w:highlight w:val="none"/>
                <w:lang w:eastAsia="zh-CN"/>
              </w:rPr>
              <w:t>A02091001普通电视设备（电视</w:t>
            </w:r>
            <w:r>
              <w:rPr>
                <w:color w:val="auto"/>
                <w:spacing w:val="-4"/>
                <w:highlight w:val="none"/>
                <w:lang w:eastAsia="zh-CN"/>
              </w:rPr>
              <w:t>机）</w:t>
            </w:r>
          </w:p>
        </w:tc>
        <w:tc>
          <w:tcPr>
            <w:tcW w:w="2248" w:type="dxa"/>
          </w:tcPr>
          <w:p w14:paraId="214A6B46">
            <w:pPr>
              <w:rPr>
                <w:rFonts w:ascii="Arial"/>
                <w:color w:val="auto"/>
                <w:highlight w:val="none"/>
              </w:rPr>
            </w:pPr>
          </w:p>
        </w:tc>
        <w:tc>
          <w:tcPr>
            <w:tcW w:w="3543" w:type="dxa"/>
          </w:tcPr>
          <w:p w14:paraId="4D95E507">
            <w:pPr>
              <w:pStyle w:val="248"/>
              <w:spacing w:before="64" w:line="219" w:lineRule="auto"/>
              <w:ind w:left="109"/>
              <w:rPr>
                <w:color w:val="auto"/>
                <w:highlight w:val="none"/>
                <w:lang w:eastAsia="zh-CN"/>
              </w:rPr>
            </w:pPr>
            <w:r>
              <w:rPr>
                <w:color w:val="auto"/>
                <w:spacing w:val="-1"/>
                <w:highlight w:val="none"/>
                <w:lang w:eastAsia="zh-CN"/>
              </w:rPr>
              <w:t>HJ2506彩色电视广播接收机</w:t>
            </w:r>
          </w:p>
        </w:tc>
      </w:tr>
      <w:tr w14:paraId="35D52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Merge w:val="continue"/>
            <w:tcBorders>
              <w:top w:val="nil"/>
            </w:tcBorders>
          </w:tcPr>
          <w:p w14:paraId="00D34B41">
            <w:pPr>
              <w:rPr>
                <w:rFonts w:ascii="Arial"/>
                <w:color w:val="auto"/>
                <w:highlight w:val="none"/>
              </w:rPr>
            </w:pPr>
          </w:p>
        </w:tc>
        <w:tc>
          <w:tcPr>
            <w:tcW w:w="1542" w:type="dxa"/>
            <w:vMerge w:val="continue"/>
            <w:tcBorders>
              <w:top w:val="nil"/>
            </w:tcBorders>
          </w:tcPr>
          <w:p w14:paraId="48DC5D2F">
            <w:pPr>
              <w:rPr>
                <w:rFonts w:ascii="Arial"/>
                <w:color w:val="auto"/>
                <w:highlight w:val="none"/>
              </w:rPr>
            </w:pPr>
          </w:p>
        </w:tc>
        <w:tc>
          <w:tcPr>
            <w:tcW w:w="2672" w:type="dxa"/>
          </w:tcPr>
          <w:p w14:paraId="49F3C8F2">
            <w:pPr>
              <w:pStyle w:val="248"/>
              <w:spacing w:before="67" w:line="284" w:lineRule="auto"/>
              <w:ind w:left="111" w:right="107" w:hanging="8"/>
              <w:rPr>
                <w:color w:val="auto"/>
                <w:highlight w:val="none"/>
                <w:lang w:eastAsia="zh-CN"/>
              </w:rPr>
            </w:pPr>
            <w:r>
              <w:rPr>
                <w:color w:val="auto"/>
                <w:spacing w:val="6"/>
                <w:highlight w:val="none"/>
                <w:lang w:eastAsia="zh-CN"/>
              </w:rPr>
              <w:t>A02091003 特殊功能应用电视</w:t>
            </w:r>
            <w:r>
              <w:rPr>
                <w:color w:val="auto"/>
                <w:spacing w:val="-3"/>
                <w:highlight w:val="none"/>
                <w:lang w:eastAsia="zh-CN"/>
              </w:rPr>
              <w:t>设备</w:t>
            </w:r>
          </w:p>
        </w:tc>
        <w:tc>
          <w:tcPr>
            <w:tcW w:w="2248" w:type="dxa"/>
          </w:tcPr>
          <w:p w14:paraId="1805C8E0">
            <w:pPr>
              <w:rPr>
                <w:rFonts w:ascii="Arial"/>
                <w:color w:val="auto"/>
                <w:highlight w:val="none"/>
              </w:rPr>
            </w:pPr>
          </w:p>
        </w:tc>
        <w:tc>
          <w:tcPr>
            <w:tcW w:w="3543" w:type="dxa"/>
          </w:tcPr>
          <w:p w14:paraId="23C5DA08">
            <w:pPr>
              <w:pStyle w:val="248"/>
              <w:spacing w:before="67" w:line="219" w:lineRule="auto"/>
              <w:ind w:left="109"/>
              <w:rPr>
                <w:color w:val="auto"/>
                <w:highlight w:val="none"/>
                <w:lang w:eastAsia="zh-CN"/>
              </w:rPr>
            </w:pPr>
            <w:r>
              <w:rPr>
                <w:color w:val="auto"/>
                <w:spacing w:val="-1"/>
                <w:highlight w:val="none"/>
                <w:lang w:eastAsia="zh-CN"/>
              </w:rPr>
              <w:t>HJ2506彩色电视广播接收机</w:t>
            </w:r>
          </w:p>
        </w:tc>
      </w:tr>
      <w:tr w14:paraId="03959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restart"/>
            <w:tcBorders>
              <w:bottom w:val="nil"/>
            </w:tcBorders>
          </w:tcPr>
          <w:p w14:paraId="0CAA1BCF">
            <w:pPr>
              <w:pStyle w:val="248"/>
              <w:spacing w:before="65"/>
              <w:ind w:left="128"/>
              <w:rPr>
                <w:color w:val="auto"/>
                <w:highlight w:val="none"/>
              </w:rPr>
            </w:pPr>
            <w:r>
              <w:rPr>
                <w:color w:val="auto"/>
                <w:spacing w:val="-10"/>
                <w:highlight w:val="none"/>
              </w:rPr>
              <w:t>16</w:t>
            </w:r>
          </w:p>
        </w:tc>
        <w:tc>
          <w:tcPr>
            <w:tcW w:w="1542" w:type="dxa"/>
            <w:vMerge w:val="restart"/>
            <w:tcBorders>
              <w:bottom w:val="nil"/>
            </w:tcBorders>
          </w:tcPr>
          <w:p w14:paraId="5881ED8F">
            <w:pPr>
              <w:pStyle w:val="248"/>
              <w:spacing w:before="65" w:line="220" w:lineRule="auto"/>
              <w:ind w:left="193"/>
              <w:rPr>
                <w:color w:val="auto"/>
                <w:highlight w:val="none"/>
              </w:rPr>
            </w:pPr>
            <w:r>
              <w:rPr>
                <w:color w:val="auto"/>
                <w:spacing w:val="-1"/>
                <w:highlight w:val="none"/>
              </w:rPr>
              <w:t>A0601床类</w:t>
            </w:r>
          </w:p>
        </w:tc>
        <w:tc>
          <w:tcPr>
            <w:tcW w:w="2672" w:type="dxa"/>
          </w:tcPr>
          <w:p w14:paraId="4955257D">
            <w:pPr>
              <w:pStyle w:val="248"/>
              <w:spacing w:before="65" w:line="220" w:lineRule="auto"/>
              <w:ind w:left="103"/>
              <w:rPr>
                <w:color w:val="auto"/>
                <w:highlight w:val="none"/>
              </w:rPr>
            </w:pPr>
            <w:r>
              <w:rPr>
                <w:color w:val="auto"/>
                <w:spacing w:val="-1"/>
                <w:highlight w:val="none"/>
              </w:rPr>
              <w:t>A060101钢木床类</w:t>
            </w:r>
          </w:p>
        </w:tc>
        <w:tc>
          <w:tcPr>
            <w:tcW w:w="2248" w:type="dxa"/>
          </w:tcPr>
          <w:p w14:paraId="55534E84">
            <w:pPr>
              <w:rPr>
                <w:rFonts w:ascii="Arial"/>
                <w:color w:val="auto"/>
                <w:highlight w:val="none"/>
              </w:rPr>
            </w:pPr>
          </w:p>
        </w:tc>
        <w:tc>
          <w:tcPr>
            <w:tcW w:w="3543" w:type="dxa"/>
          </w:tcPr>
          <w:p w14:paraId="484F2F4A">
            <w:pPr>
              <w:pStyle w:val="248"/>
              <w:spacing w:before="64" w:line="219" w:lineRule="auto"/>
              <w:ind w:left="109"/>
              <w:rPr>
                <w:color w:val="auto"/>
                <w:highlight w:val="none"/>
              </w:rPr>
            </w:pPr>
            <w:r>
              <w:rPr>
                <w:color w:val="auto"/>
                <w:spacing w:val="-1"/>
                <w:highlight w:val="none"/>
              </w:rPr>
              <w:t>HJ2547家具/HJ2540木塑制品</w:t>
            </w:r>
          </w:p>
        </w:tc>
      </w:tr>
      <w:tr w14:paraId="379D5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583" w:type="dxa"/>
            <w:vMerge w:val="continue"/>
            <w:tcBorders>
              <w:top w:val="nil"/>
              <w:bottom w:val="nil"/>
            </w:tcBorders>
          </w:tcPr>
          <w:p w14:paraId="489EC455">
            <w:pPr>
              <w:rPr>
                <w:rFonts w:ascii="Arial"/>
                <w:color w:val="auto"/>
                <w:highlight w:val="none"/>
              </w:rPr>
            </w:pPr>
          </w:p>
        </w:tc>
        <w:tc>
          <w:tcPr>
            <w:tcW w:w="1542" w:type="dxa"/>
            <w:vMerge w:val="continue"/>
            <w:tcBorders>
              <w:top w:val="nil"/>
              <w:bottom w:val="nil"/>
            </w:tcBorders>
          </w:tcPr>
          <w:p w14:paraId="55C35102">
            <w:pPr>
              <w:rPr>
                <w:rFonts w:ascii="Arial"/>
                <w:color w:val="auto"/>
                <w:highlight w:val="none"/>
              </w:rPr>
            </w:pPr>
          </w:p>
        </w:tc>
        <w:tc>
          <w:tcPr>
            <w:tcW w:w="2672" w:type="dxa"/>
          </w:tcPr>
          <w:p w14:paraId="44A7A2CF">
            <w:pPr>
              <w:pStyle w:val="248"/>
              <w:spacing w:before="65" w:line="220" w:lineRule="auto"/>
              <w:ind w:left="103"/>
              <w:rPr>
                <w:color w:val="auto"/>
                <w:highlight w:val="none"/>
              </w:rPr>
            </w:pPr>
            <w:r>
              <w:rPr>
                <w:color w:val="auto"/>
                <w:spacing w:val="-1"/>
                <w:highlight w:val="none"/>
              </w:rPr>
              <w:t>A060104木制床类</w:t>
            </w:r>
          </w:p>
        </w:tc>
        <w:tc>
          <w:tcPr>
            <w:tcW w:w="2248" w:type="dxa"/>
          </w:tcPr>
          <w:p w14:paraId="79AFE585">
            <w:pPr>
              <w:rPr>
                <w:rFonts w:ascii="Arial"/>
                <w:color w:val="auto"/>
                <w:highlight w:val="none"/>
              </w:rPr>
            </w:pPr>
          </w:p>
        </w:tc>
        <w:tc>
          <w:tcPr>
            <w:tcW w:w="3543" w:type="dxa"/>
          </w:tcPr>
          <w:p w14:paraId="3FBE05BC">
            <w:pPr>
              <w:pStyle w:val="248"/>
              <w:spacing w:before="65" w:line="219" w:lineRule="auto"/>
              <w:ind w:left="109"/>
              <w:rPr>
                <w:color w:val="auto"/>
                <w:highlight w:val="none"/>
              </w:rPr>
            </w:pPr>
            <w:r>
              <w:rPr>
                <w:color w:val="auto"/>
                <w:spacing w:val="-1"/>
                <w:highlight w:val="none"/>
              </w:rPr>
              <w:t>HJ2547家具/HJ2540木塑制品</w:t>
            </w:r>
          </w:p>
        </w:tc>
      </w:tr>
      <w:tr w14:paraId="461A6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tcPr>
          <w:p w14:paraId="56907C67">
            <w:pPr>
              <w:rPr>
                <w:rFonts w:ascii="Arial"/>
                <w:color w:val="auto"/>
                <w:highlight w:val="none"/>
              </w:rPr>
            </w:pPr>
          </w:p>
        </w:tc>
        <w:tc>
          <w:tcPr>
            <w:tcW w:w="1542" w:type="dxa"/>
            <w:vMerge w:val="continue"/>
            <w:tcBorders>
              <w:top w:val="nil"/>
            </w:tcBorders>
          </w:tcPr>
          <w:p w14:paraId="3063669A">
            <w:pPr>
              <w:rPr>
                <w:rFonts w:ascii="Arial"/>
                <w:color w:val="auto"/>
                <w:highlight w:val="none"/>
              </w:rPr>
            </w:pPr>
          </w:p>
        </w:tc>
        <w:tc>
          <w:tcPr>
            <w:tcW w:w="2672" w:type="dxa"/>
          </w:tcPr>
          <w:p w14:paraId="344440BD">
            <w:pPr>
              <w:pStyle w:val="248"/>
              <w:spacing w:before="65" w:line="220" w:lineRule="auto"/>
              <w:ind w:left="103"/>
              <w:rPr>
                <w:color w:val="auto"/>
                <w:highlight w:val="none"/>
              </w:rPr>
            </w:pPr>
            <w:r>
              <w:rPr>
                <w:color w:val="auto"/>
                <w:spacing w:val="-1"/>
                <w:highlight w:val="none"/>
              </w:rPr>
              <w:t>A060199其他床类</w:t>
            </w:r>
          </w:p>
        </w:tc>
        <w:tc>
          <w:tcPr>
            <w:tcW w:w="2248" w:type="dxa"/>
          </w:tcPr>
          <w:p w14:paraId="0FF45837">
            <w:pPr>
              <w:rPr>
                <w:rFonts w:ascii="Arial"/>
                <w:color w:val="auto"/>
                <w:highlight w:val="none"/>
              </w:rPr>
            </w:pPr>
          </w:p>
        </w:tc>
        <w:tc>
          <w:tcPr>
            <w:tcW w:w="3543" w:type="dxa"/>
          </w:tcPr>
          <w:p w14:paraId="6020CAB9">
            <w:pPr>
              <w:pStyle w:val="248"/>
              <w:spacing w:before="65" w:line="219" w:lineRule="auto"/>
              <w:ind w:left="109"/>
              <w:rPr>
                <w:color w:val="auto"/>
                <w:highlight w:val="none"/>
              </w:rPr>
            </w:pPr>
            <w:r>
              <w:rPr>
                <w:color w:val="auto"/>
                <w:spacing w:val="-1"/>
                <w:highlight w:val="none"/>
              </w:rPr>
              <w:t>HJ2547家具/HJ2540木塑制品</w:t>
            </w:r>
          </w:p>
        </w:tc>
      </w:tr>
      <w:tr w14:paraId="3D880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5D2586DB">
            <w:pPr>
              <w:pStyle w:val="248"/>
              <w:spacing w:before="66"/>
              <w:ind w:left="128"/>
              <w:rPr>
                <w:color w:val="auto"/>
                <w:highlight w:val="none"/>
              </w:rPr>
            </w:pPr>
            <w:r>
              <w:rPr>
                <w:color w:val="auto"/>
                <w:spacing w:val="-10"/>
                <w:highlight w:val="none"/>
              </w:rPr>
              <w:t>17</w:t>
            </w:r>
          </w:p>
        </w:tc>
        <w:tc>
          <w:tcPr>
            <w:tcW w:w="1542" w:type="dxa"/>
            <w:vMerge w:val="restart"/>
            <w:tcBorders>
              <w:bottom w:val="nil"/>
            </w:tcBorders>
          </w:tcPr>
          <w:p w14:paraId="163DF233">
            <w:pPr>
              <w:pStyle w:val="248"/>
              <w:spacing w:before="65" w:line="220" w:lineRule="auto"/>
              <w:ind w:left="102"/>
              <w:rPr>
                <w:color w:val="auto"/>
                <w:highlight w:val="none"/>
              </w:rPr>
            </w:pPr>
            <w:r>
              <w:rPr>
                <w:color w:val="auto"/>
                <w:spacing w:val="-2"/>
                <w:highlight w:val="none"/>
              </w:rPr>
              <w:t>A0602台、桌类</w:t>
            </w:r>
          </w:p>
        </w:tc>
        <w:tc>
          <w:tcPr>
            <w:tcW w:w="2672" w:type="dxa"/>
          </w:tcPr>
          <w:p w14:paraId="366DA54E">
            <w:pPr>
              <w:pStyle w:val="248"/>
              <w:spacing w:before="65" w:line="220" w:lineRule="auto"/>
              <w:ind w:left="103"/>
              <w:rPr>
                <w:color w:val="auto"/>
                <w:highlight w:val="none"/>
              </w:rPr>
            </w:pPr>
            <w:r>
              <w:rPr>
                <w:color w:val="auto"/>
                <w:spacing w:val="-1"/>
                <w:highlight w:val="none"/>
              </w:rPr>
              <w:t>A060201钢木台、桌类</w:t>
            </w:r>
          </w:p>
        </w:tc>
        <w:tc>
          <w:tcPr>
            <w:tcW w:w="2248" w:type="dxa"/>
          </w:tcPr>
          <w:p w14:paraId="2036D834">
            <w:pPr>
              <w:rPr>
                <w:rFonts w:ascii="Arial"/>
                <w:color w:val="auto"/>
                <w:highlight w:val="none"/>
              </w:rPr>
            </w:pPr>
          </w:p>
        </w:tc>
        <w:tc>
          <w:tcPr>
            <w:tcW w:w="3543" w:type="dxa"/>
          </w:tcPr>
          <w:p w14:paraId="72E51A72">
            <w:pPr>
              <w:pStyle w:val="248"/>
              <w:spacing w:before="65" w:line="219" w:lineRule="auto"/>
              <w:ind w:left="109"/>
              <w:rPr>
                <w:color w:val="auto"/>
                <w:highlight w:val="none"/>
              </w:rPr>
            </w:pPr>
            <w:r>
              <w:rPr>
                <w:color w:val="auto"/>
                <w:spacing w:val="-1"/>
                <w:highlight w:val="none"/>
              </w:rPr>
              <w:t>HJ2547家具/HJ2540木塑制品</w:t>
            </w:r>
          </w:p>
        </w:tc>
      </w:tr>
      <w:tr w14:paraId="78F3D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nil"/>
              <w:bottom w:val="nil"/>
            </w:tcBorders>
          </w:tcPr>
          <w:p w14:paraId="5F2913BF">
            <w:pPr>
              <w:rPr>
                <w:rFonts w:ascii="Arial"/>
                <w:color w:val="auto"/>
                <w:highlight w:val="none"/>
              </w:rPr>
            </w:pPr>
          </w:p>
        </w:tc>
        <w:tc>
          <w:tcPr>
            <w:tcW w:w="1542" w:type="dxa"/>
            <w:vMerge w:val="continue"/>
            <w:tcBorders>
              <w:top w:val="nil"/>
              <w:bottom w:val="nil"/>
            </w:tcBorders>
          </w:tcPr>
          <w:p w14:paraId="4A1B1C7B">
            <w:pPr>
              <w:rPr>
                <w:rFonts w:ascii="Arial"/>
                <w:color w:val="auto"/>
                <w:highlight w:val="none"/>
              </w:rPr>
            </w:pPr>
          </w:p>
        </w:tc>
        <w:tc>
          <w:tcPr>
            <w:tcW w:w="2672" w:type="dxa"/>
          </w:tcPr>
          <w:p w14:paraId="19E05493">
            <w:pPr>
              <w:pStyle w:val="248"/>
              <w:spacing w:before="65" w:line="220" w:lineRule="auto"/>
              <w:ind w:left="103"/>
              <w:rPr>
                <w:color w:val="auto"/>
                <w:highlight w:val="none"/>
              </w:rPr>
            </w:pPr>
            <w:r>
              <w:rPr>
                <w:color w:val="auto"/>
                <w:spacing w:val="-1"/>
                <w:highlight w:val="none"/>
              </w:rPr>
              <w:t>A060205木制台、桌类</w:t>
            </w:r>
          </w:p>
        </w:tc>
        <w:tc>
          <w:tcPr>
            <w:tcW w:w="2248" w:type="dxa"/>
          </w:tcPr>
          <w:p w14:paraId="31FE4EFF">
            <w:pPr>
              <w:rPr>
                <w:rFonts w:ascii="Arial"/>
                <w:color w:val="auto"/>
                <w:highlight w:val="none"/>
              </w:rPr>
            </w:pPr>
          </w:p>
        </w:tc>
        <w:tc>
          <w:tcPr>
            <w:tcW w:w="3543" w:type="dxa"/>
          </w:tcPr>
          <w:p w14:paraId="4B6D5C33">
            <w:pPr>
              <w:pStyle w:val="248"/>
              <w:spacing w:before="65" w:line="219" w:lineRule="auto"/>
              <w:ind w:left="109"/>
              <w:rPr>
                <w:color w:val="auto"/>
                <w:highlight w:val="none"/>
              </w:rPr>
            </w:pPr>
            <w:r>
              <w:rPr>
                <w:color w:val="auto"/>
                <w:spacing w:val="-1"/>
                <w:highlight w:val="none"/>
              </w:rPr>
              <w:t>HJ2547家具/HJ2540木塑制品</w:t>
            </w:r>
          </w:p>
        </w:tc>
      </w:tr>
      <w:tr w14:paraId="48ED0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tcPr>
          <w:p w14:paraId="7F490B07">
            <w:pPr>
              <w:rPr>
                <w:rFonts w:ascii="Arial"/>
                <w:color w:val="auto"/>
                <w:highlight w:val="none"/>
              </w:rPr>
            </w:pPr>
          </w:p>
        </w:tc>
        <w:tc>
          <w:tcPr>
            <w:tcW w:w="1542" w:type="dxa"/>
            <w:vMerge w:val="continue"/>
            <w:tcBorders>
              <w:top w:val="nil"/>
            </w:tcBorders>
          </w:tcPr>
          <w:p w14:paraId="541CB877">
            <w:pPr>
              <w:rPr>
                <w:rFonts w:ascii="Arial"/>
                <w:color w:val="auto"/>
                <w:highlight w:val="none"/>
              </w:rPr>
            </w:pPr>
          </w:p>
        </w:tc>
        <w:tc>
          <w:tcPr>
            <w:tcW w:w="2672" w:type="dxa"/>
          </w:tcPr>
          <w:p w14:paraId="3BD09822">
            <w:pPr>
              <w:pStyle w:val="248"/>
              <w:spacing w:before="66" w:line="220" w:lineRule="auto"/>
              <w:ind w:left="103"/>
              <w:rPr>
                <w:color w:val="auto"/>
                <w:highlight w:val="none"/>
              </w:rPr>
            </w:pPr>
            <w:r>
              <w:rPr>
                <w:color w:val="auto"/>
                <w:spacing w:val="-1"/>
                <w:highlight w:val="none"/>
              </w:rPr>
              <w:t>A060299其他台、桌类</w:t>
            </w:r>
          </w:p>
        </w:tc>
        <w:tc>
          <w:tcPr>
            <w:tcW w:w="2248" w:type="dxa"/>
          </w:tcPr>
          <w:p w14:paraId="7188786A">
            <w:pPr>
              <w:rPr>
                <w:rFonts w:ascii="Arial"/>
                <w:color w:val="auto"/>
                <w:highlight w:val="none"/>
              </w:rPr>
            </w:pPr>
          </w:p>
        </w:tc>
        <w:tc>
          <w:tcPr>
            <w:tcW w:w="3543" w:type="dxa"/>
          </w:tcPr>
          <w:p w14:paraId="59E43B80">
            <w:pPr>
              <w:pStyle w:val="248"/>
              <w:spacing w:before="66" w:line="219" w:lineRule="auto"/>
              <w:ind w:left="109"/>
              <w:rPr>
                <w:color w:val="auto"/>
                <w:highlight w:val="none"/>
              </w:rPr>
            </w:pPr>
            <w:r>
              <w:rPr>
                <w:color w:val="auto"/>
                <w:spacing w:val="-1"/>
                <w:highlight w:val="none"/>
              </w:rPr>
              <w:t>HJ2547家具/HJ2540木塑制品</w:t>
            </w:r>
          </w:p>
        </w:tc>
      </w:tr>
      <w:tr w14:paraId="4E9FA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60C3A8EA">
            <w:pPr>
              <w:pStyle w:val="248"/>
              <w:spacing w:before="67"/>
              <w:ind w:left="128"/>
              <w:rPr>
                <w:color w:val="auto"/>
                <w:highlight w:val="none"/>
              </w:rPr>
            </w:pPr>
            <w:r>
              <w:rPr>
                <w:color w:val="auto"/>
                <w:spacing w:val="-10"/>
                <w:highlight w:val="none"/>
              </w:rPr>
              <w:t>18</w:t>
            </w:r>
          </w:p>
        </w:tc>
        <w:tc>
          <w:tcPr>
            <w:tcW w:w="1542" w:type="dxa"/>
            <w:vMerge w:val="restart"/>
            <w:tcBorders>
              <w:bottom w:val="nil"/>
            </w:tcBorders>
          </w:tcPr>
          <w:p w14:paraId="73EDCE7E">
            <w:pPr>
              <w:pStyle w:val="248"/>
              <w:spacing w:before="66" w:line="220" w:lineRule="auto"/>
              <w:ind w:left="102"/>
              <w:rPr>
                <w:color w:val="auto"/>
                <w:highlight w:val="none"/>
              </w:rPr>
            </w:pPr>
            <w:r>
              <w:rPr>
                <w:color w:val="auto"/>
                <w:spacing w:val="-1"/>
                <w:highlight w:val="none"/>
              </w:rPr>
              <w:t>A0603椅凳类</w:t>
            </w:r>
          </w:p>
        </w:tc>
        <w:tc>
          <w:tcPr>
            <w:tcW w:w="2672" w:type="dxa"/>
          </w:tcPr>
          <w:p w14:paraId="00FBEC35">
            <w:pPr>
              <w:pStyle w:val="248"/>
              <w:spacing w:before="66" w:line="220" w:lineRule="auto"/>
              <w:ind w:left="103"/>
              <w:rPr>
                <w:color w:val="auto"/>
                <w:highlight w:val="none"/>
              </w:rPr>
            </w:pPr>
            <w:r>
              <w:rPr>
                <w:color w:val="auto"/>
                <w:spacing w:val="-1"/>
                <w:highlight w:val="none"/>
              </w:rPr>
              <w:t>A060301金属骨架为主的椅凳类</w:t>
            </w:r>
          </w:p>
        </w:tc>
        <w:tc>
          <w:tcPr>
            <w:tcW w:w="2248" w:type="dxa"/>
          </w:tcPr>
          <w:p w14:paraId="4A6809C2">
            <w:pPr>
              <w:rPr>
                <w:rFonts w:ascii="Arial"/>
                <w:color w:val="auto"/>
                <w:highlight w:val="none"/>
              </w:rPr>
            </w:pPr>
          </w:p>
        </w:tc>
        <w:tc>
          <w:tcPr>
            <w:tcW w:w="3543" w:type="dxa"/>
          </w:tcPr>
          <w:p w14:paraId="256A6F0D">
            <w:pPr>
              <w:pStyle w:val="248"/>
              <w:spacing w:before="66" w:line="219" w:lineRule="auto"/>
              <w:ind w:left="109"/>
              <w:rPr>
                <w:color w:val="auto"/>
                <w:highlight w:val="none"/>
              </w:rPr>
            </w:pPr>
            <w:r>
              <w:rPr>
                <w:color w:val="auto"/>
                <w:spacing w:val="-1"/>
                <w:highlight w:val="none"/>
              </w:rPr>
              <w:t>HJ2547家具/HJ2540木塑制品</w:t>
            </w:r>
          </w:p>
        </w:tc>
      </w:tr>
      <w:tr w14:paraId="0DD2A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nil"/>
              <w:bottom w:val="nil"/>
            </w:tcBorders>
          </w:tcPr>
          <w:p w14:paraId="258FEE0A">
            <w:pPr>
              <w:rPr>
                <w:rFonts w:ascii="Arial"/>
                <w:color w:val="auto"/>
                <w:highlight w:val="none"/>
              </w:rPr>
            </w:pPr>
          </w:p>
        </w:tc>
        <w:tc>
          <w:tcPr>
            <w:tcW w:w="1542" w:type="dxa"/>
            <w:vMerge w:val="continue"/>
            <w:tcBorders>
              <w:top w:val="nil"/>
              <w:bottom w:val="nil"/>
            </w:tcBorders>
          </w:tcPr>
          <w:p w14:paraId="6C6692B6">
            <w:pPr>
              <w:rPr>
                <w:rFonts w:ascii="Arial"/>
                <w:color w:val="auto"/>
                <w:highlight w:val="none"/>
              </w:rPr>
            </w:pPr>
          </w:p>
        </w:tc>
        <w:tc>
          <w:tcPr>
            <w:tcW w:w="2672" w:type="dxa"/>
          </w:tcPr>
          <w:p w14:paraId="7AB777F4">
            <w:pPr>
              <w:pStyle w:val="248"/>
              <w:spacing w:before="66" w:line="220" w:lineRule="auto"/>
              <w:ind w:left="103"/>
              <w:rPr>
                <w:color w:val="auto"/>
                <w:highlight w:val="none"/>
              </w:rPr>
            </w:pPr>
            <w:r>
              <w:rPr>
                <w:color w:val="auto"/>
                <w:spacing w:val="-1"/>
                <w:highlight w:val="none"/>
              </w:rPr>
              <w:t>A060302木骨架为主的椅凳类</w:t>
            </w:r>
          </w:p>
        </w:tc>
        <w:tc>
          <w:tcPr>
            <w:tcW w:w="2248" w:type="dxa"/>
          </w:tcPr>
          <w:p w14:paraId="6143AEBB">
            <w:pPr>
              <w:rPr>
                <w:rFonts w:ascii="Arial"/>
                <w:color w:val="auto"/>
                <w:highlight w:val="none"/>
              </w:rPr>
            </w:pPr>
          </w:p>
        </w:tc>
        <w:tc>
          <w:tcPr>
            <w:tcW w:w="3543" w:type="dxa"/>
          </w:tcPr>
          <w:p w14:paraId="1DE863C1">
            <w:pPr>
              <w:pStyle w:val="248"/>
              <w:spacing w:before="66" w:line="219" w:lineRule="auto"/>
              <w:ind w:left="109"/>
              <w:rPr>
                <w:color w:val="auto"/>
                <w:highlight w:val="none"/>
              </w:rPr>
            </w:pPr>
            <w:r>
              <w:rPr>
                <w:color w:val="auto"/>
                <w:spacing w:val="-1"/>
                <w:highlight w:val="none"/>
              </w:rPr>
              <w:t>HJ2547家具/HJ2540木塑制品</w:t>
            </w:r>
          </w:p>
        </w:tc>
      </w:tr>
      <w:tr w14:paraId="1F0D0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tcPr>
          <w:p w14:paraId="088E850F">
            <w:pPr>
              <w:rPr>
                <w:rFonts w:ascii="Arial"/>
                <w:color w:val="auto"/>
                <w:highlight w:val="none"/>
              </w:rPr>
            </w:pPr>
          </w:p>
        </w:tc>
        <w:tc>
          <w:tcPr>
            <w:tcW w:w="1542" w:type="dxa"/>
            <w:vMerge w:val="continue"/>
            <w:tcBorders>
              <w:top w:val="nil"/>
            </w:tcBorders>
          </w:tcPr>
          <w:p w14:paraId="72ADE632">
            <w:pPr>
              <w:rPr>
                <w:rFonts w:ascii="Arial"/>
                <w:color w:val="auto"/>
                <w:highlight w:val="none"/>
              </w:rPr>
            </w:pPr>
          </w:p>
        </w:tc>
        <w:tc>
          <w:tcPr>
            <w:tcW w:w="2672" w:type="dxa"/>
          </w:tcPr>
          <w:p w14:paraId="408FAF89">
            <w:pPr>
              <w:pStyle w:val="248"/>
              <w:spacing w:before="67" w:line="220" w:lineRule="auto"/>
              <w:ind w:left="103"/>
              <w:rPr>
                <w:color w:val="auto"/>
                <w:highlight w:val="none"/>
              </w:rPr>
            </w:pPr>
            <w:r>
              <w:rPr>
                <w:color w:val="auto"/>
                <w:spacing w:val="-1"/>
                <w:highlight w:val="none"/>
              </w:rPr>
              <w:t>A060399其他椅凳类</w:t>
            </w:r>
          </w:p>
        </w:tc>
        <w:tc>
          <w:tcPr>
            <w:tcW w:w="2248" w:type="dxa"/>
          </w:tcPr>
          <w:p w14:paraId="6082A3F9">
            <w:pPr>
              <w:rPr>
                <w:rFonts w:ascii="Arial"/>
                <w:color w:val="auto"/>
                <w:highlight w:val="none"/>
              </w:rPr>
            </w:pPr>
          </w:p>
        </w:tc>
        <w:tc>
          <w:tcPr>
            <w:tcW w:w="3543" w:type="dxa"/>
          </w:tcPr>
          <w:p w14:paraId="73C868FA">
            <w:pPr>
              <w:pStyle w:val="248"/>
              <w:spacing w:before="66" w:line="219" w:lineRule="auto"/>
              <w:ind w:left="109"/>
              <w:rPr>
                <w:color w:val="auto"/>
                <w:highlight w:val="none"/>
              </w:rPr>
            </w:pPr>
            <w:r>
              <w:rPr>
                <w:color w:val="auto"/>
                <w:spacing w:val="-1"/>
                <w:highlight w:val="none"/>
              </w:rPr>
              <w:t>HJ2547家具/HJ2540木塑制品</w:t>
            </w:r>
          </w:p>
        </w:tc>
      </w:tr>
      <w:tr w14:paraId="36895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tcPr>
          <w:p w14:paraId="205D658B">
            <w:pPr>
              <w:pStyle w:val="248"/>
              <w:spacing w:before="67"/>
              <w:ind w:left="128"/>
              <w:rPr>
                <w:color w:val="auto"/>
                <w:highlight w:val="none"/>
              </w:rPr>
            </w:pPr>
            <w:r>
              <w:rPr>
                <w:color w:val="auto"/>
                <w:spacing w:val="-10"/>
                <w:highlight w:val="none"/>
              </w:rPr>
              <w:t>19</w:t>
            </w:r>
          </w:p>
        </w:tc>
        <w:tc>
          <w:tcPr>
            <w:tcW w:w="1542" w:type="dxa"/>
          </w:tcPr>
          <w:p w14:paraId="44222C14">
            <w:pPr>
              <w:pStyle w:val="248"/>
              <w:spacing w:before="67" w:line="220" w:lineRule="auto"/>
              <w:ind w:left="102"/>
              <w:rPr>
                <w:color w:val="auto"/>
                <w:highlight w:val="none"/>
              </w:rPr>
            </w:pPr>
            <w:r>
              <w:rPr>
                <w:color w:val="auto"/>
                <w:spacing w:val="-1"/>
                <w:highlight w:val="none"/>
              </w:rPr>
              <w:t>A0604沙发类</w:t>
            </w:r>
          </w:p>
        </w:tc>
        <w:tc>
          <w:tcPr>
            <w:tcW w:w="2672" w:type="dxa"/>
          </w:tcPr>
          <w:p w14:paraId="09A2E98F">
            <w:pPr>
              <w:pStyle w:val="248"/>
              <w:spacing w:before="67" w:line="220" w:lineRule="auto"/>
              <w:ind w:left="103"/>
              <w:rPr>
                <w:color w:val="auto"/>
                <w:highlight w:val="none"/>
              </w:rPr>
            </w:pPr>
            <w:r>
              <w:rPr>
                <w:color w:val="auto"/>
                <w:spacing w:val="-1"/>
                <w:highlight w:val="none"/>
              </w:rPr>
              <w:t>A060499其他沙发类</w:t>
            </w:r>
          </w:p>
        </w:tc>
        <w:tc>
          <w:tcPr>
            <w:tcW w:w="2248" w:type="dxa"/>
          </w:tcPr>
          <w:p w14:paraId="36C97F35">
            <w:pPr>
              <w:rPr>
                <w:rFonts w:ascii="Arial"/>
                <w:color w:val="auto"/>
                <w:highlight w:val="none"/>
              </w:rPr>
            </w:pPr>
          </w:p>
        </w:tc>
        <w:tc>
          <w:tcPr>
            <w:tcW w:w="3543" w:type="dxa"/>
          </w:tcPr>
          <w:p w14:paraId="3D5D282D">
            <w:pPr>
              <w:pStyle w:val="248"/>
              <w:spacing w:before="67" w:line="219" w:lineRule="auto"/>
              <w:ind w:left="109"/>
              <w:rPr>
                <w:color w:val="auto"/>
                <w:highlight w:val="none"/>
              </w:rPr>
            </w:pPr>
            <w:r>
              <w:rPr>
                <w:color w:val="auto"/>
                <w:spacing w:val="-1"/>
                <w:highlight w:val="none"/>
              </w:rPr>
              <w:t>HJ2547家具/HJ2540木塑制品</w:t>
            </w:r>
          </w:p>
        </w:tc>
      </w:tr>
      <w:tr w14:paraId="538FF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5AD82B5D">
            <w:pPr>
              <w:pStyle w:val="248"/>
              <w:spacing w:before="67"/>
              <w:ind w:left="116"/>
              <w:rPr>
                <w:color w:val="auto"/>
                <w:highlight w:val="none"/>
              </w:rPr>
            </w:pPr>
            <w:r>
              <w:rPr>
                <w:color w:val="auto"/>
                <w:spacing w:val="-4"/>
                <w:highlight w:val="none"/>
              </w:rPr>
              <w:t>20</w:t>
            </w:r>
          </w:p>
        </w:tc>
        <w:tc>
          <w:tcPr>
            <w:tcW w:w="1542" w:type="dxa"/>
            <w:vMerge w:val="restart"/>
            <w:tcBorders>
              <w:bottom w:val="nil"/>
            </w:tcBorders>
          </w:tcPr>
          <w:p w14:paraId="32C69047">
            <w:pPr>
              <w:pStyle w:val="248"/>
              <w:spacing w:before="67" w:line="220" w:lineRule="auto"/>
              <w:ind w:left="193"/>
              <w:rPr>
                <w:color w:val="auto"/>
                <w:highlight w:val="none"/>
              </w:rPr>
            </w:pPr>
            <w:r>
              <w:rPr>
                <w:color w:val="auto"/>
                <w:spacing w:val="-1"/>
                <w:highlight w:val="none"/>
              </w:rPr>
              <w:t>A0605柜类</w:t>
            </w:r>
          </w:p>
        </w:tc>
        <w:tc>
          <w:tcPr>
            <w:tcW w:w="2672" w:type="dxa"/>
          </w:tcPr>
          <w:p w14:paraId="4A75AA89">
            <w:pPr>
              <w:pStyle w:val="248"/>
              <w:spacing w:before="67" w:line="220" w:lineRule="auto"/>
              <w:ind w:left="103"/>
              <w:rPr>
                <w:color w:val="auto"/>
                <w:highlight w:val="none"/>
              </w:rPr>
            </w:pPr>
            <w:r>
              <w:rPr>
                <w:color w:val="auto"/>
                <w:spacing w:val="-1"/>
                <w:highlight w:val="none"/>
              </w:rPr>
              <w:t>A060501木质柜类</w:t>
            </w:r>
          </w:p>
        </w:tc>
        <w:tc>
          <w:tcPr>
            <w:tcW w:w="2248" w:type="dxa"/>
          </w:tcPr>
          <w:p w14:paraId="50F98514">
            <w:pPr>
              <w:rPr>
                <w:rFonts w:ascii="Arial"/>
                <w:color w:val="auto"/>
                <w:highlight w:val="none"/>
              </w:rPr>
            </w:pPr>
          </w:p>
        </w:tc>
        <w:tc>
          <w:tcPr>
            <w:tcW w:w="3543" w:type="dxa"/>
          </w:tcPr>
          <w:p w14:paraId="4A17919D">
            <w:pPr>
              <w:pStyle w:val="248"/>
              <w:spacing w:before="67" w:line="219" w:lineRule="auto"/>
              <w:ind w:left="109"/>
              <w:rPr>
                <w:color w:val="auto"/>
                <w:highlight w:val="none"/>
              </w:rPr>
            </w:pPr>
            <w:r>
              <w:rPr>
                <w:color w:val="auto"/>
                <w:spacing w:val="-1"/>
                <w:highlight w:val="none"/>
              </w:rPr>
              <w:t>HJ2547家具/HJ2540木塑制品</w:t>
            </w:r>
          </w:p>
        </w:tc>
      </w:tr>
      <w:tr w14:paraId="6499A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tcPr>
          <w:p w14:paraId="55B8864A">
            <w:pPr>
              <w:rPr>
                <w:rFonts w:ascii="Arial"/>
                <w:color w:val="auto"/>
                <w:highlight w:val="none"/>
              </w:rPr>
            </w:pPr>
          </w:p>
        </w:tc>
        <w:tc>
          <w:tcPr>
            <w:tcW w:w="1542" w:type="dxa"/>
            <w:vMerge w:val="continue"/>
            <w:tcBorders>
              <w:top w:val="nil"/>
              <w:bottom w:val="nil"/>
            </w:tcBorders>
          </w:tcPr>
          <w:p w14:paraId="03363FB8">
            <w:pPr>
              <w:rPr>
                <w:rFonts w:ascii="Arial"/>
                <w:color w:val="auto"/>
                <w:highlight w:val="none"/>
              </w:rPr>
            </w:pPr>
          </w:p>
        </w:tc>
        <w:tc>
          <w:tcPr>
            <w:tcW w:w="2672" w:type="dxa"/>
          </w:tcPr>
          <w:p w14:paraId="65837533">
            <w:pPr>
              <w:pStyle w:val="248"/>
              <w:spacing w:before="67" w:line="220" w:lineRule="auto"/>
              <w:ind w:left="103"/>
              <w:rPr>
                <w:color w:val="auto"/>
                <w:highlight w:val="none"/>
              </w:rPr>
            </w:pPr>
            <w:r>
              <w:rPr>
                <w:color w:val="auto"/>
                <w:spacing w:val="-1"/>
                <w:highlight w:val="none"/>
              </w:rPr>
              <w:t>A060503金属质柜类</w:t>
            </w:r>
          </w:p>
        </w:tc>
        <w:tc>
          <w:tcPr>
            <w:tcW w:w="2248" w:type="dxa"/>
          </w:tcPr>
          <w:p w14:paraId="6284D077">
            <w:pPr>
              <w:rPr>
                <w:rFonts w:ascii="Arial"/>
                <w:color w:val="auto"/>
                <w:highlight w:val="none"/>
              </w:rPr>
            </w:pPr>
          </w:p>
        </w:tc>
        <w:tc>
          <w:tcPr>
            <w:tcW w:w="3543" w:type="dxa"/>
          </w:tcPr>
          <w:p w14:paraId="6C6666FB">
            <w:pPr>
              <w:pStyle w:val="248"/>
              <w:spacing w:before="67" w:line="219" w:lineRule="auto"/>
              <w:ind w:left="109"/>
              <w:rPr>
                <w:color w:val="auto"/>
                <w:highlight w:val="none"/>
              </w:rPr>
            </w:pPr>
            <w:r>
              <w:rPr>
                <w:color w:val="auto"/>
                <w:spacing w:val="-1"/>
                <w:highlight w:val="none"/>
              </w:rPr>
              <w:t>HJ2547家具/HJ2540木塑制品</w:t>
            </w:r>
          </w:p>
        </w:tc>
      </w:tr>
      <w:tr w14:paraId="0F08E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tcPr>
          <w:p w14:paraId="5B042271">
            <w:pPr>
              <w:rPr>
                <w:rFonts w:ascii="Arial"/>
                <w:color w:val="auto"/>
                <w:highlight w:val="none"/>
              </w:rPr>
            </w:pPr>
          </w:p>
        </w:tc>
        <w:tc>
          <w:tcPr>
            <w:tcW w:w="1542" w:type="dxa"/>
            <w:vMerge w:val="continue"/>
            <w:tcBorders>
              <w:top w:val="nil"/>
            </w:tcBorders>
          </w:tcPr>
          <w:p w14:paraId="28976E79">
            <w:pPr>
              <w:rPr>
                <w:rFonts w:ascii="Arial"/>
                <w:color w:val="auto"/>
                <w:highlight w:val="none"/>
              </w:rPr>
            </w:pPr>
          </w:p>
        </w:tc>
        <w:tc>
          <w:tcPr>
            <w:tcW w:w="2672" w:type="dxa"/>
          </w:tcPr>
          <w:p w14:paraId="4A35B0FD">
            <w:pPr>
              <w:pStyle w:val="248"/>
              <w:spacing w:before="67" w:line="220" w:lineRule="auto"/>
              <w:ind w:left="103"/>
              <w:rPr>
                <w:color w:val="auto"/>
                <w:highlight w:val="none"/>
              </w:rPr>
            </w:pPr>
            <w:r>
              <w:rPr>
                <w:color w:val="auto"/>
                <w:spacing w:val="-1"/>
                <w:highlight w:val="none"/>
              </w:rPr>
              <w:t>A060599其他柜类</w:t>
            </w:r>
          </w:p>
        </w:tc>
        <w:tc>
          <w:tcPr>
            <w:tcW w:w="2248" w:type="dxa"/>
          </w:tcPr>
          <w:p w14:paraId="6FE0B9F6">
            <w:pPr>
              <w:rPr>
                <w:rFonts w:ascii="Arial"/>
                <w:color w:val="auto"/>
                <w:highlight w:val="none"/>
              </w:rPr>
            </w:pPr>
          </w:p>
        </w:tc>
        <w:tc>
          <w:tcPr>
            <w:tcW w:w="3543" w:type="dxa"/>
          </w:tcPr>
          <w:p w14:paraId="0A95C810">
            <w:pPr>
              <w:pStyle w:val="248"/>
              <w:spacing w:before="67" w:line="219" w:lineRule="auto"/>
              <w:ind w:left="109"/>
              <w:rPr>
                <w:color w:val="auto"/>
                <w:highlight w:val="none"/>
              </w:rPr>
            </w:pPr>
            <w:r>
              <w:rPr>
                <w:color w:val="auto"/>
                <w:spacing w:val="-1"/>
                <w:highlight w:val="none"/>
              </w:rPr>
              <w:t>HJ2547家具/HJ2540木塑制品</w:t>
            </w:r>
          </w:p>
        </w:tc>
      </w:tr>
      <w:tr w14:paraId="13663B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452092B7">
            <w:pPr>
              <w:pStyle w:val="248"/>
              <w:spacing w:before="67" w:line="242" w:lineRule="auto"/>
              <w:ind w:left="116"/>
              <w:rPr>
                <w:color w:val="auto"/>
                <w:highlight w:val="none"/>
              </w:rPr>
            </w:pPr>
            <w:r>
              <w:rPr>
                <w:color w:val="auto"/>
                <w:spacing w:val="-4"/>
                <w:highlight w:val="none"/>
              </w:rPr>
              <w:t>21</w:t>
            </w:r>
          </w:p>
        </w:tc>
        <w:tc>
          <w:tcPr>
            <w:tcW w:w="1542" w:type="dxa"/>
            <w:vMerge w:val="restart"/>
            <w:tcBorders>
              <w:bottom w:val="nil"/>
            </w:tcBorders>
          </w:tcPr>
          <w:p w14:paraId="302FFBE3">
            <w:pPr>
              <w:pStyle w:val="248"/>
              <w:spacing w:before="67" w:line="220" w:lineRule="auto"/>
              <w:ind w:left="102"/>
              <w:rPr>
                <w:color w:val="auto"/>
                <w:highlight w:val="none"/>
              </w:rPr>
            </w:pPr>
            <w:r>
              <w:rPr>
                <w:color w:val="auto"/>
                <w:spacing w:val="-1"/>
                <w:highlight w:val="none"/>
              </w:rPr>
              <w:t>A0606架类</w:t>
            </w:r>
          </w:p>
        </w:tc>
        <w:tc>
          <w:tcPr>
            <w:tcW w:w="2672" w:type="dxa"/>
          </w:tcPr>
          <w:p w14:paraId="04385E7B">
            <w:pPr>
              <w:pStyle w:val="248"/>
              <w:spacing w:before="67" w:line="220" w:lineRule="auto"/>
              <w:ind w:left="103"/>
              <w:rPr>
                <w:color w:val="auto"/>
                <w:highlight w:val="none"/>
              </w:rPr>
            </w:pPr>
            <w:r>
              <w:rPr>
                <w:color w:val="auto"/>
                <w:spacing w:val="-1"/>
                <w:highlight w:val="none"/>
              </w:rPr>
              <w:t>A060601木质架类</w:t>
            </w:r>
          </w:p>
        </w:tc>
        <w:tc>
          <w:tcPr>
            <w:tcW w:w="2248" w:type="dxa"/>
          </w:tcPr>
          <w:p w14:paraId="3A24E6D4">
            <w:pPr>
              <w:rPr>
                <w:rFonts w:ascii="Arial"/>
                <w:color w:val="auto"/>
                <w:highlight w:val="none"/>
              </w:rPr>
            </w:pPr>
          </w:p>
        </w:tc>
        <w:tc>
          <w:tcPr>
            <w:tcW w:w="3543" w:type="dxa"/>
          </w:tcPr>
          <w:p w14:paraId="74E4E677">
            <w:pPr>
              <w:pStyle w:val="248"/>
              <w:spacing w:before="67" w:line="219" w:lineRule="auto"/>
              <w:ind w:left="109"/>
              <w:rPr>
                <w:color w:val="auto"/>
                <w:highlight w:val="none"/>
              </w:rPr>
            </w:pPr>
            <w:r>
              <w:rPr>
                <w:color w:val="auto"/>
                <w:spacing w:val="-1"/>
                <w:highlight w:val="none"/>
              </w:rPr>
              <w:t>HJ2547家具/HJ2540木塑制品</w:t>
            </w:r>
          </w:p>
        </w:tc>
      </w:tr>
      <w:tr w14:paraId="2A80A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tcPr>
          <w:p w14:paraId="10BA538C">
            <w:pPr>
              <w:rPr>
                <w:rFonts w:ascii="Arial"/>
                <w:color w:val="auto"/>
                <w:highlight w:val="none"/>
              </w:rPr>
            </w:pPr>
          </w:p>
        </w:tc>
        <w:tc>
          <w:tcPr>
            <w:tcW w:w="1542" w:type="dxa"/>
            <w:vMerge w:val="continue"/>
            <w:tcBorders>
              <w:top w:val="nil"/>
            </w:tcBorders>
          </w:tcPr>
          <w:p w14:paraId="5E3D72B3">
            <w:pPr>
              <w:rPr>
                <w:rFonts w:ascii="Arial"/>
                <w:color w:val="auto"/>
                <w:highlight w:val="none"/>
              </w:rPr>
            </w:pPr>
          </w:p>
        </w:tc>
        <w:tc>
          <w:tcPr>
            <w:tcW w:w="2672" w:type="dxa"/>
          </w:tcPr>
          <w:p w14:paraId="10F8013C">
            <w:pPr>
              <w:pStyle w:val="248"/>
              <w:spacing w:before="67" w:line="220" w:lineRule="auto"/>
              <w:ind w:left="103"/>
              <w:rPr>
                <w:color w:val="auto"/>
                <w:highlight w:val="none"/>
              </w:rPr>
            </w:pPr>
            <w:r>
              <w:rPr>
                <w:color w:val="auto"/>
                <w:spacing w:val="-1"/>
                <w:highlight w:val="none"/>
              </w:rPr>
              <w:t>A060602金属质架类</w:t>
            </w:r>
          </w:p>
        </w:tc>
        <w:tc>
          <w:tcPr>
            <w:tcW w:w="2248" w:type="dxa"/>
          </w:tcPr>
          <w:p w14:paraId="301DC034">
            <w:pPr>
              <w:rPr>
                <w:rFonts w:ascii="Arial"/>
                <w:color w:val="auto"/>
                <w:highlight w:val="none"/>
              </w:rPr>
            </w:pPr>
          </w:p>
        </w:tc>
        <w:tc>
          <w:tcPr>
            <w:tcW w:w="3543" w:type="dxa"/>
          </w:tcPr>
          <w:p w14:paraId="1174362A">
            <w:pPr>
              <w:pStyle w:val="248"/>
              <w:spacing w:before="67" w:line="219" w:lineRule="auto"/>
              <w:ind w:left="109"/>
              <w:rPr>
                <w:color w:val="auto"/>
                <w:highlight w:val="none"/>
              </w:rPr>
            </w:pPr>
            <w:r>
              <w:rPr>
                <w:color w:val="auto"/>
                <w:spacing w:val="-1"/>
                <w:highlight w:val="none"/>
              </w:rPr>
              <w:t>HJ2547家具/HJ2540木塑制品</w:t>
            </w:r>
          </w:p>
        </w:tc>
      </w:tr>
      <w:tr w14:paraId="2DB1B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1E1A280C">
            <w:pPr>
              <w:pStyle w:val="248"/>
              <w:spacing w:before="67" w:line="242" w:lineRule="auto"/>
              <w:ind w:left="116"/>
              <w:rPr>
                <w:color w:val="auto"/>
                <w:highlight w:val="none"/>
              </w:rPr>
            </w:pPr>
            <w:r>
              <w:rPr>
                <w:color w:val="auto"/>
                <w:spacing w:val="-4"/>
                <w:highlight w:val="none"/>
              </w:rPr>
              <w:t>22</w:t>
            </w:r>
          </w:p>
        </w:tc>
        <w:tc>
          <w:tcPr>
            <w:tcW w:w="1542" w:type="dxa"/>
            <w:vMerge w:val="restart"/>
            <w:tcBorders>
              <w:bottom w:val="nil"/>
            </w:tcBorders>
          </w:tcPr>
          <w:p w14:paraId="53EA4997">
            <w:pPr>
              <w:pStyle w:val="248"/>
              <w:spacing w:before="67" w:line="220" w:lineRule="auto"/>
              <w:ind w:left="102"/>
              <w:rPr>
                <w:color w:val="auto"/>
                <w:highlight w:val="none"/>
              </w:rPr>
            </w:pPr>
            <w:r>
              <w:rPr>
                <w:color w:val="auto"/>
                <w:spacing w:val="-1"/>
                <w:highlight w:val="none"/>
              </w:rPr>
              <w:t>A0607屏风类</w:t>
            </w:r>
          </w:p>
        </w:tc>
        <w:tc>
          <w:tcPr>
            <w:tcW w:w="2672" w:type="dxa"/>
          </w:tcPr>
          <w:p w14:paraId="2B935E69">
            <w:pPr>
              <w:pStyle w:val="248"/>
              <w:spacing w:before="67" w:line="220" w:lineRule="auto"/>
              <w:ind w:left="103"/>
              <w:rPr>
                <w:color w:val="auto"/>
                <w:highlight w:val="none"/>
              </w:rPr>
            </w:pPr>
            <w:r>
              <w:rPr>
                <w:color w:val="auto"/>
                <w:spacing w:val="-1"/>
                <w:highlight w:val="none"/>
              </w:rPr>
              <w:t>A060701木质屏风类</w:t>
            </w:r>
          </w:p>
        </w:tc>
        <w:tc>
          <w:tcPr>
            <w:tcW w:w="2248" w:type="dxa"/>
          </w:tcPr>
          <w:p w14:paraId="466E5F6A">
            <w:pPr>
              <w:rPr>
                <w:rFonts w:ascii="Arial"/>
                <w:color w:val="auto"/>
                <w:highlight w:val="none"/>
              </w:rPr>
            </w:pPr>
          </w:p>
        </w:tc>
        <w:tc>
          <w:tcPr>
            <w:tcW w:w="3543" w:type="dxa"/>
          </w:tcPr>
          <w:p w14:paraId="7F2BD103">
            <w:pPr>
              <w:pStyle w:val="248"/>
              <w:spacing w:before="67" w:line="219" w:lineRule="auto"/>
              <w:ind w:left="109"/>
              <w:rPr>
                <w:color w:val="auto"/>
                <w:highlight w:val="none"/>
              </w:rPr>
            </w:pPr>
            <w:r>
              <w:rPr>
                <w:color w:val="auto"/>
                <w:spacing w:val="-1"/>
                <w:highlight w:val="none"/>
              </w:rPr>
              <w:t>HJ2547家具/HJ2540木塑制品</w:t>
            </w:r>
          </w:p>
        </w:tc>
      </w:tr>
      <w:tr w14:paraId="38EE4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tcPr>
          <w:p w14:paraId="597A5089">
            <w:pPr>
              <w:rPr>
                <w:rFonts w:ascii="Arial"/>
                <w:color w:val="auto"/>
                <w:highlight w:val="none"/>
              </w:rPr>
            </w:pPr>
          </w:p>
        </w:tc>
        <w:tc>
          <w:tcPr>
            <w:tcW w:w="1542" w:type="dxa"/>
            <w:vMerge w:val="continue"/>
            <w:tcBorders>
              <w:top w:val="nil"/>
            </w:tcBorders>
          </w:tcPr>
          <w:p w14:paraId="48095950">
            <w:pPr>
              <w:rPr>
                <w:rFonts w:ascii="Arial"/>
                <w:color w:val="auto"/>
                <w:highlight w:val="none"/>
              </w:rPr>
            </w:pPr>
          </w:p>
        </w:tc>
        <w:tc>
          <w:tcPr>
            <w:tcW w:w="2672" w:type="dxa"/>
          </w:tcPr>
          <w:p w14:paraId="04BC8113">
            <w:pPr>
              <w:pStyle w:val="248"/>
              <w:spacing w:before="67" w:line="220" w:lineRule="auto"/>
              <w:ind w:left="103"/>
              <w:rPr>
                <w:color w:val="auto"/>
                <w:highlight w:val="none"/>
              </w:rPr>
            </w:pPr>
            <w:r>
              <w:rPr>
                <w:color w:val="auto"/>
                <w:spacing w:val="-1"/>
                <w:highlight w:val="none"/>
              </w:rPr>
              <w:t>A060702金属质屏风类</w:t>
            </w:r>
          </w:p>
        </w:tc>
        <w:tc>
          <w:tcPr>
            <w:tcW w:w="2248" w:type="dxa"/>
          </w:tcPr>
          <w:p w14:paraId="595045D7">
            <w:pPr>
              <w:rPr>
                <w:rFonts w:ascii="Arial"/>
                <w:color w:val="auto"/>
                <w:highlight w:val="none"/>
              </w:rPr>
            </w:pPr>
          </w:p>
        </w:tc>
        <w:tc>
          <w:tcPr>
            <w:tcW w:w="3543" w:type="dxa"/>
          </w:tcPr>
          <w:p w14:paraId="4DC8C3C5">
            <w:pPr>
              <w:pStyle w:val="248"/>
              <w:spacing w:before="67" w:line="219" w:lineRule="auto"/>
              <w:ind w:left="109"/>
              <w:rPr>
                <w:color w:val="auto"/>
                <w:highlight w:val="none"/>
              </w:rPr>
            </w:pPr>
            <w:r>
              <w:rPr>
                <w:color w:val="auto"/>
                <w:spacing w:val="-1"/>
                <w:highlight w:val="none"/>
              </w:rPr>
              <w:t>HJ2547家具/HJ2540木塑制品</w:t>
            </w:r>
          </w:p>
        </w:tc>
      </w:tr>
      <w:tr w14:paraId="58811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tcPr>
          <w:p w14:paraId="328DFBDB">
            <w:pPr>
              <w:pStyle w:val="248"/>
              <w:spacing w:before="67"/>
              <w:ind w:left="116"/>
              <w:rPr>
                <w:color w:val="auto"/>
                <w:highlight w:val="none"/>
              </w:rPr>
            </w:pPr>
            <w:r>
              <w:rPr>
                <w:color w:val="auto"/>
                <w:spacing w:val="-4"/>
                <w:highlight w:val="none"/>
              </w:rPr>
              <w:t>23</w:t>
            </w:r>
          </w:p>
        </w:tc>
        <w:tc>
          <w:tcPr>
            <w:tcW w:w="1542" w:type="dxa"/>
          </w:tcPr>
          <w:p w14:paraId="22C3E3C7">
            <w:pPr>
              <w:pStyle w:val="248"/>
              <w:spacing w:before="67" w:line="220" w:lineRule="auto"/>
              <w:ind w:left="102"/>
              <w:rPr>
                <w:color w:val="auto"/>
                <w:highlight w:val="none"/>
              </w:rPr>
            </w:pPr>
            <w:r>
              <w:rPr>
                <w:color w:val="auto"/>
                <w:spacing w:val="-1"/>
                <w:highlight w:val="none"/>
              </w:rPr>
              <w:t>A060804水池</w:t>
            </w:r>
          </w:p>
        </w:tc>
        <w:tc>
          <w:tcPr>
            <w:tcW w:w="2672" w:type="dxa"/>
          </w:tcPr>
          <w:p w14:paraId="02D5F059">
            <w:pPr>
              <w:rPr>
                <w:rFonts w:ascii="Arial"/>
                <w:color w:val="auto"/>
                <w:highlight w:val="none"/>
              </w:rPr>
            </w:pPr>
          </w:p>
        </w:tc>
        <w:tc>
          <w:tcPr>
            <w:tcW w:w="2248" w:type="dxa"/>
          </w:tcPr>
          <w:p w14:paraId="62218D72">
            <w:pPr>
              <w:rPr>
                <w:rFonts w:ascii="Arial"/>
                <w:color w:val="auto"/>
                <w:highlight w:val="none"/>
              </w:rPr>
            </w:pPr>
          </w:p>
        </w:tc>
        <w:tc>
          <w:tcPr>
            <w:tcW w:w="3543" w:type="dxa"/>
          </w:tcPr>
          <w:p w14:paraId="14D85EDE">
            <w:pPr>
              <w:pStyle w:val="248"/>
              <w:spacing w:before="66" w:line="219" w:lineRule="auto"/>
              <w:ind w:left="109"/>
              <w:rPr>
                <w:color w:val="auto"/>
                <w:highlight w:val="none"/>
              </w:rPr>
            </w:pPr>
            <w:r>
              <w:rPr>
                <w:color w:val="auto"/>
                <w:spacing w:val="-1"/>
                <w:highlight w:val="none"/>
              </w:rPr>
              <w:t>HJ/T296卫生陶瓷</w:t>
            </w:r>
          </w:p>
        </w:tc>
      </w:tr>
      <w:tr w14:paraId="75B4F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tcPr>
          <w:p w14:paraId="7C7FBFC3">
            <w:pPr>
              <w:pStyle w:val="248"/>
              <w:spacing w:before="67" w:line="242" w:lineRule="auto"/>
              <w:ind w:left="116"/>
              <w:rPr>
                <w:color w:val="auto"/>
                <w:highlight w:val="none"/>
              </w:rPr>
            </w:pPr>
            <w:r>
              <w:rPr>
                <w:color w:val="auto"/>
                <w:spacing w:val="-4"/>
                <w:highlight w:val="none"/>
              </w:rPr>
              <w:t>24</w:t>
            </w:r>
          </w:p>
        </w:tc>
        <w:tc>
          <w:tcPr>
            <w:tcW w:w="1542" w:type="dxa"/>
          </w:tcPr>
          <w:p w14:paraId="2F20EA1E">
            <w:pPr>
              <w:pStyle w:val="248"/>
              <w:spacing w:before="67" w:line="220" w:lineRule="auto"/>
              <w:ind w:left="102"/>
              <w:rPr>
                <w:color w:val="auto"/>
                <w:highlight w:val="none"/>
              </w:rPr>
            </w:pPr>
            <w:r>
              <w:rPr>
                <w:color w:val="auto"/>
                <w:spacing w:val="-1"/>
                <w:highlight w:val="none"/>
              </w:rPr>
              <w:t>A060805便器</w:t>
            </w:r>
          </w:p>
        </w:tc>
        <w:tc>
          <w:tcPr>
            <w:tcW w:w="2672" w:type="dxa"/>
          </w:tcPr>
          <w:p w14:paraId="73FFC63B">
            <w:pPr>
              <w:rPr>
                <w:rFonts w:ascii="Arial"/>
                <w:color w:val="auto"/>
                <w:highlight w:val="none"/>
              </w:rPr>
            </w:pPr>
          </w:p>
        </w:tc>
        <w:tc>
          <w:tcPr>
            <w:tcW w:w="2248" w:type="dxa"/>
          </w:tcPr>
          <w:p w14:paraId="6C5ED316">
            <w:pPr>
              <w:rPr>
                <w:rFonts w:ascii="Arial"/>
                <w:color w:val="auto"/>
                <w:highlight w:val="none"/>
              </w:rPr>
            </w:pPr>
          </w:p>
        </w:tc>
        <w:tc>
          <w:tcPr>
            <w:tcW w:w="3543" w:type="dxa"/>
          </w:tcPr>
          <w:p w14:paraId="59575800">
            <w:pPr>
              <w:pStyle w:val="248"/>
              <w:spacing w:before="67" w:line="219" w:lineRule="auto"/>
              <w:ind w:left="109"/>
              <w:rPr>
                <w:color w:val="auto"/>
                <w:highlight w:val="none"/>
              </w:rPr>
            </w:pPr>
            <w:r>
              <w:rPr>
                <w:color w:val="auto"/>
                <w:spacing w:val="-1"/>
                <w:highlight w:val="none"/>
              </w:rPr>
              <w:t>HJ/T296卫生陶瓷</w:t>
            </w:r>
          </w:p>
        </w:tc>
      </w:tr>
      <w:tr w14:paraId="74C12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tcPr>
          <w:p w14:paraId="026E945B">
            <w:pPr>
              <w:pStyle w:val="248"/>
              <w:spacing w:before="67"/>
              <w:ind w:left="116"/>
              <w:rPr>
                <w:color w:val="auto"/>
                <w:highlight w:val="none"/>
              </w:rPr>
            </w:pPr>
            <w:r>
              <w:rPr>
                <w:color w:val="auto"/>
                <w:spacing w:val="-4"/>
                <w:highlight w:val="none"/>
              </w:rPr>
              <w:t>25</w:t>
            </w:r>
          </w:p>
        </w:tc>
        <w:tc>
          <w:tcPr>
            <w:tcW w:w="1542" w:type="dxa"/>
          </w:tcPr>
          <w:p w14:paraId="6F239F64">
            <w:pPr>
              <w:pStyle w:val="248"/>
              <w:spacing w:before="67" w:line="220" w:lineRule="auto"/>
              <w:ind w:left="102"/>
              <w:rPr>
                <w:color w:val="auto"/>
                <w:highlight w:val="none"/>
              </w:rPr>
            </w:pPr>
            <w:r>
              <w:rPr>
                <w:color w:val="auto"/>
                <w:spacing w:val="-1"/>
                <w:highlight w:val="none"/>
              </w:rPr>
              <w:t>A060806水嘴</w:t>
            </w:r>
          </w:p>
        </w:tc>
        <w:tc>
          <w:tcPr>
            <w:tcW w:w="2672" w:type="dxa"/>
          </w:tcPr>
          <w:p w14:paraId="4EDF3B5A">
            <w:pPr>
              <w:rPr>
                <w:rFonts w:ascii="Arial"/>
                <w:color w:val="auto"/>
                <w:highlight w:val="none"/>
              </w:rPr>
            </w:pPr>
          </w:p>
        </w:tc>
        <w:tc>
          <w:tcPr>
            <w:tcW w:w="2248" w:type="dxa"/>
          </w:tcPr>
          <w:p w14:paraId="39F3615B">
            <w:pPr>
              <w:rPr>
                <w:rFonts w:ascii="Arial"/>
                <w:color w:val="auto"/>
                <w:highlight w:val="none"/>
              </w:rPr>
            </w:pPr>
          </w:p>
        </w:tc>
        <w:tc>
          <w:tcPr>
            <w:tcW w:w="3543" w:type="dxa"/>
          </w:tcPr>
          <w:p w14:paraId="26ACCD09">
            <w:pPr>
              <w:pStyle w:val="248"/>
              <w:spacing w:before="67" w:line="219" w:lineRule="auto"/>
              <w:ind w:left="109"/>
              <w:rPr>
                <w:color w:val="auto"/>
                <w:highlight w:val="none"/>
              </w:rPr>
            </w:pPr>
            <w:r>
              <w:rPr>
                <w:color w:val="auto"/>
                <w:spacing w:val="-1"/>
                <w:highlight w:val="none"/>
              </w:rPr>
              <w:t>HJ/T411水嘴</w:t>
            </w:r>
          </w:p>
        </w:tc>
      </w:tr>
      <w:tr w14:paraId="723C1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tcPr>
          <w:p w14:paraId="71750F1E">
            <w:pPr>
              <w:pStyle w:val="248"/>
              <w:spacing w:before="67"/>
              <w:ind w:left="116"/>
              <w:rPr>
                <w:color w:val="auto"/>
                <w:highlight w:val="none"/>
              </w:rPr>
            </w:pPr>
            <w:r>
              <w:rPr>
                <w:color w:val="auto"/>
                <w:spacing w:val="-4"/>
                <w:highlight w:val="none"/>
              </w:rPr>
              <w:t>26</w:t>
            </w:r>
          </w:p>
        </w:tc>
        <w:tc>
          <w:tcPr>
            <w:tcW w:w="1542" w:type="dxa"/>
          </w:tcPr>
          <w:p w14:paraId="4E1A5B7E">
            <w:pPr>
              <w:pStyle w:val="248"/>
              <w:spacing w:before="67" w:line="221" w:lineRule="auto"/>
              <w:ind w:left="102"/>
              <w:rPr>
                <w:color w:val="auto"/>
                <w:highlight w:val="none"/>
              </w:rPr>
            </w:pPr>
            <w:r>
              <w:rPr>
                <w:color w:val="auto"/>
                <w:spacing w:val="-1"/>
                <w:highlight w:val="none"/>
              </w:rPr>
              <w:t>A0609组合家具</w:t>
            </w:r>
          </w:p>
        </w:tc>
        <w:tc>
          <w:tcPr>
            <w:tcW w:w="2672" w:type="dxa"/>
          </w:tcPr>
          <w:p w14:paraId="76671064">
            <w:pPr>
              <w:rPr>
                <w:rFonts w:ascii="Arial"/>
                <w:color w:val="auto"/>
                <w:highlight w:val="none"/>
              </w:rPr>
            </w:pPr>
          </w:p>
        </w:tc>
        <w:tc>
          <w:tcPr>
            <w:tcW w:w="2248" w:type="dxa"/>
          </w:tcPr>
          <w:p w14:paraId="53F0F192">
            <w:pPr>
              <w:rPr>
                <w:rFonts w:ascii="Arial"/>
                <w:color w:val="auto"/>
                <w:highlight w:val="none"/>
              </w:rPr>
            </w:pPr>
          </w:p>
        </w:tc>
        <w:tc>
          <w:tcPr>
            <w:tcW w:w="3543" w:type="dxa"/>
          </w:tcPr>
          <w:p w14:paraId="088EB50E">
            <w:pPr>
              <w:pStyle w:val="248"/>
              <w:spacing w:before="67" w:line="219" w:lineRule="auto"/>
              <w:ind w:left="109"/>
              <w:rPr>
                <w:color w:val="auto"/>
                <w:highlight w:val="none"/>
              </w:rPr>
            </w:pPr>
            <w:r>
              <w:rPr>
                <w:color w:val="auto"/>
                <w:spacing w:val="-1"/>
                <w:highlight w:val="none"/>
              </w:rPr>
              <w:t>HJ2547家具/HJ2540木塑制品</w:t>
            </w:r>
          </w:p>
        </w:tc>
      </w:tr>
      <w:tr w14:paraId="15F72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1DA2EE5A">
            <w:pPr>
              <w:pStyle w:val="248"/>
              <w:spacing w:before="68"/>
              <w:ind w:left="116"/>
              <w:rPr>
                <w:color w:val="auto"/>
                <w:highlight w:val="none"/>
              </w:rPr>
            </w:pPr>
            <w:r>
              <w:rPr>
                <w:color w:val="auto"/>
                <w:spacing w:val="-4"/>
                <w:highlight w:val="none"/>
              </w:rPr>
              <w:t>27</w:t>
            </w:r>
          </w:p>
        </w:tc>
        <w:tc>
          <w:tcPr>
            <w:tcW w:w="1542" w:type="dxa"/>
          </w:tcPr>
          <w:p w14:paraId="6FAC7CF2">
            <w:pPr>
              <w:pStyle w:val="248"/>
              <w:spacing w:before="68" w:line="282" w:lineRule="auto"/>
              <w:ind w:left="108" w:right="106" w:hanging="6"/>
              <w:rPr>
                <w:color w:val="auto"/>
                <w:highlight w:val="none"/>
              </w:rPr>
            </w:pPr>
            <w:r>
              <w:rPr>
                <w:color w:val="auto"/>
                <w:spacing w:val="4"/>
                <w:highlight w:val="none"/>
              </w:rPr>
              <w:t>A0610家用家具</w:t>
            </w:r>
            <w:r>
              <w:rPr>
                <w:color w:val="auto"/>
                <w:spacing w:val="-2"/>
                <w:highlight w:val="none"/>
              </w:rPr>
              <w:t>零配件</w:t>
            </w:r>
          </w:p>
        </w:tc>
        <w:tc>
          <w:tcPr>
            <w:tcW w:w="2672" w:type="dxa"/>
          </w:tcPr>
          <w:p w14:paraId="213AF5E7">
            <w:pPr>
              <w:rPr>
                <w:rFonts w:ascii="Arial"/>
                <w:color w:val="auto"/>
                <w:highlight w:val="none"/>
              </w:rPr>
            </w:pPr>
          </w:p>
        </w:tc>
        <w:tc>
          <w:tcPr>
            <w:tcW w:w="2248" w:type="dxa"/>
          </w:tcPr>
          <w:p w14:paraId="040393F6">
            <w:pPr>
              <w:rPr>
                <w:rFonts w:ascii="Arial"/>
                <w:color w:val="auto"/>
                <w:highlight w:val="none"/>
              </w:rPr>
            </w:pPr>
          </w:p>
        </w:tc>
        <w:tc>
          <w:tcPr>
            <w:tcW w:w="3543" w:type="dxa"/>
          </w:tcPr>
          <w:p w14:paraId="702900DF">
            <w:pPr>
              <w:pStyle w:val="248"/>
              <w:spacing w:before="67" w:line="219" w:lineRule="auto"/>
              <w:ind w:left="109"/>
              <w:rPr>
                <w:color w:val="auto"/>
                <w:highlight w:val="none"/>
              </w:rPr>
            </w:pPr>
            <w:r>
              <w:rPr>
                <w:color w:val="auto"/>
                <w:spacing w:val="-1"/>
                <w:highlight w:val="none"/>
              </w:rPr>
              <w:t>HJ2547家具/HJ2540木塑制品</w:t>
            </w:r>
          </w:p>
        </w:tc>
      </w:tr>
      <w:tr w14:paraId="1C41C1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tcPr>
          <w:p w14:paraId="21F2D27C">
            <w:pPr>
              <w:pStyle w:val="248"/>
              <w:spacing w:before="70"/>
              <w:ind w:left="116"/>
              <w:rPr>
                <w:color w:val="auto"/>
                <w:highlight w:val="none"/>
              </w:rPr>
            </w:pPr>
            <w:r>
              <w:rPr>
                <w:color w:val="auto"/>
                <w:spacing w:val="-4"/>
                <w:highlight w:val="none"/>
              </w:rPr>
              <w:t>28</w:t>
            </w:r>
          </w:p>
        </w:tc>
        <w:tc>
          <w:tcPr>
            <w:tcW w:w="1542" w:type="dxa"/>
          </w:tcPr>
          <w:p w14:paraId="7BB6D255">
            <w:pPr>
              <w:pStyle w:val="248"/>
              <w:spacing w:before="71" w:line="282" w:lineRule="auto"/>
              <w:ind w:left="109" w:right="106" w:hanging="7"/>
              <w:rPr>
                <w:color w:val="auto"/>
                <w:highlight w:val="none"/>
              </w:rPr>
            </w:pPr>
            <w:r>
              <w:rPr>
                <w:color w:val="auto"/>
                <w:spacing w:val="4"/>
                <w:highlight w:val="none"/>
              </w:rPr>
              <w:t>A0699其他家具</w:t>
            </w:r>
            <w:r>
              <w:rPr>
                <w:color w:val="auto"/>
                <w:spacing w:val="-3"/>
                <w:highlight w:val="none"/>
              </w:rPr>
              <w:t>用具</w:t>
            </w:r>
          </w:p>
        </w:tc>
        <w:tc>
          <w:tcPr>
            <w:tcW w:w="2672" w:type="dxa"/>
          </w:tcPr>
          <w:p w14:paraId="52B03EA9">
            <w:pPr>
              <w:rPr>
                <w:rFonts w:ascii="Arial"/>
                <w:color w:val="auto"/>
                <w:highlight w:val="none"/>
              </w:rPr>
            </w:pPr>
          </w:p>
        </w:tc>
        <w:tc>
          <w:tcPr>
            <w:tcW w:w="2248" w:type="dxa"/>
          </w:tcPr>
          <w:p w14:paraId="0D9B73CF">
            <w:pPr>
              <w:rPr>
                <w:rFonts w:ascii="Arial"/>
                <w:color w:val="auto"/>
                <w:highlight w:val="none"/>
              </w:rPr>
            </w:pPr>
          </w:p>
        </w:tc>
        <w:tc>
          <w:tcPr>
            <w:tcW w:w="3543" w:type="dxa"/>
          </w:tcPr>
          <w:p w14:paraId="41DF61BC">
            <w:pPr>
              <w:pStyle w:val="248"/>
              <w:spacing w:before="70" w:line="219" w:lineRule="auto"/>
              <w:ind w:left="109"/>
              <w:rPr>
                <w:color w:val="auto"/>
                <w:highlight w:val="none"/>
              </w:rPr>
            </w:pPr>
            <w:r>
              <w:rPr>
                <w:color w:val="auto"/>
                <w:spacing w:val="-1"/>
                <w:highlight w:val="none"/>
              </w:rPr>
              <w:t>HJ2547家具/HJ2540木塑制品</w:t>
            </w:r>
          </w:p>
        </w:tc>
      </w:tr>
      <w:tr w14:paraId="34074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Pr>
          <w:p w14:paraId="75063D25">
            <w:pPr>
              <w:pStyle w:val="248"/>
              <w:spacing w:before="68"/>
              <w:ind w:left="116"/>
              <w:rPr>
                <w:color w:val="auto"/>
                <w:highlight w:val="none"/>
              </w:rPr>
            </w:pPr>
            <w:r>
              <w:rPr>
                <w:color w:val="auto"/>
                <w:spacing w:val="-4"/>
                <w:highlight w:val="none"/>
              </w:rPr>
              <w:t>29</w:t>
            </w:r>
          </w:p>
        </w:tc>
        <w:tc>
          <w:tcPr>
            <w:tcW w:w="1542" w:type="dxa"/>
          </w:tcPr>
          <w:p w14:paraId="26A1B1EE">
            <w:pPr>
              <w:pStyle w:val="248"/>
              <w:spacing w:before="69" w:line="284" w:lineRule="auto"/>
              <w:ind w:left="111" w:right="106" w:hanging="9"/>
              <w:rPr>
                <w:color w:val="auto"/>
                <w:highlight w:val="none"/>
              </w:rPr>
            </w:pPr>
            <w:r>
              <w:rPr>
                <w:color w:val="auto"/>
                <w:spacing w:val="-7"/>
                <w:highlight w:val="none"/>
              </w:rPr>
              <w:t>A070101棉、化纤</w:t>
            </w:r>
            <w:r>
              <w:rPr>
                <w:color w:val="auto"/>
                <w:spacing w:val="-2"/>
                <w:highlight w:val="none"/>
              </w:rPr>
              <w:t>纺织及印染原料</w:t>
            </w:r>
          </w:p>
        </w:tc>
        <w:tc>
          <w:tcPr>
            <w:tcW w:w="2672" w:type="dxa"/>
          </w:tcPr>
          <w:p w14:paraId="6BC9832D">
            <w:pPr>
              <w:rPr>
                <w:rFonts w:ascii="Arial"/>
                <w:color w:val="auto"/>
                <w:highlight w:val="none"/>
              </w:rPr>
            </w:pPr>
          </w:p>
        </w:tc>
        <w:tc>
          <w:tcPr>
            <w:tcW w:w="2248" w:type="dxa"/>
          </w:tcPr>
          <w:p w14:paraId="7F69D74B">
            <w:pPr>
              <w:rPr>
                <w:rFonts w:ascii="Arial"/>
                <w:color w:val="auto"/>
                <w:highlight w:val="none"/>
              </w:rPr>
            </w:pPr>
          </w:p>
        </w:tc>
        <w:tc>
          <w:tcPr>
            <w:tcW w:w="3543" w:type="dxa"/>
          </w:tcPr>
          <w:p w14:paraId="4F08F036">
            <w:pPr>
              <w:pStyle w:val="248"/>
              <w:spacing w:before="67" w:line="219" w:lineRule="auto"/>
              <w:ind w:left="109"/>
              <w:rPr>
                <w:color w:val="auto"/>
                <w:highlight w:val="none"/>
              </w:rPr>
            </w:pPr>
            <w:r>
              <w:rPr>
                <w:color w:val="auto"/>
                <w:spacing w:val="-1"/>
                <w:highlight w:val="none"/>
              </w:rPr>
              <w:t>HJ2546纺织产品</w:t>
            </w:r>
          </w:p>
        </w:tc>
      </w:tr>
    </w:tbl>
    <w:p w14:paraId="2957CA5D">
      <w:pPr>
        <w:rPr>
          <w:rFonts w:ascii="Arial"/>
          <w:color w:val="auto"/>
          <w:highlight w:val="none"/>
        </w:rPr>
      </w:pPr>
    </w:p>
    <w:p w14:paraId="5DEBA99A">
      <w:pPr>
        <w:rPr>
          <w:rFonts w:ascii="Arial" w:hAnsi="Arial" w:eastAsia="Arial" w:cs="Arial"/>
          <w:color w:val="auto"/>
          <w:szCs w:val="21"/>
          <w:highlight w:val="none"/>
        </w:rPr>
        <w:sectPr>
          <w:pgSz w:w="11906" w:h="16838"/>
          <w:pgMar w:top="1431" w:right="644" w:bottom="0" w:left="667" w:header="0" w:footer="0" w:gutter="0"/>
          <w:cols w:space="720" w:num="1"/>
        </w:sectPr>
      </w:pPr>
    </w:p>
    <w:p w14:paraId="69307E96">
      <w:pPr>
        <w:spacing w:line="91" w:lineRule="auto"/>
        <w:rPr>
          <w:rFonts w:ascii="Arial"/>
          <w:color w:val="auto"/>
          <w:sz w:val="2"/>
          <w:highlight w:val="none"/>
        </w:rPr>
      </w:pPr>
    </w:p>
    <w:tbl>
      <w:tblPr>
        <w:tblStyle w:val="51"/>
        <w:tblW w:w="105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3543"/>
      </w:tblGrid>
      <w:tr w14:paraId="7ED07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583" w:type="dxa"/>
          </w:tcPr>
          <w:p w14:paraId="5D317DE5">
            <w:pPr>
              <w:pStyle w:val="248"/>
              <w:spacing w:before="68"/>
              <w:ind w:left="118"/>
              <w:rPr>
                <w:color w:val="auto"/>
                <w:highlight w:val="none"/>
              </w:rPr>
            </w:pPr>
            <w:r>
              <w:rPr>
                <w:color w:val="auto"/>
                <w:spacing w:val="-5"/>
                <w:highlight w:val="none"/>
              </w:rPr>
              <w:t>30</w:t>
            </w:r>
          </w:p>
        </w:tc>
        <w:tc>
          <w:tcPr>
            <w:tcW w:w="1542" w:type="dxa"/>
          </w:tcPr>
          <w:p w14:paraId="6EA85EE1">
            <w:pPr>
              <w:pStyle w:val="248"/>
              <w:spacing w:before="69" w:line="296" w:lineRule="auto"/>
              <w:ind w:left="109" w:right="106" w:hanging="7"/>
              <w:rPr>
                <w:color w:val="auto"/>
                <w:highlight w:val="none"/>
              </w:rPr>
            </w:pPr>
            <w:r>
              <w:rPr>
                <w:color w:val="auto"/>
                <w:spacing w:val="-2"/>
                <w:highlight w:val="none"/>
              </w:rPr>
              <w:t>A090101复印纸</w:t>
            </w:r>
            <w:r>
              <w:rPr>
                <w:color w:val="auto"/>
                <w:spacing w:val="8"/>
                <w:highlight w:val="none"/>
              </w:rPr>
              <w:t>（包括再生复印</w:t>
            </w:r>
            <w:r>
              <w:rPr>
                <w:color w:val="auto"/>
                <w:spacing w:val="-5"/>
                <w:highlight w:val="none"/>
              </w:rPr>
              <w:t>纸）</w:t>
            </w:r>
          </w:p>
        </w:tc>
        <w:tc>
          <w:tcPr>
            <w:tcW w:w="2672" w:type="dxa"/>
          </w:tcPr>
          <w:p w14:paraId="33666D0D">
            <w:pPr>
              <w:rPr>
                <w:rFonts w:ascii="Arial"/>
                <w:color w:val="auto"/>
                <w:highlight w:val="none"/>
              </w:rPr>
            </w:pPr>
          </w:p>
        </w:tc>
        <w:tc>
          <w:tcPr>
            <w:tcW w:w="2248" w:type="dxa"/>
          </w:tcPr>
          <w:p w14:paraId="674AF976">
            <w:pPr>
              <w:rPr>
                <w:rFonts w:ascii="Arial"/>
                <w:color w:val="auto"/>
                <w:highlight w:val="none"/>
              </w:rPr>
            </w:pPr>
          </w:p>
        </w:tc>
        <w:tc>
          <w:tcPr>
            <w:tcW w:w="3543" w:type="dxa"/>
          </w:tcPr>
          <w:p w14:paraId="362610F4">
            <w:pPr>
              <w:pStyle w:val="248"/>
              <w:spacing w:before="67" w:line="219" w:lineRule="auto"/>
              <w:ind w:left="109"/>
              <w:rPr>
                <w:color w:val="auto"/>
                <w:highlight w:val="none"/>
              </w:rPr>
            </w:pPr>
            <w:r>
              <w:rPr>
                <w:color w:val="auto"/>
                <w:spacing w:val="-2"/>
                <w:highlight w:val="none"/>
              </w:rPr>
              <w:t>HJ410文化用纸</w:t>
            </w:r>
          </w:p>
        </w:tc>
      </w:tr>
      <w:tr w14:paraId="4ED5F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3" w:type="dxa"/>
          </w:tcPr>
          <w:p w14:paraId="7B263B12">
            <w:pPr>
              <w:pStyle w:val="248"/>
              <w:spacing w:before="64"/>
              <w:ind w:left="118"/>
              <w:rPr>
                <w:color w:val="auto"/>
                <w:highlight w:val="none"/>
              </w:rPr>
            </w:pPr>
            <w:r>
              <w:rPr>
                <w:color w:val="auto"/>
                <w:spacing w:val="-5"/>
                <w:highlight w:val="none"/>
              </w:rPr>
              <w:t>31</w:t>
            </w:r>
          </w:p>
        </w:tc>
        <w:tc>
          <w:tcPr>
            <w:tcW w:w="1542" w:type="dxa"/>
          </w:tcPr>
          <w:p w14:paraId="1341C755">
            <w:pPr>
              <w:pStyle w:val="248"/>
              <w:spacing w:before="64" w:line="296" w:lineRule="auto"/>
              <w:ind w:left="109" w:right="106" w:hanging="7"/>
              <w:rPr>
                <w:color w:val="auto"/>
                <w:highlight w:val="none"/>
              </w:rPr>
            </w:pPr>
            <w:r>
              <w:rPr>
                <w:color w:val="auto"/>
                <w:spacing w:val="3"/>
                <w:highlight w:val="none"/>
              </w:rPr>
              <w:t>A090201鼓粉盒</w:t>
            </w:r>
            <w:r>
              <w:rPr>
                <w:color w:val="auto"/>
                <w:spacing w:val="8"/>
                <w:highlight w:val="none"/>
              </w:rPr>
              <w:t>（包括再生鼓粉</w:t>
            </w:r>
            <w:r>
              <w:rPr>
                <w:color w:val="auto"/>
                <w:spacing w:val="-5"/>
                <w:highlight w:val="none"/>
              </w:rPr>
              <w:t>盒）</w:t>
            </w:r>
          </w:p>
        </w:tc>
        <w:tc>
          <w:tcPr>
            <w:tcW w:w="2672" w:type="dxa"/>
          </w:tcPr>
          <w:p w14:paraId="5ADB5A40">
            <w:pPr>
              <w:rPr>
                <w:rFonts w:ascii="Arial"/>
                <w:color w:val="auto"/>
                <w:highlight w:val="none"/>
              </w:rPr>
            </w:pPr>
          </w:p>
        </w:tc>
        <w:tc>
          <w:tcPr>
            <w:tcW w:w="2248" w:type="dxa"/>
          </w:tcPr>
          <w:p w14:paraId="6B99C0E9">
            <w:pPr>
              <w:rPr>
                <w:rFonts w:ascii="Arial"/>
                <w:color w:val="auto"/>
                <w:highlight w:val="none"/>
              </w:rPr>
            </w:pPr>
          </w:p>
        </w:tc>
        <w:tc>
          <w:tcPr>
            <w:tcW w:w="3543" w:type="dxa"/>
          </w:tcPr>
          <w:p w14:paraId="387D97E7">
            <w:pPr>
              <w:pStyle w:val="248"/>
              <w:spacing w:before="63" w:line="219" w:lineRule="auto"/>
              <w:ind w:left="109"/>
              <w:rPr>
                <w:color w:val="auto"/>
                <w:highlight w:val="none"/>
              </w:rPr>
            </w:pPr>
            <w:r>
              <w:rPr>
                <w:color w:val="auto"/>
                <w:spacing w:val="-1"/>
                <w:highlight w:val="none"/>
              </w:rPr>
              <w:t>HJ/T413再生鼓粉盒</w:t>
            </w:r>
          </w:p>
        </w:tc>
      </w:tr>
      <w:tr w14:paraId="1CB61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83" w:type="dxa"/>
            <w:vMerge w:val="restart"/>
            <w:tcBorders>
              <w:bottom w:val="nil"/>
            </w:tcBorders>
          </w:tcPr>
          <w:p w14:paraId="5C863D7C">
            <w:pPr>
              <w:pStyle w:val="248"/>
              <w:spacing w:before="64"/>
              <w:ind w:left="118"/>
              <w:rPr>
                <w:color w:val="auto"/>
                <w:highlight w:val="none"/>
              </w:rPr>
            </w:pPr>
            <w:r>
              <w:rPr>
                <w:color w:val="auto"/>
                <w:spacing w:val="-5"/>
                <w:highlight w:val="none"/>
              </w:rPr>
              <w:t>32</w:t>
            </w:r>
          </w:p>
        </w:tc>
        <w:tc>
          <w:tcPr>
            <w:tcW w:w="1542" w:type="dxa"/>
            <w:vMerge w:val="restart"/>
            <w:tcBorders>
              <w:bottom w:val="nil"/>
            </w:tcBorders>
          </w:tcPr>
          <w:p w14:paraId="4B434C12">
            <w:pPr>
              <w:pStyle w:val="248"/>
              <w:spacing w:before="64" w:line="219" w:lineRule="auto"/>
              <w:ind w:left="102"/>
              <w:rPr>
                <w:color w:val="auto"/>
                <w:highlight w:val="none"/>
              </w:rPr>
            </w:pPr>
            <w:r>
              <w:rPr>
                <w:color w:val="auto"/>
                <w:spacing w:val="-1"/>
                <w:highlight w:val="none"/>
              </w:rPr>
              <w:t>A100203人造板</w:t>
            </w:r>
          </w:p>
        </w:tc>
        <w:tc>
          <w:tcPr>
            <w:tcW w:w="2672" w:type="dxa"/>
          </w:tcPr>
          <w:p w14:paraId="182E6252">
            <w:pPr>
              <w:pStyle w:val="248"/>
              <w:spacing w:before="64" w:line="219" w:lineRule="auto"/>
              <w:ind w:left="103"/>
              <w:rPr>
                <w:color w:val="auto"/>
                <w:highlight w:val="none"/>
              </w:rPr>
            </w:pPr>
            <w:r>
              <w:rPr>
                <w:color w:val="auto"/>
                <w:spacing w:val="-1"/>
                <w:highlight w:val="none"/>
              </w:rPr>
              <w:t>A10020301胶合板</w:t>
            </w:r>
          </w:p>
        </w:tc>
        <w:tc>
          <w:tcPr>
            <w:tcW w:w="2248" w:type="dxa"/>
          </w:tcPr>
          <w:p w14:paraId="6783C2B9">
            <w:pPr>
              <w:rPr>
                <w:rFonts w:ascii="Arial"/>
                <w:color w:val="auto"/>
                <w:highlight w:val="none"/>
              </w:rPr>
            </w:pPr>
          </w:p>
        </w:tc>
        <w:tc>
          <w:tcPr>
            <w:tcW w:w="3543" w:type="dxa"/>
          </w:tcPr>
          <w:p w14:paraId="292E79DB">
            <w:pPr>
              <w:pStyle w:val="248"/>
              <w:spacing w:before="64" w:line="219" w:lineRule="auto"/>
              <w:ind w:left="109"/>
              <w:rPr>
                <w:color w:val="auto"/>
                <w:highlight w:val="none"/>
              </w:rPr>
            </w:pPr>
            <w:r>
              <w:rPr>
                <w:color w:val="auto"/>
                <w:spacing w:val="-1"/>
                <w:highlight w:val="none"/>
              </w:rPr>
              <w:t>HJ571人造板及其制品</w:t>
            </w:r>
          </w:p>
        </w:tc>
      </w:tr>
      <w:tr w14:paraId="3C07D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682D48F0">
            <w:pPr>
              <w:rPr>
                <w:rFonts w:ascii="Arial"/>
                <w:color w:val="auto"/>
                <w:highlight w:val="none"/>
              </w:rPr>
            </w:pPr>
          </w:p>
        </w:tc>
        <w:tc>
          <w:tcPr>
            <w:tcW w:w="1542" w:type="dxa"/>
            <w:vMerge w:val="continue"/>
            <w:tcBorders>
              <w:top w:val="nil"/>
              <w:bottom w:val="nil"/>
            </w:tcBorders>
          </w:tcPr>
          <w:p w14:paraId="460CFCA3">
            <w:pPr>
              <w:rPr>
                <w:rFonts w:ascii="Arial"/>
                <w:color w:val="auto"/>
                <w:highlight w:val="none"/>
              </w:rPr>
            </w:pPr>
          </w:p>
        </w:tc>
        <w:tc>
          <w:tcPr>
            <w:tcW w:w="2672" w:type="dxa"/>
          </w:tcPr>
          <w:p w14:paraId="557A7C60">
            <w:pPr>
              <w:pStyle w:val="248"/>
              <w:spacing w:before="65" w:line="219" w:lineRule="auto"/>
              <w:ind w:left="103"/>
              <w:rPr>
                <w:color w:val="auto"/>
                <w:highlight w:val="none"/>
              </w:rPr>
            </w:pPr>
            <w:r>
              <w:rPr>
                <w:color w:val="auto"/>
                <w:spacing w:val="-1"/>
                <w:highlight w:val="none"/>
              </w:rPr>
              <w:t>A10020302纤维板</w:t>
            </w:r>
          </w:p>
        </w:tc>
        <w:tc>
          <w:tcPr>
            <w:tcW w:w="2248" w:type="dxa"/>
          </w:tcPr>
          <w:p w14:paraId="2B1BAEE8">
            <w:pPr>
              <w:rPr>
                <w:rFonts w:ascii="Arial"/>
                <w:color w:val="auto"/>
                <w:highlight w:val="none"/>
              </w:rPr>
            </w:pPr>
          </w:p>
        </w:tc>
        <w:tc>
          <w:tcPr>
            <w:tcW w:w="3543" w:type="dxa"/>
          </w:tcPr>
          <w:p w14:paraId="5F1A0395">
            <w:pPr>
              <w:pStyle w:val="248"/>
              <w:spacing w:before="64" w:line="219" w:lineRule="auto"/>
              <w:ind w:left="109"/>
              <w:rPr>
                <w:color w:val="auto"/>
                <w:highlight w:val="none"/>
              </w:rPr>
            </w:pPr>
            <w:r>
              <w:rPr>
                <w:color w:val="auto"/>
                <w:spacing w:val="-1"/>
                <w:highlight w:val="none"/>
              </w:rPr>
              <w:t>HJ571人造板及其制品</w:t>
            </w:r>
          </w:p>
        </w:tc>
      </w:tr>
      <w:tr w14:paraId="71FE4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tcPr>
          <w:p w14:paraId="4914131C">
            <w:pPr>
              <w:rPr>
                <w:rFonts w:ascii="Arial"/>
                <w:color w:val="auto"/>
                <w:highlight w:val="none"/>
              </w:rPr>
            </w:pPr>
          </w:p>
        </w:tc>
        <w:tc>
          <w:tcPr>
            <w:tcW w:w="1542" w:type="dxa"/>
            <w:vMerge w:val="continue"/>
            <w:tcBorders>
              <w:top w:val="nil"/>
              <w:bottom w:val="nil"/>
            </w:tcBorders>
          </w:tcPr>
          <w:p w14:paraId="365BD21B">
            <w:pPr>
              <w:rPr>
                <w:rFonts w:ascii="Arial"/>
                <w:color w:val="auto"/>
                <w:highlight w:val="none"/>
              </w:rPr>
            </w:pPr>
          </w:p>
        </w:tc>
        <w:tc>
          <w:tcPr>
            <w:tcW w:w="2672" w:type="dxa"/>
          </w:tcPr>
          <w:p w14:paraId="21F2F86A">
            <w:pPr>
              <w:pStyle w:val="248"/>
              <w:spacing w:before="65" w:line="219" w:lineRule="auto"/>
              <w:ind w:left="103"/>
              <w:rPr>
                <w:color w:val="auto"/>
                <w:highlight w:val="none"/>
              </w:rPr>
            </w:pPr>
            <w:r>
              <w:rPr>
                <w:color w:val="auto"/>
                <w:spacing w:val="-1"/>
                <w:highlight w:val="none"/>
              </w:rPr>
              <w:t>A10020303刨花板</w:t>
            </w:r>
          </w:p>
        </w:tc>
        <w:tc>
          <w:tcPr>
            <w:tcW w:w="2248" w:type="dxa"/>
          </w:tcPr>
          <w:p w14:paraId="50D286F7">
            <w:pPr>
              <w:rPr>
                <w:rFonts w:ascii="Arial"/>
                <w:color w:val="auto"/>
                <w:highlight w:val="none"/>
              </w:rPr>
            </w:pPr>
          </w:p>
        </w:tc>
        <w:tc>
          <w:tcPr>
            <w:tcW w:w="3543" w:type="dxa"/>
          </w:tcPr>
          <w:p w14:paraId="3F5FCD27">
            <w:pPr>
              <w:pStyle w:val="248"/>
              <w:spacing w:before="64" w:line="219" w:lineRule="auto"/>
              <w:ind w:left="109"/>
              <w:rPr>
                <w:color w:val="auto"/>
                <w:highlight w:val="none"/>
              </w:rPr>
            </w:pPr>
            <w:r>
              <w:rPr>
                <w:color w:val="auto"/>
                <w:spacing w:val="-1"/>
                <w:highlight w:val="none"/>
              </w:rPr>
              <w:t>HJ571人造板及其制品</w:t>
            </w:r>
          </w:p>
        </w:tc>
      </w:tr>
      <w:tr w14:paraId="5C32C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61E19BB0">
            <w:pPr>
              <w:rPr>
                <w:rFonts w:ascii="Arial"/>
                <w:color w:val="auto"/>
                <w:highlight w:val="none"/>
              </w:rPr>
            </w:pPr>
          </w:p>
        </w:tc>
        <w:tc>
          <w:tcPr>
            <w:tcW w:w="1542" w:type="dxa"/>
            <w:vMerge w:val="continue"/>
            <w:tcBorders>
              <w:top w:val="nil"/>
              <w:bottom w:val="nil"/>
            </w:tcBorders>
          </w:tcPr>
          <w:p w14:paraId="16DE8624">
            <w:pPr>
              <w:rPr>
                <w:rFonts w:ascii="Arial"/>
                <w:color w:val="auto"/>
                <w:highlight w:val="none"/>
              </w:rPr>
            </w:pPr>
          </w:p>
        </w:tc>
        <w:tc>
          <w:tcPr>
            <w:tcW w:w="2672" w:type="dxa"/>
          </w:tcPr>
          <w:p w14:paraId="3A6BFE2D">
            <w:pPr>
              <w:pStyle w:val="248"/>
              <w:spacing w:before="68" w:line="219" w:lineRule="auto"/>
              <w:ind w:left="103"/>
              <w:rPr>
                <w:color w:val="auto"/>
                <w:highlight w:val="none"/>
              </w:rPr>
            </w:pPr>
            <w:r>
              <w:rPr>
                <w:color w:val="auto"/>
                <w:spacing w:val="-1"/>
                <w:highlight w:val="none"/>
              </w:rPr>
              <w:t>A10020304细木工板</w:t>
            </w:r>
          </w:p>
        </w:tc>
        <w:tc>
          <w:tcPr>
            <w:tcW w:w="2248" w:type="dxa"/>
          </w:tcPr>
          <w:p w14:paraId="4C256A19">
            <w:pPr>
              <w:rPr>
                <w:rFonts w:ascii="Arial"/>
                <w:color w:val="auto"/>
                <w:highlight w:val="none"/>
              </w:rPr>
            </w:pPr>
          </w:p>
        </w:tc>
        <w:tc>
          <w:tcPr>
            <w:tcW w:w="3543" w:type="dxa"/>
          </w:tcPr>
          <w:p w14:paraId="65572D65">
            <w:pPr>
              <w:pStyle w:val="248"/>
              <w:spacing w:before="67" w:line="219" w:lineRule="auto"/>
              <w:ind w:left="109"/>
              <w:rPr>
                <w:color w:val="auto"/>
                <w:highlight w:val="none"/>
              </w:rPr>
            </w:pPr>
            <w:r>
              <w:rPr>
                <w:color w:val="auto"/>
                <w:spacing w:val="-1"/>
                <w:highlight w:val="none"/>
              </w:rPr>
              <w:t>HJ571人造板及其制品</w:t>
            </w:r>
          </w:p>
        </w:tc>
      </w:tr>
      <w:tr w14:paraId="5A267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tcPr>
          <w:p w14:paraId="1ADC70B7">
            <w:pPr>
              <w:rPr>
                <w:rFonts w:ascii="Arial"/>
                <w:color w:val="auto"/>
                <w:highlight w:val="none"/>
              </w:rPr>
            </w:pPr>
          </w:p>
        </w:tc>
        <w:tc>
          <w:tcPr>
            <w:tcW w:w="1542" w:type="dxa"/>
            <w:vMerge w:val="continue"/>
            <w:tcBorders>
              <w:top w:val="nil"/>
            </w:tcBorders>
          </w:tcPr>
          <w:p w14:paraId="74AF02D3">
            <w:pPr>
              <w:rPr>
                <w:rFonts w:ascii="Arial"/>
                <w:color w:val="auto"/>
                <w:highlight w:val="none"/>
              </w:rPr>
            </w:pPr>
          </w:p>
        </w:tc>
        <w:tc>
          <w:tcPr>
            <w:tcW w:w="2672" w:type="dxa"/>
          </w:tcPr>
          <w:p w14:paraId="2426CC8D">
            <w:pPr>
              <w:pStyle w:val="248"/>
              <w:spacing w:before="65" w:line="219" w:lineRule="auto"/>
              <w:ind w:left="103"/>
              <w:rPr>
                <w:color w:val="auto"/>
                <w:highlight w:val="none"/>
              </w:rPr>
            </w:pPr>
            <w:r>
              <w:rPr>
                <w:color w:val="auto"/>
                <w:spacing w:val="-1"/>
                <w:highlight w:val="none"/>
              </w:rPr>
              <w:t>A10020399其他人造板</w:t>
            </w:r>
          </w:p>
        </w:tc>
        <w:tc>
          <w:tcPr>
            <w:tcW w:w="2248" w:type="dxa"/>
          </w:tcPr>
          <w:p w14:paraId="53330D90">
            <w:pPr>
              <w:rPr>
                <w:rFonts w:ascii="Arial"/>
                <w:color w:val="auto"/>
                <w:highlight w:val="none"/>
              </w:rPr>
            </w:pPr>
          </w:p>
        </w:tc>
        <w:tc>
          <w:tcPr>
            <w:tcW w:w="3543" w:type="dxa"/>
          </w:tcPr>
          <w:p w14:paraId="5141B470">
            <w:pPr>
              <w:pStyle w:val="248"/>
              <w:spacing w:before="64" w:line="219" w:lineRule="auto"/>
              <w:ind w:left="109"/>
              <w:rPr>
                <w:color w:val="auto"/>
                <w:highlight w:val="none"/>
              </w:rPr>
            </w:pPr>
            <w:r>
              <w:rPr>
                <w:color w:val="auto"/>
                <w:spacing w:val="-1"/>
                <w:highlight w:val="none"/>
              </w:rPr>
              <w:t>HJ571人造板及其制品</w:t>
            </w:r>
          </w:p>
        </w:tc>
      </w:tr>
      <w:tr w14:paraId="4F168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83" w:type="dxa"/>
            <w:vMerge w:val="restart"/>
            <w:tcBorders>
              <w:bottom w:val="nil"/>
            </w:tcBorders>
          </w:tcPr>
          <w:p w14:paraId="7DC7A542">
            <w:pPr>
              <w:pStyle w:val="248"/>
              <w:spacing w:before="65"/>
              <w:ind w:left="118"/>
              <w:rPr>
                <w:color w:val="auto"/>
                <w:highlight w:val="none"/>
              </w:rPr>
            </w:pPr>
            <w:r>
              <w:rPr>
                <w:color w:val="auto"/>
                <w:spacing w:val="-5"/>
                <w:highlight w:val="none"/>
              </w:rPr>
              <w:t>33</w:t>
            </w:r>
          </w:p>
        </w:tc>
        <w:tc>
          <w:tcPr>
            <w:tcW w:w="1542" w:type="dxa"/>
            <w:vMerge w:val="restart"/>
            <w:tcBorders>
              <w:bottom w:val="nil"/>
            </w:tcBorders>
          </w:tcPr>
          <w:p w14:paraId="06E86AF9">
            <w:pPr>
              <w:pStyle w:val="248"/>
              <w:spacing w:before="64" w:line="321" w:lineRule="auto"/>
              <w:ind w:left="109" w:right="108" w:hanging="7"/>
              <w:rPr>
                <w:color w:val="auto"/>
                <w:highlight w:val="none"/>
              </w:rPr>
            </w:pPr>
            <w:r>
              <w:rPr>
                <w:color w:val="auto"/>
                <w:spacing w:val="3"/>
                <w:highlight w:val="none"/>
              </w:rPr>
              <w:t>A100204二次加</w:t>
            </w:r>
            <w:r>
              <w:rPr>
                <w:color w:val="auto"/>
                <w:spacing w:val="-2"/>
                <w:highlight w:val="none"/>
              </w:rPr>
              <w:t>工材,相关板材</w:t>
            </w:r>
          </w:p>
        </w:tc>
        <w:tc>
          <w:tcPr>
            <w:tcW w:w="2672" w:type="dxa"/>
          </w:tcPr>
          <w:p w14:paraId="3E7D70DE">
            <w:pPr>
              <w:pStyle w:val="248"/>
              <w:spacing w:before="65" w:line="219" w:lineRule="auto"/>
              <w:ind w:left="103"/>
              <w:rPr>
                <w:color w:val="auto"/>
                <w:highlight w:val="none"/>
              </w:rPr>
            </w:pPr>
            <w:r>
              <w:rPr>
                <w:color w:val="auto"/>
                <w:spacing w:val="-1"/>
                <w:highlight w:val="none"/>
              </w:rPr>
              <w:t>A10020404人造板表面装饰板</w:t>
            </w:r>
          </w:p>
        </w:tc>
        <w:tc>
          <w:tcPr>
            <w:tcW w:w="2248" w:type="dxa"/>
          </w:tcPr>
          <w:p w14:paraId="6E62983F">
            <w:pPr>
              <w:rPr>
                <w:rFonts w:ascii="Arial"/>
                <w:color w:val="auto"/>
                <w:highlight w:val="none"/>
              </w:rPr>
            </w:pPr>
          </w:p>
        </w:tc>
        <w:tc>
          <w:tcPr>
            <w:tcW w:w="3543" w:type="dxa"/>
          </w:tcPr>
          <w:p w14:paraId="531EF774">
            <w:pPr>
              <w:pStyle w:val="248"/>
              <w:spacing w:before="64" w:line="219" w:lineRule="auto"/>
              <w:ind w:left="109"/>
              <w:rPr>
                <w:color w:val="auto"/>
                <w:highlight w:val="none"/>
              </w:rPr>
            </w:pPr>
            <w:r>
              <w:rPr>
                <w:color w:val="auto"/>
                <w:spacing w:val="-1"/>
                <w:highlight w:val="none"/>
              </w:rPr>
              <w:t>HJ571人造板及其制品/HJ2540木塑制品</w:t>
            </w:r>
          </w:p>
        </w:tc>
      </w:tr>
      <w:tr w14:paraId="41199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Merge w:val="continue"/>
            <w:tcBorders>
              <w:top w:val="nil"/>
            </w:tcBorders>
          </w:tcPr>
          <w:p w14:paraId="2DE2F24A">
            <w:pPr>
              <w:rPr>
                <w:rFonts w:ascii="Arial"/>
                <w:color w:val="auto"/>
                <w:highlight w:val="none"/>
              </w:rPr>
            </w:pPr>
          </w:p>
        </w:tc>
        <w:tc>
          <w:tcPr>
            <w:tcW w:w="1542" w:type="dxa"/>
            <w:vMerge w:val="continue"/>
            <w:tcBorders>
              <w:top w:val="nil"/>
            </w:tcBorders>
          </w:tcPr>
          <w:p w14:paraId="0674D6F5">
            <w:pPr>
              <w:rPr>
                <w:rFonts w:ascii="Arial"/>
                <w:color w:val="auto"/>
                <w:highlight w:val="none"/>
              </w:rPr>
            </w:pPr>
          </w:p>
        </w:tc>
        <w:tc>
          <w:tcPr>
            <w:tcW w:w="2672" w:type="dxa"/>
          </w:tcPr>
          <w:p w14:paraId="17ACC970">
            <w:pPr>
              <w:pStyle w:val="248"/>
              <w:spacing w:before="67" w:line="284" w:lineRule="auto"/>
              <w:ind w:left="113" w:right="107" w:hanging="10"/>
              <w:rPr>
                <w:color w:val="auto"/>
                <w:highlight w:val="none"/>
              </w:rPr>
            </w:pPr>
            <w:r>
              <w:rPr>
                <w:color w:val="auto"/>
                <w:spacing w:val="5"/>
                <w:highlight w:val="none"/>
              </w:rPr>
              <w:t>A10020404人造板表面装饰板</w:t>
            </w:r>
            <w:r>
              <w:rPr>
                <w:color w:val="auto"/>
                <w:spacing w:val="-3"/>
                <w:highlight w:val="none"/>
              </w:rPr>
              <w:t>（地板）</w:t>
            </w:r>
          </w:p>
        </w:tc>
        <w:tc>
          <w:tcPr>
            <w:tcW w:w="2248" w:type="dxa"/>
          </w:tcPr>
          <w:p w14:paraId="537D9AA3">
            <w:pPr>
              <w:rPr>
                <w:rFonts w:ascii="Arial"/>
                <w:color w:val="auto"/>
                <w:highlight w:val="none"/>
              </w:rPr>
            </w:pPr>
          </w:p>
        </w:tc>
        <w:tc>
          <w:tcPr>
            <w:tcW w:w="3543" w:type="dxa"/>
          </w:tcPr>
          <w:p w14:paraId="4AA8815C">
            <w:pPr>
              <w:pStyle w:val="248"/>
              <w:spacing w:before="67" w:line="219" w:lineRule="auto"/>
              <w:ind w:left="109"/>
              <w:rPr>
                <w:color w:val="auto"/>
                <w:highlight w:val="none"/>
              </w:rPr>
            </w:pPr>
            <w:r>
              <w:rPr>
                <w:color w:val="auto"/>
                <w:spacing w:val="-1"/>
                <w:highlight w:val="none"/>
              </w:rPr>
              <w:t>HJ571人造板及其制品/HJ2540木塑制品</w:t>
            </w:r>
          </w:p>
        </w:tc>
      </w:tr>
      <w:tr w14:paraId="350DE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3325ACD8">
            <w:pPr>
              <w:pStyle w:val="248"/>
              <w:spacing w:before="65"/>
              <w:ind w:left="118"/>
              <w:rPr>
                <w:color w:val="auto"/>
                <w:highlight w:val="none"/>
              </w:rPr>
            </w:pPr>
            <w:r>
              <w:rPr>
                <w:color w:val="auto"/>
                <w:spacing w:val="-5"/>
                <w:highlight w:val="none"/>
              </w:rPr>
              <w:t>34</w:t>
            </w:r>
          </w:p>
        </w:tc>
        <w:tc>
          <w:tcPr>
            <w:tcW w:w="1542" w:type="dxa"/>
          </w:tcPr>
          <w:p w14:paraId="7C5CD320">
            <w:pPr>
              <w:pStyle w:val="248"/>
              <w:spacing w:before="66" w:line="283" w:lineRule="auto"/>
              <w:ind w:left="107" w:right="108" w:hanging="5"/>
              <w:rPr>
                <w:color w:val="auto"/>
                <w:highlight w:val="none"/>
              </w:rPr>
            </w:pPr>
            <w:r>
              <w:rPr>
                <w:color w:val="auto"/>
                <w:spacing w:val="3"/>
                <w:highlight w:val="none"/>
              </w:rPr>
              <w:t>A100301水泥熟</w:t>
            </w:r>
            <w:r>
              <w:rPr>
                <w:color w:val="auto"/>
                <w:spacing w:val="-2"/>
                <w:highlight w:val="none"/>
              </w:rPr>
              <w:t>料及水泥</w:t>
            </w:r>
          </w:p>
        </w:tc>
        <w:tc>
          <w:tcPr>
            <w:tcW w:w="2672" w:type="dxa"/>
          </w:tcPr>
          <w:p w14:paraId="432F2795">
            <w:pPr>
              <w:pStyle w:val="248"/>
              <w:spacing w:before="65" w:line="220" w:lineRule="auto"/>
              <w:ind w:left="103"/>
              <w:rPr>
                <w:color w:val="auto"/>
                <w:highlight w:val="none"/>
              </w:rPr>
            </w:pPr>
            <w:r>
              <w:rPr>
                <w:color w:val="auto"/>
                <w:spacing w:val="-1"/>
                <w:highlight w:val="none"/>
              </w:rPr>
              <w:t>A10030102水泥</w:t>
            </w:r>
          </w:p>
        </w:tc>
        <w:tc>
          <w:tcPr>
            <w:tcW w:w="2248" w:type="dxa"/>
          </w:tcPr>
          <w:p w14:paraId="4798D6C4">
            <w:pPr>
              <w:rPr>
                <w:rFonts w:ascii="Arial"/>
                <w:color w:val="auto"/>
                <w:highlight w:val="none"/>
              </w:rPr>
            </w:pPr>
          </w:p>
        </w:tc>
        <w:tc>
          <w:tcPr>
            <w:tcW w:w="3543" w:type="dxa"/>
          </w:tcPr>
          <w:p w14:paraId="359C0B4F">
            <w:pPr>
              <w:pStyle w:val="248"/>
              <w:spacing w:before="64" w:line="219" w:lineRule="auto"/>
              <w:ind w:left="109"/>
              <w:rPr>
                <w:color w:val="auto"/>
                <w:highlight w:val="none"/>
              </w:rPr>
            </w:pPr>
            <w:r>
              <w:rPr>
                <w:color w:val="auto"/>
                <w:spacing w:val="-1"/>
                <w:highlight w:val="none"/>
              </w:rPr>
              <w:t>HJ2519水泥</w:t>
            </w:r>
          </w:p>
        </w:tc>
      </w:tr>
      <w:tr w14:paraId="0319F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2F123F7B">
            <w:pPr>
              <w:pStyle w:val="248"/>
              <w:spacing w:before="66"/>
              <w:ind w:left="118"/>
              <w:rPr>
                <w:color w:val="auto"/>
                <w:highlight w:val="none"/>
              </w:rPr>
            </w:pPr>
            <w:r>
              <w:rPr>
                <w:color w:val="auto"/>
                <w:spacing w:val="-5"/>
                <w:highlight w:val="none"/>
              </w:rPr>
              <w:t>35</w:t>
            </w:r>
          </w:p>
        </w:tc>
        <w:tc>
          <w:tcPr>
            <w:tcW w:w="1542" w:type="dxa"/>
          </w:tcPr>
          <w:p w14:paraId="6F36BBA3">
            <w:pPr>
              <w:pStyle w:val="248"/>
              <w:spacing w:before="66" w:line="283" w:lineRule="auto"/>
              <w:ind w:left="106" w:right="108" w:hanging="4"/>
              <w:rPr>
                <w:color w:val="auto"/>
                <w:highlight w:val="none"/>
              </w:rPr>
            </w:pPr>
            <w:r>
              <w:rPr>
                <w:color w:val="auto"/>
                <w:spacing w:val="3"/>
                <w:highlight w:val="none"/>
              </w:rPr>
              <w:t>A100303水泥混</w:t>
            </w:r>
            <w:r>
              <w:rPr>
                <w:color w:val="auto"/>
                <w:spacing w:val="-2"/>
                <w:highlight w:val="none"/>
              </w:rPr>
              <w:t>凝土制品</w:t>
            </w:r>
          </w:p>
        </w:tc>
        <w:tc>
          <w:tcPr>
            <w:tcW w:w="2672" w:type="dxa"/>
          </w:tcPr>
          <w:p w14:paraId="543BBA53">
            <w:pPr>
              <w:pStyle w:val="248"/>
              <w:spacing w:before="65" w:line="221" w:lineRule="auto"/>
              <w:ind w:left="103"/>
              <w:rPr>
                <w:color w:val="auto"/>
                <w:highlight w:val="none"/>
              </w:rPr>
            </w:pPr>
            <w:r>
              <w:rPr>
                <w:color w:val="auto"/>
                <w:spacing w:val="-1"/>
                <w:highlight w:val="none"/>
              </w:rPr>
              <w:t>A10030301商品混凝土</w:t>
            </w:r>
          </w:p>
        </w:tc>
        <w:tc>
          <w:tcPr>
            <w:tcW w:w="2248" w:type="dxa"/>
          </w:tcPr>
          <w:p w14:paraId="6C36D5CE">
            <w:pPr>
              <w:rPr>
                <w:rFonts w:ascii="Arial"/>
                <w:color w:val="auto"/>
                <w:highlight w:val="none"/>
              </w:rPr>
            </w:pPr>
          </w:p>
        </w:tc>
        <w:tc>
          <w:tcPr>
            <w:tcW w:w="3543" w:type="dxa"/>
          </w:tcPr>
          <w:p w14:paraId="67C23F5B">
            <w:pPr>
              <w:pStyle w:val="248"/>
              <w:spacing w:before="65" w:line="219" w:lineRule="auto"/>
              <w:ind w:left="109"/>
              <w:rPr>
                <w:color w:val="auto"/>
                <w:highlight w:val="none"/>
              </w:rPr>
            </w:pPr>
            <w:r>
              <w:rPr>
                <w:color w:val="auto"/>
                <w:spacing w:val="-1"/>
                <w:highlight w:val="none"/>
              </w:rPr>
              <w:t>HJ/T412预拌混凝土</w:t>
            </w:r>
          </w:p>
        </w:tc>
      </w:tr>
      <w:tr w14:paraId="10105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24F4CC5C">
            <w:pPr>
              <w:pStyle w:val="248"/>
              <w:spacing w:before="66"/>
              <w:ind w:left="118"/>
              <w:rPr>
                <w:color w:val="auto"/>
                <w:highlight w:val="none"/>
              </w:rPr>
            </w:pPr>
            <w:r>
              <w:rPr>
                <w:color w:val="auto"/>
                <w:spacing w:val="-5"/>
                <w:highlight w:val="none"/>
              </w:rPr>
              <w:t>36</w:t>
            </w:r>
          </w:p>
        </w:tc>
        <w:tc>
          <w:tcPr>
            <w:tcW w:w="1542" w:type="dxa"/>
            <w:vMerge w:val="restart"/>
            <w:tcBorders>
              <w:bottom w:val="nil"/>
            </w:tcBorders>
          </w:tcPr>
          <w:p w14:paraId="4724DBE3">
            <w:pPr>
              <w:pStyle w:val="248"/>
              <w:spacing w:before="66" w:line="322" w:lineRule="auto"/>
              <w:ind w:left="111" w:right="108" w:hanging="9"/>
              <w:rPr>
                <w:color w:val="auto"/>
                <w:highlight w:val="none"/>
              </w:rPr>
            </w:pPr>
            <w:r>
              <w:rPr>
                <w:color w:val="auto"/>
                <w:spacing w:val="3"/>
                <w:highlight w:val="none"/>
              </w:rPr>
              <w:t>A100304纤维增</w:t>
            </w:r>
            <w:r>
              <w:rPr>
                <w:color w:val="auto"/>
                <w:spacing w:val="-2"/>
                <w:highlight w:val="none"/>
              </w:rPr>
              <w:t>强水泥制品</w:t>
            </w:r>
          </w:p>
        </w:tc>
        <w:tc>
          <w:tcPr>
            <w:tcW w:w="2672" w:type="dxa"/>
          </w:tcPr>
          <w:p w14:paraId="50C51EA1">
            <w:pPr>
              <w:pStyle w:val="248"/>
              <w:spacing w:before="66" w:line="219" w:lineRule="auto"/>
              <w:ind w:left="103"/>
              <w:rPr>
                <w:color w:val="auto"/>
                <w:highlight w:val="none"/>
              </w:rPr>
            </w:pPr>
            <w:r>
              <w:rPr>
                <w:color w:val="auto"/>
                <w:spacing w:val="-1"/>
                <w:highlight w:val="none"/>
              </w:rPr>
              <w:t>A10030402纤维增强硅酸钙板</w:t>
            </w:r>
          </w:p>
        </w:tc>
        <w:tc>
          <w:tcPr>
            <w:tcW w:w="2248" w:type="dxa"/>
          </w:tcPr>
          <w:p w14:paraId="6404B0DA">
            <w:pPr>
              <w:rPr>
                <w:rFonts w:ascii="Arial"/>
                <w:color w:val="auto"/>
                <w:highlight w:val="none"/>
              </w:rPr>
            </w:pPr>
          </w:p>
        </w:tc>
        <w:tc>
          <w:tcPr>
            <w:tcW w:w="3543" w:type="dxa"/>
          </w:tcPr>
          <w:p w14:paraId="1FE00D79">
            <w:pPr>
              <w:pStyle w:val="248"/>
              <w:spacing w:before="66" w:line="219" w:lineRule="auto"/>
              <w:ind w:left="109"/>
              <w:rPr>
                <w:color w:val="auto"/>
                <w:highlight w:val="none"/>
              </w:rPr>
            </w:pPr>
            <w:r>
              <w:rPr>
                <w:color w:val="auto"/>
                <w:spacing w:val="-1"/>
                <w:highlight w:val="none"/>
              </w:rPr>
              <w:t>HJ/T223轻质墙体板材</w:t>
            </w:r>
          </w:p>
        </w:tc>
      </w:tr>
      <w:tr w14:paraId="42B60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tcPr>
          <w:p w14:paraId="6133625A">
            <w:pPr>
              <w:rPr>
                <w:rFonts w:ascii="Arial"/>
                <w:color w:val="auto"/>
                <w:highlight w:val="none"/>
              </w:rPr>
            </w:pPr>
          </w:p>
        </w:tc>
        <w:tc>
          <w:tcPr>
            <w:tcW w:w="1542" w:type="dxa"/>
            <w:vMerge w:val="continue"/>
            <w:tcBorders>
              <w:top w:val="nil"/>
            </w:tcBorders>
          </w:tcPr>
          <w:p w14:paraId="35109E23">
            <w:pPr>
              <w:rPr>
                <w:rFonts w:ascii="Arial"/>
                <w:color w:val="auto"/>
                <w:highlight w:val="none"/>
              </w:rPr>
            </w:pPr>
          </w:p>
        </w:tc>
        <w:tc>
          <w:tcPr>
            <w:tcW w:w="2672" w:type="dxa"/>
          </w:tcPr>
          <w:p w14:paraId="5E27A485">
            <w:pPr>
              <w:pStyle w:val="248"/>
              <w:spacing w:before="66" w:line="220" w:lineRule="auto"/>
              <w:ind w:left="103"/>
              <w:rPr>
                <w:color w:val="auto"/>
                <w:highlight w:val="none"/>
              </w:rPr>
            </w:pPr>
            <w:r>
              <w:rPr>
                <w:color w:val="auto"/>
                <w:spacing w:val="-1"/>
                <w:highlight w:val="none"/>
              </w:rPr>
              <w:t>A10030403无石棉纤维水泥制品</w:t>
            </w:r>
          </w:p>
        </w:tc>
        <w:tc>
          <w:tcPr>
            <w:tcW w:w="2248" w:type="dxa"/>
          </w:tcPr>
          <w:p w14:paraId="210F1986">
            <w:pPr>
              <w:rPr>
                <w:rFonts w:ascii="Arial"/>
                <w:color w:val="auto"/>
                <w:highlight w:val="none"/>
              </w:rPr>
            </w:pPr>
          </w:p>
        </w:tc>
        <w:tc>
          <w:tcPr>
            <w:tcW w:w="3543" w:type="dxa"/>
          </w:tcPr>
          <w:p w14:paraId="57E9FFC4">
            <w:pPr>
              <w:pStyle w:val="248"/>
              <w:spacing w:before="66" w:line="219" w:lineRule="auto"/>
              <w:ind w:left="109"/>
              <w:rPr>
                <w:color w:val="auto"/>
                <w:highlight w:val="none"/>
              </w:rPr>
            </w:pPr>
            <w:r>
              <w:rPr>
                <w:color w:val="auto"/>
                <w:spacing w:val="-1"/>
                <w:highlight w:val="none"/>
              </w:rPr>
              <w:t>HJ/T223轻质墙体板材</w:t>
            </w:r>
          </w:p>
        </w:tc>
      </w:tr>
      <w:tr w14:paraId="20B6F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25455C88">
            <w:pPr>
              <w:pStyle w:val="248"/>
              <w:spacing w:before="67"/>
              <w:ind w:left="118"/>
              <w:rPr>
                <w:color w:val="auto"/>
                <w:highlight w:val="none"/>
              </w:rPr>
            </w:pPr>
            <w:r>
              <w:rPr>
                <w:color w:val="auto"/>
                <w:spacing w:val="-5"/>
                <w:highlight w:val="none"/>
              </w:rPr>
              <w:t>37</w:t>
            </w:r>
          </w:p>
        </w:tc>
        <w:tc>
          <w:tcPr>
            <w:tcW w:w="1542" w:type="dxa"/>
            <w:vMerge w:val="restart"/>
            <w:tcBorders>
              <w:bottom w:val="nil"/>
            </w:tcBorders>
          </w:tcPr>
          <w:p w14:paraId="03C845A8">
            <w:pPr>
              <w:pStyle w:val="248"/>
              <w:spacing w:before="66" w:line="322" w:lineRule="auto"/>
              <w:ind w:left="109" w:right="108" w:hanging="7"/>
              <w:rPr>
                <w:color w:val="auto"/>
                <w:highlight w:val="none"/>
              </w:rPr>
            </w:pPr>
            <w:r>
              <w:rPr>
                <w:color w:val="auto"/>
                <w:spacing w:val="3"/>
                <w:highlight w:val="none"/>
              </w:rPr>
              <w:t>A100305轻质建</w:t>
            </w:r>
            <w:r>
              <w:rPr>
                <w:color w:val="auto"/>
                <w:spacing w:val="-2"/>
                <w:highlight w:val="none"/>
              </w:rPr>
              <w:t>筑材料及制品</w:t>
            </w:r>
          </w:p>
        </w:tc>
        <w:tc>
          <w:tcPr>
            <w:tcW w:w="2672" w:type="dxa"/>
          </w:tcPr>
          <w:p w14:paraId="1334D9D4">
            <w:pPr>
              <w:pStyle w:val="248"/>
              <w:spacing w:before="67" w:line="219" w:lineRule="auto"/>
              <w:ind w:left="103"/>
              <w:rPr>
                <w:color w:val="auto"/>
                <w:highlight w:val="none"/>
              </w:rPr>
            </w:pPr>
            <w:r>
              <w:rPr>
                <w:color w:val="auto"/>
                <w:spacing w:val="-1"/>
                <w:highlight w:val="none"/>
              </w:rPr>
              <w:t>A10030501石膏板</w:t>
            </w:r>
          </w:p>
        </w:tc>
        <w:tc>
          <w:tcPr>
            <w:tcW w:w="2248" w:type="dxa"/>
          </w:tcPr>
          <w:p w14:paraId="6D9B87FD">
            <w:pPr>
              <w:rPr>
                <w:rFonts w:ascii="Arial"/>
                <w:color w:val="auto"/>
                <w:highlight w:val="none"/>
              </w:rPr>
            </w:pPr>
          </w:p>
        </w:tc>
        <w:tc>
          <w:tcPr>
            <w:tcW w:w="3543" w:type="dxa"/>
          </w:tcPr>
          <w:p w14:paraId="0A67E802">
            <w:pPr>
              <w:pStyle w:val="248"/>
              <w:spacing w:before="66" w:line="219" w:lineRule="auto"/>
              <w:ind w:left="109"/>
              <w:rPr>
                <w:color w:val="auto"/>
                <w:highlight w:val="none"/>
              </w:rPr>
            </w:pPr>
            <w:r>
              <w:rPr>
                <w:color w:val="auto"/>
                <w:spacing w:val="-1"/>
                <w:highlight w:val="none"/>
              </w:rPr>
              <w:t>HJ/T223轻质墙体板材</w:t>
            </w:r>
          </w:p>
        </w:tc>
      </w:tr>
      <w:tr w14:paraId="6C442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583" w:type="dxa"/>
            <w:vMerge w:val="continue"/>
            <w:tcBorders>
              <w:top w:val="nil"/>
            </w:tcBorders>
          </w:tcPr>
          <w:p w14:paraId="69619123">
            <w:pPr>
              <w:rPr>
                <w:rFonts w:ascii="Arial"/>
                <w:color w:val="auto"/>
                <w:highlight w:val="none"/>
              </w:rPr>
            </w:pPr>
          </w:p>
        </w:tc>
        <w:tc>
          <w:tcPr>
            <w:tcW w:w="1542" w:type="dxa"/>
            <w:vMerge w:val="continue"/>
            <w:tcBorders>
              <w:top w:val="nil"/>
            </w:tcBorders>
          </w:tcPr>
          <w:p w14:paraId="3075A8EB">
            <w:pPr>
              <w:rPr>
                <w:rFonts w:ascii="Arial"/>
                <w:color w:val="auto"/>
                <w:highlight w:val="none"/>
              </w:rPr>
            </w:pPr>
          </w:p>
        </w:tc>
        <w:tc>
          <w:tcPr>
            <w:tcW w:w="2672" w:type="dxa"/>
          </w:tcPr>
          <w:p w14:paraId="1BA5734D">
            <w:pPr>
              <w:pStyle w:val="248"/>
              <w:spacing w:before="66" w:line="219" w:lineRule="auto"/>
              <w:ind w:left="103"/>
              <w:rPr>
                <w:color w:val="auto"/>
                <w:highlight w:val="none"/>
              </w:rPr>
            </w:pPr>
            <w:r>
              <w:rPr>
                <w:color w:val="auto"/>
                <w:spacing w:val="-1"/>
                <w:highlight w:val="none"/>
              </w:rPr>
              <w:t>A10030503轻质隔墙条板</w:t>
            </w:r>
          </w:p>
        </w:tc>
        <w:tc>
          <w:tcPr>
            <w:tcW w:w="2248" w:type="dxa"/>
          </w:tcPr>
          <w:p w14:paraId="32D36A4E">
            <w:pPr>
              <w:rPr>
                <w:rFonts w:ascii="Arial"/>
                <w:color w:val="auto"/>
                <w:highlight w:val="none"/>
              </w:rPr>
            </w:pPr>
          </w:p>
        </w:tc>
        <w:tc>
          <w:tcPr>
            <w:tcW w:w="3543" w:type="dxa"/>
          </w:tcPr>
          <w:p w14:paraId="01AF24D3">
            <w:pPr>
              <w:pStyle w:val="248"/>
              <w:spacing w:before="66" w:line="219" w:lineRule="auto"/>
              <w:ind w:left="109"/>
              <w:rPr>
                <w:color w:val="auto"/>
                <w:highlight w:val="none"/>
              </w:rPr>
            </w:pPr>
            <w:r>
              <w:rPr>
                <w:color w:val="auto"/>
                <w:spacing w:val="-1"/>
                <w:highlight w:val="none"/>
              </w:rPr>
              <w:t>HJ/T223轻质墙体板材</w:t>
            </w:r>
          </w:p>
        </w:tc>
      </w:tr>
      <w:tr w14:paraId="4EB41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tcPr>
          <w:p w14:paraId="6FDA0E30">
            <w:pPr>
              <w:pStyle w:val="248"/>
              <w:spacing w:before="67"/>
              <w:ind w:left="118"/>
              <w:rPr>
                <w:color w:val="auto"/>
                <w:highlight w:val="none"/>
              </w:rPr>
            </w:pPr>
            <w:r>
              <w:rPr>
                <w:color w:val="auto"/>
                <w:spacing w:val="-5"/>
                <w:highlight w:val="none"/>
              </w:rPr>
              <w:t>38</w:t>
            </w:r>
          </w:p>
        </w:tc>
        <w:tc>
          <w:tcPr>
            <w:tcW w:w="1542" w:type="dxa"/>
            <w:vMerge w:val="restart"/>
            <w:tcBorders>
              <w:bottom w:val="nil"/>
            </w:tcBorders>
          </w:tcPr>
          <w:p w14:paraId="7F7D57A4">
            <w:pPr>
              <w:pStyle w:val="248"/>
              <w:spacing w:before="67" w:line="322" w:lineRule="auto"/>
              <w:ind w:left="111" w:right="108" w:hanging="9"/>
              <w:rPr>
                <w:color w:val="auto"/>
                <w:highlight w:val="none"/>
              </w:rPr>
            </w:pPr>
            <w:r>
              <w:rPr>
                <w:color w:val="auto"/>
                <w:spacing w:val="-1"/>
                <w:highlight w:val="none"/>
              </w:rPr>
              <w:t>A100307建筑陶</w:t>
            </w:r>
            <w:r>
              <w:rPr>
                <w:color w:val="auto"/>
                <w:spacing w:val="-3"/>
                <w:highlight w:val="none"/>
              </w:rPr>
              <w:t>瓷制品</w:t>
            </w:r>
          </w:p>
        </w:tc>
        <w:tc>
          <w:tcPr>
            <w:tcW w:w="2672" w:type="dxa"/>
          </w:tcPr>
          <w:p w14:paraId="36D43795">
            <w:pPr>
              <w:pStyle w:val="248"/>
              <w:spacing w:before="66" w:line="221" w:lineRule="auto"/>
              <w:ind w:left="103"/>
              <w:rPr>
                <w:color w:val="auto"/>
                <w:highlight w:val="none"/>
              </w:rPr>
            </w:pPr>
            <w:r>
              <w:rPr>
                <w:color w:val="auto"/>
                <w:spacing w:val="-1"/>
                <w:highlight w:val="none"/>
              </w:rPr>
              <w:t>A10030701瓷质砖</w:t>
            </w:r>
          </w:p>
        </w:tc>
        <w:tc>
          <w:tcPr>
            <w:tcW w:w="2248" w:type="dxa"/>
          </w:tcPr>
          <w:p w14:paraId="658C51D0">
            <w:pPr>
              <w:rPr>
                <w:rFonts w:ascii="Arial"/>
                <w:color w:val="auto"/>
                <w:highlight w:val="none"/>
              </w:rPr>
            </w:pPr>
          </w:p>
        </w:tc>
        <w:tc>
          <w:tcPr>
            <w:tcW w:w="3543" w:type="dxa"/>
          </w:tcPr>
          <w:p w14:paraId="0B649A21">
            <w:pPr>
              <w:pStyle w:val="248"/>
              <w:spacing w:before="66" w:line="219" w:lineRule="auto"/>
              <w:ind w:left="109"/>
              <w:rPr>
                <w:color w:val="auto"/>
                <w:highlight w:val="none"/>
              </w:rPr>
            </w:pPr>
            <w:r>
              <w:rPr>
                <w:color w:val="auto"/>
                <w:spacing w:val="-2"/>
                <w:highlight w:val="none"/>
              </w:rPr>
              <w:t>HJ/T297陶瓷砖</w:t>
            </w:r>
          </w:p>
        </w:tc>
      </w:tr>
      <w:tr w14:paraId="710CD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12857EE0">
            <w:pPr>
              <w:rPr>
                <w:rFonts w:ascii="Arial"/>
                <w:color w:val="auto"/>
                <w:highlight w:val="none"/>
              </w:rPr>
            </w:pPr>
          </w:p>
        </w:tc>
        <w:tc>
          <w:tcPr>
            <w:tcW w:w="1542" w:type="dxa"/>
            <w:vMerge w:val="continue"/>
            <w:tcBorders>
              <w:top w:val="nil"/>
              <w:bottom w:val="nil"/>
            </w:tcBorders>
          </w:tcPr>
          <w:p w14:paraId="02B53823">
            <w:pPr>
              <w:rPr>
                <w:rFonts w:ascii="Arial"/>
                <w:color w:val="auto"/>
                <w:highlight w:val="none"/>
              </w:rPr>
            </w:pPr>
          </w:p>
        </w:tc>
        <w:tc>
          <w:tcPr>
            <w:tcW w:w="2672" w:type="dxa"/>
          </w:tcPr>
          <w:p w14:paraId="3A832ED1">
            <w:pPr>
              <w:pStyle w:val="248"/>
              <w:spacing w:before="66" w:line="221" w:lineRule="auto"/>
              <w:ind w:left="103"/>
              <w:rPr>
                <w:color w:val="auto"/>
                <w:highlight w:val="none"/>
              </w:rPr>
            </w:pPr>
            <w:r>
              <w:rPr>
                <w:color w:val="auto"/>
                <w:highlight w:val="none"/>
              </w:rPr>
              <w:t>A10030704 炻质砖</w:t>
            </w:r>
          </w:p>
        </w:tc>
        <w:tc>
          <w:tcPr>
            <w:tcW w:w="2248" w:type="dxa"/>
          </w:tcPr>
          <w:p w14:paraId="4BC6DA93">
            <w:pPr>
              <w:rPr>
                <w:rFonts w:ascii="Arial"/>
                <w:color w:val="auto"/>
                <w:highlight w:val="none"/>
              </w:rPr>
            </w:pPr>
          </w:p>
        </w:tc>
        <w:tc>
          <w:tcPr>
            <w:tcW w:w="3543" w:type="dxa"/>
          </w:tcPr>
          <w:p w14:paraId="041EBD02">
            <w:pPr>
              <w:pStyle w:val="248"/>
              <w:spacing w:before="66" w:line="219" w:lineRule="auto"/>
              <w:ind w:left="109"/>
              <w:rPr>
                <w:color w:val="auto"/>
                <w:highlight w:val="none"/>
              </w:rPr>
            </w:pPr>
            <w:r>
              <w:rPr>
                <w:color w:val="auto"/>
                <w:spacing w:val="-2"/>
                <w:highlight w:val="none"/>
              </w:rPr>
              <w:t>HJ/T297陶瓷砖</w:t>
            </w:r>
          </w:p>
        </w:tc>
      </w:tr>
      <w:tr w14:paraId="76DA9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tcPr>
          <w:p w14:paraId="6DCB2461">
            <w:pPr>
              <w:rPr>
                <w:rFonts w:ascii="Arial"/>
                <w:color w:val="auto"/>
                <w:highlight w:val="none"/>
              </w:rPr>
            </w:pPr>
          </w:p>
        </w:tc>
        <w:tc>
          <w:tcPr>
            <w:tcW w:w="1542" w:type="dxa"/>
            <w:vMerge w:val="continue"/>
            <w:tcBorders>
              <w:top w:val="nil"/>
              <w:bottom w:val="nil"/>
            </w:tcBorders>
          </w:tcPr>
          <w:p w14:paraId="4EF41F32">
            <w:pPr>
              <w:rPr>
                <w:rFonts w:ascii="Arial"/>
                <w:color w:val="auto"/>
                <w:highlight w:val="none"/>
              </w:rPr>
            </w:pPr>
          </w:p>
        </w:tc>
        <w:tc>
          <w:tcPr>
            <w:tcW w:w="2672" w:type="dxa"/>
          </w:tcPr>
          <w:p w14:paraId="125748F0">
            <w:pPr>
              <w:pStyle w:val="248"/>
              <w:spacing w:before="66" w:line="221" w:lineRule="auto"/>
              <w:ind w:left="103"/>
              <w:rPr>
                <w:color w:val="auto"/>
                <w:highlight w:val="none"/>
              </w:rPr>
            </w:pPr>
            <w:r>
              <w:rPr>
                <w:color w:val="auto"/>
                <w:spacing w:val="-2"/>
                <w:highlight w:val="none"/>
              </w:rPr>
              <w:t>A10030705陶质砖</w:t>
            </w:r>
          </w:p>
        </w:tc>
        <w:tc>
          <w:tcPr>
            <w:tcW w:w="2248" w:type="dxa"/>
          </w:tcPr>
          <w:p w14:paraId="1B83AEED">
            <w:pPr>
              <w:rPr>
                <w:rFonts w:ascii="Arial"/>
                <w:color w:val="auto"/>
                <w:highlight w:val="none"/>
              </w:rPr>
            </w:pPr>
          </w:p>
        </w:tc>
        <w:tc>
          <w:tcPr>
            <w:tcW w:w="3543" w:type="dxa"/>
          </w:tcPr>
          <w:p w14:paraId="27AD4F77">
            <w:pPr>
              <w:pStyle w:val="248"/>
              <w:spacing w:before="66" w:line="219" w:lineRule="auto"/>
              <w:ind w:left="109"/>
              <w:rPr>
                <w:color w:val="auto"/>
                <w:highlight w:val="none"/>
              </w:rPr>
            </w:pPr>
            <w:r>
              <w:rPr>
                <w:color w:val="auto"/>
                <w:spacing w:val="-2"/>
                <w:highlight w:val="none"/>
              </w:rPr>
              <w:t>HJ/T297陶瓷砖</w:t>
            </w:r>
          </w:p>
        </w:tc>
      </w:tr>
      <w:tr w14:paraId="203A4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tcPr>
          <w:p w14:paraId="72335DC0">
            <w:pPr>
              <w:rPr>
                <w:rFonts w:ascii="Arial"/>
                <w:color w:val="auto"/>
                <w:highlight w:val="none"/>
              </w:rPr>
            </w:pPr>
          </w:p>
        </w:tc>
        <w:tc>
          <w:tcPr>
            <w:tcW w:w="1542" w:type="dxa"/>
            <w:vMerge w:val="continue"/>
            <w:tcBorders>
              <w:top w:val="nil"/>
            </w:tcBorders>
          </w:tcPr>
          <w:p w14:paraId="7E889AFF">
            <w:pPr>
              <w:rPr>
                <w:rFonts w:ascii="Arial"/>
                <w:color w:val="auto"/>
                <w:highlight w:val="none"/>
              </w:rPr>
            </w:pPr>
          </w:p>
        </w:tc>
        <w:tc>
          <w:tcPr>
            <w:tcW w:w="2672" w:type="dxa"/>
          </w:tcPr>
          <w:p w14:paraId="5FBF81D2">
            <w:pPr>
              <w:pStyle w:val="248"/>
              <w:spacing w:before="66" w:line="221" w:lineRule="auto"/>
              <w:ind w:left="103"/>
              <w:rPr>
                <w:color w:val="auto"/>
                <w:highlight w:val="none"/>
              </w:rPr>
            </w:pPr>
            <w:r>
              <w:rPr>
                <w:color w:val="auto"/>
                <w:highlight w:val="none"/>
              </w:rPr>
              <w:t>A10030799 其他建筑陶瓷制品</w:t>
            </w:r>
          </w:p>
        </w:tc>
        <w:tc>
          <w:tcPr>
            <w:tcW w:w="2248" w:type="dxa"/>
          </w:tcPr>
          <w:p w14:paraId="450AF886">
            <w:pPr>
              <w:rPr>
                <w:rFonts w:ascii="Arial"/>
                <w:color w:val="auto"/>
                <w:highlight w:val="none"/>
              </w:rPr>
            </w:pPr>
          </w:p>
        </w:tc>
        <w:tc>
          <w:tcPr>
            <w:tcW w:w="3543" w:type="dxa"/>
          </w:tcPr>
          <w:p w14:paraId="6DF5D7CA">
            <w:pPr>
              <w:pStyle w:val="248"/>
              <w:spacing w:before="66" w:line="219" w:lineRule="auto"/>
              <w:ind w:left="109"/>
              <w:rPr>
                <w:color w:val="auto"/>
                <w:highlight w:val="none"/>
              </w:rPr>
            </w:pPr>
            <w:r>
              <w:rPr>
                <w:color w:val="auto"/>
                <w:spacing w:val="-2"/>
                <w:highlight w:val="none"/>
              </w:rPr>
              <w:t>HJ/T297陶瓷砖</w:t>
            </w:r>
          </w:p>
        </w:tc>
      </w:tr>
      <w:tr w14:paraId="19988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tcPr>
          <w:p w14:paraId="6889F3A0">
            <w:pPr>
              <w:pStyle w:val="248"/>
              <w:spacing w:before="66"/>
              <w:ind w:left="118"/>
              <w:rPr>
                <w:color w:val="auto"/>
                <w:highlight w:val="none"/>
              </w:rPr>
            </w:pPr>
            <w:r>
              <w:rPr>
                <w:color w:val="auto"/>
                <w:spacing w:val="-5"/>
                <w:highlight w:val="none"/>
              </w:rPr>
              <w:t>39</w:t>
            </w:r>
          </w:p>
        </w:tc>
        <w:tc>
          <w:tcPr>
            <w:tcW w:w="1542" w:type="dxa"/>
            <w:vMerge w:val="restart"/>
            <w:tcBorders>
              <w:bottom w:val="nil"/>
            </w:tcBorders>
          </w:tcPr>
          <w:p w14:paraId="4A46004F">
            <w:pPr>
              <w:pStyle w:val="248"/>
              <w:spacing w:before="65" w:line="322" w:lineRule="auto"/>
              <w:ind w:left="109" w:right="108" w:hanging="7"/>
              <w:rPr>
                <w:color w:val="auto"/>
                <w:highlight w:val="none"/>
              </w:rPr>
            </w:pPr>
            <w:r>
              <w:rPr>
                <w:color w:val="auto"/>
                <w:spacing w:val="-1"/>
                <w:highlight w:val="none"/>
              </w:rPr>
              <w:t>A100309建筑防</w:t>
            </w:r>
            <w:r>
              <w:rPr>
                <w:color w:val="auto"/>
                <w:spacing w:val="-2"/>
                <w:highlight w:val="none"/>
              </w:rPr>
              <w:t>水卷材及制品</w:t>
            </w:r>
          </w:p>
        </w:tc>
        <w:tc>
          <w:tcPr>
            <w:tcW w:w="2672" w:type="dxa"/>
          </w:tcPr>
          <w:p w14:paraId="6DA97C31">
            <w:pPr>
              <w:pStyle w:val="248"/>
              <w:spacing w:before="66" w:line="283" w:lineRule="auto"/>
              <w:ind w:left="110" w:right="107" w:hanging="7"/>
              <w:rPr>
                <w:color w:val="auto"/>
                <w:highlight w:val="none"/>
              </w:rPr>
            </w:pPr>
            <w:r>
              <w:rPr>
                <w:color w:val="auto"/>
                <w:spacing w:val="-1"/>
                <w:highlight w:val="none"/>
              </w:rPr>
              <w:t>A10030901沥青和改性沥青防水</w:t>
            </w:r>
            <w:r>
              <w:rPr>
                <w:color w:val="auto"/>
                <w:spacing w:val="-3"/>
                <w:highlight w:val="none"/>
              </w:rPr>
              <w:t>卷材</w:t>
            </w:r>
          </w:p>
        </w:tc>
        <w:tc>
          <w:tcPr>
            <w:tcW w:w="2248" w:type="dxa"/>
          </w:tcPr>
          <w:p w14:paraId="6283C2E9">
            <w:pPr>
              <w:rPr>
                <w:rFonts w:ascii="Arial"/>
                <w:color w:val="auto"/>
                <w:highlight w:val="none"/>
              </w:rPr>
            </w:pPr>
          </w:p>
        </w:tc>
        <w:tc>
          <w:tcPr>
            <w:tcW w:w="3543" w:type="dxa"/>
          </w:tcPr>
          <w:p w14:paraId="4B0E29D2">
            <w:pPr>
              <w:pStyle w:val="248"/>
              <w:spacing w:before="66" w:line="219" w:lineRule="auto"/>
              <w:ind w:left="109"/>
              <w:rPr>
                <w:color w:val="auto"/>
                <w:highlight w:val="none"/>
              </w:rPr>
            </w:pPr>
            <w:r>
              <w:rPr>
                <w:color w:val="auto"/>
                <w:spacing w:val="-2"/>
                <w:highlight w:val="none"/>
              </w:rPr>
              <w:t>HJ455防水卷材</w:t>
            </w:r>
          </w:p>
        </w:tc>
      </w:tr>
      <w:tr w14:paraId="54857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tcPr>
          <w:p w14:paraId="5E8F5605">
            <w:pPr>
              <w:rPr>
                <w:rFonts w:ascii="Arial"/>
                <w:color w:val="auto"/>
                <w:highlight w:val="none"/>
              </w:rPr>
            </w:pPr>
          </w:p>
        </w:tc>
        <w:tc>
          <w:tcPr>
            <w:tcW w:w="1542" w:type="dxa"/>
            <w:vMerge w:val="continue"/>
            <w:tcBorders>
              <w:top w:val="nil"/>
              <w:bottom w:val="nil"/>
            </w:tcBorders>
          </w:tcPr>
          <w:p w14:paraId="081E1368">
            <w:pPr>
              <w:rPr>
                <w:rFonts w:ascii="Arial"/>
                <w:color w:val="auto"/>
                <w:highlight w:val="none"/>
              </w:rPr>
            </w:pPr>
          </w:p>
        </w:tc>
        <w:tc>
          <w:tcPr>
            <w:tcW w:w="2672" w:type="dxa"/>
          </w:tcPr>
          <w:p w14:paraId="4726B85F">
            <w:pPr>
              <w:pStyle w:val="248"/>
              <w:spacing w:before="67" w:line="219" w:lineRule="auto"/>
              <w:ind w:left="103"/>
              <w:rPr>
                <w:color w:val="auto"/>
                <w:highlight w:val="none"/>
              </w:rPr>
            </w:pPr>
            <w:r>
              <w:rPr>
                <w:color w:val="auto"/>
                <w:spacing w:val="-2"/>
                <w:highlight w:val="none"/>
              </w:rPr>
              <w:t>A10030903自粘防水卷材</w:t>
            </w:r>
          </w:p>
        </w:tc>
        <w:tc>
          <w:tcPr>
            <w:tcW w:w="2248" w:type="dxa"/>
          </w:tcPr>
          <w:p w14:paraId="3668EE5B">
            <w:pPr>
              <w:rPr>
                <w:rFonts w:ascii="Arial"/>
                <w:color w:val="auto"/>
                <w:highlight w:val="none"/>
              </w:rPr>
            </w:pPr>
          </w:p>
        </w:tc>
        <w:tc>
          <w:tcPr>
            <w:tcW w:w="3543" w:type="dxa"/>
          </w:tcPr>
          <w:p w14:paraId="4851D813">
            <w:pPr>
              <w:pStyle w:val="248"/>
              <w:spacing w:before="66" w:line="219" w:lineRule="auto"/>
              <w:ind w:left="109"/>
              <w:rPr>
                <w:color w:val="auto"/>
                <w:highlight w:val="none"/>
              </w:rPr>
            </w:pPr>
            <w:r>
              <w:rPr>
                <w:color w:val="auto"/>
                <w:spacing w:val="-2"/>
                <w:highlight w:val="none"/>
              </w:rPr>
              <w:t>HJ455防水卷材</w:t>
            </w:r>
          </w:p>
        </w:tc>
      </w:tr>
      <w:tr w14:paraId="2432E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continue"/>
            <w:tcBorders>
              <w:top w:val="nil"/>
            </w:tcBorders>
          </w:tcPr>
          <w:p w14:paraId="6038AD7E">
            <w:pPr>
              <w:rPr>
                <w:rFonts w:ascii="Arial"/>
                <w:color w:val="auto"/>
                <w:highlight w:val="none"/>
              </w:rPr>
            </w:pPr>
          </w:p>
        </w:tc>
        <w:tc>
          <w:tcPr>
            <w:tcW w:w="1542" w:type="dxa"/>
            <w:vMerge w:val="continue"/>
            <w:tcBorders>
              <w:top w:val="nil"/>
            </w:tcBorders>
          </w:tcPr>
          <w:p w14:paraId="569A66D0">
            <w:pPr>
              <w:rPr>
                <w:rFonts w:ascii="Arial"/>
                <w:color w:val="auto"/>
                <w:highlight w:val="none"/>
              </w:rPr>
            </w:pPr>
          </w:p>
        </w:tc>
        <w:tc>
          <w:tcPr>
            <w:tcW w:w="2672" w:type="dxa"/>
          </w:tcPr>
          <w:p w14:paraId="2B518331">
            <w:pPr>
              <w:pStyle w:val="248"/>
              <w:spacing w:before="66" w:line="283" w:lineRule="auto"/>
              <w:ind w:left="108" w:right="102" w:hanging="5"/>
              <w:rPr>
                <w:color w:val="auto"/>
                <w:highlight w:val="none"/>
              </w:rPr>
            </w:pPr>
            <w:r>
              <w:rPr>
                <w:color w:val="auto"/>
                <w:spacing w:val="-2"/>
                <w:highlight w:val="none"/>
              </w:rPr>
              <w:t>A10030906高分子防水卷（片）</w:t>
            </w:r>
            <w:r>
              <w:rPr>
                <w:color w:val="auto"/>
                <w:highlight w:val="none"/>
              </w:rPr>
              <w:t xml:space="preserve"> 材</w:t>
            </w:r>
          </w:p>
        </w:tc>
        <w:tc>
          <w:tcPr>
            <w:tcW w:w="2248" w:type="dxa"/>
          </w:tcPr>
          <w:p w14:paraId="1E4A36E1">
            <w:pPr>
              <w:rPr>
                <w:rFonts w:ascii="Arial"/>
                <w:color w:val="auto"/>
                <w:highlight w:val="none"/>
              </w:rPr>
            </w:pPr>
          </w:p>
        </w:tc>
        <w:tc>
          <w:tcPr>
            <w:tcW w:w="3543" w:type="dxa"/>
          </w:tcPr>
          <w:p w14:paraId="59B35881">
            <w:pPr>
              <w:pStyle w:val="248"/>
              <w:spacing w:before="66" w:line="219" w:lineRule="auto"/>
              <w:ind w:left="109"/>
              <w:rPr>
                <w:color w:val="auto"/>
                <w:highlight w:val="none"/>
              </w:rPr>
            </w:pPr>
            <w:r>
              <w:rPr>
                <w:color w:val="auto"/>
                <w:spacing w:val="-2"/>
                <w:highlight w:val="none"/>
              </w:rPr>
              <w:t>HJ455防水卷材</w:t>
            </w:r>
          </w:p>
        </w:tc>
      </w:tr>
      <w:tr w14:paraId="3378E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tcPr>
          <w:p w14:paraId="43894EEC">
            <w:pPr>
              <w:pStyle w:val="248"/>
              <w:spacing w:before="67"/>
              <w:ind w:left="114"/>
              <w:rPr>
                <w:color w:val="auto"/>
                <w:highlight w:val="none"/>
              </w:rPr>
            </w:pPr>
            <w:r>
              <w:rPr>
                <w:color w:val="auto"/>
                <w:spacing w:val="-3"/>
                <w:highlight w:val="none"/>
              </w:rPr>
              <w:t>40</w:t>
            </w:r>
          </w:p>
        </w:tc>
        <w:tc>
          <w:tcPr>
            <w:tcW w:w="1542" w:type="dxa"/>
            <w:vMerge w:val="restart"/>
            <w:tcBorders>
              <w:bottom w:val="nil"/>
            </w:tcBorders>
          </w:tcPr>
          <w:p w14:paraId="7B13009E">
            <w:pPr>
              <w:pStyle w:val="248"/>
              <w:spacing w:before="66" w:line="322" w:lineRule="auto"/>
              <w:ind w:left="106" w:right="106" w:hanging="4"/>
              <w:rPr>
                <w:color w:val="auto"/>
                <w:highlight w:val="none"/>
              </w:rPr>
            </w:pPr>
            <w:r>
              <w:rPr>
                <w:color w:val="auto"/>
                <w:spacing w:val="-8"/>
                <w:highlight w:val="none"/>
              </w:rPr>
              <w:t>A100310隔热、隔</w:t>
            </w:r>
            <w:r>
              <w:rPr>
                <w:color w:val="auto"/>
                <w:spacing w:val="9"/>
                <w:highlight w:val="none"/>
              </w:rPr>
              <w:t>音人造矿物材料</w:t>
            </w:r>
            <w:r>
              <w:rPr>
                <w:color w:val="auto"/>
                <w:spacing w:val="-2"/>
                <w:highlight w:val="none"/>
              </w:rPr>
              <w:t>及其制品</w:t>
            </w:r>
          </w:p>
        </w:tc>
        <w:tc>
          <w:tcPr>
            <w:tcW w:w="2672" w:type="dxa"/>
          </w:tcPr>
          <w:p w14:paraId="2F7E7B87">
            <w:pPr>
              <w:pStyle w:val="248"/>
              <w:spacing w:before="68" w:line="282" w:lineRule="auto"/>
              <w:ind w:left="108" w:right="107" w:hanging="5"/>
              <w:rPr>
                <w:color w:val="auto"/>
                <w:highlight w:val="none"/>
                <w:lang w:eastAsia="zh-CN"/>
              </w:rPr>
            </w:pPr>
            <w:r>
              <w:rPr>
                <w:color w:val="auto"/>
                <w:spacing w:val="6"/>
                <w:highlight w:val="none"/>
                <w:lang w:eastAsia="zh-CN"/>
              </w:rPr>
              <w:t>A10031001 矿物绝热和吸声材</w:t>
            </w:r>
            <w:r>
              <w:rPr>
                <w:color w:val="auto"/>
                <w:highlight w:val="none"/>
                <w:lang w:eastAsia="zh-CN"/>
              </w:rPr>
              <w:t>料</w:t>
            </w:r>
          </w:p>
        </w:tc>
        <w:tc>
          <w:tcPr>
            <w:tcW w:w="2248" w:type="dxa"/>
          </w:tcPr>
          <w:p w14:paraId="38AA1150">
            <w:pPr>
              <w:rPr>
                <w:rFonts w:ascii="Arial"/>
                <w:color w:val="auto"/>
                <w:highlight w:val="none"/>
              </w:rPr>
            </w:pPr>
          </w:p>
        </w:tc>
        <w:tc>
          <w:tcPr>
            <w:tcW w:w="3543" w:type="dxa"/>
          </w:tcPr>
          <w:p w14:paraId="7EB1E07D">
            <w:pPr>
              <w:pStyle w:val="248"/>
              <w:spacing w:before="67" w:line="219" w:lineRule="auto"/>
              <w:ind w:left="109"/>
              <w:rPr>
                <w:color w:val="auto"/>
                <w:highlight w:val="none"/>
              </w:rPr>
            </w:pPr>
            <w:r>
              <w:rPr>
                <w:color w:val="auto"/>
                <w:spacing w:val="-1"/>
                <w:highlight w:val="none"/>
              </w:rPr>
              <w:t>HJ/T223轻质墙体板材</w:t>
            </w:r>
          </w:p>
        </w:tc>
      </w:tr>
      <w:tr w14:paraId="27AFD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tcPr>
          <w:p w14:paraId="237C71C6">
            <w:pPr>
              <w:rPr>
                <w:rFonts w:ascii="Arial"/>
                <w:color w:val="auto"/>
                <w:highlight w:val="none"/>
              </w:rPr>
            </w:pPr>
          </w:p>
        </w:tc>
        <w:tc>
          <w:tcPr>
            <w:tcW w:w="1542" w:type="dxa"/>
            <w:vMerge w:val="continue"/>
            <w:tcBorders>
              <w:top w:val="nil"/>
            </w:tcBorders>
          </w:tcPr>
          <w:p w14:paraId="649E7512">
            <w:pPr>
              <w:rPr>
                <w:rFonts w:ascii="Arial"/>
                <w:color w:val="auto"/>
                <w:highlight w:val="none"/>
              </w:rPr>
            </w:pPr>
          </w:p>
        </w:tc>
        <w:tc>
          <w:tcPr>
            <w:tcW w:w="2672" w:type="dxa"/>
          </w:tcPr>
          <w:p w14:paraId="115CB019">
            <w:pPr>
              <w:pStyle w:val="248"/>
              <w:spacing w:before="68" w:line="219" w:lineRule="auto"/>
              <w:ind w:left="103"/>
              <w:rPr>
                <w:color w:val="auto"/>
                <w:highlight w:val="none"/>
              </w:rPr>
            </w:pPr>
            <w:r>
              <w:rPr>
                <w:color w:val="auto"/>
                <w:spacing w:val="-1"/>
                <w:highlight w:val="none"/>
              </w:rPr>
              <w:t>A10031002矿物材料制品</w:t>
            </w:r>
          </w:p>
        </w:tc>
        <w:tc>
          <w:tcPr>
            <w:tcW w:w="2248" w:type="dxa"/>
          </w:tcPr>
          <w:p w14:paraId="06D5FA2F">
            <w:pPr>
              <w:rPr>
                <w:rFonts w:ascii="Arial"/>
                <w:color w:val="auto"/>
                <w:highlight w:val="none"/>
              </w:rPr>
            </w:pPr>
          </w:p>
        </w:tc>
        <w:tc>
          <w:tcPr>
            <w:tcW w:w="3543" w:type="dxa"/>
          </w:tcPr>
          <w:p w14:paraId="31E78BC9">
            <w:pPr>
              <w:pStyle w:val="248"/>
              <w:spacing w:before="67" w:line="219" w:lineRule="auto"/>
              <w:ind w:left="109"/>
              <w:rPr>
                <w:color w:val="auto"/>
                <w:highlight w:val="none"/>
              </w:rPr>
            </w:pPr>
            <w:r>
              <w:rPr>
                <w:color w:val="auto"/>
                <w:spacing w:val="-1"/>
                <w:highlight w:val="none"/>
              </w:rPr>
              <w:t>HJ/T223轻质墙体板材</w:t>
            </w:r>
          </w:p>
        </w:tc>
      </w:tr>
      <w:tr w14:paraId="3BA53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5FC33314">
            <w:pPr>
              <w:pStyle w:val="248"/>
              <w:spacing w:before="67" w:line="242" w:lineRule="auto"/>
              <w:ind w:left="114"/>
              <w:rPr>
                <w:color w:val="auto"/>
                <w:highlight w:val="none"/>
              </w:rPr>
            </w:pPr>
            <w:r>
              <w:rPr>
                <w:color w:val="auto"/>
                <w:spacing w:val="-3"/>
                <w:highlight w:val="none"/>
              </w:rPr>
              <w:t>41</w:t>
            </w:r>
          </w:p>
        </w:tc>
        <w:tc>
          <w:tcPr>
            <w:tcW w:w="1542" w:type="dxa"/>
          </w:tcPr>
          <w:p w14:paraId="11C47784">
            <w:pPr>
              <w:pStyle w:val="248"/>
              <w:spacing w:before="68" w:line="282" w:lineRule="auto"/>
              <w:ind w:left="109" w:right="108" w:hanging="7"/>
              <w:rPr>
                <w:color w:val="auto"/>
                <w:highlight w:val="none"/>
              </w:rPr>
            </w:pPr>
            <w:r>
              <w:rPr>
                <w:color w:val="auto"/>
                <w:spacing w:val="3"/>
                <w:highlight w:val="none"/>
              </w:rPr>
              <w:t>A100601功能性</w:t>
            </w:r>
            <w:r>
              <w:rPr>
                <w:color w:val="auto"/>
                <w:spacing w:val="-2"/>
                <w:highlight w:val="none"/>
              </w:rPr>
              <w:t>建筑涂料</w:t>
            </w:r>
          </w:p>
        </w:tc>
        <w:tc>
          <w:tcPr>
            <w:tcW w:w="2672" w:type="dxa"/>
          </w:tcPr>
          <w:p w14:paraId="3EC80C01">
            <w:pPr>
              <w:rPr>
                <w:rFonts w:ascii="Arial"/>
                <w:color w:val="auto"/>
                <w:highlight w:val="none"/>
              </w:rPr>
            </w:pPr>
          </w:p>
        </w:tc>
        <w:tc>
          <w:tcPr>
            <w:tcW w:w="2248" w:type="dxa"/>
          </w:tcPr>
          <w:p w14:paraId="10433D82">
            <w:pPr>
              <w:rPr>
                <w:rFonts w:ascii="Arial"/>
                <w:color w:val="auto"/>
                <w:highlight w:val="none"/>
              </w:rPr>
            </w:pPr>
          </w:p>
        </w:tc>
        <w:tc>
          <w:tcPr>
            <w:tcW w:w="3543" w:type="dxa"/>
          </w:tcPr>
          <w:p w14:paraId="42E5435D">
            <w:pPr>
              <w:pStyle w:val="248"/>
              <w:spacing w:before="67" w:line="219" w:lineRule="auto"/>
              <w:ind w:left="109"/>
              <w:rPr>
                <w:color w:val="auto"/>
                <w:highlight w:val="none"/>
              </w:rPr>
            </w:pPr>
            <w:r>
              <w:rPr>
                <w:color w:val="auto"/>
                <w:spacing w:val="-1"/>
                <w:highlight w:val="none"/>
              </w:rPr>
              <w:t>HJ2537水性涂料</w:t>
            </w:r>
          </w:p>
        </w:tc>
      </w:tr>
      <w:tr w14:paraId="7C36E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Pr>
          <w:p w14:paraId="707F6ECF">
            <w:pPr>
              <w:pStyle w:val="248"/>
              <w:spacing w:before="68" w:line="242" w:lineRule="auto"/>
              <w:ind w:left="114"/>
              <w:rPr>
                <w:color w:val="auto"/>
                <w:highlight w:val="none"/>
              </w:rPr>
            </w:pPr>
            <w:r>
              <w:rPr>
                <w:color w:val="auto"/>
                <w:spacing w:val="-3"/>
                <w:highlight w:val="none"/>
              </w:rPr>
              <w:t>42</w:t>
            </w:r>
          </w:p>
        </w:tc>
        <w:tc>
          <w:tcPr>
            <w:tcW w:w="1542" w:type="dxa"/>
          </w:tcPr>
          <w:p w14:paraId="73665780">
            <w:pPr>
              <w:pStyle w:val="248"/>
              <w:spacing w:before="69" w:line="284" w:lineRule="auto"/>
              <w:ind w:left="109" w:right="106" w:firstLine="84"/>
              <w:rPr>
                <w:color w:val="auto"/>
                <w:highlight w:val="none"/>
              </w:rPr>
            </w:pPr>
            <w:r>
              <w:rPr>
                <w:color w:val="auto"/>
                <w:spacing w:val="-1"/>
                <w:highlight w:val="none"/>
              </w:rPr>
              <w:t>A100399其他非</w:t>
            </w:r>
            <w:r>
              <w:rPr>
                <w:color w:val="auto"/>
                <w:spacing w:val="-2"/>
                <w:highlight w:val="none"/>
              </w:rPr>
              <w:t>金属矿物制品</w:t>
            </w:r>
          </w:p>
        </w:tc>
        <w:tc>
          <w:tcPr>
            <w:tcW w:w="2672" w:type="dxa"/>
          </w:tcPr>
          <w:p w14:paraId="0F1D267D">
            <w:pPr>
              <w:pStyle w:val="248"/>
              <w:spacing w:before="68" w:line="219" w:lineRule="auto"/>
              <w:ind w:left="103"/>
              <w:rPr>
                <w:color w:val="auto"/>
                <w:highlight w:val="none"/>
              </w:rPr>
            </w:pPr>
            <w:r>
              <w:rPr>
                <w:color w:val="auto"/>
                <w:spacing w:val="-1"/>
                <w:highlight w:val="none"/>
              </w:rPr>
              <w:t>A10039901其他非金属建筑材料</w:t>
            </w:r>
          </w:p>
        </w:tc>
        <w:tc>
          <w:tcPr>
            <w:tcW w:w="2248" w:type="dxa"/>
          </w:tcPr>
          <w:p w14:paraId="032C7E35">
            <w:pPr>
              <w:rPr>
                <w:rFonts w:ascii="Arial"/>
                <w:color w:val="auto"/>
                <w:highlight w:val="none"/>
              </w:rPr>
            </w:pPr>
          </w:p>
        </w:tc>
        <w:tc>
          <w:tcPr>
            <w:tcW w:w="3543" w:type="dxa"/>
          </w:tcPr>
          <w:p w14:paraId="61A46C27">
            <w:pPr>
              <w:pStyle w:val="248"/>
              <w:spacing w:before="68" w:line="219" w:lineRule="auto"/>
              <w:ind w:left="109"/>
              <w:rPr>
                <w:color w:val="auto"/>
                <w:highlight w:val="none"/>
              </w:rPr>
            </w:pPr>
            <w:r>
              <w:rPr>
                <w:color w:val="auto"/>
                <w:spacing w:val="-2"/>
                <w:highlight w:val="none"/>
              </w:rPr>
              <w:t>HJ456刚性防水材料</w:t>
            </w:r>
          </w:p>
        </w:tc>
      </w:tr>
    </w:tbl>
    <w:p w14:paraId="64E82687">
      <w:pPr>
        <w:rPr>
          <w:rFonts w:ascii="Arial" w:hAnsi="Arial" w:eastAsia="Arial" w:cs="Arial"/>
          <w:color w:val="auto"/>
          <w:szCs w:val="21"/>
          <w:highlight w:val="none"/>
        </w:rPr>
        <w:sectPr>
          <w:pgSz w:w="11906" w:h="16838"/>
          <w:pgMar w:top="1431" w:right="644" w:bottom="0" w:left="667" w:header="0" w:footer="0" w:gutter="0"/>
          <w:cols w:space="720" w:num="1"/>
        </w:sectPr>
      </w:pPr>
    </w:p>
    <w:tbl>
      <w:tblPr>
        <w:tblStyle w:val="51"/>
        <w:tblW w:w="105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3543"/>
      </w:tblGrid>
      <w:tr w14:paraId="013B7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Merge w:val="restart"/>
            <w:tcBorders>
              <w:bottom w:val="nil"/>
            </w:tcBorders>
          </w:tcPr>
          <w:p w14:paraId="17334947">
            <w:pPr>
              <w:pStyle w:val="248"/>
              <w:spacing w:before="68"/>
              <w:ind w:left="114"/>
              <w:rPr>
                <w:color w:val="auto"/>
                <w:highlight w:val="none"/>
              </w:rPr>
            </w:pPr>
            <w:r>
              <w:rPr>
                <w:color w:val="auto"/>
                <w:spacing w:val="-3"/>
                <w:highlight w:val="none"/>
              </w:rPr>
              <w:t>43</w:t>
            </w:r>
          </w:p>
        </w:tc>
        <w:tc>
          <w:tcPr>
            <w:tcW w:w="1542" w:type="dxa"/>
            <w:vMerge w:val="restart"/>
            <w:tcBorders>
              <w:bottom w:val="nil"/>
            </w:tcBorders>
          </w:tcPr>
          <w:p w14:paraId="35F5B9EA">
            <w:pPr>
              <w:pStyle w:val="248"/>
              <w:spacing w:before="67" w:line="323" w:lineRule="auto"/>
              <w:ind w:left="107" w:right="108" w:hanging="5"/>
              <w:rPr>
                <w:color w:val="auto"/>
                <w:highlight w:val="none"/>
              </w:rPr>
            </w:pPr>
            <w:r>
              <w:rPr>
                <w:color w:val="auto"/>
                <w:spacing w:val="3"/>
                <w:highlight w:val="none"/>
              </w:rPr>
              <w:t>A100602墙面涂</w:t>
            </w:r>
            <w:r>
              <w:rPr>
                <w:color w:val="auto"/>
                <w:highlight w:val="none"/>
              </w:rPr>
              <w:t xml:space="preserve"> 料</w:t>
            </w:r>
          </w:p>
        </w:tc>
        <w:tc>
          <w:tcPr>
            <w:tcW w:w="2672" w:type="dxa"/>
          </w:tcPr>
          <w:p w14:paraId="3C8B0C9B">
            <w:pPr>
              <w:pStyle w:val="248"/>
              <w:spacing w:before="69" w:line="284" w:lineRule="auto"/>
              <w:ind w:left="108" w:right="107" w:hanging="5"/>
              <w:rPr>
                <w:color w:val="auto"/>
                <w:highlight w:val="none"/>
              </w:rPr>
            </w:pPr>
            <w:r>
              <w:rPr>
                <w:color w:val="auto"/>
                <w:spacing w:val="-1"/>
                <w:highlight w:val="none"/>
              </w:rPr>
              <w:t>A10060202合成树脂乳液内墙涂</w:t>
            </w:r>
            <w:r>
              <w:rPr>
                <w:color w:val="auto"/>
                <w:highlight w:val="none"/>
              </w:rPr>
              <w:t xml:space="preserve"> 料</w:t>
            </w:r>
          </w:p>
        </w:tc>
        <w:tc>
          <w:tcPr>
            <w:tcW w:w="2248" w:type="dxa"/>
          </w:tcPr>
          <w:p w14:paraId="771CF4FA">
            <w:pPr>
              <w:rPr>
                <w:rFonts w:ascii="Arial"/>
                <w:color w:val="auto"/>
                <w:highlight w:val="none"/>
              </w:rPr>
            </w:pPr>
          </w:p>
        </w:tc>
        <w:tc>
          <w:tcPr>
            <w:tcW w:w="3543" w:type="dxa"/>
          </w:tcPr>
          <w:p w14:paraId="770A6C95">
            <w:pPr>
              <w:pStyle w:val="248"/>
              <w:spacing w:before="67" w:line="219" w:lineRule="auto"/>
              <w:ind w:left="109"/>
              <w:rPr>
                <w:color w:val="auto"/>
                <w:highlight w:val="none"/>
              </w:rPr>
            </w:pPr>
            <w:r>
              <w:rPr>
                <w:color w:val="auto"/>
                <w:spacing w:val="-1"/>
                <w:highlight w:val="none"/>
              </w:rPr>
              <w:t>HJ2537水性涂料</w:t>
            </w:r>
          </w:p>
        </w:tc>
      </w:tr>
      <w:tr w14:paraId="617DD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continue"/>
            <w:tcBorders>
              <w:top w:val="nil"/>
              <w:bottom w:val="nil"/>
            </w:tcBorders>
          </w:tcPr>
          <w:p w14:paraId="77DD6B13">
            <w:pPr>
              <w:rPr>
                <w:rFonts w:ascii="Arial"/>
                <w:color w:val="auto"/>
                <w:highlight w:val="none"/>
              </w:rPr>
            </w:pPr>
          </w:p>
        </w:tc>
        <w:tc>
          <w:tcPr>
            <w:tcW w:w="1542" w:type="dxa"/>
            <w:vMerge w:val="continue"/>
            <w:tcBorders>
              <w:top w:val="nil"/>
              <w:bottom w:val="nil"/>
            </w:tcBorders>
          </w:tcPr>
          <w:p w14:paraId="450CCD0E">
            <w:pPr>
              <w:rPr>
                <w:rFonts w:ascii="Arial"/>
                <w:color w:val="auto"/>
                <w:highlight w:val="none"/>
              </w:rPr>
            </w:pPr>
          </w:p>
        </w:tc>
        <w:tc>
          <w:tcPr>
            <w:tcW w:w="2672" w:type="dxa"/>
          </w:tcPr>
          <w:p w14:paraId="09E0F58D">
            <w:pPr>
              <w:pStyle w:val="248"/>
              <w:spacing w:before="64" w:line="284" w:lineRule="auto"/>
              <w:ind w:left="108" w:right="107" w:hanging="5"/>
              <w:rPr>
                <w:color w:val="auto"/>
                <w:highlight w:val="none"/>
              </w:rPr>
            </w:pPr>
            <w:r>
              <w:rPr>
                <w:color w:val="auto"/>
                <w:spacing w:val="-1"/>
                <w:highlight w:val="none"/>
              </w:rPr>
              <w:t>A10060203合成树脂乳液外墙涂</w:t>
            </w:r>
            <w:r>
              <w:rPr>
                <w:color w:val="auto"/>
                <w:highlight w:val="none"/>
              </w:rPr>
              <w:t xml:space="preserve"> 料</w:t>
            </w:r>
          </w:p>
        </w:tc>
        <w:tc>
          <w:tcPr>
            <w:tcW w:w="2248" w:type="dxa"/>
          </w:tcPr>
          <w:p w14:paraId="6A58AD60">
            <w:pPr>
              <w:rPr>
                <w:rFonts w:ascii="Arial"/>
                <w:color w:val="auto"/>
                <w:highlight w:val="none"/>
              </w:rPr>
            </w:pPr>
          </w:p>
        </w:tc>
        <w:tc>
          <w:tcPr>
            <w:tcW w:w="3543" w:type="dxa"/>
          </w:tcPr>
          <w:p w14:paraId="0450564C">
            <w:pPr>
              <w:pStyle w:val="248"/>
              <w:spacing w:before="63" w:line="219" w:lineRule="auto"/>
              <w:ind w:left="109"/>
              <w:rPr>
                <w:color w:val="auto"/>
                <w:highlight w:val="none"/>
              </w:rPr>
            </w:pPr>
            <w:r>
              <w:rPr>
                <w:color w:val="auto"/>
                <w:spacing w:val="-1"/>
                <w:highlight w:val="none"/>
              </w:rPr>
              <w:t>HJ2537水性涂料</w:t>
            </w:r>
          </w:p>
        </w:tc>
      </w:tr>
      <w:tr w14:paraId="2B6AD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nil"/>
            </w:tcBorders>
          </w:tcPr>
          <w:p w14:paraId="782A0969">
            <w:pPr>
              <w:rPr>
                <w:rFonts w:ascii="Arial"/>
                <w:color w:val="auto"/>
                <w:highlight w:val="none"/>
              </w:rPr>
            </w:pPr>
          </w:p>
        </w:tc>
        <w:tc>
          <w:tcPr>
            <w:tcW w:w="1542" w:type="dxa"/>
            <w:vMerge w:val="continue"/>
            <w:tcBorders>
              <w:top w:val="nil"/>
            </w:tcBorders>
          </w:tcPr>
          <w:p w14:paraId="70B15970">
            <w:pPr>
              <w:rPr>
                <w:rFonts w:ascii="Arial"/>
                <w:color w:val="auto"/>
                <w:highlight w:val="none"/>
              </w:rPr>
            </w:pPr>
          </w:p>
        </w:tc>
        <w:tc>
          <w:tcPr>
            <w:tcW w:w="2672" w:type="dxa"/>
          </w:tcPr>
          <w:p w14:paraId="65EB9A5F">
            <w:pPr>
              <w:pStyle w:val="248"/>
              <w:spacing w:before="64" w:line="221" w:lineRule="auto"/>
              <w:ind w:left="103"/>
              <w:rPr>
                <w:color w:val="auto"/>
                <w:highlight w:val="none"/>
              </w:rPr>
            </w:pPr>
            <w:r>
              <w:rPr>
                <w:color w:val="auto"/>
                <w:spacing w:val="-1"/>
                <w:highlight w:val="none"/>
              </w:rPr>
              <w:t>A10060299其他墙面涂料</w:t>
            </w:r>
          </w:p>
        </w:tc>
        <w:tc>
          <w:tcPr>
            <w:tcW w:w="2248" w:type="dxa"/>
          </w:tcPr>
          <w:p w14:paraId="40287021">
            <w:pPr>
              <w:rPr>
                <w:rFonts w:ascii="Arial"/>
                <w:color w:val="auto"/>
                <w:highlight w:val="none"/>
              </w:rPr>
            </w:pPr>
          </w:p>
        </w:tc>
        <w:tc>
          <w:tcPr>
            <w:tcW w:w="3543" w:type="dxa"/>
          </w:tcPr>
          <w:p w14:paraId="7ADBF2C7">
            <w:pPr>
              <w:pStyle w:val="248"/>
              <w:spacing w:before="64" w:line="219" w:lineRule="auto"/>
              <w:ind w:left="109"/>
              <w:rPr>
                <w:color w:val="auto"/>
                <w:highlight w:val="none"/>
              </w:rPr>
            </w:pPr>
            <w:r>
              <w:rPr>
                <w:color w:val="auto"/>
                <w:spacing w:val="-1"/>
                <w:highlight w:val="none"/>
              </w:rPr>
              <w:t>HJ2537水性涂料</w:t>
            </w:r>
          </w:p>
        </w:tc>
      </w:tr>
      <w:tr w14:paraId="2E9D5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7C372C0A">
            <w:pPr>
              <w:pStyle w:val="248"/>
              <w:spacing w:before="65" w:line="242" w:lineRule="auto"/>
              <w:ind w:left="114"/>
              <w:rPr>
                <w:color w:val="auto"/>
                <w:highlight w:val="none"/>
              </w:rPr>
            </w:pPr>
            <w:r>
              <w:rPr>
                <w:color w:val="auto"/>
                <w:spacing w:val="-3"/>
                <w:highlight w:val="none"/>
              </w:rPr>
              <w:t>44</w:t>
            </w:r>
          </w:p>
        </w:tc>
        <w:tc>
          <w:tcPr>
            <w:tcW w:w="1542" w:type="dxa"/>
          </w:tcPr>
          <w:p w14:paraId="53EF609B">
            <w:pPr>
              <w:pStyle w:val="248"/>
              <w:spacing w:before="66" w:line="283" w:lineRule="auto"/>
              <w:ind w:left="107" w:right="108" w:hanging="5"/>
              <w:rPr>
                <w:color w:val="auto"/>
                <w:highlight w:val="none"/>
              </w:rPr>
            </w:pPr>
            <w:r>
              <w:rPr>
                <w:color w:val="auto"/>
                <w:spacing w:val="2"/>
                <w:highlight w:val="none"/>
              </w:rPr>
              <w:t>A100604防水涂</w:t>
            </w:r>
            <w:r>
              <w:rPr>
                <w:color w:val="auto"/>
                <w:highlight w:val="none"/>
              </w:rPr>
              <w:t xml:space="preserve"> 料</w:t>
            </w:r>
          </w:p>
        </w:tc>
        <w:tc>
          <w:tcPr>
            <w:tcW w:w="2672" w:type="dxa"/>
          </w:tcPr>
          <w:p w14:paraId="58A415C2">
            <w:pPr>
              <w:pStyle w:val="248"/>
              <w:spacing w:before="65" w:line="220" w:lineRule="auto"/>
              <w:ind w:left="103"/>
              <w:rPr>
                <w:color w:val="auto"/>
                <w:highlight w:val="none"/>
              </w:rPr>
            </w:pPr>
            <w:r>
              <w:rPr>
                <w:color w:val="auto"/>
                <w:spacing w:val="-1"/>
                <w:highlight w:val="none"/>
              </w:rPr>
              <w:t>A10060499其他防水涂料</w:t>
            </w:r>
          </w:p>
        </w:tc>
        <w:tc>
          <w:tcPr>
            <w:tcW w:w="2248" w:type="dxa"/>
          </w:tcPr>
          <w:p w14:paraId="189B3382">
            <w:pPr>
              <w:rPr>
                <w:rFonts w:ascii="Arial"/>
                <w:color w:val="auto"/>
                <w:highlight w:val="none"/>
              </w:rPr>
            </w:pPr>
          </w:p>
        </w:tc>
        <w:tc>
          <w:tcPr>
            <w:tcW w:w="3543" w:type="dxa"/>
          </w:tcPr>
          <w:p w14:paraId="251CC666">
            <w:pPr>
              <w:pStyle w:val="248"/>
              <w:spacing w:before="65" w:line="219" w:lineRule="auto"/>
              <w:ind w:left="109"/>
              <w:rPr>
                <w:color w:val="auto"/>
                <w:highlight w:val="none"/>
              </w:rPr>
            </w:pPr>
            <w:r>
              <w:rPr>
                <w:color w:val="auto"/>
                <w:spacing w:val="-1"/>
                <w:highlight w:val="none"/>
              </w:rPr>
              <w:t>HJ2537水性涂料</w:t>
            </w:r>
          </w:p>
        </w:tc>
      </w:tr>
      <w:tr w14:paraId="79E35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586B2843">
            <w:pPr>
              <w:pStyle w:val="248"/>
              <w:spacing w:before="66"/>
              <w:ind w:left="114"/>
              <w:rPr>
                <w:color w:val="auto"/>
                <w:highlight w:val="none"/>
              </w:rPr>
            </w:pPr>
            <w:r>
              <w:rPr>
                <w:color w:val="auto"/>
                <w:spacing w:val="-3"/>
                <w:highlight w:val="none"/>
              </w:rPr>
              <w:t>45</w:t>
            </w:r>
          </w:p>
        </w:tc>
        <w:tc>
          <w:tcPr>
            <w:tcW w:w="1542" w:type="dxa"/>
          </w:tcPr>
          <w:p w14:paraId="6E3D876F">
            <w:pPr>
              <w:pStyle w:val="248"/>
              <w:spacing w:before="66" w:line="283" w:lineRule="auto"/>
              <w:ind w:left="109" w:right="108" w:hanging="7"/>
              <w:rPr>
                <w:color w:val="auto"/>
                <w:highlight w:val="none"/>
              </w:rPr>
            </w:pPr>
            <w:r>
              <w:rPr>
                <w:color w:val="auto"/>
                <w:spacing w:val="3"/>
                <w:highlight w:val="none"/>
              </w:rPr>
              <w:t>A100699其他建</w:t>
            </w:r>
            <w:r>
              <w:rPr>
                <w:color w:val="auto"/>
                <w:spacing w:val="-2"/>
                <w:highlight w:val="none"/>
              </w:rPr>
              <w:t>筑涂料</w:t>
            </w:r>
          </w:p>
        </w:tc>
        <w:tc>
          <w:tcPr>
            <w:tcW w:w="2672" w:type="dxa"/>
          </w:tcPr>
          <w:p w14:paraId="7612A879">
            <w:pPr>
              <w:rPr>
                <w:rFonts w:ascii="Arial"/>
                <w:color w:val="auto"/>
                <w:highlight w:val="none"/>
              </w:rPr>
            </w:pPr>
          </w:p>
        </w:tc>
        <w:tc>
          <w:tcPr>
            <w:tcW w:w="2248" w:type="dxa"/>
          </w:tcPr>
          <w:p w14:paraId="3BD72057">
            <w:pPr>
              <w:rPr>
                <w:rFonts w:ascii="Arial"/>
                <w:color w:val="auto"/>
                <w:highlight w:val="none"/>
              </w:rPr>
            </w:pPr>
          </w:p>
        </w:tc>
        <w:tc>
          <w:tcPr>
            <w:tcW w:w="3543" w:type="dxa"/>
          </w:tcPr>
          <w:p w14:paraId="27AB0FA8">
            <w:pPr>
              <w:pStyle w:val="248"/>
              <w:spacing w:before="65" w:line="219" w:lineRule="auto"/>
              <w:ind w:left="109"/>
              <w:rPr>
                <w:color w:val="auto"/>
                <w:highlight w:val="none"/>
              </w:rPr>
            </w:pPr>
            <w:r>
              <w:rPr>
                <w:color w:val="auto"/>
                <w:spacing w:val="-1"/>
                <w:highlight w:val="none"/>
              </w:rPr>
              <w:t>HJ2537水性涂料</w:t>
            </w:r>
          </w:p>
        </w:tc>
      </w:tr>
      <w:tr w14:paraId="462E2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83" w:type="dxa"/>
          </w:tcPr>
          <w:p w14:paraId="07C17598">
            <w:pPr>
              <w:pStyle w:val="248"/>
              <w:spacing w:before="66"/>
              <w:ind w:left="114"/>
              <w:rPr>
                <w:color w:val="auto"/>
                <w:highlight w:val="none"/>
              </w:rPr>
            </w:pPr>
            <w:r>
              <w:rPr>
                <w:color w:val="auto"/>
                <w:spacing w:val="-3"/>
                <w:highlight w:val="none"/>
              </w:rPr>
              <w:t>46</w:t>
            </w:r>
          </w:p>
        </w:tc>
        <w:tc>
          <w:tcPr>
            <w:tcW w:w="1542" w:type="dxa"/>
          </w:tcPr>
          <w:p w14:paraId="2D9A7202">
            <w:pPr>
              <w:pStyle w:val="248"/>
              <w:spacing w:before="66" w:line="222" w:lineRule="auto"/>
              <w:ind w:left="102"/>
              <w:rPr>
                <w:color w:val="auto"/>
                <w:highlight w:val="none"/>
              </w:rPr>
            </w:pPr>
            <w:r>
              <w:rPr>
                <w:color w:val="auto"/>
                <w:spacing w:val="-8"/>
                <w:highlight w:val="none"/>
              </w:rPr>
              <w:t>A100701门、门槛</w:t>
            </w:r>
          </w:p>
        </w:tc>
        <w:tc>
          <w:tcPr>
            <w:tcW w:w="2672" w:type="dxa"/>
          </w:tcPr>
          <w:p w14:paraId="39E610EF">
            <w:pPr>
              <w:rPr>
                <w:rFonts w:ascii="Arial"/>
                <w:color w:val="auto"/>
                <w:highlight w:val="none"/>
              </w:rPr>
            </w:pPr>
          </w:p>
        </w:tc>
        <w:tc>
          <w:tcPr>
            <w:tcW w:w="2248" w:type="dxa"/>
          </w:tcPr>
          <w:p w14:paraId="46E64199">
            <w:pPr>
              <w:rPr>
                <w:rFonts w:ascii="Arial"/>
                <w:color w:val="auto"/>
                <w:highlight w:val="none"/>
              </w:rPr>
            </w:pPr>
          </w:p>
        </w:tc>
        <w:tc>
          <w:tcPr>
            <w:tcW w:w="3543" w:type="dxa"/>
          </w:tcPr>
          <w:p w14:paraId="4B00C563">
            <w:pPr>
              <w:pStyle w:val="248"/>
              <w:spacing w:before="66" w:line="219" w:lineRule="auto"/>
              <w:ind w:left="109"/>
              <w:rPr>
                <w:color w:val="auto"/>
                <w:highlight w:val="none"/>
                <w:lang w:eastAsia="zh-CN"/>
              </w:rPr>
            </w:pPr>
            <w:r>
              <w:rPr>
                <w:color w:val="auto"/>
                <w:spacing w:val="-1"/>
                <w:highlight w:val="none"/>
                <w:lang w:eastAsia="zh-CN"/>
              </w:rPr>
              <w:t>HJ/T 237塑料门窗/HJ459木</w:t>
            </w:r>
            <w:r>
              <w:rPr>
                <w:color w:val="auto"/>
                <w:spacing w:val="-2"/>
                <w:highlight w:val="none"/>
                <w:lang w:eastAsia="zh-CN"/>
              </w:rPr>
              <w:t>质门和钢质门</w:t>
            </w:r>
          </w:p>
        </w:tc>
      </w:tr>
      <w:tr w14:paraId="392F9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tcPr>
          <w:p w14:paraId="4B7CDDA2">
            <w:pPr>
              <w:pStyle w:val="248"/>
              <w:spacing w:before="66"/>
              <w:ind w:left="114"/>
              <w:rPr>
                <w:color w:val="auto"/>
                <w:highlight w:val="none"/>
              </w:rPr>
            </w:pPr>
            <w:r>
              <w:rPr>
                <w:color w:val="auto"/>
                <w:spacing w:val="-3"/>
                <w:highlight w:val="none"/>
              </w:rPr>
              <w:t>47</w:t>
            </w:r>
          </w:p>
        </w:tc>
        <w:tc>
          <w:tcPr>
            <w:tcW w:w="1542" w:type="dxa"/>
          </w:tcPr>
          <w:p w14:paraId="59884DCC">
            <w:pPr>
              <w:pStyle w:val="248"/>
              <w:spacing w:before="66" w:line="221" w:lineRule="auto"/>
              <w:ind w:left="102"/>
              <w:rPr>
                <w:color w:val="auto"/>
                <w:highlight w:val="none"/>
              </w:rPr>
            </w:pPr>
            <w:r>
              <w:rPr>
                <w:color w:val="auto"/>
                <w:spacing w:val="-1"/>
                <w:highlight w:val="none"/>
              </w:rPr>
              <w:t>A100702窗</w:t>
            </w:r>
          </w:p>
        </w:tc>
        <w:tc>
          <w:tcPr>
            <w:tcW w:w="2672" w:type="dxa"/>
          </w:tcPr>
          <w:p w14:paraId="1F5A4E9E">
            <w:pPr>
              <w:rPr>
                <w:rFonts w:ascii="Arial"/>
                <w:color w:val="auto"/>
                <w:highlight w:val="none"/>
              </w:rPr>
            </w:pPr>
          </w:p>
        </w:tc>
        <w:tc>
          <w:tcPr>
            <w:tcW w:w="2248" w:type="dxa"/>
          </w:tcPr>
          <w:p w14:paraId="19BB3CC0">
            <w:pPr>
              <w:rPr>
                <w:rFonts w:ascii="Arial"/>
                <w:color w:val="auto"/>
                <w:highlight w:val="none"/>
              </w:rPr>
            </w:pPr>
          </w:p>
        </w:tc>
        <w:tc>
          <w:tcPr>
            <w:tcW w:w="3543" w:type="dxa"/>
          </w:tcPr>
          <w:p w14:paraId="58ACED97">
            <w:pPr>
              <w:pStyle w:val="248"/>
              <w:spacing w:before="66" w:line="219" w:lineRule="auto"/>
              <w:ind w:left="109"/>
              <w:rPr>
                <w:color w:val="auto"/>
                <w:highlight w:val="none"/>
              </w:rPr>
            </w:pPr>
            <w:r>
              <w:rPr>
                <w:color w:val="auto"/>
                <w:spacing w:val="-1"/>
                <w:highlight w:val="none"/>
              </w:rPr>
              <w:t>HJ/T237塑料门窗</w:t>
            </w:r>
          </w:p>
        </w:tc>
      </w:tr>
      <w:tr w14:paraId="13D06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583" w:type="dxa"/>
          </w:tcPr>
          <w:p w14:paraId="216728F0">
            <w:pPr>
              <w:pStyle w:val="248"/>
              <w:spacing w:before="69"/>
              <w:ind w:left="114"/>
              <w:rPr>
                <w:color w:val="auto"/>
                <w:highlight w:val="none"/>
              </w:rPr>
            </w:pPr>
            <w:r>
              <w:rPr>
                <w:color w:val="auto"/>
                <w:spacing w:val="-3"/>
                <w:highlight w:val="none"/>
              </w:rPr>
              <w:t>48</w:t>
            </w:r>
          </w:p>
        </w:tc>
        <w:tc>
          <w:tcPr>
            <w:tcW w:w="1542" w:type="dxa"/>
          </w:tcPr>
          <w:p w14:paraId="5CD80BF1">
            <w:pPr>
              <w:pStyle w:val="248"/>
              <w:spacing w:before="70" w:line="282" w:lineRule="auto"/>
              <w:ind w:left="109" w:right="106" w:hanging="7"/>
              <w:rPr>
                <w:color w:val="auto"/>
                <w:highlight w:val="none"/>
              </w:rPr>
            </w:pPr>
            <w:r>
              <w:rPr>
                <w:color w:val="auto"/>
                <w:spacing w:val="-8"/>
                <w:highlight w:val="none"/>
              </w:rPr>
              <w:t>A170108涂料（建</w:t>
            </w:r>
            <w:r>
              <w:rPr>
                <w:color w:val="auto"/>
                <w:spacing w:val="-2"/>
                <w:highlight w:val="none"/>
              </w:rPr>
              <w:t>筑涂料除外）</w:t>
            </w:r>
          </w:p>
        </w:tc>
        <w:tc>
          <w:tcPr>
            <w:tcW w:w="2672" w:type="dxa"/>
          </w:tcPr>
          <w:p w14:paraId="7AB81009">
            <w:pPr>
              <w:rPr>
                <w:rFonts w:ascii="Arial"/>
                <w:color w:val="auto"/>
                <w:highlight w:val="none"/>
              </w:rPr>
            </w:pPr>
          </w:p>
        </w:tc>
        <w:tc>
          <w:tcPr>
            <w:tcW w:w="2248" w:type="dxa"/>
          </w:tcPr>
          <w:p w14:paraId="0C1F350E">
            <w:pPr>
              <w:rPr>
                <w:rFonts w:ascii="Arial"/>
                <w:color w:val="auto"/>
                <w:highlight w:val="none"/>
              </w:rPr>
            </w:pPr>
          </w:p>
        </w:tc>
        <w:tc>
          <w:tcPr>
            <w:tcW w:w="3543" w:type="dxa"/>
          </w:tcPr>
          <w:p w14:paraId="38727477">
            <w:pPr>
              <w:pStyle w:val="248"/>
              <w:spacing w:before="69" w:line="219" w:lineRule="auto"/>
              <w:ind w:left="109"/>
              <w:rPr>
                <w:color w:val="auto"/>
                <w:highlight w:val="none"/>
              </w:rPr>
            </w:pPr>
            <w:r>
              <w:rPr>
                <w:color w:val="auto"/>
                <w:spacing w:val="-1"/>
                <w:highlight w:val="none"/>
              </w:rPr>
              <w:t>HJ2537水性涂料</w:t>
            </w:r>
          </w:p>
        </w:tc>
      </w:tr>
      <w:tr w14:paraId="6D3BD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Pr>
          <w:p w14:paraId="0214C2FD">
            <w:pPr>
              <w:pStyle w:val="248"/>
              <w:spacing w:before="68"/>
              <w:ind w:left="114"/>
              <w:rPr>
                <w:color w:val="auto"/>
                <w:highlight w:val="none"/>
              </w:rPr>
            </w:pPr>
            <w:r>
              <w:rPr>
                <w:color w:val="auto"/>
                <w:spacing w:val="-3"/>
                <w:highlight w:val="none"/>
              </w:rPr>
              <w:t>49</w:t>
            </w:r>
          </w:p>
        </w:tc>
        <w:tc>
          <w:tcPr>
            <w:tcW w:w="1542" w:type="dxa"/>
          </w:tcPr>
          <w:p w14:paraId="7791E00D">
            <w:pPr>
              <w:pStyle w:val="248"/>
              <w:spacing w:before="68" w:line="282" w:lineRule="auto"/>
              <w:ind w:left="109" w:right="108" w:hanging="7"/>
              <w:rPr>
                <w:color w:val="auto"/>
                <w:highlight w:val="none"/>
              </w:rPr>
            </w:pPr>
            <w:r>
              <w:rPr>
                <w:color w:val="auto"/>
                <w:spacing w:val="3"/>
                <w:highlight w:val="none"/>
              </w:rPr>
              <w:t>A170112密封用</w:t>
            </w:r>
            <w:r>
              <w:rPr>
                <w:color w:val="auto"/>
                <w:spacing w:val="-2"/>
                <w:highlight w:val="none"/>
              </w:rPr>
              <w:t>填料及类似品</w:t>
            </w:r>
          </w:p>
        </w:tc>
        <w:tc>
          <w:tcPr>
            <w:tcW w:w="2672" w:type="dxa"/>
          </w:tcPr>
          <w:p w14:paraId="4B3383E6">
            <w:pPr>
              <w:rPr>
                <w:rFonts w:ascii="Arial"/>
                <w:color w:val="auto"/>
                <w:highlight w:val="none"/>
              </w:rPr>
            </w:pPr>
          </w:p>
        </w:tc>
        <w:tc>
          <w:tcPr>
            <w:tcW w:w="2248" w:type="dxa"/>
          </w:tcPr>
          <w:p w14:paraId="35BBFE06">
            <w:pPr>
              <w:rPr>
                <w:rFonts w:ascii="Arial"/>
                <w:color w:val="auto"/>
                <w:highlight w:val="none"/>
              </w:rPr>
            </w:pPr>
          </w:p>
        </w:tc>
        <w:tc>
          <w:tcPr>
            <w:tcW w:w="3543" w:type="dxa"/>
          </w:tcPr>
          <w:p w14:paraId="48C9DEAC">
            <w:pPr>
              <w:pStyle w:val="248"/>
              <w:spacing w:before="67" w:line="219" w:lineRule="auto"/>
              <w:ind w:left="109"/>
              <w:rPr>
                <w:color w:val="auto"/>
                <w:highlight w:val="none"/>
              </w:rPr>
            </w:pPr>
            <w:r>
              <w:rPr>
                <w:color w:val="auto"/>
                <w:spacing w:val="-1"/>
                <w:highlight w:val="none"/>
              </w:rPr>
              <w:t>HJ2541胶粘剂</w:t>
            </w:r>
          </w:p>
        </w:tc>
      </w:tr>
      <w:tr w14:paraId="7E80B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Pr>
          <w:p w14:paraId="3B2EA310">
            <w:pPr>
              <w:pStyle w:val="248"/>
              <w:spacing w:before="69"/>
              <w:ind w:left="118"/>
              <w:rPr>
                <w:color w:val="auto"/>
                <w:highlight w:val="none"/>
              </w:rPr>
            </w:pPr>
            <w:r>
              <w:rPr>
                <w:color w:val="auto"/>
                <w:spacing w:val="-5"/>
                <w:highlight w:val="none"/>
              </w:rPr>
              <w:t>50</w:t>
            </w:r>
          </w:p>
        </w:tc>
        <w:tc>
          <w:tcPr>
            <w:tcW w:w="1542" w:type="dxa"/>
          </w:tcPr>
          <w:p w14:paraId="45B3C532">
            <w:pPr>
              <w:pStyle w:val="248"/>
              <w:spacing w:before="69" w:line="284" w:lineRule="auto"/>
              <w:ind w:left="122" w:right="108" w:hanging="20"/>
              <w:rPr>
                <w:color w:val="auto"/>
                <w:highlight w:val="none"/>
              </w:rPr>
            </w:pPr>
            <w:r>
              <w:rPr>
                <w:color w:val="auto"/>
                <w:spacing w:val="3"/>
                <w:highlight w:val="none"/>
              </w:rPr>
              <w:t>A180201塑料制</w:t>
            </w:r>
            <w:r>
              <w:rPr>
                <w:color w:val="auto"/>
                <w:highlight w:val="none"/>
              </w:rPr>
              <w:t xml:space="preserve"> 品</w:t>
            </w:r>
          </w:p>
        </w:tc>
        <w:tc>
          <w:tcPr>
            <w:tcW w:w="2672" w:type="dxa"/>
          </w:tcPr>
          <w:p w14:paraId="31318F21">
            <w:pPr>
              <w:rPr>
                <w:rFonts w:ascii="Arial"/>
                <w:color w:val="auto"/>
                <w:highlight w:val="none"/>
              </w:rPr>
            </w:pPr>
          </w:p>
        </w:tc>
        <w:tc>
          <w:tcPr>
            <w:tcW w:w="2248" w:type="dxa"/>
          </w:tcPr>
          <w:p w14:paraId="2F066141">
            <w:pPr>
              <w:rPr>
                <w:rFonts w:ascii="Arial"/>
                <w:color w:val="auto"/>
                <w:highlight w:val="none"/>
              </w:rPr>
            </w:pPr>
          </w:p>
        </w:tc>
        <w:tc>
          <w:tcPr>
            <w:tcW w:w="3543" w:type="dxa"/>
          </w:tcPr>
          <w:p w14:paraId="5CC40FEC">
            <w:pPr>
              <w:pStyle w:val="248"/>
              <w:spacing w:before="69" w:line="284" w:lineRule="auto"/>
              <w:ind w:left="113" w:right="104" w:hanging="4"/>
              <w:rPr>
                <w:color w:val="auto"/>
                <w:highlight w:val="none"/>
              </w:rPr>
            </w:pPr>
            <w:r>
              <w:rPr>
                <w:color w:val="auto"/>
                <w:highlight w:val="none"/>
              </w:rPr>
              <w:t>HJ/T226 建筑用塑料管材/HJ/</w:t>
            </w:r>
            <w:r>
              <w:rPr>
                <w:color w:val="auto"/>
                <w:spacing w:val="-1"/>
                <w:highlight w:val="none"/>
              </w:rPr>
              <w:t>T231 再生塑</w:t>
            </w:r>
            <w:r>
              <w:rPr>
                <w:color w:val="auto"/>
                <w:spacing w:val="-2"/>
                <w:highlight w:val="none"/>
              </w:rPr>
              <w:t>料制品</w:t>
            </w:r>
          </w:p>
        </w:tc>
      </w:tr>
    </w:tbl>
    <w:p w14:paraId="71ED3F5D">
      <w:pPr>
        <w:spacing w:after="120" w:line="360" w:lineRule="auto"/>
        <w:rPr>
          <w:rFonts w:ascii="宋体" w:hAnsi="宋体"/>
          <w:color w:val="auto"/>
          <w:spacing w:val="-3"/>
          <w:szCs w:val="21"/>
          <w:highlight w:val="none"/>
        </w:rPr>
        <w:sectPr>
          <w:pgSz w:w="11906" w:h="16838"/>
          <w:pgMar w:top="1431" w:right="644" w:bottom="0" w:left="667" w:header="0" w:footer="0" w:gutter="0"/>
          <w:cols w:space="720" w:num="1"/>
        </w:sectPr>
      </w:pPr>
      <w:r>
        <w:rPr>
          <w:rFonts w:hint="eastAsia" w:ascii="宋体" w:hAnsi="宋体"/>
          <w:color w:val="auto"/>
          <w:spacing w:val="-3"/>
          <w:szCs w:val="21"/>
          <w:highlight w:val="none"/>
        </w:rPr>
        <w:t>注：环境标志产品认证应依据相关标准的最新版本。</w:t>
      </w:r>
    </w:p>
    <w:p w14:paraId="2B4E4287">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138" w:name="_GoBack"/>
      <w:bookmarkEnd w:id="138"/>
      <w:r>
        <w:rPr>
          <w:rFonts w:ascii="Times New Roman" w:hAnsi="Times New Roman" w:cs="Times New Roman"/>
          <w:color w:val="auto"/>
          <w:sz w:val="32"/>
          <w:szCs w:val="32"/>
          <w:highlight w:val="none"/>
        </w:rPr>
        <w:t>第三章  供应商须知</w:t>
      </w:r>
      <w:bookmarkEnd w:id="26"/>
      <w:bookmarkStart w:id="27" w:name="_投标人须知前附表"/>
      <w:bookmarkEnd w:id="27"/>
    </w:p>
    <w:p w14:paraId="35E42F6E">
      <w:pPr>
        <w:pStyle w:val="3"/>
        <w:spacing w:before="40" w:after="4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供应商须知前附表</w:t>
      </w:r>
    </w:p>
    <w:tbl>
      <w:tblPr>
        <w:tblStyle w:val="51"/>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248"/>
        <w:gridCol w:w="7229"/>
      </w:tblGrid>
      <w:tr w14:paraId="6EC699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73A4022E">
            <w:pPr>
              <w:jc w:val="center"/>
              <w:rPr>
                <w:b/>
                <w:color w:val="auto"/>
                <w:szCs w:val="21"/>
                <w:highlight w:val="none"/>
              </w:rPr>
            </w:pPr>
            <w:r>
              <w:rPr>
                <w:b/>
                <w:color w:val="auto"/>
                <w:szCs w:val="21"/>
                <w:highlight w:val="none"/>
              </w:rPr>
              <w:t>条款号</w:t>
            </w:r>
          </w:p>
        </w:tc>
        <w:tc>
          <w:tcPr>
            <w:tcW w:w="1248" w:type="dxa"/>
            <w:tcBorders>
              <w:top w:val="single" w:color="auto" w:sz="4" w:space="0"/>
              <w:left w:val="single" w:color="auto" w:sz="4" w:space="0"/>
              <w:bottom w:val="single" w:color="auto" w:sz="4" w:space="0"/>
              <w:right w:val="single" w:color="auto" w:sz="4" w:space="0"/>
            </w:tcBorders>
            <w:noWrap/>
            <w:vAlign w:val="center"/>
          </w:tcPr>
          <w:p w14:paraId="299EAD97">
            <w:pPr>
              <w:jc w:val="center"/>
              <w:rPr>
                <w:b/>
                <w:color w:val="auto"/>
                <w:szCs w:val="21"/>
                <w:highlight w:val="none"/>
              </w:rPr>
            </w:pPr>
            <w:r>
              <w:rPr>
                <w:b/>
                <w:color w:val="auto"/>
                <w:szCs w:val="21"/>
                <w:highlight w:val="none"/>
              </w:rPr>
              <w:t>要点</w:t>
            </w:r>
          </w:p>
        </w:tc>
        <w:tc>
          <w:tcPr>
            <w:tcW w:w="7229" w:type="dxa"/>
            <w:tcBorders>
              <w:top w:val="single" w:color="auto" w:sz="4" w:space="0"/>
              <w:left w:val="single" w:color="auto" w:sz="4" w:space="0"/>
              <w:bottom w:val="single" w:color="auto" w:sz="4" w:space="0"/>
              <w:right w:val="single" w:color="auto" w:sz="4" w:space="0"/>
            </w:tcBorders>
            <w:noWrap/>
            <w:vAlign w:val="center"/>
          </w:tcPr>
          <w:p w14:paraId="749F9038">
            <w:pPr>
              <w:jc w:val="center"/>
              <w:rPr>
                <w:b/>
                <w:color w:val="auto"/>
                <w:szCs w:val="21"/>
                <w:highlight w:val="none"/>
              </w:rPr>
            </w:pPr>
            <w:r>
              <w:rPr>
                <w:b/>
                <w:color w:val="auto"/>
                <w:szCs w:val="21"/>
                <w:highlight w:val="none"/>
              </w:rPr>
              <w:t>内容、要求</w:t>
            </w:r>
          </w:p>
        </w:tc>
      </w:tr>
      <w:tr w14:paraId="0352A9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50CCA4F0">
            <w:pPr>
              <w:spacing w:line="300" w:lineRule="exact"/>
              <w:jc w:val="center"/>
              <w:rPr>
                <w:b/>
                <w:color w:val="auto"/>
                <w:szCs w:val="21"/>
                <w:highlight w:val="none"/>
              </w:rPr>
            </w:pPr>
            <w:r>
              <w:rPr>
                <w:b/>
                <w:color w:val="auto"/>
                <w:szCs w:val="21"/>
                <w:highlight w:val="none"/>
              </w:rPr>
              <w:t>1.3.1</w:t>
            </w:r>
          </w:p>
        </w:tc>
        <w:tc>
          <w:tcPr>
            <w:tcW w:w="1248" w:type="dxa"/>
            <w:tcBorders>
              <w:top w:val="single" w:color="auto" w:sz="4" w:space="0"/>
              <w:left w:val="single" w:color="auto" w:sz="4" w:space="0"/>
              <w:bottom w:val="single" w:color="auto" w:sz="4" w:space="0"/>
              <w:right w:val="single" w:color="auto" w:sz="4" w:space="0"/>
            </w:tcBorders>
            <w:noWrap/>
            <w:vAlign w:val="center"/>
          </w:tcPr>
          <w:p w14:paraId="3C9D4A43">
            <w:pPr>
              <w:spacing w:line="300" w:lineRule="exact"/>
              <w:jc w:val="center"/>
              <w:rPr>
                <w:color w:val="auto"/>
                <w:szCs w:val="21"/>
                <w:highlight w:val="none"/>
              </w:rPr>
            </w:pPr>
            <w:r>
              <w:rPr>
                <w:color w:val="auto"/>
                <w:szCs w:val="21"/>
                <w:highlight w:val="none"/>
              </w:rPr>
              <w:t>项目基本信息</w:t>
            </w:r>
          </w:p>
        </w:tc>
        <w:tc>
          <w:tcPr>
            <w:tcW w:w="7229" w:type="dxa"/>
            <w:tcBorders>
              <w:top w:val="single" w:color="auto" w:sz="4" w:space="0"/>
              <w:left w:val="single" w:color="auto" w:sz="4" w:space="0"/>
              <w:bottom w:val="single" w:color="auto" w:sz="4" w:space="0"/>
              <w:right w:val="single" w:color="auto" w:sz="4" w:space="0"/>
            </w:tcBorders>
            <w:noWrap/>
            <w:vAlign w:val="center"/>
          </w:tcPr>
          <w:p w14:paraId="517DE065">
            <w:pPr>
              <w:spacing w:line="300" w:lineRule="exact"/>
              <w:jc w:val="left"/>
              <w:rPr>
                <w:color w:val="auto"/>
                <w:szCs w:val="21"/>
                <w:highlight w:val="none"/>
              </w:rPr>
            </w:pPr>
            <w:r>
              <w:rPr>
                <w:color w:val="auto"/>
                <w:szCs w:val="21"/>
                <w:highlight w:val="none"/>
              </w:rPr>
              <w:t>项目名称：</w:t>
            </w:r>
            <w:r>
              <w:rPr>
                <w:rFonts w:hint="eastAsia"/>
                <w:color w:val="auto"/>
                <w:szCs w:val="21"/>
                <w:highlight w:val="none"/>
              </w:rPr>
              <w:t>实验室检测试剂及耗材采购</w:t>
            </w:r>
          </w:p>
          <w:p w14:paraId="428EBB49">
            <w:pPr>
              <w:spacing w:line="300" w:lineRule="exact"/>
              <w:jc w:val="left"/>
              <w:rPr>
                <w:color w:val="auto"/>
                <w:szCs w:val="21"/>
                <w:highlight w:val="none"/>
              </w:rPr>
            </w:pPr>
            <w:r>
              <w:rPr>
                <w:color w:val="auto"/>
                <w:szCs w:val="21"/>
                <w:highlight w:val="none"/>
              </w:rPr>
              <w:t>项目编号：FCZC2026-J1-990178-JDZB</w:t>
            </w:r>
          </w:p>
          <w:p w14:paraId="12FF32BA">
            <w:pPr>
              <w:spacing w:line="300" w:lineRule="exact"/>
              <w:jc w:val="left"/>
              <w:rPr>
                <w:color w:val="auto"/>
                <w:szCs w:val="21"/>
                <w:highlight w:val="none"/>
              </w:rPr>
            </w:pPr>
            <w:r>
              <w:rPr>
                <w:rFonts w:hint="eastAsia"/>
                <w:color w:val="auto"/>
                <w:szCs w:val="21"/>
                <w:highlight w:val="none"/>
              </w:rPr>
              <w:t>采购计划号：</w:t>
            </w:r>
          </w:p>
        </w:tc>
      </w:tr>
      <w:tr w14:paraId="23DC8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3C955E7F">
            <w:pPr>
              <w:spacing w:line="300" w:lineRule="exact"/>
              <w:jc w:val="center"/>
              <w:rPr>
                <w:b/>
                <w:color w:val="auto"/>
                <w:szCs w:val="21"/>
                <w:highlight w:val="none"/>
              </w:rPr>
            </w:pPr>
            <w:r>
              <w:rPr>
                <w:b/>
                <w:color w:val="auto"/>
                <w:szCs w:val="21"/>
                <w:highlight w:val="none"/>
              </w:rPr>
              <w:t>1.3.2</w:t>
            </w:r>
          </w:p>
        </w:tc>
        <w:tc>
          <w:tcPr>
            <w:tcW w:w="1248" w:type="dxa"/>
            <w:tcBorders>
              <w:top w:val="single" w:color="auto" w:sz="4" w:space="0"/>
              <w:left w:val="single" w:color="auto" w:sz="4" w:space="0"/>
              <w:bottom w:val="single" w:color="auto" w:sz="4" w:space="0"/>
              <w:right w:val="single" w:color="auto" w:sz="4" w:space="0"/>
            </w:tcBorders>
            <w:noWrap/>
            <w:vAlign w:val="center"/>
          </w:tcPr>
          <w:p w14:paraId="4D60A25A">
            <w:pPr>
              <w:spacing w:line="300" w:lineRule="exact"/>
              <w:jc w:val="center"/>
              <w:rPr>
                <w:color w:val="auto"/>
                <w:szCs w:val="21"/>
                <w:highlight w:val="none"/>
                <w:lang w:val="zh-CN"/>
              </w:rPr>
            </w:pPr>
            <w:r>
              <w:rPr>
                <w:rFonts w:hint="eastAsia"/>
                <w:color w:val="auto"/>
                <w:szCs w:val="21"/>
                <w:highlight w:val="none"/>
                <w:lang w:val="zh-CN"/>
              </w:rPr>
              <w:t>采购方式</w:t>
            </w:r>
          </w:p>
        </w:tc>
        <w:tc>
          <w:tcPr>
            <w:tcW w:w="7229" w:type="dxa"/>
            <w:tcBorders>
              <w:top w:val="single" w:color="auto" w:sz="4" w:space="0"/>
              <w:left w:val="single" w:color="auto" w:sz="4" w:space="0"/>
              <w:bottom w:val="single" w:color="auto" w:sz="4" w:space="0"/>
              <w:right w:val="single" w:color="auto" w:sz="4" w:space="0"/>
            </w:tcBorders>
            <w:noWrap/>
            <w:vAlign w:val="center"/>
          </w:tcPr>
          <w:p w14:paraId="0FD3E965">
            <w:pPr>
              <w:spacing w:line="300" w:lineRule="exact"/>
              <w:jc w:val="left"/>
              <w:rPr>
                <w:color w:val="auto"/>
                <w:szCs w:val="21"/>
                <w:highlight w:val="none"/>
              </w:rPr>
            </w:pPr>
            <w:r>
              <w:rPr>
                <w:rFonts w:hint="eastAsia"/>
                <w:color w:val="auto"/>
                <w:szCs w:val="21"/>
                <w:highlight w:val="none"/>
              </w:rPr>
              <w:t>竞争性谈判。</w:t>
            </w:r>
          </w:p>
        </w:tc>
      </w:tr>
      <w:tr w14:paraId="7247D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ign w:val="center"/>
          </w:tcPr>
          <w:p w14:paraId="53E30F63">
            <w:pPr>
              <w:spacing w:line="300" w:lineRule="exact"/>
              <w:jc w:val="center"/>
              <w:rPr>
                <w:b/>
                <w:color w:val="auto"/>
                <w:szCs w:val="21"/>
                <w:highlight w:val="none"/>
              </w:rPr>
            </w:pPr>
            <w:r>
              <w:rPr>
                <w:rFonts w:hint="eastAsia"/>
                <w:b/>
                <w:color w:val="auto"/>
                <w:szCs w:val="21"/>
                <w:highlight w:val="none"/>
              </w:rPr>
              <w:t>1</w:t>
            </w:r>
            <w:r>
              <w:rPr>
                <w:b/>
                <w:color w:val="auto"/>
                <w:szCs w:val="21"/>
                <w:highlight w:val="none"/>
              </w:rPr>
              <w:t>.4</w:t>
            </w:r>
          </w:p>
        </w:tc>
        <w:tc>
          <w:tcPr>
            <w:tcW w:w="1248" w:type="dxa"/>
            <w:tcBorders>
              <w:top w:val="single" w:color="auto" w:sz="4" w:space="0"/>
              <w:left w:val="single" w:color="auto" w:sz="4" w:space="0"/>
              <w:bottom w:val="single" w:color="auto" w:sz="4" w:space="0"/>
              <w:right w:val="single" w:color="auto" w:sz="4" w:space="0"/>
            </w:tcBorders>
            <w:noWrap/>
            <w:vAlign w:val="center"/>
          </w:tcPr>
          <w:p w14:paraId="5B9256F1">
            <w:pPr>
              <w:spacing w:line="300" w:lineRule="exact"/>
              <w:jc w:val="center"/>
              <w:rPr>
                <w:color w:val="auto"/>
                <w:szCs w:val="21"/>
                <w:highlight w:val="none"/>
                <w:lang w:val="zh-CN"/>
              </w:rPr>
            </w:pPr>
            <w:r>
              <w:rPr>
                <w:rFonts w:hint="eastAsia"/>
                <w:color w:val="auto"/>
                <w:szCs w:val="21"/>
                <w:highlight w:val="none"/>
                <w:lang w:val="zh-CN"/>
              </w:rPr>
              <w:t>促进中小企业发展措施</w:t>
            </w:r>
          </w:p>
        </w:tc>
        <w:tc>
          <w:tcPr>
            <w:tcW w:w="7229" w:type="dxa"/>
            <w:tcBorders>
              <w:top w:val="single" w:color="auto" w:sz="4" w:space="0"/>
              <w:left w:val="single" w:color="auto" w:sz="4" w:space="0"/>
              <w:bottom w:val="single" w:color="auto" w:sz="4" w:space="0"/>
              <w:right w:val="single" w:color="auto" w:sz="4" w:space="0"/>
            </w:tcBorders>
            <w:noWrap/>
            <w:vAlign w:val="center"/>
          </w:tcPr>
          <w:p w14:paraId="57C84FEA">
            <w:pPr>
              <w:spacing w:line="300" w:lineRule="exact"/>
              <w:jc w:val="left"/>
              <w:rPr>
                <w:color w:val="auto"/>
                <w:szCs w:val="21"/>
                <w:highlight w:val="none"/>
              </w:rPr>
            </w:pPr>
            <w:r>
              <w:rPr>
                <w:rFonts w:hint="eastAsia"/>
                <w:color w:val="auto"/>
                <w:szCs w:val="21"/>
                <w:highlight w:val="none"/>
              </w:rPr>
              <w:t>本项目非专门面向中小微企业采购。</w:t>
            </w:r>
          </w:p>
        </w:tc>
      </w:tr>
      <w:tr w14:paraId="688EDD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ign w:val="center"/>
          </w:tcPr>
          <w:p w14:paraId="2E6CC78A">
            <w:pPr>
              <w:spacing w:line="300" w:lineRule="exact"/>
              <w:jc w:val="center"/>
              <w:rPr>
                <w:b/>
                <w:color w:val="auto"/>
                <w:szCs w:val="21"/>
                <w:highlight w:val="none"/>
              </w:rPr>
            </w:pPr>
            <w:r>
              <w:rPr>
                <w:b/>
                <w:color w:val="auto"/>
                <w:szCs w:val="21"/>
                <w:highlight w:val="none"/>
              </w:rPr>
              <w:t>1.5.1</w:t>
            </w:r>
          </w:p>
        </w:tc>
        <w:tc>
          <w:tcPr>
            <w:tcW w:w="1248" w:type="dxa"/>
            <w:tcBorders>
              <w:top w:val="single" w:color="auto" w:sz="4" w:space="0"/>
              <w:left w:val="single" w:color="auto" w:sz="4" w:space="0"/>
              <w:bottom w:val="single" w:color="auto" w:sz="4" w:space="0"/>
              <w:right w:val="single" w:color="auto" w:sz="4" w:space="0"/>
            </w:tcBorders>
            <w:noWrap/>
            <w:vAlign w:val="center"/>
          </w:tcPr>
          <w:p w14:paraId="0F177990">
            <w:pPr>
              <w:spacing w:line="300" w:lineRule="exact"/>
              <w:jc w:val="center"/>
              <w:rPr>
                <w:color w:val="auto"/>
                <w:szCs w:val="21"/>
                <w:highlight w:val="none"/>
              </w:rPr>
            </w:pPr>
            <w:r>
              <w:rPr>
                <w:color w:val="auto"/>
                <w:szCs w:val="21"/>
                <w:highlight w:val="none"/>
                <w:lang w:val="zh-CN"/>
              </w:rPr>
              <w:t>供应商资格条件</w:t>
            </w:r>
          </w:p>
        </w:tc>
        <w:tc>
          <w:tcPr>
            <w:tcW w:w="7229" w:type="dxa"/>
            <w:tcBorders>
              <w:top w:val="single" w:color="auto" w:sz="4" w:space="0"/>
              <w:left w:val="single" w:color="auto" w:sz="4" w:space="0"/>
              <w:bottom w:val="single" w:color="auto" w:sz="4" w:space="0"/>
              <w:right w:val="single" w:color="auto" w:sz="4" w:space="0"/>
            </w:tcBorders>
            <w:noWrap/>
            <w:vAlign w:val="center"/>
          </w:tcPr>
          <w:p w14:paraId="4A25AF2D">
            <w:pPr>
              <w:spacing w:line="300" w:lineRule="exact"/>
              <w:jc w:val="left"/>
              <w:rPr>
                <w:color w:val="auto"/>
                <w:szCs w:val="21"/>
                <w:highlight w:val="none"/>
              </w:rPr>
            </w:pPr>
            <w:r>
              <w:rPr>
                <w:rFonts w:hint="eastAsia"/>
                <w:color w:val="auto"/>
                <w:szCs w:val="21"/>
                <w:highlight w:val="none"/>
              </w:rPr>
              <w:t>详</w:t>
            </w:r>
            <w:r>
              <w:rPr>
                <w:color w:val="auto"/>
                <w:szCs w:val="21"/>
                <w:highlight w:val="none"/>
              </w:rPr>
              <w:t>见谈判公告</w:t>
            </w:r>
            <w:r>
              <w:rPr>
                <w:rFonts w:hint="eastAsia"/>
                <w:color w:val="auto"/>
                <w:szCs w:val="21"/>
                <w:highlight w:val="none"/>
              </w:rPr>
              <w:t>。</w:t>
            </w:r>
          </w:p>
        </w:tc>
      </w:tr>
      <w:tr w14:paraId="2482D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37" w:type="dxa"/>
            <w:tcBorders>
              <w:top w:val="single" w:color="auto" w:sz="4" w:space="0"/>
              <w:left w:val="single" w:color="auto" w:sz="4" w:space="0"/>
              <w:right w:val="single" w:color="auto" w:sz="4" w:space="0"/>
            </w:tcBorders>
            <w:noWrap/>
            <w:vAlign w:val="center"/>
          </w:tcPr>
          <w:p w14:paraId="73D6F727">
            <w:pPr>
              <w:spacing w:line="300" w:lineRule="exact"/>
              <w:jc w:val="center"/>
              <w:rPr>
                <w:b/>
                <w:color w:val="auto"/>
                <w:szCs w:val="21"/>
                <w:highlight w:val="none"/>
              </w:rPr>
            </w:pPr>
            <w:bookmarkStart w:id="28" w:name="_Hlk85555568"/>
            <w:r>
              <w:rPr>
                <w:b/>
                <w:color w:val="auto"/>
                <w:szCs w:val="21"/>
                <w:highlight w:val="none"/>
              </w:rPr>
              <w:t>1.5.3</w:t>
            </w:r>
          </w:p>
        </w:tc>
        <w:tc>
          <w:tcPr>
            <w:tcW w:w="1248" w:type="dxa"/>
            <w:tcBorders>
              <w:top w:val="single" w:color="auto" w:sz="4" w:space="0"/>
              <w:left w:val="single" w:color="auto" w:sz="4" w:space="0"/>
              <w:right w:val="single" w:color="auto" w:sz="4" w:space="0"/>
            </w:tcBorders>
            <w:noWrap/>
            <w:vAlign w:val="center"/>
          </w:tcPr>
          <w:p w14:paraId="64A49F7A">
            <w:pPr>
              <w:spacing w:line="300" w:lineRule="exact"/>
              <w:jc w:val="center"/>
              <w:rPr>
                <w:color w:val="auto"/>
                <w:szCs w:val="21"/>
                <w:highlight w:val="none"/>
              </w:rPr>
            </w:pPr>
            <w:r>
              <w:rPr>
                <w:rFonts w:hint="eastAsia"/>
                <w:color w:val="auto"/>
                <w:szCs w:val="21"/>
                <w:highlight w:val="none"/>
              </w:rPr>
              <w:t>联合体</w:t>
            </w:r>
          </w:p>
        </w:tc>
        <w:tc>
          <w:tcPr>
            <w:tcW w:w="7229" w:type="dxa"/>
            <w:tcBorders>
              <w:top w:val="single" w:color="auto" w:sz="4" w:space="0"/>
              <w:left w:val="single" w:color="auto" w:sz="4" w:space="0"/>
              <w:right w:val="single" w:color="auto" w:sz="4" w:space="0"/>
            </w:tcBorders>
            <w:noWrap/>
            <w:vAlign w:val="center"/>
          </w:tcPr>
          <w:p w14:paraId="00FB5265">
            <w:pPr>
              <w:spacing w:line="300" w:lineRule="exact"/>
              <w:jc w:val="left"/>
              <w:rPr>
                <w:color w:val="auto"/>
                <w:szCs w:val="21"/>
                <w:highlight w:val="none"/>
              </w:rPr>
            </w:pPr>
            <w:r>
              <w:rPr>
                <w:rFonts w:hint="eastAsia"/>
                <w:color w:val="auto"/>
                <w:szCs w:val="21"/>
                <w:highlight w:val="none"/>
              </w:rPr>
              <w:t>是否接受联合体详见谈判公告</w:t>
            </w:r>
          </w:p>
        </w:tc>
      </w:tr>
      <w:bookmarkEnd w:id="28"/>
      <w:tr w14:paraId="30E166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ign w:val="center"/>
          </w:tcPr>
          <w:p w14:paraId="4994070B">
            <w:pPr>
              <w:spacing w:line="300" w:lineRule="exact"/>
              <w:jc w:val="center"/>
              <w:rPr>
                <w:b/>
                <w:color w:val="auto"/>
                <w:szCs w:val="21"/>
                <w:highlight w:val="none"/>
              </w:rPr>
            </w:pPr>
            <w:r>
              <w:rPr>
                <w:b/>
                <w:color w:val="auto"/>
                <w:szCs w:val="21"/>
                <w:highlight w:val="none"/>
              </w:rPr>
              <w:t>1.6</w:t>
            </w:r>
          </w:p>
        </w:tc>
        <w:tc>
          <w:tcPr>
            <w:tcW w:w="1248" w:type="dxa"/>
            <w:tcBorders>
              <w:top w:val="single" w:color="auto" w:sz="4" w:space="0"/>
              <w:left w:val="single" w:color="auto" w:sz="4" w:space="0"/>
              <w:bottom w:val="single" w:color="auto" w:sz="4" w:space="0"/>
              <w:right w:val="single" w:color="auto" w:sz="4" w:space="0"/>
            </w:tcBorders>
            <w:noWrap/>
            <w:vAlign w:val="center"/>
          </w:tcPr>
          <w:p w14:paraId="3349BFEC">
            <w:pPr>
              <w:spacing w:line="300" w:lineRule="exact"/>
              <w:jc w:val="center"/>
              <w:rPr>
                <w:color w:val="auto"/>
                <w:szCs w:val="21"/>
                <w:highlight w:val="none"/>
              </w:rPr>
            </w:pPr>
            <w:r>
              <w:rPr>
                <w:rFonts w:hint="eastAsia"/>
                <w:color w:val="auto"/>
                <w:szCs w:val="21"/>
                <w:highlight w:val="none"/>
              </w:rPr>
              <w:t>踏勘</w:t>
            </w:r>
          </w:p>
        </w:tc>
        <w:tc>
          <w:tcPr>
            <w:tcW w:w="7229" w:type="dxa"/>
            <w:tcBorders>
              <w:top w:val="single" w:color="auto" w:sz="4" w:space="0"/>
              <w:left w:val="single" w:color="auto" w:sz="4" w:space="0"/>
              <w:bottom w:val="single" w:color="auto" w:sz="4" w:space="0"/>
              <w:right w:val="single" w:color="auto" w:sz="4" w:space="0"/>
            </w:tcBorders>
            <w:noWrap/>
            <w:vAlign w:val="center"/>
          </w:tcPr>
          <w:p w14:paraId="41FDF84C">
            <w:pPr>
              <w:pStyle w:val="17"/>
              <w:rPr>
                <w:color w:val="auto"/>
                <w:szCs w:val="21"/>
                <w:highlight w:val="none"/>
              </w:rPr>
            </w:pPr>
            <w:r>
              <w:rPr>
                <w:rFonts w:hint="eastAsia"/>
                <w:color w:val="auto"/>
                <w:szCs w:val="21"/>
                <w:highlight w:val="none"/>
              </w:rPr>
              <w:t>不组织</w:t>
            </w:r>
          </w:p>
          <w:p w14:paraId="4EA40772">
            <w:pPr>
              <w:pStyle w:val="17"/>
              <w:rPr>
                <w:color w:val="auto"/>
                <w:szCs w:val="21"/>
                <w:highlight w:val="none"/>
              </w:rPr>
            </w:pPr>
          </w:p>
        </w:tc>
      </w:tr>
      <w:tr w14:paraId="6515C0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ign w:val="center"/>
          </w:tcPr>
          <w:p w14:paraId="78688EFA">
            <w:pPr>
              <w:spacing w:line="300" w:lineRule="exact"/>
              <w:jc w:val="center"/>
              <w:rPr>
                <w:b/>
                <w:color w:val="auto"/>
                <w:szCs w:val="21"/>
                <w:highlight w:val="none"/>
              </w:rPr>
            </w:pPr>
            <w:r>
              <w:rPr>
                <w:b/>
                <w:color w:val="auto"/>
                <w:szCs w:val="21"/>
                <w:highlight w:val="none"/>
              </w:rPr>
              <w:t>1.7.2</w:t>
            </w:r>
          </w:p>
        </w:tc>
        <w:tc>
          <w:tcPr>
            <w:tcW w:w="1248" w:type="dxa"/>
            <w:tcBorders>
              <w:top w:val="single" w:color="auto" w:sz="4" w:space="0"/>
              <w:left w:val="single" w:color="auto" w:sz="4" w:space="0"/>
              <w:bottom w:val="single" w:color="auto" w:sz="4" w:space="0"/>
              <w:right w:val="single" w:color="auto" w:sz="4" w:space="0"/>
            </w:tcBorders>
            <w:noWrap/>
            <w:vAlign w:val="center"/>
          </w:tcPr>
          <w:p w14:paraId="13D77EF6">
            <w:pPr>
              <w:spacing w:line="300" w:lineRule="exact"/>
              <w:jc w:val="center"/>
              <w:rPr>
                <w:color w:val="auto"/>
                <w:szCs w:val="21"/>
                <w:highlight w:val="none"/>
              </w:rPr>
            </w:pPr>
            <w:r>
              <w:rPr>
                <w:color w:val="auto"/>
                <w:szCs w:val="21"/>
                <w:highlight w:val="none"/>
              </w:rPr>
              <w:t>分包</w:t>
            </w:r>
          </w:p>
        </w:tc>
        <w:tc>
          <w:tcPr>
            <w:tcW w:w="7229" w:type="dxa"/>
            <w:tcBorders>
              <w:top w:val="single" w:color="auto" w:sz="4" w:space="0"/>
              <w:left w:val="single" w:color="auto" w:sz="4" w:space="0"/>
              <w:bottom w:val="single" w:color="auto" w:sz="4" w:space="0"/>
              <w:right w:val="single" w:color="auto" w:sz="4" w:space="0"/>
            </w:tcBorders>
            <w:noWrap/>
            <w:vAlign w:val="center"/>
          </w:tcPr>
          <w:p w14:paraId="20D1352A">
            <w:pPr>
              <w:spacing w:line="300" w:lineRule="exact"/>
              <w:jc w:val="left"/>
              <w:rPr>
                <w:color w:val="auto"/>
                <w:szCs w:val="21"/>
                <w:highlight w:val="none"/>
                <w:u w:val="single"/>
              </w:rPr>
            </w:pPr>
            <w:r>
              <w:rPr>
                <w:rFonts w:hint="eastAsia"/>
                <w:color w:val="auto"/>
                <w:szCs w:val="21"/>
                <w:highlight w:val="none"/>
              </w:rPr>
              <w:t>是否接受分包详见谈判公告</w:t>
            </w:r>
          </w:p>
        </w:tc>
      </w:tr>
      <w:tr w14:paraId="6798D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2C5AD">
            <w:pPr>
              <w:spacing w:line="300" w:lineRule="exact"/>
              <w:jc w:val="center"/>
              <w:rPr>
                <w:b/>
                <w:color w:val="auto"/>
                <w:szCs w:val="21"/>
                <w:highlight w:val="none"/>
              </w:rPr>
            </w:pPr>
            <w:r>
              <w:rPr>
                <w:rFonts w:hint="eastAsia"/>
                <w:b/>
                <w:color w:val="auto"/>
                <w:szCs w:val="21"/>
                <w:highlight w:val="none"/>
              </w:rPr>
              <w:t>1.9</w:t>
            </w:r>
          </w:p>
        </w:tc>
        <w:tc>
          <w:tcPr>
            <w:tcW w:w="12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D7F51">
            <w:pPr>
              <w:spacing w:line="300" w:lineRule="exact"/>
              <w:jc w:val="center"/>
              <w:rPr>
                <w:color w:val="auto"/>
                <w:szCs w:val="21"/>
                <w:highlight w:val="none"/>
              </w:rPr>
            </w:pPr>
            <w:r>
              <w:rPr>
                <w:rFonts w:hint="eastAsia"/>
                <w:color w:val="auto"/>
                <w:szCs w:val="21"/>
                <w:highlight w:val="none"/>
              </w:rPr>
              <w:t>对本国产品的支持政策</w:t>
            </w:r>
          </w:p>
        </w:tc>
        <w:tc>
          <w:tcPr>
            <w:tcW w:w="72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DAAAC">
            <w:pPr>
              <w:spacing w:line="300" w:lineRule="exact"/>
              <w:jc w:val="left"/>
              <w:rPr>
                <w:color w:val="auto"/>
                <w:szCs w:val="21"/>
                <w:highlight w:val="none"/>
              </w:rPr>
            </w:pPr>
            <w:r>
              <w:rPr>
                <w:rFonts w:hint="eastAsia"/>
                <w:color w:val="auto"/>
                <w:szCs w:val="21"/>
                <w:highlight w:val="none"/>
              </w:rPr>
              <w:t>适用</w:t>
            </w:r>
          </w:p>
          <w:p w14:paraId="10DDB4DC">
            <w:pPr>
              <w:spacing w:line="300" w:lineRule="exact"/>
              <w:jc w:val="left"/>
              <w:rPr>
                <w:color w:val="auto"/>
                <w:szCs w:val="21"/>
                <w:highlight w:val="none"/>
              </w:rPr>
            </w:pPr>
          </w:p>
        </w:tc>
      </w:tr>
      <w:tr w14:paraId="53B0C6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ign w:val="center"/>
          </w:tcPr>
          <w:p w14:paraId="3AFE0F44">
            <w:pPr>
              <w:spacing w:line="300" w:lineRule="exact"/>
              <w:jc w:val="center"/>
              <w:rPr>
                <w:b/>
                <w:color w:val="auto"/>
                <w:szCs w:val="21"/>
                <w:highlight w:val="none"/>
              </w:rPr>
            </w:pPr>
            <w:r>
              <w:rPr>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noWrap/>
            <w:vAlign w:val="center"/>
          </w:tcPr>
          <w:p w14:paraId="38FE6600">
            <w:pPr>
              <w:spacing w:line="300" w:lineRule="exact"/>
              <w:jc w:val="center"/>
              <w:rPr>
                <w:color w:val="auto"/>
                <w:szCs w:val="21"/>
                <w:highlight w:val="none"/>
              </w:rPr>
            </w:pPr>
            <w:r>
              <w:rPr>
                <w:color w:val="auto"/>
                <w:szCs w:val="21"/>
                <w:highlight w:val="none"/>
              </w:rPr>
              <w:t>采购文件澄清、修改</w:t>
            </w:r>
          </w:p>
        </w:tc>
        <w:tc>
          <w:tcPr>
            <w:tcW w:w="7229" w:type="dxa"/>
            <w:tcBorders>
              <w:top w:val="single" w:color="auto" w:sz="4" w:space="0"/>
              <w:left w:val="single" w:color="auto" w:sz="4" w:space="0"/>
              <w:bottom w:val="single" w:color="auto" w:sz="4" w:space="0"/>
              <w:right w:val="single" w:color="auto" w:sz="4" w:space="0"/>
            </w:tcBorders>
            <w:noWrap/>
            <w:vAlign w:val="center"/>
          </w:tcPr>
          <w:p w14:paraId="37F3F9D5">
            <w:pPr>
              <w:spacing w:line="300" w:lineRule="exact"/>
              <w:jc w:val="left"/>
              <w:rPr>
                <w:color w:val="auto"/>
                <w:szCs w:val="21"/>
                <w:highlight w:val="none"/>
              </w:rPr>
            </w:pPr>
            <w:r>
              <w:rPr>
                <w:color w:val="auto"/>
                <w:szCs w:val="21"/>
                <w:highlight w:val="none"/>
              </w:rPr>
              <w:t>在谈判公告发布媒介发布</w:t>
            </w:r>
            <w:r>
              <w:rPr>
                <w:rFonts w:hint="eastAsia"/>
                <w:color w:val="auto"/>
                <w:szCs w:val="21"/>
                <w:highlight w:val="none"/>
              </w:rPr>
              <w:t>。</w:t>
            </w:r>
          </w:p>
        </w:tc>
      </w:tr>
      <w:tr w14:paraId="0F7D15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68DE9EB4">
            <w:pPr>
              <w:spacing w:line="300" w:lineRule="exact"/>
              <w:jc w:val="center"/>
              <w:rPr>
                <w:b/>
                <w:color w:val="auto"/>
                <w:szCs w:val="21"/>
                <w:highlight w:val="none"/>
              </w:rPr>
            </w:pPr>
            <w:r>
              <w:rPr>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noWrap/>
            <w:vAlign w:val="center"/>
          </w:tcPr>
          <w:p w14:paraId="279AEF60">
            <w:pPr>
              <w:spacing w:line="300" w:lineRule="exact"/>
              <w:jc w:val="center"/>
              <w:rPr>
                <w:color w:val="auto"/>
                <w:szCs w:val="21"/>
                <w:highlight w:val="none"/>
              </w:rPr>
            </w:pPr>
            <w:r>
              <w:rPr>
                <w:color w:val="auto"/>
                <w:szCs w:val="21"/>
                <w:highlight w:val="none"/>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noWrap/>
            <w:vAlign w:val="center"/>
          </w:tcPr>
          <w:p w14:paraId="63C95AB6">
            <w:pPr>
              <w:spacing w:line="300" w:lineRule="exact"/>
              <w:jc w:val="left"/>
              <w:rPr>
                <w:color w:val="auto"/>
                <w:szCs w:val="21"/>
                <w:highlight w:val="none"/>
              </w:rPr>
            </w:pPr>
            <w:r>
              <w:rPr>
                <w:color w:val="auto"/>
                <w:szCs w:val="21"/>
                <w:highlight w:val="none"/>
              </w:rPr>
              <w:t>澄清、修改文件</w:t>
            </w:r>
            <w:r>
              <w:rPr>
                <w:rFonts w:hint="eastAsia"/>
                <w:color w:val="auto"/>
                <w:szCs w:val="21"/>
                <w:highlight w:val="none"/>
              </w:rPr>
              <w:t>自谈判公告</w:t>
            </w:r>
            <w:r>
              <w:rPr>
                <w:color w:val="auto"/>
                <w:szCs w:val="21"/>
                <w:highlight w:val="none"/>
              </w:rPr>
              <w:t>发布媒</w:t>
            </w:r>
            <w:r>
              <w:rPr>
                <w:rFonts w:hint="eastAsia"/>
                <w:color w:val="auto"/>
                <w:szCs w:val="21"/>
                <w:highlight w:val="none"/>
              </w:rPr>
              <w:t>体</w:t>
            </w:r>
            <w:r>
              <w:rPr>
                <w:color w:val="auto"/>
                <w:szCs w:val="21"/>
                <w:highlight w:val="none"/>
              </w:rPr>
              <w:t>发布之日起，视为供应商已收到该澄清、修改。供应商未及时关注</w:t>
            </w:r>
            <w:r>
              <w:rPr>
                <w:rFonts w:hint="eastAsia"/>
                <w:color w:val="auto"/>
                <w:szCs w:val="21"/>
                <w:highlight w:val="none"/>
              </w:rPr>
              <w:t>谈判公告</w:t>
            </w:r>
            <w:r>
              <w:rPr>
                <w:color w:val="auto"/>
                <w:szCs w:val="21"/>
                <w:highlight w:val="none"/>
              </w:rPr>
              <w:t>发布媒</w:t>
            </w:r>
            <w:r>
              <w:rPr>
                <w:rFonts w:hint="eastAsia"/>
                <w:color w:val="auto"/>
                <w:szCs w:val="21"/>
                <w:highlight w:val="none"/>
              </w:rPr>
              <w:t>体</w:t>
            </w:r>
            <w:r>
              <w:rPr>
                <w:color w:val="auto"/>
                <w:szCs w:val="21"/>
                <w:highlight w:val="none"/>
              </w:rPr>
              <w:t>造成的损失，由供应商自行负责。</w:t>
            </w:r>
          </w:p>
        </w:tc>
      </w:tr>
      <w:tr w14:paraId="086A9D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02AD178C">
            <w:pPr>
              <w:spacing w:line="300" w:lineRule="exact"/>
              <w:jc w:val="center"/>
              <w:rPr>
                <w:b/>
                <w:color w:val="auto"/>
                <w:szCs w:val="21"/>
                <w:highlight w:val="none"/>
              </w:rPr>
            </w:pPr>
            <w:r>
              <w:rPr>
                <w:b/>
                <w:color w:val="auto"/>
                <w:szCs w:val="21"/>
                <w:highlight w:val="none"/>
              </w:rPr>
              <w:t>3.4.1</w:t>
            </w:r>
          </w:p>
        </w:tc>
        <w:tc>
          <w:tcPr>
            <w:tcW w:w="1248" w:type="dxa"/>
            <w:tcBorders>
              <w:top w:val="single" w:color="auto" w:sz="4" w:space="0"/>
              <w:left w:val="single" w:color="auto" w:sz="4" w:space="0"/>
              <w:bottom w:val="single" w:color="auto" w:sz="4" w:space="0"/>
              <w:right w:val="single" w:color="auto" w:sz="4" w:space="0"/>
            </w:tcBorders>
            <w:noWrap/>
            <w:vAlign w:val="center"/>
          </w:tcPr>
          <w:p w14:paraId="5705044B">
            <w:pPr>
              <w:spacing w:line="300" w:lineRule="exact"/>
              <w:jc w:val="center"/>
              <w:rPr>
                <w:color w:val="auto"/>
                <w:szCs w:val="21"/>
                <w:highlight w:val="none"/>
              </w:rPr>
            </w:pPr>
            <w:r>
              <w:rPr>
                <w:color w:val="auto"/>
                <w:szCs w:val="21"/>
                <w:highlight w:val="none"/>
              </w:rPr>
              <w:t>响应有效期</w:t>
            </w:r>
          </w:p>
        </w:tc>
        <w:tc>
          <w:tcPr>
            <w:tcW w:w="7229" w:type="dxa"/>
            <w:tcBorders>
              <w:top w:val="single" w:color="auto" w:sz="4" w:space="0"/>
              <w:left w:val="single" w:color="auto" w:sz="4" w:space="0"/>
              <w:bottom w:val="single" w:color="auto" w:sz="4" w:space="0"/>
              <w:right w:val="single" w:color="auto" w:sz="4" w:space="0"/>
            </w:tcBorders>
            <w:noWrap/>
            <w:vAlign w:val="center"/>
          </w:tcPr>
          <w:p w14:paraId="5DFAB73B">
            <w:pPr>
              <w:spacing w:line="300" w:lineRule="exact"/>
              <w:jc w:val="left"/>
              <w:rPr>
                <w:color w:val="auto"/>
                <w:szCs w:val="21"/>
                <w:highlight w:val="none"/>
              </w:rPr>
            </w:pPr>
            <w:r>
              <w:rPr>
                <w:color w:val="auto"/>
                <w:szCs w:val="21"/>
                <w:highlight w:val="none"/>
              </w:rPr>
              <w:t>响应截止之日起90天。</w:t>
            </w:r>
          </w:p>
        </w:tc>
      </w:tr>
      <w:tr w14:paraId="6AC2EF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ign w:val="center"/>
          </w:tcPr>
          <w:p w14:paraId="148F6947">
            <w:pPr>
              <w:spacing w:line="300" w:lineRule="exact"/>
              <w:jc w:val="center"/>
              <w:rPr>
                <w:b/>
                <w:color w:val="auto"/>
                <w:szCs w:val="21"/>
                <w:highlight w:val="none"/>
              </w:rPr>
            </w:pPr>
            <w:r>
              <w:rPr>
                <w:b/>
                <w:color w:val="auto"/>
                <w:szCs w:val="21"/>
                <w:highlight w:val="none"/>
              </w:rPr>
              <w:t>3.5</w:t>
            </w:r>
          </w:p>
        </w:tc>
        <w:tc>
          <w:tcPr>
            <w:tcW w:w="1248" w:type="dxa"/>
            <w:tcBorders>
              <w:top w:val="single" w:color="auto" w:sz="4" w:space="0"/>
              <w:left w:val="single" w:color="auto" w:sz="4" w:space="0"/>
              <w:bottom w:val="single" w:color="auto" w:sz="4" w:space="0"/>
              <w:right w:val="single" w:color="auto" w:sz="4" w:space="0"/>
            </w:tcBorders>
            <w:noWrap/>
            <w:vAlign w:val="center"/>
          </w:tcPr>
          <w:p w14:paraId="405A6D08">
            <w:pPr>
              <w:spacing w:line="300" w:lineRule="exact"/>
              <w:jc w:val="center"/>
              <w:rPr>
                <w:color w:val="auto"/>
                <w:szCs w:val="21"/>
                <w:highlight w:val="none"/>
              </w:rPr>
            </w:pPr>
            <w:r>
              <w:rPr>
                <w:color w:val="auto"/>
                <w:szCs w:val="21"/>
                <w:highlight w:val="none"/>
              </w:rPr>
              <w:t>谈判保证金</w:t>
            </w:r>
          </w:p>
        </w:tc>
        <w:tc>
          <w:tcPr>
            <w:tcW w:w="7229" w:type="dxa"/>
            <w:tcBorders>
              <w:top w:val="single" w:color="auto" w:sz="4" w:space="0"/>
              <w:left w:val="single" w:color="auto" w:sz="4" w:space="0"/>
              <w:bottom w:val="single" w:color="auto" w:sz="4" w:space="0"/>
              <w:right w:val="single" w:color="auto" w:sz="4" w:space="0"/>
            </w:tcBorders>
            <w:noWrap/>
            <w:vAlign w:val="center"/>
          </w:tcPr>
          <w:p w14:paraId="47D7135B">
            <w:pPr>
              <w:spacing w:line="300" w:lineRule="exact"/>
              <w:jc w:val="left"/>
              <w:rPr>
                <w:b/>
                <w:bCs/>
                <w:color w:val="auto"/>
                <w:szCs w:val="21"/>
                <w:highlight w:val="none"/>
              </w:rPr>
            </w:pPr>
            <w:r>
              <w:rPr>
                <w:rFonts w:hint="eastAsia"/>
                <w:color w:val="auto"/>
                <w:szCs w:val="21"/>
                <w:highlight w:val="none"/>
              </w:rPr>
              <w:t>不需要提交</w:t>
            </w:r>
          </w:p>
        </w:tc>
      </w:tr>
      <w:tr w14:paraId="726693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37" w:type="dxa"/>
            <w:tcBorders>
              <w:left w:val="single" w:color="auto" w:sz="4" w:space="0"/>
              <w:right w:val="single" w:color="auto" w:sz="4" w:space="0"/>
            </w:tcBorders>
            <w:noWrap/>
            <w:vAlign w:val="center"/>
          </w:tcPr>
          <w:p w14:paraId="24F1C89C">
            <w:pPr>
              <w:spacing w:line="300" w:lineRule="exact"/>
              <w:jc w:val="center"/>
              <w:rPr>
                <w:b/>
                <w:color w:val="auto"/>
                <w:szCs w:val="21"/>
                <w:highlight w:val="none"/>
              </w:rPr>
            </w:pPr>
            <w:r>
              <w:rPr>
                <w:rFonts w:hint="eastAsia"/>
                <w:b/>
                <w:color w:val="auto"/>
                <w:szCs w:val="21"/>
                <w:highlight w:val="none"/>
              </w:rPr>
              <w:t>3</w:t>
            </w:r>
            <w:r>
              <w:rPr>
                <w:b/>
                <w:color w:val="auto"/>
                <w:szCs w:val="21"/>
                <w:highlight w:val="none"/>
              </w:rPr>
              <w:t>.6</w:t>
            </w:r>
          </w:p>
        </w:tc>
        <w:tc>
          <w:tcPr>
            <w:tcW w:w="1248" w:type="dxa"/>
            <w:tcBorders>
              <w:top w:val="single" w:color="auto" w:sz="4" w:space="0"/>
              <w:left w:val="single" w:color="auto" w:sz="4" w:space="0"/>
              <w:right w:val="single" w:color="auto" w:sz="4" w:space="0"/>
            </w:tcBorders>
            <w:noWrap/>
            <w:vAlign w:val="center"/>
          </w:tcPr>
          <w:p w14:paraId="074A53AB">
            <w:pPr>
              <w:spacing w:line="300" w:lineRule="exact"/>
              <w:jc w:val="center"/>
              <w:rPr>
                <w:color w:val="auto"/>
                <w:szCs w:val="21"/>
                <w:highlight w:val="none"/>
              </w:rPr>
            </w:pPr>
            <w:r>
              <w:rPr>
                <w:rFonts w:hint="eastAsia"/>
                <w:color w:val="auto"/>
                <w:szCs w:val="21"/>
                <w:highlight w:val="none"/>
              </w:rPr>
              <w:t>响应文件的编制</w:t>
            </w:r>
          </w:p>
        </w:tc>
        <w:tc>
          <w:tcPr>
            <w:tcW w:w="7229" w:type="dxa"/>
            <w:tcBorders>
              <w:top w:val="single" w:color="auto" w:sz="4" w:space="0"/>
              <w:left w:val="single" w:color="auto" w:sz="4" w:space="0"/>
              <w:right w:val="single" w:color="auto" w:sz="4" w:space="0"/>
            </w:tcBorders>
            <w:noWrap/>
            <w:vAlign w:val="center"/>
          </w:tcPr>
          <w:p w14:paraId="7137466B">
            <w:pPr>
              <w:spacing w:line="300" w:lineRule="exact"/>
              <w:jc w:val="left"/>
              <w:rPr>
                <w:color w:val="auto"/>
                <w:szCs w:val="21"/>
                <w:highlight w:val="none"/>
              </w:rPr>
            </w:pPr>
            <w:r>
              <w:rPr>
                <w:rFonts w:hint="eastAsia" w:hAnsi="宋体"/>
                <w:color w:val="auto"/>
                <w:szCs w:val="21"/>
                <w:highlight w:val="none"/>
              </w:rPr>
              <w:t>响应文件应按第六章响应文件格式分别编制并使用下载的广西政府采购云平台新版客户端上传。</w:t>
            </w:r>
          </w:p>
        </w:tc>
      </w:tr>
      <w:tr w14:paraId="74EB16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633A675C">
            <w:pPr>
              <w:spacing w:line="300" w:lineRule="exact"/>
              <w:jc w:val="center"/>
              <w:rPr>
                <w:b/>
                <w:color w:val="auto"/>
                <w:szCs w:val="21"/>
                <w:highlight w:val="none"/>
              </w:rPr>
            </w:pPr>
            <w:r>
              <w:rPr>
                <w:b/>
                <w:color w:val="auto"/>
                <w:szCs w:val="21"/>
                <w:highlight w:val="none"/>
              </w:rPr>
              <w:t>3.7</w:t>
            </w:r>
          </w:p>
        </w:tc>
        <w:tc>
          <w:tcPr>
            <w:tcW w:w="1248" w:type="dxa"/>
            <w:tcBorders>
              <w:top w:val="single" w:color="auto" w:sz="4" w:space="0"/>
              <w:left w:val="single" w:color="auto" w:sz="4" w:space="0"/>
              <w:bottom w:val="single" w:color="auto" w:sz="4" w:space="0"/>
              <w:right w:val="single" w:color="auto" w:sz="4" w:space="0"/>
            </w:tcBorders>
            <w:noWrap/>
            <w:vAlign w:val="center"/>
          </w:tcPr>
          <w:p w14:paraId="0981D7EF">
            <w:pPr>
              <w:spacing w:line="300" w:lineRule="exact"/>
              <w:jc w:val="center"/>
              <w:rPr>
                <w:color w:val="auto"/>
                <w:szCs w:val="21"/>
                <w:highlight w:val="none"/>
              </w:rPr>
            </w:pPr>
            <w:r>
              <w:rPr>
                <w:color w:val="auto"/>
                <w:szCs w:val="21"/>
                <w:highlight w:val="none"/>
              </w:rPr>
              <w:t>响应文件递交</w:t>
            </w:r>
            <w:r>
              <w:rPr>
                <w:rFonts w:hint="eastAsia"/>
                <w:color w:val="auto"/>
                <w:szCs w:val="21"/>
                <w:highlight w:val="none"/>
              </w:rPr>
              <w:t>截止时间及截标时间</w:t>
            </w:r>
          </w:p>
        </w:tc>
        <w:tc>
          <w:tcPr>
            <w:tcW w:w="7229" w:type="dxa"/>
            <w:tcBorders>
              <w:top w:val="single" w:color="auto" w:sz="4" w:space="0"/>
              <w:left w:val="single" w:color="auto" w:sz="4" w:space="0"/>
              <w:bottom w:val="single" w:color="auto" w:sz="4" w:space="0"/>
              <w:right w:val="single" w:color="auto" w:sz="4" w:space="0"/>
            </w:tcBorders>
            <w:noWrap/>
            <w:vAlign w:val="center"/>
          </w:tcPr>
          <w:p w14:paraId="28B75AAA">
            <w:pPr>
              <w:spacing w:line="300" w:lineRule="exact"/>
              <w:jc w:val="left"/>
              <w:rPr>
                <w:color w:val="auto"/>
                <w:szCs w:val="21"/>
                <w:highlight w:val="none"/>
              </w:rPr>
            </w:pPr>
            <w:r>
              <w:rPr>
                <w:rFonts w:hint="eastAsia"/>
                <w:color w:val="auto"/>
                <w:kern w:val="0"/>
                <w:szCs w:val="21"/>
                <w:highlight w:val="none"/>
              </w:rPr>
              <w:t>见谈判公告要求</w:t>
            </w:r>
            <w:r>
              <w:rPr>
                <w:rFonts w:hint="eastAsia"/>
                <w:color w:val="auto"/>
                <w:szCs w:val="21"/>
                <w:highlight w:val="none"/>
              </w:rPr>
              <w:t>。</w:t>
            </w:r>
          </w:p>
        </w:tc>
      </w:tr>
      <w:tr w14:paraId="0B2DD3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040D254D">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.2</w:t>
            </w:r>
          </w:p>
        </w:tc>
        <w:tc>
          <w:tcPr>
            <w:tcW w:w="1248" w:type="dxa"/>
            <w:tcBorders>
              <w:top w:val="single" w:color="auto" w:sz="4" w:space="0"/>
              <w:left w:val="single" w:color="auto" w:sz="4" w:space="0"/>
              <w:bottom w:val="single" w:color="auto" w:sz="4" w:space="0"/>
              <w:right w:val="single" w:color="auto" w:sz="4" w:space="0"/>
            </w:tcBorders>
            <w:noWrap/>
            <w:vAlign w:val="center"/>
          </w:tcPr>
          <w:p w14:paraId="02DF224C">
            <w:pPr>
              <w:spacing w:line="300" w:lineRule="exact"/>
              <w:jc w:val="center"/>
              <w:rPr>
                <w:color w:val="auto"/>
                <w:szCs w:val="20"/>
                <w:highlight w:val="none"/>
              </w:rPr>
            </w:pPr>
            <w:r>
              <w:rPr>
                <w:rFonts w:hint="eastAsia"/>
                <w:color w:val="auto"/>
                <w:szCs w:val="21"/>
                <w:highlight w:val="none"/>
              </w:rPr>
              <w:t>备份响应文件</w:t>
            </w:r>
          </w:p>
        </w:tc>
        <w:tc>
          <w:tcPr>
            <w:tcW w:w="7229" w:type="dxa"/>
            <w:tcBorders>
              <w:top w:val="single" w:color="auto" w:sz="4" w:space="0"/>
              <w:left w:val="single" w:color="auto" w:sz="4" w:space="0"/>
              <w:bottom w:val="single" w:color="auto" w:sz="4" w:space="0"/>
              <w:right w:val="single" w:color="auto" w:sz="4" w:space="0"/>
            </w:tcBorders>
            <w:noWrap/>
            <w:vAlign w:val="center"/>
          </w:tcPr>
          <w:p w14:paraId="68B4ADCA">
            <w:pPr>
              <w:spacing w:line="276" w:lineRule="auto"/>
              <w:rPr>
                <w:rFonts w:ascii="宋体" w:hAnsi="宋体"/>
                <w:color w:val="auto"/>
                <w:szCs w:val="21"/>
                <w:highlight w:val="none"/>
              </w:rPr>
            </w:pPr>
            <w:r>
              <w:rPr>
                <w:rFonts w:hint="eastAsia" w:ascii="宋体" w:hAnsi="宋体"/>
                <w:color w:val="auto"/>
                <w:szCs w:val="21"/>
                <w:highlight w:val="none"/>
              </w:rPr>
              <w:t>本项目</w:t>
            </w:r>
            <w:r>
              <w:rPr>
                <w:rFonts w:hint="eastAsia"/>
                <w:color w:val="auto"/>
                <w:szCs w:val="21"/>
                <w:highlight w:val="none"/>
              </w:rPr>
              <w:t>接受</w:t>
            </w:r>
            <w:r>
              <w:rPr>
                <w:rFonts w:hint="eastAsia" w:ascii="宋体" w:hAnsi="宋体"/>
                <w:color w:val="auto"/>
                <w:szCs w:val="21"/>
                <w:highlight w:val="none"/>
              </w:rPr>
              <w:t>备份响应文件</w:t>
            </w:r>
          </w:p>
          <w:p w14:paraId="2A445D83">
            <w:pPr>
              <w:spacing w:line="276" w:lineRule="auto"/>
              <w:rPr>
                <w:color w:val="auto"/>
                <w:sz w:val="22"/>
                <w:szCs w:val="22"/>
                <w:highlight w:val="none"/>
              </w:rPr>
            </w:pPr>
            <w:r>
              <w:rPr>
                <w:rFonts w:hint="eastAsia" w:ascii="宋体" w:hAnsi="宋体"/>
                <w:color w:val="auto"/>
                <w:szCs w:val="21"/>
                <w:highlight w:val="none"/>
              </w:rPr>
              <w:t>以广西政府采购云平台自动生成的备份文件为依据，当项目允许接受备份响应文件时，供应商才可以按规定上传备份响应文件。</w:t>
            </w:r>
          </w:p>
        </w:tc>
      </w:tr>
      <w:tr w14:paraId="08B6EE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89DEE">
            <w:pPr>
              <w:spacing w:line="300" w:lineRule="exact"/>
              <w:jc w:val="center"/>
              <w:rPr>
                <w:b/>
                <w:color w:val="auto"/>
                <w:szCs w:val="21"/>
                <w:highlight w:val="none"/>
              </w:rPr>
            </w:pPr>
            <w:r>
              <w:rPr>
                <w:rFonts w:hint="eastAsia"/>
                <w:b/>
                <w:color w:val="auto"/>
                <w:szCs w:val="21"/>
                <w:highlight w:val="none"/>
              </w:rPr>
              <w:t>5.3.1</w:t>
            </w:r>
          </w:p>
        </w:tc>
        <w:tc>
          <w:tcPr>
            <w:tcW w:w="12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9627A">
            <w:pPr>
              <w:spacing w:line="300" w:lineRule="exact"/>
              <w:jc w:val="center"/>
              <w:rPr>
                <w:color w:val="auto"/>
                <w:szCs w:val="21"/>
                <w:highlight w:val="none"/>
              </w:rPr>
            </w:pPr>
            <w:r>
              <w:rPr>
                <w:rFonts w:hint="eastAsia"/>
                <w:color w:val="auto"/>
                <w:szCs w:val="21"/>
                <w:highlight w:val="none"/>
              </w:rPr>
              <w:t>信用查询规则</w:t>
            </w:r>
          </w:p>
        </w:tc>
        <w:tc>
          <w:tcPr>
            <w:tcW w:w="72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03F06">
            <w:pPr>
              <w:snapToGrid w:val="0"/>
              <w:spacing w:line="380" w:lineRule="exact"/>
              <w:rPr>
                <w:rFonts w:ascii="宋体" w:hAnsi="宋体"/>
                <w:color w:val="auto"/>
                <w:szCs w:val="21"/>
                <w:highlight w:val="none"/>
              </w:rPr>
            </w:pPr>
            <w:r>
              <w:rPr>
                <w:rFonts w:hint="eastAsia" w:ascii="宋体" w:hAnsi="宋体"/>
                <w:color w:val="auto"/>
                <w:szCs w:val="21"/>
                <w:highlight w:val="none"/>
              </w:rPr>
              <w:t>谈判小组在资格审查结束前，对供应商进行信用查询。</w:t>
            </w:r>
          </w:p>
          <w:p w14:paraId="57A7A0DE">
            <w:pPr>
              <w:snapToGrid w:val="0"/>
              <w:spacing w:line="380" w:lineRule="exact"/>
              <w:rPr>
                <w:rFonts w:ascii="宋体" w:hAnsi="宋体"/>
                <w:color w:val="auto"/>
                <w:szCs w:val="21"/>
                <w:highlight w:val="none"/>
              </w:rPr>
            </w:pPr>
            <w:r>
              <w:rPr>
                <w:rFonts w:hint="eastAsia" w:ascii="宋体" w:hAnsi="宋体"/>
                <w:color w:val="auto"/>
                <w:szCs w:val="21"/>
                <w:highlight w:val="none"/>
              </w:rPr>
              <w:t>（1）查询渠道：广西政府采购云平台“信用中国”网站(www.creditchina.gov.cn) 、中国政府采购网(www.ccgp.gov.cn)链接入口。</w:t>
            </w:r>
          </w:p>
          <w:p w14:paraId="3E79BF06">
            <w:pPr>
              <w:snapToGrid w:val="0"/>
              <w:spacing w:line="380" w:lineRule="exact"/>
              <w:rPr>
                <w:rFonts w:ascii="宋体" w:hAnsi="宋体"/>
                <w:color w:val="auto"/>
                <w:szCs w:val="21"/>
                <w:highlight w:val="none"/>
              </w:rPr>
            </w:pPr>
            <w:r>
              <w:rPr>
                <w:rFonts w:hint="eastAsia" w:ascii="宋体" w:hAnsi="宋体"/>
                <w:color w:val="auto"/>
                <w:szCs w:val="21"/>
                <w:highlight w:val="none"/>
              </w:rPr>
              <w:t>（2）信用查询截止时点：资格审查结束前</w:t>
            </w:r>
          </w:p>
          <w:p w14:paraId="6DD32108">
            <w:pPr>
              <w:snapToGrid w:val="0"/>
              <w:spacing w:line="380" w:lineRule="exact"/>
              <w:rPr>
                <w:rFonts w:ascii="宋体" w:hAnsi="宋体"/>
                <w:color w:val="auto"/>
                <w:szCs w:val="21"/>
                <w:highlight w:val="none"/>
              </w:rPr>
            </w:pPr>
            <w:r>
              <w:rPr>
                <w:rFonts w:hint="eastAsia" w:ascii="宋体" w:hAnsi="宋体"/>
                <w:color w:val="auto"/>
                <w:szCs w:val="21"/>
                <w:highlight w:val="none"/>
              </w:rPr>
              <w:t>（3）查询记录和证据留存方式：在查询网站中直接截图查询记录，截图作为在“广西政府采购云”平台作为附件上传保存。</w:t>
            </w:r>
          </w:p>
          <w:p w14:paraId="5B56AFFC">
            <w:pPr>
              <w:snapToGrid w:val="0"/>
              <w:spacing w:line="380" w:lineRule="exact"/>
              <w:rPr>
                <w:rFonts w:ascii="宋体" w:hAnsi="宋体"/>
                <w:color w:val="auto"/>
                <w:szCs w:val="21"/>
                <w:highlight w:val="none"/>
              </w:rPr>
            </w:pPr>
            <w:r>
              <w:rPr>
                <w:rFonts w:hint="eastAsia" w:ascii="宋体" w:hAnsi="宋体"/>
                <w:color w:val="auto"/>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521A2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8654E">
            <w:pPr>
              <w:spacing w:line="300" w:lineRule="exact"/>
              <w:jc w:val="center"/>
              <w:rPr>
                <w:b/>
                <w:color w:val="auto"/>
                <w:szCs w:val="21"/>
                <w:highlight w:val="none"/>
              </w:rPr>
            </w:pPr>
            <w:r>
              <w:rPr>
                <w:rFonts w:hint="eastAsia"/>
                <w:b/>
                <w:color w:val="auto"/>
                <w:szCs w:val="21"/>
                <w:highlight w:val="none"/>
              </w:rPr>
              <w:t>6.2.3</w:t>
            </w:r>
          </w:p>
        </w:tc>
        <w:tc>
          <w:tcPr>
            <w:tcW w:w="12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DA388">
            <w:pPr>
              <w:spacing w:line="300" w:lineRule="exact"/>
              <w:jc w:val="center"/>
              <w:rPr>
                <w:color w:val="auto"/>
                <w:szCs w:val="21"/>
                <w:highlight w:val="none"/>
              </w:rPr>
            </w:pPr>
            <w:r>
              <w:rPr>
                <w:rFonts w:hint="eastAsia" w:ascii="宋体" w:hAnsi="宋体"/>
                <w:color w:val="auto"/>
                <w:szCs w:val="21"/>
                <w:highlight w:val="none"/>
              </w:rPr>
              <w:t>负偏离</w:t>
            </w:r>
          </w:p>
        </w:tc>
        <w:tc>
          <w:tcPr>
            <w:tcW w:w="72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36C73">
            <w:pPr>
              <w:snapToGrid w:val="0"/>
              <w:spacing w:line="380" w:lineRule="exact"/>
              <w:rPr>
                <w:rFonts w:ascii="宋体" w:hAnsi="宋体"/>
                <w:color w:val="auto"/>
                <w:szCs w:val="21"/>
                <w:highlight w:val="none"/>
              </w:rPr>
            </w:pPr>
            <w:r>
              <w:rPr>
                <w:rFonts w:hint="eastAsia" w:ascii="宋体" w:hAnsi="宋体"/>
                <w:color w:val="auto"/>
                <w:szCs w:val="21"/>
                <w:highlight w:val="none"/>
              </w:rPr>
              <w:t>商务要求评审中允许负偏离的条款数为 0 项。</w:t>
            </w:r>
          </w:p>
          <w:p w14:paraId="2F23B6D3">
            <w:pPr>
              <w:snapToGrid w:val="0"/>
              <w:spacing w:line="380" w:lineRule="exact"/>
              <w:rPr>
                <w:rFonts w:ascii="宋体" w:hAnsi="宋体"/>
                <w:color w:val="auto"/>
                <w:szCs w:val="21"/>
                <w:highlight w:val="none"/>
              </w:rPr>
            </w:pPr>
            <w:r>
              <w:rPr>
                <w:rFonts w:hint="eastAsia" w:ascii="宋体" w:hAnsi="宋体"/>
                <w:color w:val="auto"/>
                <w:szCs w:val="21"/>
                <w:highlight w:val="none"/>
              </w:rPr>
              <w:t>技术要求评审中每分标除三角符号允许负偏离的条款数为3项</w:t>
            </w:r>
          </w:p>
        </w:tc>
      </w:tr>
      <w:tr w14:paraId="4DDEA0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9269D">
            <w:pPr>
              <w:spacing w:line="300" w:lineRule="exact"/>
              <w:jc w:val="center"/>
              <w:rPr>
                <w:b/>
                <w:color w:val="auto"/>
                <w:szCs w:val="21"/>
                <w:highlight w:val="none"/>
              </w:rPr>
            </w:pPr>
            <w:r>
              <w:rPr>
                <w:rFonts w:hint="eastAsia"/>
                <w:b/>
                <w:color w:val="auto"/>
                <w:szCs w:val="21"/>
                <w:highlight w:val="none"/>
              </w:rPr>
              <w:t>6.</w:t>
            </w:r>
            <w:r>
              <w:rPr>
                <w:b/>
                <w:color w:val="auto"/>
                <w:szCs w:val="21"/>
                <w:highlight w:val="none"/>
              </w:rPr>
              <w:t>3</w:t>
            </w:r>
            <w:r>
              <w:rPr>
                <w:rFonts w:hint="eastAsia"/>
                <w:b/>
                <w:color w:val="auto"/>
                <w:szCs w:val="21"/>
                <w:highlight w:val="none"/>
              </w:rPr>
              <w:t>.</w:t>
            </w:r>
            <w:r>
              <w:rPr>
                <w:b/>
                <w:color w:val="auto"/>
                <w:szCs w:val="21"/>
                <w:highlight w:val="none"/>
              </w:rPr>
              <w:t>5</w:t>
            </w:r>
          </w:p>
        </w:tc>
        <w:tc>
          <w:tcPr>
            <w:tcW w:w="12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74EBF">
            <w:pPr>
              <w:spacing w:line="300" w:lineRule="exact"/>
              <w:jc w:val="center"/>
              <w:rPr>
                <w:color w:val="auto"/>
                <w:szCs w:val="21"/>
                <w:highlight w:val="none"/>
              </w:rPr>
            </w:pPr>
            <w:r>
              <w:rPr>
                <w:rFonts w:hint="eastAsia"/>
                <w:color w:val="auto"/>
                <w:szCs w:val="21"/>
                <w:highlight w:val="none"/>
              </w:rPr>
              <w:t>异常低价审查</w:t>
            </w:r>
          </w:p>
          <w:p w14:paraId="52C1E6A8">
            <w:pPr>
              <w:spacing w:line="300" w:lineRule="exact"/>
              <w:jc w:val="center"/>
              <w:rPr>
                <w:color w:val="auto"/>
                <w:szCs w:val="21"/>
                <w:highlight w:val="none"/>
              </w:rPr>
            </w:pPr>
          </w:p>
        </w:tc>
        <w:tc>
          <w:tcPr>
            <w:tcW w:w="72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D4348">
            <w:pPr>
              <w:spacing w:line="300" w:lineRule="exact"/>
              <w:jc w:val="left"/>
              <w:rPr>
                <w:color w:val="auto"/>
                <w:szCs w:val="21"/>
                <w:highlight w:val="none"/>
              </w:rPr>
            </w:pPr>
            <w:r>
              <w:rPr>
                <w:rFonts w:hint="eastAsia"/>
                <w:color w:val="auto"/>
                <w:szCs w:val="21"/>
                <w:highlight w:val="none"/>
              </w:rPr>
              <w:t>☑评审中出现下列情形之一的，谈判小组应当启动异常低价响应审查程序：</w:t>
            </w:r>
          </w:p>
          <w:p w14:paraId="630F4C4C">
            <w:pPr>
              <w:spacing w:line="276" w:lineRule="auto"/>
              <w:rPr>
                <w:color w:val="auto"/>
                <w:szCs w:val="21"/>
                <w:highlight w:val="none"/>
              </w:rPr>
            </w:pPr>
            <w:r>
              <w:rPr>
                <w:rFonts w:hint="eastAsia"/>
                <w:color w:val="auto"/>
                <w:szCs w:val="21"/>
                <w:highlight w:val="none"/>
              </w:rPr>
              <w:t>（1）投标（响应）报价低于全部通过符合性审查供应商投标（响应）报价平均值50%的，即投标（响应）报价&lt;全部通过符合性审查供应商投标（响应）报价平均值×50%；</w:t>
            </w:r>
          </w:p>
          <w:p w14:paraId="4EE1B179">
            <w:pPr>
              <w:spacing w:line="276" w:lineRule="auto"/>
              <w:rPr>
                <w:color w:val="auto"/>
                <w:szCs w:val="21"/>
                <w:highlight w:val="none"/>
              </w:rPr>
            </w:pPr>
            <w:r>
              <w:rPr>
                <w:rFonts w:hint="eastAsia"/>
                <w:color w:val="auto"/>
                <w:szCs w:val="21"/>
                <w:highlight w:val="none"/>
              </w:rPr>
              <w:t>（2）投标（响应）报价低于通过符合性审查的次低报价供应商投标（响应）报价50%的，即投标（响应）报价&lt;通过符合性审查的次低报价供应商投标（响应）报价×50%；</w:t>
            </w:r>
          </w:p>
          <w:p w14:paraId="699EF7AB">
            <w:pPr>
              <w:spacing w:line="276" w:lineRule="auto"/>
              <w:rPr>
                <w:color w:val="auto"/>
                <w:szCs w:val="21"/>
                <w:highlight w:val="none"/>
              </w:rPr>
            </w:pPr>
            <w:r>
              <w:rPr>
                <w:rFonts w:hint="eastAsia"/>
                <w:color w:val="auto"/>
                <w:szCs w:val="21"/>
                <w:highlight w:val="none"/>
              </w:rPr>
              <w:t>（3）投标（响应）报价低于采购项目最高限价45%的，即投标（响应）报价&lt;采购项目最高限价×45%；</w:t>
            </w:r>
          </w:p>
          <w:p w14:paraId="317E29A8">
            <w:pPr>
              <w:spacing w:line="276" w:lineRule="auto"/>
              <w:rPr>
                <w:color w:val="auto"/>
                <w:szCs w:val="21"/>
                <w:highlight w:val="none"/>
              </w:rPr>
            </w:pPr>
            <w:r>
              <w:rPr>
                <w:rFonts w:hint="eastAsia"/>
                <w:color w:val="auto"/>
                <w:szCs w:val="21"/>
                <w:highlight w:val="none"/>
              </w:rPr>
              <w:t>（4）谈判小组基于专业判断，认为供应商报价过低，有可能影响产品质量或者不能诚信履约的其他情形。</w:t>
            </w:r>
          </w:p>
          <w:p w14:paraId="26A5CFAF">
            <w:pPr>
              <w:pStyle w:val="19"/>
              <w:rPr>
                <w:color w:val="auto"/>
                <w:sz w:val="21"/>
                <w:szCs w:val="21"/>
                <w:highlight w:val="none"/>
              </w:rPr>
            </w:pPr>
            <w:r>
              <w:rPr>
                <w:color w:val="auto"/>
                <w:sz w:val="21"/>
                <w:szCs w:val="21"/>
                <w:highlight w:val="none"/>
              </w:rPr>
              <w:sym w:font="Wingdings 2" w:char="00A3"/>
            </w:r>
            <w:r>
              <w:rPr>
                <w:rFonts w:hint="eastAsia"/>
                <w:color w:val="auto"/>
                <w:sz w:val="21"/>
                <w:szCs w:val="21"/>
                <w:highlight w:val="none"/>
              </w:rPr>
              <w:t>评审中出现下列情形之一的，谈判小组应当启动异常低价响应审查程序：</w:t>
            </w:r>
          </w:p>
          <w:p w14:paraId="7A2EB0AA">
            <w:pPr>
              <w:pStyle w:val="19"/>
              <w:rPr>
                <w:color w:val="auto"/>
                <w:sz w:val="21"/>
                <w:szCs w:val="21"/>
                <w:highlight w:val="none"/>
              </w:rPr>
            </w:pPr>
            <w:r>
              <w:rPr>
                <w:rFonts w:hint="eastAsia"/>
                <w:color w:val="auto"/>
                <w:sz w:val="21"/>
                <w:szCs w:val="21"/>
                <w:highlight w:val="none"/>
              </w:rPr>
              <w:t>（1）投标（响应）报价低于全部通过符合性审查供应商投标（响应）报价平均值%的，即投标（响应）报价&lt;全部通过符合性审查供应商投标（响应）报价平均值×%；</w:t>
            </w:r>
          </w:p>
          <w:p w14:paraId="078BA0A2">
            <w:pPr>
              <w:pStyle w:val="19"/>
              <w:rPr>
                <w:color w:val="auto"/>
                <w:sz w:val="21"/>
                <w:szCs w:val="21"/>
                <w:highlight w:val="none"/>
              </w:rPr>
            </w:pPr>
            <w:r>
              <w:rPr>
                <w:rFonts w:hint="eastAsia"/>
                <w:color w:val="auto"/>
                <w:sz w:val="21"/>
                <w:szCs w:val="21"/>
                <w:highlight w:val="none"/>
              </w:rPr>
              <w:t>（2）投标（响应）报价低于通过符合性审查的次低报价供应商投标（响应）报价  %的，即投标（响应）报价&lt;通过符合性审查的次低报价供应商投标（响应）报价×%；</w:t>
            </w:r>
          </w:p>
          <w:p w14:paraId="4DEF8AC0">
            <w:pPr>
              <w:pStyle w:val="19"/>
              <w:rPr>
                <w:color w:val="auto"/>
                <w:sz w:val="21"/>
                <w:szCs w:val="21"/>
                <w:highlight w:val="none"/>
              </w:rPr>
            </w:pPr>
            <w:r>
              <w:rPr>
                <w:rFonts w:hint="eastAsia"/>
                <w:color w:val="auto"/>
                <w:sz w:val="21"/>
                <w:szCs w:val="21"/>
                <w:highlight w:val="none"/>
              </w:rPr>
              <w:t>（3）投标（响应）报价低于采购项目最高限价%的，即投标（响应）报价&lt;采购项目最高限价×%；</w:t>
            </w:r>
          </w:p>
          <w:p w14:paraId="0E479968">
            <w:pPr>
              <w:pStyle w:val="19"/>
              <w:rPr>
                <w:color w:val="auto"/>
                <w:sz w:val="22"/>
                <w:szCs w:val="22"/>
                <w:highlight w:val="none"/>
              </w:rPr>
            </w:pPr>
            <w:r>
              <w:rPr>
                <w:rFonts w:hint="eastAsia"/>
                <w:color w:val="auto"/>
                <w:sz w:val="21"/>
                <w:szCs w:val="21"/>
                <w:highlight w:val="none"/>
              </w:rPr>
              <w:t>（4）谈判小组基于专业判断，认为供应商报价过低，有可能影响产品质量或者不能诚信履约的其他情形。</w:t>
            </w:r>
          </w:p>
        </w:tc>
      </w:tr>
      <w:tr w14:paraId="24CDFF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22202663">
            <w:pPr>
              <w:spacing w:line="300" w:lineRule="exact"/>
              <w:jc w:val="center"/>
              <w:rPr>
                <w:b/>
                <w:color w:val="auto"/>
                <w:szCs w:val="21"/>
                <w:highlight w:val="none"/>
              </w:rPr>
            </w:pPr>
            <w:r>
              <w:rPr>
                <w:rFonts w:hint="eastAsia"/>
                <w:b/>
                <w:color w:val="auto"/>
                <w:szCs w:val="21"/>
                <w:highlight w:val="none"/>
              </w:rPr>
              <w:t>6.</w:t>
            </w:r>
            <w:r>
              <w:rPr>
                <w:b/>
                <w:color w:val="auto"/>
                <w:szCs w:val="21"/>
                <w:highlight w:val="none"/>
              </w:rPr>
              <w:t>3</w:t>
            </w:r>
            <w:r>
              <w:rPr>
                <w:rFonts w:hint="eastAsia"/>
                <w:b/>
                <w:color w:val="auto"/>
                <w:szCs w:val="21"/>
                <w:highlight w:val="none"/>
              </w:rPr>
              <w:t>.6</w:t>
            </w:r>
          </w:p>
        </w:tc>
        <w:tc>
          <w:tcPr>
            <w:tcW w:w="1248" w:type="dxa"/>
            <w:tcBorders>
              <w:top w:val="single" w:color="auto" w:sz="4" w:space="0"/>
              <w:left w:val="single" w:color="auto" w:sz="4" w:space="0"/>
              <w:bottom w:val="single" w:color="auto" w:sz="4" w:space="0"/>
              <w:right w:val="single" w:color="auto" w:sz="4" w:space="0"/>
            </w:tcBorders>
            <w:noWrap/>
            <w:vAlign w:val="center"/>
          </w:tcPr>
          <w:p w14:paraId="6FCAD64B">
            <w:pPr>
              <w:spacing w:line="300" w:lineRule="exact"/>
              <w:jc w:val="center"/>
              <w:rPr>
                <w:color w:val="auto"/>
                <w:szCs w:val="21"/>
                <w:highlight w:val="none"/>
              </w:rPr>
            </w:pPr>
            <w:r>
              <w:rPr>
                <w:rFonts w:hint="eastAsia"/>
                <w:color w:val="auto"/>
                <w:szCs w:val="21"/>
                <w:highlight w:val="none"/>
              </w:rPr>
              <w:t>相同品牌推荐方式</w:t>
            </w:r>
          </w:p>
        </w:tc>
        <w:tc>
          <w:tcPr>
            <w:tcW w:w="7229" w:type="dxa"/>
            <w:tcBorders>
              <w:top w:val="single" w:color="auto" w:sz="4" w:space="0"/>
              <w:left w:val="single" w:color="auto" w:sz="4" w:space="0"/>
              <w:bottom w:val="single" w:color="auto" w:sz="4" w:space="0"/>
              <w:right w:val="single" w:color="auto" w:sz="4" w:space="0"/>
            </w:tcBorders>
            <w:noWrap/>
            <w:vAlign w:val="center"/>
          </w:tcPr>
          <w:p w14:paraId="297D1E28">
            <w:pPr>
              <w:spacing w:line="276" w:lineRule="auto"/>
              <w:rPr>
                <w:color w:val="auto"/>
                <w:szCs w:val="21"/>
                <w:highlight w:val="none"/>
              </w:rPr>
            </w:pPr>
            <w:r>
              <w:rPr>
                <w:rFonts w:hint="eastAsia"/>
                <w:color w:val="auto"/>
                <w:szCs w:val="21"/>
                <w:highlight w:val="none"/>
              </w:rPr>
              <w:t xml:space="preserve">采购人委托谈判小组确定  </w:t>
            </w:r>
          </w:p>
        </w:tc>
      </w:tr>
      <w:tr w14:paraId="23F4D3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1FCD4">
            <w:pPr>
              <w:spacing w:line="300" w:lineRule="exact"/>
              <w:jc w:val="center"/>
              <w:rPr>
                <w:b/>
                <w:color w:val="auto"/>
                <w:szCs w:val="21"/>
                <w:highlight w:val="none"/>
              </w:rPr>
            </w:pPr>
            <w:r>
              <w:rPr>
                <w:rFonts w:hint="eastAsia"/>
                <w:b/>
                <w:color w:val="auto"/>
                <w:szCs w:val="21"/>
                <w:highlight w:val="none"/>
              </w:rPr>
              <w:t>6.3.11</w:t>
            </w:r>
          </w:p>
        </w:tc>
        <w:tc>
          <w:tcPr>
            <w:tcW w:w="12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18AFB">
            <w:pPr>
              <w:spacing w:line="300" w:lineRule="exact"/>
              <w:jc w:val="center"/>
              <w:rPr>
                <w:color w:val="auto"/>
                <w:szCs w:val="21"/>
                <w:highlight w:val="none"/>
              </w:rPr>
            </w:pPr>
            <w:r>
              <w:rPr>
                <w:rFonts w:hint="eastAsia"/>
                <w:color w:val="auto"/>
                <w:szCs w:val="21"/>
                <w:highlight w:val="none"/>
              </w:rPr>
              <w:t>比较与评价</w:t>
            </w:r>
          </w:p>
        </w:tc>
        <w:tc>
          <w:tcPr>
            <w:tcW w:w="72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AF899">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谈判小组按扣除后的价格由低到高的顺序排列推荐3名以上供应商为本项目（或分标）的成交候选</w:t>
            </w:r>
            <w:r>
              <w:rPr>
                <w:rFonts w:hint="eastAsia"/>
                <w:color w:val="auto"/>
                <w:szCs w:val="21"/>
                <w:highlight w:val="none"/>
              </w:rPr>
              <w:t>供应商</w:t>
            </w:r>
            <w:r>
              <w:rPr>
                <w:color w:val="auto"/>
                <w:szCs w:val="21"/>
                <w:highlight w:val="none"/>
              </w:rPr>
              <w:t>，排名第一的为第一成交候选</w:t>
            </w:r>
            <w:r>
              <w:rPr>
                <w:rFonts w:hint="eastAsia"/>
                <w:color w:val="auto"/>
                <w:szCs w:val="21"/>
                <w:highlight w:val="none"/>
              </w:rPr>
              <w:t>供应商</w:t>
            </w:r>
            <w:r>
              <w:rPr>
                <w:color w:val="auto"/>
                <w:szCs w:val="21"/>
                <w:highlight w:val="none"/>
              </w:rPr>
              <w:t>。若供应商的响应</w:t>
            </w:r>
            <w:r>
              <w:rPr>
                <w:rFonts w:hint="eastAsia"/>
                <w:color w:val="auto"/>
                <w:szCs w:val="21"/>
                <w:highlight w:val="none"/>
              </w:rPr>
              <w:t>最后</w:t>
            </w:r>
            <w:r>
              <w:rPr>
                <w:color w:val="auto"/>
                <w:szCs w:val="21"/>
                <w:highlight w:val="none"/>
              </w:rPr>
              <w:t>报价经扣除后价格相同，则按服务条款的优劣顺序排列。若仍相同的，由</w:t>
            </w:r>
            <w:r>
              <w:rPr>
                <w:rFonts w:hint="eastAsia"/>
                <w:color w:val="auto"/>
                <w:szCs w:val="21"/>
                <w:highlight w:val="none"/>
              </w:rPr>
              <w:t>采购人自行</w:t>
            </w:r>
            <w:r>
              <w:rPr>
                <w:color w:val="auto"/>
                <w:szCs w:val="21"/>
                <w:highlight w:val="none"/>
              </w:rPr>
              <w:t>确定。</w:t>
            </w:r>
          </w:p>
          <w:p w14:paraId="50DA5B90">
            <w:pPr>
              <w:spacing w:line="276" w:lineRule="auto"/>
              <w:rPr>
                <w:color w:val="auto"/>
                <w:szCs w:val="21"/>
                <w:highlight w:val="none"/>
              </w:rPr>
            </w:pPr>
          </w:p>
        </w:tc>
      </w:tr>
      <w:tr w14:paraId="52608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389588B2">
            <w:pPr>
              <w:spacing w:line="300" w:lineRule="exact"/>
              <w:jc w:val="center"/>
              <w:rPr>
                <w:b/>
                <w:color w:val="auto"/>
                <w:szCs w:val="21"/>
                <w:highlight w:val="none"/>
              </w:rPr>
            </w:pPr>
            <w:r>
              <w:rPr>
                <w:b/>
                <w:color w:val="auto"/>
                <w:szCs w:val="21"/>
                <w:highlight w:val="none"/>
              </w:rPr>
              <w:t>6.5</w:t>
            </w:r>
            <w:r>
              <w:rPr>
                <w:rFonts w:hint="eastAsia"/>
                <w:b/>
                <w:color w:val="auto"/>
                <w:szCs w:val="21"/>
                <w:highlight w:val="none"/>
              </w:rPr>
              <w:t>.1</w:t>
            </w:r>
          </w:p>
        </w:tc>
        <w:tc>
          <w:tcPr>
            <w:tcW w:w="1248" w:type="dxa"/>
            <w:tcBorders>
              <w:top w:val="single" w:color="auto" w:sz="4" w:space="0"/>
              <w:left w:val="single" w:color="auto" w:sz="4" w:space="0"/>
              <w:bottom w:val="single" w:color="auto" w:sz="4" w:space="0"/>
              <w:right w:val="single" w:color="auto" w:sz="4" w:space="0"/>
            </w:tcBorders>
            <w:noWrap/>
            <w:vAlign w:val="center"/>
          </w:tcPr>
          <w:p w14:paraId="6AC0B112">
            <w:pPr>
              <w:spacing w:line="300" w:lineRule="exact"/>
              <w:jc w:val="center"/>
              <w:rPr>
                <w:color w:val="auto"/>
                <w:szCs w:val="21"/>
                <w:highlight w:val="none"/>
              </w:rPr>
            </w:pPr>
            <w:r>
              <w:rPr>
                <w:rFonts w:hint="eastAsia"/>
                <w:color w:val="auto"/>
                <w:szCs w:val="21"/>
                <w:highlight w:val="none"/>
              </w:rPr>
              <w:t>结果</w:t>
            </w:r>
            <w:r>
              <w:rPr>
                <w:color w:val="auto"/>
                <w:szCs w:val="21"/>
                <w:highlight w:val="none"/>
              </w:rPr>
              <w:t>公告</w:t>
            </w:r>
          </w:p>
        </w:tc>
        <w:tc>
          <w:tcPr>
            <w:tcW w:w="7229" w:type="dxa"/>
            <w:tcBorders>
              <w:top w:val="single" w:color="auto" w:sz="4" w:space="0"/>
              <w:left w:val="single" w:color="auto" w:sz="4" w:space="0"/>
              <w:bottom w:val="single" w:color="auto" w:sz="4" w:space="0"/>
              <w:right w:val="single" w:color="auto" w:sz="4" w:space="0"/>
            </w:tcBorders>
            <w:noWrap/>
            <w:vAlign w:val="center"/>
          </w:tcPr>
          <w:p w14:paraId="4A175B1D">
            <w:pPr>
              <w:spacing w:line="300" w:lineRule="exact"/>
              <w:jc w:val="left"/>
              <w:rPr>
                <w:color w:val="auto"/>
                <w:szCs w:val="21"/>
                <w:highlight w:val="none"/>
              </w:rPr>
            </w:pPr>
            <w:r>
              <w:rPr>
                <w:color w:val="auto"/>
                <w:szCs w:val="21"/>
                <w:highlight w:val="none"/>
              </w:rPr>
              <w:t>采购代理机构在采购人依法确认成交供应商后2个工作日内在</w:t>
            </w:r>
            <w:r>
              <w:rPr>
                <w:rFonts w:hint="eastAsia"/>
                <w:color w:val="auto"/>
                <w:szCs w:val="21"/>
                <w:highlight w:val="none"/>
              </w:rPr>
              <w:t>谈判</w:t>
            </w:r>
            <w:r>
              <w:rPr>
                <w:color w:val="auto"/>
                <w:szCs w:val="21"/>
                <w:highlight w:val="none"/>
              </w:rPr>
              <w:t>公告发布的媒体上发布</w:t>
            </w:r>
            <w:r>
              <w:rPr>
                <w:rFonts w:hint="eastAsia"/>
                <w:color w:val="auto"/>
                <w:szCs w:val="21"/>
                <w:highlight w:val="none"/>
              </w:rPr>
              <w:t>结果</w:t>
            </w:r>
            <w:r>
              <w:rPr>
                <w:color w:val="auto"/>
                <w:szCs w:val="21"/>
                <w:highlight w:val="none"/>
              </w:rPr>
              <w:t>公告</w:t>
            </w:r>
            <w:r>
              <w:rPr>
                <w:rFonts w:hint="eastAsia"/>
                <w:color w:val="auto"/>
                <w:szCs w:val="21"/>
                <w:highlight w:val="none"/>
              </w:rPr>
              <w:t>。</w:t>
            </w:r>
          </w:p>
        </w:tc>
      </w:tr>
      <w:tr w14:paraId="16FB27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39AFF6F8">
            <w:pPr>
              <w:spacing w:line="300" w:lineRule="exact"/>
              <w:jc w:val="center"/>
              <w:rPr>
                <w:b/>
                <w:color w:val="auto"/>
                <w:szCs w:val="21"/>
                <w:highlight w:val="none"/>
              </w:rPr>
            </w:pPr>
            <w:r>
              <w:rPr>
                <w:b/>
                <w:color w:val="auto"/>
                <w:szCs w:val="21"/>
                <w:highlight w:val="none"/>
              </w:rPr>
              <w:t>6.5.2</w:t>
            </w:r>
          </w:p>
        </w:tc>
        <w:tc>
          <w:tcPr>
            <w:tcW w:w="1248" w:type="dxa"/>
            <w:tcBorders>
              <w:top w:val="single" w:color="auto" w:sz="4" w:space="0"/>
              <w:left w:val="single" w:color="auto" w:sz="4" w:space="0"/>
              <w:bottom w:val="single" w:color="auto" w:sz="4" w:space="0"/>
              <w:right w:val="single" w:color="auto" w:sz="4" w:space="0"/>
            </w:tcBorders>
            <w:noWrap/>
            <w:vAlign w:val="center"/>
          </w:tcPr>
          <w:p w14:paraId="54D475AF">
            <w:pPr>
              <w:spacing w:line="300" w:lineRule="exact"/>
              <w:jc w:val="center"/>
              <w:rPr>
                <w:color w:val="auto"/>
                <w:szCs w:val="21"/>
                <w:highlight w:val="none"/>
              </w:rPr>
            </w:pPr>
            <w:r>
              <w:rPr>
                <w:rFonts w:hint="eastAsia"/>
                <w:color w:val="auto"/>
                <w:szCs w:val="21"/>
                <w:highlight w:val="none"/>
              </w:rPr>
              <w:t>成交通知书</w:t>
            </w:r>
          </w:p>
        </w:tc>
        <w:tc>
          <w:tcPr>
            <w:tcW w:w="7229" w:type="dxa"/>
            <w:tcBorders>
              <w:top w:val="single" w:color="auto" w:sz="4" w:space="0"/>
              <w:left w:val="single" w:color="auto" w:sz="4" w:space="0"/>
              <w:bottom w:val="single" w:color="auto" w:sz="4" w:space="0"/>
              <w:right w:val="single" w:color="auto" w:sz="4" w:space="0"/>
            </w:tcBorders>
            <w:noWrap/>
            <w:vAlign w:val="center"/>
          </w:tcPr>
          <w:p w14:paraId="006A78DB">
            <w:pPr>
              <w:spacing w:line="300" w:lineRule="exact"/>
              <w:jc w:val="left"/>
              <w:rPr>
                <w:color w:val="auto"/>
                <w:szCs w:val="21"/>
                <w:highlight w:val="none"/>
              </w:rPr>
            </w:pPr>
            <w:r>
              <w:rPr>
                <w:rFonts w:hint="eastAsia"/>
                <w:color w:val="auto"/>
                <w:szCs w:val="21"/>
                <w:highlight w:val="none"/>
              </w:rPr>
              <w:t>采购代理机构通过广西政府采购云平台发出</w:t>
            </w:r>
            <w:r>
              <w:rPr>
                <w:color w:val="auto"/>
                <w:szCs w:val="21"/>
                <w:highlight w:val="none"/>
              </w:rPr>
              <w:t>成交通知书。</w:t>
            </w:r>
          </w:p>
          <w:p w14:paraId="42A6B498">
            <w:pPr>
              <w:spacing w:line="300" w:lineRule="exact"/>
              <w:jc w:val="left"/>
              <w:rPr>
                <w:color w:val="auto"/>
                <w:szCs w:val="21"/>
                <w:highlight w:val="none"/>
              </w:rPr>
            </w:pPr>
            <w:r>
              <w:rPr>
                <w:rFonts w:hint="eastAsia"/>
                <w:color w:val="auto"/>
                <w:szCs w:val="21"/>
                <w:highlight w:val="none"/>
              </w:rPr>
              <w:t>成交通知书在广西政府采购云平台推送之日起，视为成交供应商已收到，成交供应商自行承担未及时查收的后果。</w:t>
            </w:r>
          </w:p>
        </w:tc>
      </w:tr>
      <w:tr w14:paraId="5C6DA1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10A08B1E">
            <w:pPr>
              <w:spacing w:line="300" w:lineRule="exact"/>
              <w:jc w:val="center"/>
              <w:rPr>
                <w:b/>
                <w:color w:val="auto"/>
                <w:szCs w:val="21"/>
                <w:highlight w:val="none"/>
              </w:rPr>
            </w:pPr>
            <w:r>
              <w:rPr>
                <w:b/>
                <w:color w:val="auto"/>
                <w:szCs w:val="21"/>
                <w:highlight w:val="none"/>
              </w:rPr>
              <w:t>8.1</w:t>
            </w:r>
          </w:p>
        </w:tc>
        <w:tc>
          <w:tcPr>
            <w:tcW w:w="1248" w:type="dxa"/>
            <w:tcBorders>
              <w:top w:val="single" w:color="auto" w:sz="4" w:space="0"/>
              <w:left w:val="single" w:color="auto" w:sz="4" w:space="0"/>
              <w:bottom w:val="single" w:color="auto" w:sz="4" w:space="0"/>
              <w:right w:val="single" w:color="auto" w:sz="4" w:space="0"/>
            </w:tcBorders>
            <w:noWrap/>
            <w:vAlign w:val="center"/>
          </w:tcPr>
          <w:p w14:paraId="78FB9A46">
            <w:pPr>
              <w:spacing w:line="300" w:lineRule="exact"/>
              <w:jc w:val="center"/>
              <w:rPr>
                <w:color w:val="auto"/>
                <w:szCs w:val="21"/>
                <w:highlight w:val="none"/>
              </w:rPr>
            </w:pPr>
            <w:r>
              <w:rPr>
                <w:rFonts w:hint="eastAsia"/>
                <w:color w:val="auto"/>
                <w:szCs w:val="21"/>
                <w:highlight w:val="none"/>
              </w:rPr>
              <w:t>质疑</w:t>
            </w:r>
          </w:p>
        </w:tc>
        <w:tc>
          <w:tcPr>
            <w:tcW w:w="7229" w:type="dxa"/>
            <w:tcBorders>
              <w:top w:val="single" w:color="auto" w:sz="4" w:space="0"/>
              <w:left w:val="single" w:color="auto" w:sz="4" w:space="0"/>
              <w:bottom w:val="single" w:color="auto" w:sz="4" w:space="0"/>
              <w:right w:val="single" w:color="auto" w:sz="4" w:space="0"/>
            </w:tcBorders>
            <w:noWrap/>
            <w:vAlign w:val="center"/>
          </w:tcPr>
          <w:p w14:paraId="2418A144">
            <w:pPr>
              <w:spacing w:line="300" w:lineRule="exact"/>
              <w:jc w:val="left"/>
              <w:rPr>
                <w:color w:val="auto"/>
                <w:szCs w:val="21"/>
                <w:highlight w:val="none"/>
              </w:rPr>
            </w:pPr>
            <w:r>
              <w:rPr>
                <w:rFonts w:hint="eastAsia"/>
                <w:color w:val="auto"/>
                <w:szCs w:val="21"/>
                <w:highlight w:val="none"/>
              </w:rPr>
              <w:t>（1）供应商</w:t>
            </w:r>
            <w:r>
              <w:rPr>
                <w:color w:val="auto"/>
                <w:szCs w:val="21"/>
                <w:highlight w:val="none"/>
              </w:rPr>
              <w:t>认为</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过程、中标</w:t>
            </w:r>
            <w:r>
              <w:rPr>
                <w:rFonts w:hint="eastAsia"/>
                <w:color w:val="auto"/>
                <w:szCs w:val="21"/>
                <w:highlight w:val="none"/>
              </w:rPr>
              <w:t>或者成交</w:t>
            </w:r>
            <w:r>
              <w:rPr>
                <w:color w:val="auto"/>
                <w:szCs w:val="21"/>
                <w:highlight w:val="none"/>
              </w:rPr>
              <w:t>结果使自己的权益受到损害的，可以在知道或者应知其权益受到损害之日起7个工作日内，</w:t>
            </w:r>
            <w:r>
              <w:rPr>
                <w:rFonts w:hint="eastAsia"/>
                <w:color w:val="auto"/>
                <w:szCs w:val="21"/>
                <w:highlight w:val="none"/>
              </w:rPr>
              <w:t>通过以下方式</w:t>
            </w:r>
            <w:r>
              <w:rPr>
                <w:color w:val="auto"/>
                <w:szCs w:val="21"/>
                <w:highlight w:val="none"/>
              </w:rPr>
              <w:t>向采购人、采购代理机构提出质疑。提出质疑的</w:t>
            </w:r>
            <w:r>
              <w:rPr>
                <w:rFonts w:hint="eastAsia"/>
                <w:color w:val="auto"/>
                <w:szCs w:val="21"/>
                <w:highlight w:val="none"/>
              </w:rPr>
              <w:t>供应商</w:t>
            </w:r>
            <w:r>
              <w:rPr>
                <w:color w:val="auto"/>
                <w:szCs w:val="21"/>
                <w:highlight w:val="none"/>
              </w:rPr>
              <w:t>必须是参与本项目采购活动的供应商</w:t>
            </w:r>
            <w:r>
              <w:rPr>
                <w:rFonts w:hint="eastAsia"/>
                <w:color w:val="auto"/>
                <w:szCs w:val="21"/>
                <w:highlight w:val="none"/>
              </w:rPr>
              <w:t>，并须在</w:t>
            </w:r>
            <w:r>
              <w:rPr>
                <w:color w:val="auto"/>
                <w:szCs w:val="21"/>
                <w:highlight w:val="none"/>
              </w:rPr>
              <w:t>法定质疑期内一次性提出针对同一采购程序环节的质疑。质疑函应使用财政部发布的</w:t>
            </w:r>
            <w:r>
              <w:rPr>
                <w:rFonts w:hint="eastAsia"/>
                <w:color w:val="auto"/>
                <w:szCs w:val="21"/>
                <w:highlight w:val="none"/>
              </w:rPr>
              <w:t>政府采购供应商质疑函范本，并应按照“质疑函制作说明”进行制作。</w:t>
            </w:r>
          </w:p>
          <w:p w14:paraId="4840AEBC">
            <w:pPr>
              <w:spacing w:line="300" w:lineRule="exact"/>
              <w:ind w:firstLine="420" w:firstLineChars="200"/>
              <w:jc w:val="left"/>
              <w:rPr>
                <w:color w:val="auto"/>
                <w:szCs w:val="21"/>
                <w:highlight w:val="none"/>
              </w:rPr>
            </w:pPr>
            <w:r>
              <w:rPr>
                <w:rFonts w:hint="eastAsia"/>
                <w:color w:val="auto"/>
                <w:szCs w:val="21"/>
                <w:highlight w:val="none"/>
              </w:rPr>
              <w:t>（2）</w:t>
            </w:r>
            <w:r>
              <w:rPr>
                <w:color w:val="auto"/>
                <w:szCs w:val="21"/>
                <w:highlight w:val="none"/>
              </w:rPr>
              <w:t>本项目不接受传真、移动通信</w:t>
            </w:r>
            <w:r>
              <w:rPr>
                <w:rFonts w:hint="eastAsia"/>
                <w:color w:val="auto"/>
                <w:szCs w:val="21"/>
                <w:highlight w:val="none"/>
              </w:rPr>
              <w:t>、广西政府采购云平台</w:t>
            </w:r>
            <w:r>
              <w:rPr>
                <w:color w:val="auto"/>
                <w:szCs w:val="21"/>
                <w:highlight w:val="none"/>
              </w:rPr>
              <w:t>等</w:t>
            </w:r>
            <w:r>
              <w:rPr>
                <w:rFonts w:hint="eastAsia"/>
                <w:color w:val="auto"/>
                <w:szCs w:val="21"/>
                <w:highlight w:val="none"/>
              </w:rPr>
              <w:t>方式</w:t>
            </w:r>
            <w:r>
              <w:rPr>
                <w:color w:val="auto"/>
                <w:szCs w:val="21"/>
                <w:highlight w:val="none"/>
              </w:rPr>
              <w:t>送达的质疑材料</w:t>
            </w:r>
            <w:r>
              <w:rPr>
                <w:rFonts w:hint="eastAsia"/>
                <w:color w:val="auto"/>
                <w:szCs w:val="21"/>
                <w:highlight w:val="none"/>
              </w:rPr>
              <w:t>，供应商可通过现场或邮寄方式递交书面质疑材料。供应商应于质疑有效期内将质疑函原件递交或邮寄至谈判公告中采购代理机构信息中的联系人。</w:t>
            </w:r>
          </w:p>
        </w:tc>
      </w:tr>
      <w:tr w14:paraId="5622B1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9"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3F03A925">
            <w:pPr>
              <w:spacing w:line="300" w:lineRule="exact"/>
              <w:jc w:val="center"/>
              <w:rPr>
                <w:b/>
                <w:color w:val="auto"/>
                <w:szCs w:val="21"/>
                <w:highlight w:val="none"/>
              </w:rPr>
            </w:pPr>
            <w:r>
              <w:rPr>
                <w:b/>
                <w:color w:val="auto"/>
                <w:szCs w:val="21"/>
                <w:highlight w:val="none"/>
              </w:rPr>
              <w:t>9.1</w:t>
            </w:r>
          </w:p>
        </w:tc>
        <w:tc>
          <w:tcPr>
            <w:tcW w:w="1248" w:type="dxa"/>
            <w:tcBorders>
              <w:top w:val="single" w:color="auto" w:sz="4" w:space="0"/>
              <w:left w:val="single" w:color="auto" w:sz="4" w:space="0"/>
              <w:bottom w:val="single" w:color="auto" w:sz="4" w:space="0"/>
              <w:right w:val="single" w:color="auto" w:sz="4" w:space="0"/>
            </w:tcBorders>
            <w:noWrap/>
            <w:vAlign w:val="center"/>
          </w:tcPr>
          <w:p w14:paraId="34F446C0">
            <w:pPr>
              <w:spacing w:line="300" w:lineRule="exact"/>
              <w:jc w:val="center"/>
              <w:rPr>
                <w:color w:val="auto"/>
                <w:szCs w:val="21"/>
                <w:highlight w:val="none"/>
              </w:rPr>
            </w:pPr>
            <w:r>
              <w:rPr>
                <w:color w:val="auto"/>
                <w:szCs w:val="20"/>
                <w:highlight w:val="none"/>
              </w:rPr>
              <w:t>代理服务费</w:t>
            </w:r>
          </w:p>
        </w:tc>
        <w:tc>
          <w:tcPr>
            <w:tcW w:w="7229" w:type="dxa"/>
            <w:tcBorders>
              <w:top w:val="single" w:color="auto" w:sz="4" w:space="0"/>
              <w:left w:val="single" w:color="auto" w:sz="4" w:space="0"/>
              <w:bottom w:val="single" w:color="auto" w:sz="4" w:space="0"/>
              <w:right w:val="single" w:color="auto" w:sz="4" w:space="0"/>
            </w:tcBorders>
            <w:noWrap/>
            <w:vAlign w:val="center"/>
          </w:tcPr>
          <w:p w14:paraId="3F9C81CE">
            <w:pPr>
              <w:rPr>
                <w:color w:val="auto"/>
                <w:szCs w:val="21"/>
                <w:highlight w:val="none"/>
              </w:rPr>
            </w:pPr>
            <w:r>
              <w:rPr>
                <w:color w:val="auto"/>
                <w:szCs w:val="21"/>
                <w:highlight w:val="none"/>
              </w:rPr>
              <w:t>（1）</w:t>
            </w:r>
            <w:r>
              <w:rPr>
                <w:color w:val="auto"/>
                <w:szCs w:val="20"/>
                <w:highlight w:val="none"/>
              </w:rPr>
              <w:t>代理服务费</w:t>
            </w:r>
          </w:p>
          <w:p w14:paraId="4D392ECC">
            <w:pPr>
              <w:spacing w:line="300" w:lineRule="exact"/>
              <w:jc w:val="left"/>
              <w:rPr>
                <w:color w:val="auto"/>
                <w:szCs w:val="21"/>
                <w:highlight w:val="none"/>
              </w:rPr>
            </w:pPr>
            <w:r>
              <w:rPr>
                <w:color w:val="auto"/>
                <w:szCs w:val="21"/>
                <w:highlight w:val="none"/>
              </w:rPr>
              <w:sym w:font="Wingdings 2" w:char="F052"/>
            </w:r>
            <w:r>
              <w:rPr>
                <w:color w:val="auto"/>
                <w:szCs w:val="21"/>
                <w:highlight w:val="none"/>
              </w:rPr>
              <w:t>采购代理机构向成交供应商收取代理服务费。本项目代理服务费</w:t>
            </w:r>
            <w:r>
              <w:rPr>
                <w:rFonts w:hint="eastAsia"/>
                <w:color w:val="auto"/>
                <w:szCs w:val="21"/>
                <w:highlight w:val="none"/>
              </w:rPr>
              <w:t>按照</w:t>
            </w:r>
            <w:r>
              <w:rPr>
                <w:color w:val="auto"/>
                <w:szCs w:val="21"/>
                <w:highlight w:val="none"/>
              </w:rPr>
              <w:t>《招标代理服务费管理暂行办法》 (计价格﹝2002﹞1980号)、《国家发展改革委关于降低部分建设项目收费标准规范收费行为等有关问题的通知》(发改价格﹝2011﹞534号)</w:t>
            </w:r>
            <w:r>
              <w:rPr>
                <w:rFonts w:hint="eastAsia"/>
                <w:color w:val="auto"/>
                <w:szCs w:val="21"/>
                <w:highlight w:val="none"/>
              </w:rPr>
              <w:t>的</w:t>
            </w:r>
            <w:r>
              <w:rPr>
                <w:color w:val="auto"/>
                <w:szCs w:val="21"/>
                <w:highlight w:val="none"/>
              </w:rPr>
              <w:t>规定</w:t>
            </w:r>
            <w:r>
              <w:rPr>
                <w:rFonts w:hint="eastAsia"/>
                <w:color w:val="auto"/>
                <w:szCs w:val="21"/>
                <w:highlight w:val="none"/>
              </w:rPr>
              <w:t>采用</w:t>
            </w:r>
            <w:r>
              <w:rPr>
                <w:color w:val="auto"/>
                <w:szCs w:val="21"/>
                <w:highlight w:val="none"/>
              </w:rPr>
              <w:t>差额定率累进</w:t>
            </w:r>
            <w:r>
              <w:rPr>
                <w:rFonts w:hint="eastAsia"/>
                <w:color w:val="auto"/>
                <w:szCs w:val="21"/>
                <w:highlight w:val="none"/>
              </w:rPr>
              <w:t>法</w:t>
            </w:r>
            <w:r>
              <w:rPr>
                <w:color w:val="auto"/>
                <w:szCs w:val="21"/>
                <w:highlight w:val="none"/>
              </w:rPr>
              <w:t>计算</w:t>
            </w:r>
            <w:r>
              <w:rPr>
                <w:rFonts w:hint="eastAsia"/>
                <w:color w:val="auto"/>
                <w:szCs w:val="21"/>
                <w:highlight w:val="none"/>
              </w:rPr>
              <w:t>。</w:t>
            </w:r>
            <w:r>
              <w:rPr>
                <w:color w:val="auto"/>
                <w:szCs w:val="21"/>
                <w:highlight w:val="none"/>
              </w:rPr>
              <w:t>具体费率</w:t>
            </w:r>
            <w:r>
              <w:rPr>
                <w:rFonts w:hint="eastAsia"/>
                <w:color w:val="auto"/>
                <w:szCs w:val="21"/>
                <w:highlight w:val="none"/>
              </w:rPr>
              <w:t>如下：</w:t>
            </w:r>
          </w:p>
          <w:p w14:paraId="4CB981A9">
            <w:pPr>
              <w:spacing w:line="300" w:lineRule="exact"/>
              <w:jc w:val="left"/>
              <w:rPr>
                <w:color w:val="auto"/>
                <w:szCs w:val="21"/>
                <w:highlight w:val="none"/>
              </w:rPr>
            </w:pPr>
            <w:r>
              <w:rPr>
                <w:rFonts w:hint="eastAsia"/>
                <w:color w:val="auto"/>
                <w:szCs w:val="21"/>
                <w:highlight w:val="none"/>
              </w:rPr>
              <w:t>①成交金额在1</w:t>
            </w:r>
            <w:r>
              <w:rPr>
                <w:color w:val="auto"/>
                <w:szCs w:val="21"/>
                <w:highlight w:val="none"/>
              </w:rPr>
              <w:t>00</w:t>
            </w:r>
            <w:r>
              <w:rPr>
                <w:rFonts w:hint="eastAsia"/>
                <w:color w:val="auto"/>
                <w:szCs w:val="21"/>
                <w:highlight w:val="none"/>
              </w:rPr>
              <w:t>万元以下的：</w:t>
            </w:r>
          </w:p>
          <w:p w14:paraId="409CB9D7">
            <w:pPr>
              <w:spacing w:line="300" w:lineRule="exact"/>
              <w:jc w:val="left"/>
              <w:rPr>
                <w:color w:val="auto"/>
                <w:szCs w:val="21"/>
                <w:highlight w:val="none"/>
              </w:rPr>
            </w:pPr>
            <w:r>
              <w:rPr>
                <w:rFonts w:hint="eastAsia"/>
                <w:color w:val="auto"/>
                <w:szCs w:val="21"/>
                <w:highlight w:val="none"/>
              </w:rPr>
              <w:t>货物</w:t>
            </w:r>
            <w:r>
              <w:rPr>
                <w:color w:val="auto"/>
                <w:szCs w:val="21"/>
                <w:highlight w:val="none"/>
              </w:rPr>
              <w:t>1.5％</w:t>
            </w:r>
            <w:r>
              <w:rPr>
                <w:rFonts w:hint="eastAsia"/>
                <w:color w:val="auto"/>
                <w:szCs w:val="21"/>
                <w:highlight w:val="none"/>
              </w:rPr>
              <w:t>；</w:t>
            </w:r>
            <w:r>
              <w:rPr>
                <w:color w:val="auto"/>
                <w:szCs w:val="21"/>
                <w:highlight w:val="none"/>
              </w:rPr>
              <w:t>服务招标1.5％</w:t>
            </w:r>
            <w:r>
              <w:rPr>
                <w:rFonts w:hint="eastAsia"/>
                <w:color w:val="auto"/>
                <w:szCs w:val="21"/>
                <w:highlight w:val="none"/>
              </w:rPr>
              <w:t>；</w:t>
            </w:r>
            <w:r>
              <w:rPr>
                <w:color w:val="auto"/>
                <w:szCs w:val="21"/>
                <w:highlight w:val="none"/>
              </w:rPr>
              <w:t>工程招标1.0％</w:t>
            </w:r>
            <w:r>
              <w:rPr>
                <w:rFonts w:hint="eastAsia"/>
                <w:color w:val="auto"/>
                <w:szCs w:val="21"/>
                <w:highlight w:val="none"/>
              </w:rPr>
              <w:t>；</w:t>
            </w:r>
          </w:p>
          <w:p w14:paraId="385F9B0D">
            <w:pPr>
              <w:spacing w:line="300" w:lineRule="exact"/>
              <w:jc w:val="left"/>
              <w:rPr>
                <w:color w:val="auto"/>
                <w:szCs w:val="21"/>
                <w:highlight w:val="none"/>
              </w:rPr>
            </w:pPr>
            <w:r>
              <w:rPr>
                <w:rFonts w:hint="eastAsia"/>
                <w:color w:val="auto"/>
                <w:szCs w:val="21"/>
                <w:highlight w:val="none"/>
              </w:rPr>
              <w:t>②成交金额在</w:t>
            </w:r>
            <w:r>
              <w:rPr>
                <w:color w:val="auto"/>
                <w:szCs w:val="21"/>
                <w:highlight w:val="none"/>
              </w:rPr>
              <w:t>100-500</w:t>
            </w:r>
            <w:r>
              <w:rPr>
                <w:rFonts w:hint="eastAsia"/>
                <w:color w:val="auto"/>
                <w:szCs w:val="21"/>
                <w:highlight w:val="none"/>
              </w:rPr>
              <w:t>万元之间：</w:t>
            </w:r>
          </w:p>
          <w:p w14:paraId="2EE6B45E">
            <w:pPr>
              <w:spacing w:line="300" w:lineRule="exact"/>
              <w:jc w:val="left"/>
              <w:rPr>
                <w:color w:val="auto"/>
                <w:szCs w:val="21"/>
                <w:highlight w:val="none"/>
              </w:rPr>
            </w:pPr>
            <w:r>
              <w:rPr>
                <w:rFonts w:hint="eastAsia"/>
                <w:color w:val="auto"/>
                <w:szCs w:val="21"/>
                <w:highlight w:val="none"/>
              </w:rPr>
              <w:t>货物</w:t>
            </w:r>
            <w:r>
              <w:rPr>
                <w:color w:val="auto"/>
                <w:szCs w:val="21"/>
                <w:highlight w:val="none"/>
              </w:rPr>
              <w:t>1.1％</w:t>
            </w:r>
            <w:r>
              <w:rPr>
                <w:rFonts w:hint="eastAsia"/>
                <w:color w:val="auto"/>
                <w:szCs w:val="21"/>
                <w:highlight w:val="none"/>
              </w:rPr>
              <w:t>；</w:t>
            </w:r>
            <w:r>
              <w:rPr>
                <w:color w:val="auto"/>
                <w:szCs w:val="21"/>
                <w:highlight w:val="none"/>
              </w:rPr>
              <w:t>服务招标0.8％</w:t>
            </w:r>
            <w:r>
              <w:rPr>
                <w:rFonts w:hint="eastAsia"/>
                <w:color w:val="auto"/>
                <w:szCs w:val="21"/>
                <w:highlight w:val="none"/>
              </w:rPr>
              <w:t>；</w:t>
            </w:r>
            <w:r>
              <w:rPr>
                <w:color w:val="auto"/>
                <w:szCs w:val="21"/>
                <w:highlight w:val="none"/>
              </w:rPr>
              <w:t>工程招标0.7％</w:t>
            </w:r>
            <w:r>
              <w:rPr>
                <w:rFonts w:hint="eastAsia"/>
                <w:color w:val="auto"/>
                <w:szCs w:val="21"/>
                <w:highlight w:val="none"/>
              </w:rPr>
              <w:t>；</w:t>
            </w:r>
          </w:p>
          <w:p w14:paraId="767D1369">
            <w:pPr>
              <w:spacing w:line="300" w:lineRule="exact"/>
              <w:jc w:val="left"/>
              <w:rPr>
                <w:color w:val="auto"/>
                <w:szCs w:val="21"/>
                <w:highlight w:val="none"/>
              </w:rPr>
            </w:pPr>
            <w:r>
              <w:rPr>
                <w:rFonts w:hint="eastAsia"/>
                <w:color w:val="auto"/>
                <w:szCs w:val="21"/>
                <w:highlight w:val="none"/>
              </w:rPr>
              <w:t>③成交金额在</w:t>
            </w:r>
            <w:r>
              <w:rPr>
                <w:color w:val="auto"/>
                <w:szCs w:val="21"/>
                <w:highlight w:val="none"/>
              </w:rPr>
              <w:t>5</w:t>
            </w:r>
            <w:r>
              <w:rPr>
                <w:rFonts w:hint="eastAsia"/>
                <w:color w:val="auto"/>
                <w:szCs w:val="21"/>
                <w:highlight w:val="none"/>
              </w:rPr>
              <w:t>0</w:t>
            </w:r>
            <w:r>
              <w:rPr>
                <w:color w:val="auto"/>
                <w:szCs w:val="21"/>
                <w:highlight w:val="none"/>
              </w:rPr>
              <w:t>0-1</w:t>
            </w:r>
            <w:r>
              <w:rPr>
                <w:rFonts w:hint="eastAsia"/>
                <w:color w:val="auto"/>
                <w:szCs w:val="21"/>
                <w:highlight w:val="none"/>
              </w:rPr>
              <w:t>00</w:t>
            </w:r>
            <w:r>
              <w:rPr>
                <w:color w:val="auto"/>
                <w:szCs w:val="21"/>
                <w:highlight w:val="none"/>
              </w:rPr>
              <w:t>0</w:t>
            </w:r>
            <w:r>
              <w:rPr>
                <w:rFonts w:hint="eastAsia"/>
                <w:color w:val="auto"/>
                <w:szCs w:val="21"/>
                <w:highlight w:val="none"/>
              </w:rPr>
              <w:t>万元之间：</w:t>
            </w:r>
          </w:p>
          <w:p w14:paraId="12C67EE6">
            <w:pPr>
              <w:spacing w:line="300" w:lineRule="exact"/>
              <w:jc w:val="left"/>
              <w:rPr>
                <w:color w:val="auto"/>
                <w:szCs w:val="21"/>
                <w:highlight w:val="none"/>
              </w:rPr>
            </w:pPr>
            <w:r>
              <w:rPr>
                <w:rFonts w:hint="eastAsia"/>
                <w:color w:val="auto"/>
                <w:szCs w:val="21"/>
                <w:highlight w:val="none"/>
              </w:rPr>
              <w:t>货物</w:t>
            </w:r>
            <w:r>
              <w:rPr>
                <w:color w:val="auto"/>
                <w:szCs w:val="21"/>
                <w:highlight w:val="none"/>
              </w:rPr>
              <w:t>0.8％</w:t>
            </w:r>
            <w:r>
              <w:rPr>
                <w:rFonts w:hint="eastAsia"/>
                <w:color w:val="auto"/>
                <w:szCs w:val="21"/>
                <w:highlight w:val="none"/>
              </w:rPr>
              <w:t>；</w:t>
            </w:r>
            <w:r>
              <w:rPr>
                <w:color w:val="auto"/>
                <w:szCs w:val="21"/>
                <w:highlight w:val="none"/>
              </w:rPr>
              <w:t>服务招标0.45％</w:t>
            </w:r>
            <w:r>
              <w:rPr>
                <w:rFonts w:hint="eastAsia"/>
                <w:color w:val="auto"/>
                <w:szCs w:val="21"/>
                <w:highlight w:val="none"/>
              </w:rPr>
              <w:t>；</w:t>
            </w:r>
            <w:r>
              <w:rPr>
                <w:color w:val="auto"/>
                <w:szCs w:val="21"/>
                <w:highlight w:val="none"/>
              </w:rPr>
              <w:t>工程招标0.55％</w:t>
            </w:r>
            <w:r>
              <w:rPr>
                <w:rFonts w:hint="eastAsia"/>
                <w:color w:val="auto"/>
                <w:szCs w:val="21"/>
                <w:highlight w:val="none"/>
              </w:rPr>
              <w:t>；</w:t>
            </w:r>
          </w:p>
          <w:p w14:paraId="07F8C485">
            <w:pPr>
              <w:spacing w:line="300" w:lineRule="exact"/>
              <w:jc w:val="left"/>
              <w:rPr>
                <w:color w:val="auto"/>
                <w:szCs w:val="21"/>
                <w:highlight w:val="none"/>
              </w:rPr>
            </w:pPr>
            <w:r>
              <w:rPr>
                <w:rFonts w:hint="eastAsia"/>
                <w:color w:val="auto"/>
                <w:szCs w:val="21"/>
                <w:highlight w:val="none"/>
              </w:rPr>
              <w:t>④成交金额在</w:t>
            </w:r>
            <w:r>
              <w:rPr>
                <w:color w:val="auto"/>
                <w:szCs w:val="21"/>
                <w:highlight w:val="none"/>
              </w:rPr>
              <w:t>1000-5000</w:t>
            </w:r>
            <w:r>
              <w:rPr>
                <w:rFonts w:hint="eastAsia"/>
                <w:color w:val="auto"/>
                <w:szCs w:val="21"/>
                <w:highlight w:val="none"/>
              </w:rPr>
              <w:t>万元之间：</w:t>
            </w:r>
          </w:p>
          <w:p w14:paraId="3D5C3FAC">
            <w:pPr>
              <w:spacing w:line="300" w:lineRule="exact"/>
              <w:jc w:val="left"/>
              <w:rPr>
                <w:color w:val="auto"/>
                <w:szCs w:val="21"/>
                <w:highlight w:val="none"/>
              </w:rPr>
            </w:pPr>
            <w:r>
              <w:rPr>
                <w:rFonts w:hint="eastAsia"/>
                <w:color w:val="auto"/>
                <w:szCs w:val="21"/>
                <w:highlight w:val="none"/>
              </w:rPr>
              <w:t>货物</w:t>
            </w:r>
            <w:r>
              <w:rPr>
                <w:color w:val="auto"/>
                <w:szCs w:val="21"/>
                <w:highlight w:val="none"/>
              </w:rPr>
              <w:t>0.5％</w:t>
            </w:r>
            <w:r>
              <w:rPr>
                <w:rFonts w:hint="eastAsia"/>
                <w:color w:val="auto"/>
                <w:szCs w:val="21"/>
                <w:highlight w:val="none"/>
              </w:rPr>
              <w:t>；</w:t>
            </w:r>
            <w:r>
              <w:rPr>
                <w:color w:val="auto"/>
                <w:szCs w:val="21"/>
                <w:highlight w:val="none"/>
              </w:rPr>
              <w:t>服务招标0.25％</w:t>
            </w:r>
            <w:r>
              <w:rPr>
                <w:rFonts w:hint="eastAsia"/>
                <w:color w:val="auto"/>
                <w:szCs w:val="21"/>
                <w:highlight w:val="none"/>
              </w:rPr>
              <w:t>；</w:t>
            </w:r>
            <w:r>
              <w:rPr>
                <w:color w:val="auto"/>
                <w:szCs w:val="21"/>
                <w:highlight w:val="none"/>
              </w:rPr>
              <w:t>工程招标0.35％</w:t>
            </w:r>
            <w:r>
              <w:rPr>
                <w:rFonts w:hint="eastAsia"/>
                <w:color w:val="auto"/>
                <w:szCs w:val="21"/>
                <w:highlight w:val="none"/>
              </w:rPr>
              <w:t>；</w:t>
            </w:r>
          </w:p>
          <w:p w14:paraId="3F297639">
            <w:pPr>
              <w:spacing w:line="300" w:lineRule="exact"/>
              <w:jc w:val="left"/>
              <w:rPr>
                <w:color w:val="auto"/>
                <w:szCs w:val="21"/>
                <w:highlight w:val="none"/>
              </w:rPr>
            </w:pPr>
            <w:r>
              <w:rPr>
                <w:rFonts w:hint="eastAsia"/>
                <w:color w:val="auto"/>
                <w:szCs w:val="21"/>
                <w:highlight w:val="none"/>
              </w:rPr>
              <w:t>……</w:t>
            </w:r>
          </w:p>
          <w:p w14:paraId="320E7281">
            <w:pPr>
              <w:spacing w:line="300" w:lineRule="exact"/>
              <w:jc w:val="left"/>
              <w:rPr>
                <w:color w:val="auto"/>
                <w:szCs w:val="21"/>
                <w:highlight w:val="none"/>
              </w:rPr>
            </w:pPr>
            <w:r>
              <w:rPr>
                <w:color w:val="auto"/>
                <w:szCs w:val="21"/>
                <w:highlight w:val="none"/>
              </w:rPr>
              <w:t>差额定率累进</w:t>
            </w:r>
            <w:r>
              <w:rPr>
                <w:rFonts w:hint="eastAsia"/>
                <w:color w:val="auto"/>
                <w:szCs w:val="21"/>
                <w:highlight w:val="none"/>
              </w:rPr>
              <w:t>法</w:t>
            </w:r>
            <w:r>
              <w:rPr>
                <w:color w:val="auto"/>
                <w:szCs w:val="21"/>
                <w:highlight w:val="none"/>
              </w:rPr>
              <w:t>计算</w:t>
            </w:r>
            <w:r>
              <w:rPr>
                <w:rFonts w:hint="eastAsia"/>
                <w:color w:val="auto"/>
                <w:szCs w:val="21"/>
                <w:highlight w:val="none"/>
              </w:rPr>
              <w:t>过程示例：</w:t>
            </w:r>
          </w:p>
          <w:p w14:paraId="474AEC83">
            <w:pPr>
              <w:spacing w:line="300" w:lineRule="exact"/>
              <w:jc w:val="left"/>
              <w:rPr>
                <w:color w:val="auto"/>
                <w:szCs w:val="21"/>
                <w:highlight w:val="none"/>
              </w:rPr>
            </w:pPr>
            <w:r>
              <w:rPr>
                <w:color w:val="auto"/>
                <w:szCs w:val="21"/>
                <w:highlight w:val="none"/>
              </w:rPr>
              <w:t>例如：某货物招标代理业务成交金额为300万元，招标代理服务费金额按如下计算：</w:t>
            </w:r>
          </w:p>
          <w:p w14:paraId="350B6F24">
            <w:pPr>
              <w:spacing w:line="300" w:lineRule="exact"/>
              <w:jc w:val="left"/>
              <w:rPr>
                <w:color w:val="auto"/>
                <w:szCs w:val="21"/>
                <w:highlight w:val="none"/>
              </w:rPr>
            </w:pPr>
            <w:r>
              <w:rPr>
                <w:color w:val="auto"/>
                <w:szCs w:val="21"/>
                <w:highlight w:val="none"/>
              </w:rPr>
              <w:t>100万元×1.5%＝1.5万元</w:t>
            </w:r>
          </w:p>
          <w:p w14:paraId="2E6AEAB4">
            <w:pPr>
              <w:spacing w:line="300" w:lineRule="exact"/>
              <w:jc w:val="left"/>
              <w:rPr>
                <w:color w:val="auto"/>
                <w:szCs w:val="21"/>
                <w:highlight w:val="none"/>
              </w:rPr>
            </w:pPr>
            <w:r>
              <w:rPr>
                <w:color w:val="auto"/>
                <w:szCs w:val="21"/>
                <w:highlight w:val="none"/>
              </w:rPr>
              <w:t>（300－100）万元×1.1%＝2.2万元</w:t>
            </w:r>
          </w:p>
          <w:p w14:paraId="4F6915EC">
            <w:pPr>
              <w:spacing w:line="300" w:lineRule="exact"/>
              <w:jc w:val="left"/>
              <w:rPr>
                <w:color w:val="auto"/>
                <w:szCs w:val="21"/>
                <w:highlight w:val="none"/>
              </w:rPr>
            </w:pPr>
            <w:r>
              <w:rPr>
                <w:color w:val="auto"/>
                <w:szCs w:val="21"/>
                <w:highlight w:val="none"/>
              </w:rPr>
              <w:t>合计收费＝1.5＋2.2=3.7万元</w:t>
            </w:r>
          </w:p>
          <w:p w14:paraId="61640C68">
            <w:pPr>
              <w:spacing w:line="300" w:lineRule="exact"/>
              <w:jc w:val="left"/>
              <w:rPr>
                <w:color w:val="auto"/>
                <w:szCs w:val="21"/>
                <w:highlight w:val="none"/>
                <w:u w:val="single"/>
              </w:rPr>
            </w:pPr>
            <w:r>
              <w:rPr>
                <w:color w:val="auto"/>
                <w:szCs w:val="21"/>
                <w:highlight w:val="none"/>
              </w:rPr>
              <w:sym w:font="Wingdings 2" w:char="F0A3"/>
            </w:r>
            <w:r>
              <w:rPr>
                <w:color w:val="auto"/>
                <w:szCs w:val="21"/>
                <w:highlight w:val="none"/>
              </w:rPr>
              <w:t>采购代理机构</w:t>
            </w:r>
            <w:r>
              <w:rPr>
                <w:color w:val="auto"/>
                <w:szCs w:val="20"/>
                <w:highlight w:val="none"/>
              </w:rPr>
              <w:t>向成交供应商收取代理服务费</w:t>
            </w:r>
            <w:r>
              <w:rPr>
                <w:rFonts w:hint="eastAsia"/>
                <w:color w:val="auto"/>
                <w:szCs w:val="20"/>
                <w:highlight w:val="none"/>
              </w:rPr>
              <w:t>，</w:t>
            </w:r>
            <w:r>
              <w:rPr>
                <w:color w:val="auto"/>
                <w:szCs w:val="20"/>
                <w:highlight w:val="none"/>
              </w:rPr>
              <w:t>具体金额为</w:t>
            </w:r>
            <w:r>
              <w:rPr>
                <w:rFonts w:hint="eastAsia"/>
                <w:color w:val="auto"/>
                <w:szCs w:val="20"/>
                <w:highlight w:val="none"/>
              </w:rPr>
              <w:t>。</w:t>
            </w:r>
          </w:p>
          <w:p w14:paraId="3FAA11B9">
            <w:pPr>
              <w:spacing w:line="300" w:lineRule="exact"/>
              <w:jc w:val="left"/>
              <w:rPr>
                <w:color w:val="auto"/>
                <w:szCs w:val="21"/>
                <w:highlight w:val="none"/>
              </w:rPr>
            </w:pPr>
            <w:r>
              <w:rPr>
                <w:color w:val="auto"/>
                <w:szCs w:val="21"/>
                <w:highlight w:val="none"/>
              </w:rPr>
              <w:t>（2）成交供应商在成交通知书发出前以银行转账或现金形式支付代理服务费；采购代理机构也可以从成交供应商的谈判保证金中扣除上述金额的代理服务费，余款按供应商所汇入谈判保证金的账户原路退回，如无法原路返回，则按《代理服务费承诺书》列明的账户退回。</w:t>
            </w:r>
          </w:p>
          <w:p w14:paraId="0293221E">
            <w:pPr>
              <w:spacing w:line="300" w:lineRule="exact"/>
              <w:jc w:val="left"/>
              <w:rPr>
                <w:color w:val="auto"/>
                <w:kern w:val="0"/>
                <w:szCs w:val="21"/>
                <w:highlight w:val="none"/>
              </w:rPr>
            </w:pPr>
            <w:r>
              <w:rPr>
                <w:rFonts w:hint="eastAsia"/>
                <w:color w:val="auto"/>
                <w:kern w:val="0"/>
                <w:szCs w:val="21"/>
                <w:highlight w:val="none"/>
              </w:rPr>
              <w:t>开户银行：广西北部湾银行南宁市金湖支行</w:t>
            </w:r>
          </w:p>
          <w:p w14:paraId="32E70146">
            <w:pPr>
              <w:spacing w:line="300" w:lineRule="exact"/>
              <w:jc w:val="left"/>
              <w:rPr>
                <w:color w:val="auto"/>
                <w:kern w:val="0"/>
                <w:szCs w:val="21"/>
                <w:highlight w:val="none"/>
              </w:rPr>
            </w:pPr>
            <w:r>
              <w:rPr>
                <w:rFonts w:hint="eastAsia"/>
                <w:color w:val="auto"/>
                <w:kern w:val="0"/>
                <w:szCs w:val="21"/>
                <w:highlight w:val="none"/>
              </w:rPr>
              <w:t>（银行地址：南宁市金湖路57号文德大厦1楼）</w:t>
            </w:r>
          </w:p>
          <w:p w14:paraId="119CCBC1">
            <w:pPr>
              <w:spacing w:line="300" w:lineRule="exact"/>
              <w:jc w:val="left"/>
              <w:rPr>
                <w:color w:val="auto"/>
                <w:kern w:val="0"/>
                <w:szCs w:val="21"/>
                <w:highlight w:val="none"/>
              </w:rPr>
            </w:pPr>
            <w:r>
              <w:rPr>
                <w:rFonts w:hint="eastAsia"/>
                <w:color w:val="auto"/>
                <w:kern w:val="0"/>
                <w:szCs w:val="21"/>
                <w:highlight w:val="none"/>
              </w:rPr>
              <w:t>开户名称：广西机电设备招标有限公司</w:t>
            </w:r>
          </w:p>
          <w:p w14:paraId="4DCA2051">
            <w:pPr>
              <w:spacing w:line="300" w:lineRule="exact"/>
              <w:jc w:val="left"/>
              <w:rPr>
                <w:color w:val="auto"/>
                <w:kern w:val="0"/>
                <w:szCs w:val="21"/>
                <w:highlight w:val="none"/>
              </w:rPr>
            </w:pPr>
            <w:r>
              <w:rPr>
                <w:rFonts w:hint="eastAsia"/>
                <w:color w:val="auto"/>
                <w:kern w:val="0"/>
                <w:szCs w:val="21"/>
                <w:highlight w:val="none"/>
              </w:rPr>
              <w:t>银行账号：1705012090027723 (联行号 313611017053)</w:t>
            </w:r>
          </w:p>
          <w:p w14:paraId="7DCC5BEC">
            <w:pPr>
              <w:spacing w:line="300" w:lineRule="exact"/>
              <w:jc w:val="left"/>
              <w:rPr>
                <w:color w:val="auto"/>
                <w:kern w:val="0"/>
                <w:szCs w:val="21"/>
                <w:highlight w:val="none"/>
              </w:rPr>
            </w:pPr>
            <w:r>
              <w:rPr>
                <w:rFonts w:hint="eastAsia"/>
                <w:color w:val="auto"/>
                <w:kern w:val="0"/>
                <w:szCs w:val="21"/>
                <w:highlight w:val="none"/>
              </w:rPr>
              <w:t>财务联系人：吴茜（电话：0771-2821398）</w:t>
            </w:r>
          </w:p>
        </w:tc>
      </w:tr>
      <w:tr w14:paraId="5EC37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37" w:type="dxa"/>
            <w:tcBorders>
              <w:top w:val="single" w:color="auto" w:sz="4" w:space="0"/>
              <w:left w:val="single" w:color="auto" w:sz="4" w:space="0"/>
              <w:bottom w:val="single" w:color="auto" w:sz="4" w:space="0"/>
              <w:right w:val="single" w:color="auto" w:sz="4" w:space="0"/>
            </w:tcBorders>
            <w:noWrap/>
            <w:vAlign w:val="center"/>
          </w:tcPr>
          <w:p w14:paraId="369D75C9">
            <w:pPr>
              <w:spacing w:line="300" w:lineRule="exact"/>
              <w:jc w:val="center"/>
              <w:rPr>
                <w:b/>
                <w:color w:val="auto"/>
                <w:szCs w:val="21"/>
                <w:highlight w:val="none"/>
              </w:rPr>
            </w:pPr>
            <w:r>
              <w:rPr>
                <w:b/>
                <w:color w:val="auto"/>
                <w:szCs w:val="21"/>
                <w:highlight w:val="none"/>
              </w:rPr>
              <w:t>9.4</w:t>
            </w:r>
          </w:p>
        </w:tc>
        <w:tc>
          <w:tcPr>
            <w:tcW w:w="1248" w:type="dxa"/>
            <w:tcBorders>
              <w:top w:val="single" w:color="auto" w:sz="4" w:space="0"/>
              <w:left w:val="single" w:color="auto" w:sz="4" w:space="0"/>
              <w:bottom w:val="single" w:color="auto" w:sz="4" w:space="0"/>
              <w:right w:val="single" w:color="auto" w:sz="4" w:space="0"/>
            </w:tcBorders>
            <w:noWrap/>
            <w:vAlign w:val="center"/>
          </w:tcPr>
          <w:p w14:paraId="5D1B1063">
            <w:pPr>
              <w:spacing w:line="300" w:lineRule="exact"/>
              <w:jc w:val="center"/>
              <w:rPr>
                <w:color w:val="auto"/>
                <w:szCs w:val="20"/>
                <w:highlight w:val="none"/>
              </w:rPr>
            </w:pPr>
            <w:r>
              <w:rPr>
                <w:rFonts w:hint="eastAsia"/>
                <w:color w:val="auto"/>
                <w:szCs w:val="20"/>
                <w:highlight w:val="none"/>
              </w:rPr>
              <w:t>其他事项</w:t>
            </w:r>
          </w:p>
        </w:tc>
        <w:tc>
          <w:tcPr>
            <w:tcW w:w="7229" w:type="dxa"/>
            <w:tcBorders>
              <w:top w:val="single" w:color="auto" w:sz="4" w:space="0"/>
              <w:left w:val="single" w:color="auto" w:sz="4" w:space="0"/>
              <w:bottom w:val="single" w:color="auto" w:sz="4" w:space="0"/>
              <w:right w:val="single" w:color="auto" w:sz="4" w:space="0"/>
            </w:tcBorders>
            <w:noWrap/>
            <w:vAlign w:val="center"/>
          </w:tcPr>
          <w:p w14:paraId="02B9C73C">
            <w:pPr>
              <w:spacing w:line="276" w:lineRule="auto"/>
              <w:rPr>
                <w:color w:val="auto"/>
                <w:szCs w:val="21"/>
                <w:highlight w:val="none"/>
              </w:rPr>
            </w:pPr>
            <w:r>
              <w:rPr>
                <w:rFonts w:hint="eastAsia"/>
                <w:color w:val="auto"/>
                <w:szCs w:val="21"/>
                <w:highlight w:val="none"/>
              </w:rPr>
              <w:t>构成本采购文件的各个组成文件应互为解释，互为说明：</w:t>
            </w:r>
          </w:p>
          <w:p w14:paraId="387B1495">
            <w:pPr>
              <w:spacing w:line="276" w:lineRule="auto"/>
              <w:rPr>
                <w:color w:val="auto"/>
                <w:sz w:val="24"/>
                <w:highlight w:val="none"/>
              </w:rPr>
            </w:pPr>
            <w:r>
              <w:rPr>
                <w:rFonts w:hint="eastAsia"/>
                <w:color w:val="auto"/>
                <w:szCs w:val="21"/>
                <w:highlight w:val="none"/>
              </w:rPr>
              <w:t>除采购文件中有特别规定外，仅适用于招标投标阶段的规定，按更正公告（澄清公告）、谈判公告、采购需求、供应商须知、评审方法及标准、合同条款格式、响应文件格式的先后顺序解释；同一组成文件中就同一事项的规定或者约定不一致的，以编排顺序在后者为准；同一组成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6CDF1721">
      <w:pPr>
        <w:rPr>
          <w:color w:val="auto"/>
          <w:highlight w:val="none"/>
        </w:rPr>
      </w:pPr>
    </w:p>
    <w:p w14:paraId="1360BCAF">
      <w:pPr>
        <w:spacing w:before="120" w:line="320" w:lineRule="atLeast"/>
        <w:outlineLvl w:val="1"/>
        <w:rPr>
          <w:b/>
          <w:bCs/>
          <w:color w:val="auto"/>
          <w:kern w:val="0"/>
          <w:szCs w:val="21"/>
          <w:highlight w:val="none"/>
        </w:rPr>
      </w:pPr>
      <w:r>
        <w:rPr>
          <w:color w:val="auto"/>
          <w:highlight w:val="none"/>
        </w:rPr>
        <w:br w:type="page"/>
      </w:r>
      <w:bookmarkStart w:id="29" w:name="_Hlk88949215"/>
      <w:bookmarkStart w:id="30" w:name="_Hlk89180124"/>
      <w:r>
        <w:rPr>
          <w:b/>
          <w:bCs/>
          <w:color w:val="auto"/>
          <w:kern w:val="0"/>
          <w:szCs w:val="21"/>
          <w:highlight w:val="none"/>
        </w:rPr>
        <w:t>1．总则</w:t>
      </w:r>
    </w:p>
    <w:p w14:paraId="34D7D2BB">
      <w:pPr>
        <w:spacing w:before="120" w:line="320" w:lineRule="atLeast"/>
        <w:ind w:firstLine="422" w:firstLineChars="200"/>
        <w:outlineLvl w:val="2"/>
        <w:rPr>
          <w:b/>
          <w:bCs/>
          <w:color w:val="auto"/>
          <w:kern w:val="0"/>
          <w:szCs w:val="21"/>
          <w:highlight w:val="none"/>
        </w:rPr>
      </w:pPr>
      <w:bookmarkStart w:id="31" w:name="_Toc254970527"/>
      <w:bookmarkStart w:id="32" w:name="_Toc254970668"/>
      <w:r>
        <w:rPr>
          <w:b/>
          <w:bCs/>
          <w:color w:val="auto"/>
          <w:kern w:val="0"/>
          <w:szCs w:val="21"/>
          <w:highlight w:val="none"/>
        </w:rPr>
        <w:t>1.1适用范围</w:t>
      </w:r>
      <w:bookmarkEnd w:id="31"/>
      <w:bookmarkEnd w:id="32"/>
    </w:p>
    <w:p w14:paraId="66840831">
      <w:pPr>
        <w:spacing w:before="120" w:line="320" w:lineRule="atLeast"/>
        <w:ind w:firstLine="420" w:firstLineChars="200"/>
        <w:rPr>
          <w:color w:val="auto"/>
          <w:szCs w:val="21"/>
          <w:highlight w:val="none"/>
        </w:rPr>
      </w:pPr>
      <w:r>
        <w:rPr>
          <w:color w:val="auto"/>
          <w:szCs w:val="21"/>
          <w:highlight w:val="none"/>
        </w:rPr>
        <w:t>本采购文件适用于供应商须知前附表所述项目的</w:t>
      </w:r>
      <w:r>
        <w:rPr>
          <w:rFonts w:hint="eastAsia"/>
          <w:color w:val="auto"/>
          <w:szCs w:val="21"/>
          <w:highlight w:val="none"/>
        </w:rPr>
        <w:t>政府采购活动。</w:t>
      </w:r>
    </w:p>
    <w:p w14:paraId="073DFFF2">
      <w:pPr>
        <w:spacing w:before="120" w:line="320" w:lineRule="atLeast"/>
        <w:ind w:firstLine="422" w:firstLineChars="200"/>
        <w:outlineLvl w:val="2"/>
        <w:rPr>
          <w:b/>
          <w:bCs/>
          <w:color w:val="auto"/>
          <w:kern w:val="0"/>
          <w:szCs w:val="21"/>
          <w:highlight w:val="none"/>
        </w:rPr>
      </w:pPr>
      <w:bookmarkStart w:id="33" w:name="_Toc254970669"/>
      <w:bookmarkStart w:id="34" w:name="_Toc254970528"/>
      <w:r>
        <w:rPr>
          <w:b/>
          <w:bCs/>
          <w:color w:val="auto"/>
          <w:kern w:val="0"/>
          <w:szCs w:val="21"/>
          <w:highlight w:val="none"/>
        </w:rPr>
        <w:t>1.2定义</w:t>
      </w:r>
      <w:bookmarkEnd w:id="33"/>
      <w:bookmarkEnd w:id="34"/>
    </w:p>
    <w:p w14:paraId="7D59CA23">
      <w:pPr>
        <w:spacing w:before="120" w:line="320" w:lineRule="atLeast"/>
        <w:ind w:firstLine="420" w:firstLineChars="200"/>
        <w:rPr>
          <w:color w:val="auto"/>
          <w:szCs w:val="21"/>
          <w:highlight w:val="none"/>
        </w:rPr>
      </w:pPr>
      <w:r>
        <w:rPr>
          <w:color w:val="auto"/>
          <w:szCs w:val="21"/>
          <w:highlight w:val="none"/>
        </w:rPr>
        <w:t>1.2.1“采购人”系指依法进行政府采购的国家机关、事业单位、团体组织。</w:t>
      </w:r>
    </w:p>
    <w:p w14:paraId="48242F09">
      <w:pPr>
        <w:spacing w:before="120" w:line="320" w:lineRule="atLeast"/>
        <w:ind w:firstLine="420" w:firstLineChars="200"/>
        <w:rPr>
          <w:color w:val="auto"/>
          <w:szCs w:val="21"/>
          <w:highlight w:val="none"/>
        </w:rPr>
      </w:pPr>
      <w:r>
        <w:rPr>
          <w:color w:val="auto"/>
          <w:szCs w:val="21"/>
          <w:highlight w:val="none"/>
        </w:rPr>
        <w:t>1.2.2“供应商”系</w:t>
      </w:r>
      <w:r>
        <w:rPr>
          <w:color w:val="auto"/>
          <w:highlight w:val="none"/>
        </w:rPr>
        <w:t>指响应招标、参加响应竞争的法人、其他组织或者自然人</w:t>
      </w:r>
      <w:r>
        <w:rPr>
          <w:color w:val="auto"/>
          <w:szCs w:val="21"/>
          <w:highlight w:val="none"/>
        </w:rPr>
        <w:t>。</w:t>
      </w:r>
    </w:p>
    <w:p w14:paraId="290AB9BB">
      <w:pPr>
        <w:spacing w:before="120" w:line="360" w:lineRule="auto"/>
        <w:ind w:firstLine="420" w:firstLineChars="200"/>
        <w:rPr>
          <w:color w:val="auto"/>
          <w:highlight w:val="none"/>
        </w:rPr>
      </w:pPr>
      <w:r>
        <w:rPr>
          <w:rFonts w:hint="eastAsia"/>
          <w:color w:val="auto"/>
          <w:highlight w:val="none"/>
        </w:rPr>
        <w:t>1.2.3</w:t>
      </w:r>
      <w:r>
        <w:rPr>
          <w:color w:val="auto"/>
          <w:highlight w:val="none"/>
        </w:rPr>
        <w:t>本</w:t>
      </w:r>
      <w:r>
        <w:rPr>
          <w:rFonts w:hint="eastAsia"/>
          <w:color w:val="auto"/>
          <w:highlight w:val="none"/>
        </w:rPr>
        <w:t>文件</w:t>
      </w:r>
      <w:r>
        <w:rPr>
          <w:color w:val="auto"/>
          <w:highlight w:val="none"/>
        </w:rPr>
        <w:t>中的</w:t>
      </w:r>
      <w:r>
        <w:rPr>
          <w:rFonts w:hint="eastAsia"/>
          <w:color w:val="auto"/>
          <w:highlight w:val="none"/>
        </w:rPr>
        <w:t>“法定代表人”若无特别说明，当</w:t>
      </w:r>
      <w:r>
        <w:rPr>
          <w:color w:val="auto"/>
          <w:highlight w:val="none"/>
        </w:rPr>
        <w:t>供应商是</w:t>
      </w:r>
      <w:r>
        <w:rPr>
          <w:rFonts w:hint="eastAsia"/>
          <w:color w:val="auto"/>
          <w:highlight w:val="none"/>
        </w:rPr>
        <w:t>企业的，是指企业法人营业执照上的法定代表人；当</w:t>
      </w:r>
      <w:r>
        <w:rPr>
          <w:color w:val="auto"/>
          <w:highlight w:val="none"/>
        </w:rPr>
        <w:t>供应商是</w:t>
      </w:r>
      <w:r>
        <w:rPr>
          <w:rFonts w:hint="eastAsia"/>
          <w:color w:val="auto"/>
          <w:highlight w:val="none"/>
        </w:rPr>
        <w:t>事业单位的，是指事业单位法人证书上的法定代表人；当</w:t>
      </w:r>
      <w:r>
        <w:rPr>
          <w:color w:val="auto"/>
          <w:highlight w:val="none"/>
        </w:rPr>
        <w:t>供应商是</w:t>
      </w:r>
      <w:r>
        <w:rPr>
          <w:rFonts w:hint="eastAsia"/>
          <w:color w:val="auto"/>
          <w:highlight w:val="none"/>
        </w:rPr>
        <w:t>社会团体、民办非企业的，是指法人登记证书中的法定代表人；当</w:t>
      </w:r>
      <w:r>
        <w:rPr>
          <w:color w:val="auto"/>
          <w:highlight w:val="none"/>
        </w:rPr>
        <w:t>供应商是</w:t>
      </w:r>
      <w:r>
        <w:rPr>
          <w:rFonts w:hint="eastAsia"/>
          <w:color w:val="auto"/>
          <w:highlight w:val="none"/>
        </w:rPr>
        <w:t>个体工商户的，是指个体工商户营业执照上的经营者；</w:t>
      </w:r>
      <w:r>
        <w:rPr>
          <w:color w:val="auto"/>
          <w:highlight w:val="none"/>
        </w:rPr>
        <w:t>当供应商是自然人</w:t>
      </w:r>
      <w:r>
        <w:rPr>
          <w:rFonts w:hint="eastAsia"/>
          <w:color w:val="auto"/>
          <w:highlight w:val="none"/>
        </w:rPr>
        <w:t>的，是指参与本项目响应的自然人本人。</w:t>
      </w:r>
      <w:r>
        <w:rPr>
          <w:color w:val="auto"/>
          <w:highlight w:val="none"/>
        </w:rPr>
        <w:br w:type="textWrapping"/>
      </w:r>
      <w:r>
        <w:rPr>
          <w:rFonts w:hint="eastAsia"/>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1C6757D6">
      <w:pPr>
        <w:widowControl/>
        <w:spacing w:line="360" w:lineRule="auto"/>
        <w:ind w:firstLine="420" w:firstLineChars="200"/>
        <w:jc w:val="left"/>
        <w:rPr>
          <w:color w:val="auto"/>
          <w:szCs w:val="21"/>
          <w:highlight w:val="none"/>
        </w:rPr>
      </w:pPr>
      <w:r>
        <w:rPr>
          <w:color w:val="auto"/>
          <w:szCs w:val="21"/>
          <w:highlight w:val="none"/>
        </w:rPr>
        <w:t>1.2.</w:t>
      </w:r>
      <w:r>
        <w:rPr>
          <w:rFonts w:hint="eastAsia"/>
          <w:color w:val="auto"/>
          <w:szCs w:val="21"/>
          <w:highlight w:val="none"/>
        </w:rPr>
        <w:t>5</w:t>
      </w:r>
      <w:r>
        <w:rPr>
          <w:color w:val="auto"/>
          <w:szCs w:val="21"/>
          <w:highlight w:val="none"/>
        </w:rPr>
        <w:t>“书面形式”如无特殊规定，</w:t>
      </w:r>
      <w:r>
        <w:rPr>
          <w:rFonts w:hint="eastAsia"/>
          <w:color w:val="auto"/>
          <w:szCs w:val="21"/>
          <w:highlight w:val="none"/>
        </w:rPr>
        <w:t>书面形式是合同书、信件、电报、电传等可以有形地表现所载内容的形式。以电子数据交换、电子邮件等方式能够有形地表现所载内容，并可以随时调取查用的数据电文，视为书面形式。</w:t>
      </w:r>
      <w:r>
        <w:rPr>
          <w:color w:val="auto"/>
          <w:szCs w:val="21"/>
          <w:highlight w:val="none"/>
        </w:rPr>
        <w:t xml:space="preserve">采购文件如有特殊规定，以采购文件规定为准。 </w:t>
      </w:r>
    </w:p>
    <w:p w14:paraId="17184745">
      <w:pP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6本项目的技术商务要求重要性分为“▲”（如有）、“#”（如有）和一般无标识指标。▲代表实质性要求指标，</w:t>
      </w:r>
      <w:r>
        <w:rPr>
          <w:rFonts w:hint="eastAsia"/>
          <w:b/>
          <w:bCs/>
          <w:color w:val="auto"/>
          <w:szCs w:val="21"/>
          <w:highlight w:val="none"/>
        </w:rPr>
        <w:t>不满足该指标项将导致响应被否决</w:t>
      </w:r>
      <w:r>
        <w:rPr>
          <w:rFonts w:hint="eastAsia"/>
          <w:color w:val="auto"/>
          <w:szCs w:val="21"/>
          <w:highlight w:val="none"/>
        </w:rPr>
        <w:t>，#代表重要指标，无标识则表示一般指标项。注：技术要求评审中每分标除三角符号允许负偏离的条款数为3项</w:t>
      </w:r>
    </w:p>
    <w:p w14:paraId="7691431D">
      <w:pP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7 本</w:t>
      </w:r>
      <w:r>
        <w:rPr>
          <w:color w:val="auto"/>
          <w:szCs w:val="21"/>
          <w:highlight w:val="none"/>
        </w:rPr>
        <w:t>采购文件</w:t>
      </w:r>
      <w:r>
        <w:rPr>
          <w:rFonts w:hint="eastAsia"/>
          <w:color w:val="auto"/>
          <w:szCs w:val="21"/>
          <w:highlight w:val="none"/>
        </w:rPr>
        <w:t>出现多种选项的条款，以“</w:t>
      </w:r>
      <w:r>
        <w:rPr>
          <w:color w:val="auto"/>
          <w:highlight w:val="none"/>
        </w:rPr>
        <w:sym w:font="Wingdings 2" w:char="F052"/>
      </w:r>
      <w:r>
        <w:rPr>
          <w:rFonts w:hint="eastAsia"/>
          <w:color w:val="auto"/>
          <w:szCs w:val="21"/>
          <w:highlight w:val="none"/>
        </w:rPr>
        <w:t>”表示本条款所选择的方式。</w:t>
      </w:r>
    </w:p>
    <w:p w14:paraId="0A2034E7">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2</w:t>
      </w:r>
      <w:r>
        <w:rPr>
          <w:rFonts w:hint="eastAsia"/>
          <w:color w:val="auto"/>
          <w:szCs w:val="21"/>
          <w:highlight w:val="none"/>
        </w:rPr>
        <w:t>.</w:t>
      </w:r>
      <w:r>
        <w:rPr>
          <w:color w:val="auto"/>
          <w:szCs w:val="21"/>
          <w:highlight w:val="none"/>
        </w:rPr>
        <w:t>8 “</w:t>
      </w:r>
      <w:r>
        <w:rPr>
          <w:rFonts w:hint="eastAsia"/>
          <w:color w:val="auto"/>
          <w:szCs w:val="21"/>
          <w:highlight w:val="none"/>
        </w:rPr>
        <w:t>电子交易平台</w:t>
      </w:r>
      <w:r>
        <w:rPr>
          <w:color w:val="auto"/>
          <w:szCs w:val="21"/>
          <w:highlight w:val="none"/>
        </w:rPr>
        <w:t>”</w:t>
      </w:r>
      <w:r>
        <w:rPr>
          <w:rFonts w:hint="eastAsia"/>
          <w:color w:val="auto"/>
          <w:szCs w:val="21"/>
          <w:highlight w:val="none"/>
        </w:rPr>
        <w:t>是指以数据电文形式在线完成采购活动的信息平台，本采购文件中也称</w:t>
      </w:r>
      <w:r>
        <w:rPr>
          <w:color w:val="auto"/>
          <w:szCs w:val="21"/>
          <w:highlight w:val="none"/>
        </w:rPr>
        <w:t>“</w:t>
      </w:r>
      <w:r>
        <w:rPr>
          <w:rFonts w:hint="eastAsia"/>
          <w:color w:val="auto"/>
          <w:szCs w:val="21"/>
          <w:highlight w:val="none"/>
        </w:rPr>
        <w:t>广西政府采购云平台</w:t>
      </w:r>
      <w:r>
        <w:rPr>
          <w:color w:val="auto"/>
          <w:szCs w:val="21"/>
          <w:highlight w:val="none"/>
        </w:rPr>
        <w:t>”</w:t>
      </w:r>
      <w:r>
        <w:rPr>
          <w:rFonts w:hint="eastAsia"/>
          <w:color w:val="auto"/>
          <w:szCs w:val="21"/>
          <w:highlight w:val="none"/>
        </w:rPr>
        <w:t>。</w:t>
      </w:r>
    </w:p>
    <w:p w14:paraId="200AD09C">
      <w:pPr>
        <w:spacing w:before="120" w:line="320" w:lineRule="atLeast"/>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.3</w:t>
      </w:r>
      <w:r>
        <w:rPr>
          <w:rFonts w:hint="eastAsia"/>
          <w:b/>
          <w:bCs/>
          <w:color w:val="auto"/>
          <w:kern w:val="0"/>
          <w:szCs w:val="21"/>
          <w:highlight w:val="none"/>
        </w:rPr>
        <w:t>项目信息</w:t>
      </w:r>
    </w:p>
    <w:p w14:paraId="06999004">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.3.1</w:t>
      </w:r>
      <w:r>
        <w:rPr>
          <w:rFonts w:hint="eastAsia"/>
          <w:color w:val="auto"/>
          <w:szCs w:val="21"/>
          <w:highlight w:val="none"/>
        </w:rPr>
        <w:t>项目名称及编号：详见供应商须知前附表</w:t>
      </w:r>
    </w:p>
    <w:p w14:paraId="1A48E355">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.3.2</w:t>
      </w:r>
      <w:r>
        <w:rPr>
          <w:rFonts w:hint="eastAsia"/>
          <w:color w:val="auto"/>
          <w:szCs w:val="21"/>
          <w:highlight w:val="none"/>
        </w:rPr>
        <w:t>采购方式：详见供应商须知前附表</w:t>
      </w:r>
    </w:p>
    <w:p w14:paraId="66F091C0">
      <w:pPr>
        <w:spacing w:before="120" w:line="320" w:lineRule="atLeast"/>
        <w:ind w:firstLine="422" w:firstLineChars="200"/>
        <w:outlineLvl w:val="2"/>
        <w:rPr>
          <w:b/>
          <w:bCs/>
          <w:color w:val="auto"/>
          <w:kern w:val="0"/>
          <w:szCs w:val="21"/>
          <w:highlight w:val="none"/>
        </w:rPr>
      </w:pPr>
      <w:r>
        <w:rPr>
          <w:rFonts w:hint="eastAsia"/>
          <w:b/>
          <w:bCs/>
          <w:color w:val="auto"/>
          <w:kern w:val="0"/>
          <w:szCs w:val="21"/>
          <w:highlight w:val="none"/>
        </w:rPr>
        <w:t>1.4促进中小企业发展政策</w:t>
      </w:r>
    </w:p>
    <w:p w14:paraId="24944E67">
      <w:pPr>
        <w:spacing w:before="120" w:line="320" w:lineRule="atLeast"/>
        <w:ind w:firstLine="420" w:firstLineChars="200"/>
        <w:rPr>
          <w:color w:val="auto"/>
          <w:szCs w:val="21"/>
          <w:highlight w:val="none"/>
        </w:rPr>
      </w:pPr>
      <w:r>
        <w:rPr>
          <w:rFonts w:hint="eastAsia"/>
          <w:color w:val="auto"/>
          <w:szCs w:val="21"/>
          <w:highlight w:val="none"/>
        </w:rPr>
        <w:t>1.4.1本项目落实促进中小企业发展政策措施在前附表规定。依据促进中小企业发展政策获得政府采购合同的，小微企业不得将合同分包给大中型企业，中型企业不得将合同分包给大型企业。</w:t>
      </w:r>
    </w:p>
    <w:p w14:paraId="49A3F401">
      <w:pPr>
        <w:spacing w:before="120" w:line="320" w:lineRule="atLeast"/>
        <w:ind w:firstLine="420" w:firstLineChars="200"/>
        <w:rPr>
          <w:color w:val="auto"/>
          <w:szCs w:val="21"/>
          <w:highlight w:val="none"/>
        </w:rPr>
      </w:pPr>
      <w:r>
        <w:rPr>
          <w:rFonts w:hint="eastAsia"/>
          <w:color w:val="auto"/>
          <w:szCs w:val="21"/>
          <w:highlight w:val="none"/>
        </w:rPr>
        <w:t>根据《政府采购促进中小企业发展管理办法》（财库〔2020〕46号）第九条以及《广西壮族自治区财政厅 广西壮族自治区工业和信息化厅转发财政部 工业和信息化部政府采购促进中小企业发展管理办法的通知》（桂财采〔2021〕70号）规定，价格扣除比例在第四章评审方法及标准中规定，对小型企业和微型企业同等对待，不作区分。</w:t>
      </w:r>
    </w:p>
    <w:p w14:paraId="70F38B7C">
      <w:pPr>
        <w:spacing w:before="120" w:line="320" w:lineRule="atLeast"/>
        <w:ind w:firstLine="420" w:firstLineChars="200"/>
        <w:rPr>
          <w:color w:val="auto"/>
          <w:szCs w:val="21"/>
          <w:highlight w:val="none"/>
        </w:rPr>
      </w:pPr>
      <w:r>
        <w:rPr>
          <w:rFonts w:hint="eastAsia"/>
          <w:color w:val="auto"/>
          <w:szCs w:val="21"/>
          <w:highlight w:val="none"/>
        </w:rPr>
        <w:t>1.4.2中小企业定义</w:t>
      </w:r>
    </w:p>
    <w:p w14:paraId="04F4AB8E">
      <w:pPr>
        <w:spacing w:before="120" w:line="320" w:lineRule="atLeast"/>
        <w:ind w:firstLine="420" w:firstLineChars="200"/>
        <w:rPr>
          <w:color w:val="auto"/>
          <w:szCs w:val="21"/>
          <w:highlight w:val="none"/>
        </w:rPr>
      </w:pPr>
      <w:r>
        <w:rPr>
          <w:rFonts w:hint="eastAsia"/>
          <w:color w:val="auto"/>
          <w:szCs w:val="21"/>
          <w:highlight w:val="none"/>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3710F453">
      <w:pPr>
        <w:spacing w:before="120" w:line="320" w:lineRule="atLeast"/>
        <w:ind w:firstLine="420" w:firstLineChars="200"/>
        <w:rPr>
          <w:color w:val="auto"/>
          <w:szCs w:val="21"/>
          <w:highlight w:val="none"/>
        </w:rPr>
      </w:pPr>
      <w:r>
        <w:rPr>
          <w:rFonts w:hint="eastAsia"/>
          <w:color w:val="auto"/>
          <w:szCs w:val="21"/>
          <w:highlight w:val="none"/>
        </w:rPr>
        <w:t>1.4.</w:t>
      </w:r>
      <w:r>
        <w:rPr>
          <w:color w:val="auto"/>
          <w:szCs w:val="21"/>
          <w:highlight w:val="none"/>
        </w:rPr>
        <w:t>2</w:t>
      </w:r>
      <w:r>
        <w:rPr>
          <w:rFonts w:hint="eastAsia"/>
          <w:color w:val="auto"/>
          <w:szCs w:val="21"/>
          <w:highlight w:val="none"/>
        </w:rPr>
        <w:t>.2供应商提供的货物、工程或者服务符合下列情形的，享受本款规定的促进中小企业发展政策：</w:t>
      </w:r>
    </w:p>
    <w:p w14:paraId="396CE556">
      <w:pPr>
        <w:spacing w:before="120" w:line="320" w:lineRule="atLeast"/>
        <w:ind w:firstLine="420" w:firstLineChars="200"/>
        <w:rPr>
          <w:color w:val="auto"/>
          <w:szCs w:val="21"/>
          <w:highlight w:val="none"/>
        </w:rPr>
      </w:pPr>
      <w:r>
        <w:rPr>
          <w:rFonts w:hint="eastAsia"/>
          <w:color w:val="auto"/>
          <w:szCs w:val="21"/>
          <w:highlight w:val="none"/>
        </w:rPr>
        <w:t>在货物采购项目中，货物由中小企业制造，即货物由中小企业生产且使用该中小企业商号或者注册商标；</w:t>
      </w:r>
    </w:p>
    <w:p w14:paraId="28AFAD07">
      <w:pPr>
        <w:spacing w:before="120" w:line="320" w:lineRule="atLeast"/>
        <w:ind w:firstLine="420" w:firstLineChars="200"/>
        <w:rPr>
          <w:color w:val="auto"/>
          <w:szCs w:val="21"/>
          <w:highlight w:val="none"/>
        </w:rPr>
      </w:pPr>
      <w:r>
        <w:rPr>
          <w:rFonts w:hint="eastAsia"/>
          <w:color w:val="auto"/>
          <w:szCs w:val="21"/>
          <w:highlight w:val="none"/>
        </w:rPr>
        <w:t>在工程采购项目中，工程由中小企业承建，即工程施工单位为中小企业；</w:t>
      </w:r>
    </w:p>
    <w:p w14:paraId="47A6A777">
      <w:pPr>
        <w:spacing w:before="120" w:line="320" w:lineRule="atLeast"/>
        <w:ind w:firstLine="420" w:firstLineChars="200"/>
        <w:rPr>
          <w:color w:val="auto"/>
          <w:szCs w:val="21"/>
          <w:highlight w:val="none"/>
        </w:rPr>
      </w:pPr>
      <w:r>
        <w:rPr>
          <w:rFonts w:hint="eastAsia"/>
          <w:color w:val="auto"/>
          <w:szCs w:val="21"/>
          <w:highlight w:val="none"/>
        </w:rPr>
        <w:t>在服务采购项目中，服务由中小企业承接，即提供服务的人员为中小企业依照《中华人民共和国劳动合同法》订立劳动合同的从业人员。</w:t>
      </w:r>
    </w:p>
    <w:p w14:paraId="73366484">
      <w:pPr>
        <w:spacing w:before="120" w:line="320" w:lineRule="atLeast"/>
        <w:ind w:firstLine="420" w:firstLineChars="200"/>
        <w:rPr>
          <w:color w:val="auto"/>
          <w:szCs w:val="21"/>
          <w:highlight w:val="none"/>
        </w:rPr>
      </w:pPr>
      <w:r>
        <w:rPr>
          <w:rFonts w:hint="eastAsia"/>
          <w:color w:val="auto"/>
          <w:szCs w:val="21"/>
          <w:highlight w:val="none"/>
        </w:rPr>
        <w:t>在货物采购项目中，供应商提供的货物既有中小企业制造货物，也有大型企业制造货物的，不享受本款规定的促进中小企业发展政策。</w:t>
      </w:r>
    </w:p>
    <w:p w14:paraId="3D86382D">
      <w:pPr>
        <w:spacing w:before="120" w:line="320" w:lineRule="atLeast"/>
        <w:ind w:firstLine="420" w:firstLineChars="200"/>
        <w:rPr>
          <w:color w:val="auto"/>
          <w:szCs w:val="21"/>
          <w:highlight w:val="none"/>
        </w:rPr>
      </w:pPr>
      <w:r>
        <w:rPr>
          <w:rFonts w:hint="eastAsia"/>
          <w:color w:val="auto"/>
          <w:szCs w:val="21"/>
          <w:highlight w:val="none"/>
        </w:rPr>
        <w:t>1.4.</w:t>
      </w:r>
      <w:r>
        <w:rPr>
          <w:color w:val="auto"/>
          <w:szCs w:val="21"/>
          <w:highlight w:val="none"/>
        </w:rPr>
        <w:t>2</w:t>
      </w:r>
      <w:r>
        <w:rPr>
          <w:rFonts w:hint="eastAsia"/>
          <w:color w:val="auto"/>
          <w:szCs w:val="21"/>
          <w:highlight w:val="none"/>
        </w:rPr>
        <w:t>.3本项目标的所属行业在第二章采购需求中规定。供应商根据中小企业划分标准（《关于印发中小企业划型标准规定的通知》（工信部联企业〔2011〕300号）判断是否为中小企业。（见附件）</w:t>
      </w:r>
    </w:p>
    <w:p w14:paraId="69804CC2">
      <w:pPr>
        <w:spacing w:before="120" w:line="320" w:lineRule="atLeast"/>
        <w:ind w:firstLine="420" w:firstLineChars="200"/>
        <w:rPr>
          <w:color w:val="auto"/>
          <w:szCs w:val="21"/>
          <w:highlight w:val="none"/>
        </w:rPr>
      </w:pPr>
      <w:r>
        <w:rPr>
          <w:rFonts w:hint="eastAsia"/>
          <w:color w:val="auto"/>
          <w:szCs w:val="21"/>
          <w:highlight w:val="none"/>
        </w:rPr>
        <w:t>符合条件的货物制造商、工程施工单位、服务承接单位为中小企业的，应按采购文件规定在响应文件中提供声明函。</w:t>
      </w:r>
    </w:p>
    <w:p w14:paraId="37DFB4D8">
      <w:pPr>
        <w:spacing w:before="120" w:line="320" w:lineRule="atLeast"/>
        <w:ind w:firstLine="420" w:firstLineChars="200"/>
        <w:rPr>
          <w:color w:val="auto"/>
          <w:szCs w:val="21"/>
          <w:highlight w:val="none"/>
        </w:rPr>
      </w:pPr>
      <w:r>
        <w:rPr>
          <w:rFonts w:hint="eastAsia"/>
          <w:color w:val="auto"/>
          <w:szCs w:val="21"/>
          <w:highlight w:val="none"/>
        </w:rPr>
        <w:t>1.4.</w:t>
      </w:r>
      <w:r>
        <w:rPr>
          <w:color w:val="auto"/>
          <w:szCs w:val="21"/>
          <w:highlight w:val="none"/>
        </w:rPr>
        <w:t>2</w:t>
      </w:r>
      <w:r>
        <w:rPr>
          <w:rFonts w:hint="eastAsia"/>
          <w:color w:val="auto"/>
          <w:szCs w:val="21"/>
          <w:highlight w:val="none"/>
        </w:rPr>
        <w:t>.4视同中小企业情形</w:t>
      </w:r>
    </w:p>
    <w:p w14:paraId="652614B2">
      <w:pPr>
        <w:spacing w:before="120" w:line="320" w:lineRule="atLeast"/>
        <w:ind w:firstLine="420" w:firstLineChars="200"/>
        <w:rPr>
          <w:color w:val="auto"/>
          <w:szCs w:val="21"/>
          <w:highlight w:val="none"/>
        </w:rPr>
      </w:pPr>
      <w:r>
        <w:rPr>
          <w:rFonts w:hint="eastAsia"/>
          <w:color w:val="auto"/>
          <w:szCs w:val="21"/>
          <w:highlight w:val="none"/>
        </w:rPr>
        <w:t>（1）符合中小企业划分标准的个体工商户，视同中小企业。</w:t>
      </w:r>
    </w:p>
    <w:p w14:paraId="7E38FD64">
      <w:pPr>
        <w:spacing w:before="120" w:line="320" w:lineRule="atLeast"/>
        <w:ind w:firstLine="420" w:firstLineChars="200"/>
        <w:rPr>
          <w:color w:val="auto"/>
          <w:szCs w:val="21"/>
          <w:highlight w:val="none"/>
        </w:rPr>
      </w:pPr>
      <w:r>
        <w:rPr>
          <w:rFonts w:hint="eastAsia"/>
          <w:color w:val="auto"/>
          <w:szCs w:val="21"/>
          <w:highlight w:val="none"/>
        </w:rPr>
        <w:t>（2）以联合体形式参加政府采购活动，联合体各方均为中小企业的，联合体视同中小企业。其中，联合体各方均为小微企业的，联合体视同小微企业。</w:t>
      </w:r>
    </w:p>
    <w:p w14:paraId="2B5C99AF">
      <w:pPr>
        <w:spacing w:before="120" w:line="320" w:lineRule="atLeast"/>
        <w:ind w:firstLine="420" w:firstLineChars="200"/>
        <w:rPr>
          <w:color w:val="auto"/>
          <w:szCs w:val="21"/>
          <w:highlight w:val="none"/>
        </w:rPr>
      </w:pPr>
      <w:r>
        <w:rPr>
          <w:rFonts w:hint="eastAsia"/>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3D55967F">
      <w:pPr>
        <w:spacing w:before="120" w:line="320" w:lineRule="atLeast"/>
        <w:ind w:firstLine="420" w:firstLineChars="200"/>
        <w:rPr>
          <w:color w:val="auto"/>
          <w:szCs w:val="21"/>
          <w:highlight w:val="none"/>
        </w:rPr>
      </w:pPr>
      <w:r>
        <w:rPr>
          <w:rFonts w:hint="eastAsia"/>
          <w:color w:val="auto"/>
          <w:szCs w:val="21"/>
          <w:highlight w:val="none"/>
        </w:rPr>
        <w:t>符合条件的货物制造商、工程施工单位、服务承接单位为监狱企业或残疾人福利性单位的，应按采购文件规定在响应文件中提供相关证明文件。</w:t>
      </w:r>
    </w:p>
    <w:p w14:paraId="47572696">
      <w:pPr>
        <w:spacing w:before="120" w:line="320" w:lineRule="atLeast"/>
        <w:ind w:firstLine="422" w:firstLineChars="200"/>
        <w:outlineLvl w:val="2"/>
        <w:rPr>
          <w:b/>
          <w:bCs/>
          <w:color w:val="auto"/>
          <w:kern w:val="0"/>
          <w:szCs w:val="21"/>
          <w:highlight w:val="none"/>
        </w:rPr>
      </w:pPr>
      <w:r>
        <w:rPr>
          <w:b/>
          <w:bCs/>
          <w:color w:val="auto"/>
          <w:kern w:val="0"/>
          <w:szCs w:val="21"/>
          <w:highlight w:val="none"/>
        </w:rPr>
        <w:t>1.5供应商资格</w:t>
      </w:r>
      <w:r>
        <w:rPr>
          <w:rFonts w:hint="eastAsia"/>
          <w:b/>
          <w:bCs/>
          <w:color w:val="auto"/>
          <w:kern w:val="0"/>
          <w:szCs w:val="21"/>
          <w:highlight w:val="none"/>
        </w:rPr>
        <w:t>要求</w:t>
      </w:r>
    </w:p>
    <w:p w14:paraId="037FE910">
      <w:pPr>
        <w:spacing w:before="120" w:line="320" w:lineRule="atLeast"/>
        <w:ind w:firstLine="420" w:firstLineChars="200"/>
        <w:rPr>
          <w:color w:val="auto"/>
          <w:szCs w:val="21"/>
          <w:highlight w:val="none"/>
        </w:rPr>
      </w:pPr>
      <w:r>
        <w:rPr>
          <w:color w:val="auto"/>
          <w:szCs w:val="21"/>
          <w:highlight w:val="none"/>
        </w:rPr>
        <w:t>1.5.1</w:t>
      </w:r>
      <w:r>
        <w:rPr>
          <w:rFonts w:hint="eastAsia"/>
          <w:color w:val="auto"/>
          <w:szCs w:val="21"/>
          <w:highlight w:val="none"/>
        </w:rPr>
        <w:t>供应商资格要求：详见供应商须知前附表</w:t>
      </w:r>
    </w:p>
    <w:p w14:paraId="1146E73E">
      <w:pPr>
        <w:spacing w:before="120" w:line="320" w:lineRule="atLeast"/>
        <w:ind w:firstLine="420" w:firstLineChars="200"/>
        <w:rPr>
          <w:color w:val="auto"/>
          <w:szCs w:val="21"/>
          <w:highlight w:val="none"/>
        </w:rPr>
      </w:pPr>
      <w:r>
        <w:rPr>
          <w:color w:val="auto"/>
          <w:szCs w:val="21"/>
          <w:highlight w:val="none"/>
        </w:rPr>
        <w:t>1.5.2按照谈判公告的规定获得采购文件。</w:t>
      </w:r>
    </w:p>
    <w:p w14:paraId="2103E6D1">
      <w:pPr>
        <w:spacing w:before="120" w:line="320" w:lineRule="atLeast"/>
        <w:ind w:firstLine="420" w:firstLineChars="200"/>
        <w:rPr>
          <w:color w:val="auto"/>
          <w:szCs w:val="21"/>
          <w:highlight w:val="none"/>
        </w:rPr>
      </w:pPr>
      <w:r>
        <w:rPr>
          <w:color w:val="auto"/>
          <w:szCs w:val="21"/>
          <w:highlight w:val="none"/>
        </w:rPr>
        <w:t>1.5.3本项目是否接受联合体响应，见“供应商须知前附表”规定。</w:t>
      </w:r>
    </w:p>
    <w:p w14:paraId="4BFDB946">
      <w:pPr>
        <w:spacing w:before="120" w:line="320" w:lineRule="atLeast"/>
        <w:ind w:firstLine="420" w:firstLineChars="200"/>
        <w:rPr>
          <w:color w:val="auto"/>
          <w:szCs w:val="21"/>
          <w:highlight w:val="none"/>
        </w:rPr>
      </w:pPr>
      <w:r>
        <w:rPr>
          <w:rFonts w:hint="eastAsia"/>
          <w:color w:val="auto"/>
          <w:szCs w:val="21"/>
          <w:highlight w:val="none"/>
        </w:rPr>
        <w:t xml:space="preserve">如接受联合体响应，联合体响应要求如下： </w:t>
      </w:r>
    </w:p>
    <w:p w14:paraId="41F39D41">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1</w:t>
      </w:r>
      <w:r>
        <w:rPr>
          <w:rFonts w:hint="eastAsia"/>
          <w:color w:val="auto"/>
          <w:szCs w:val="21"/>
          <w:highlight w:val="none"/>
        </w:rPr>
        <w:t>）供应商可以组成一个响应联合体，以一个供应商的身份共同参加响应。联合体响应的，须提供《联合体协议书》（格式后附）</w:t>
      </w:r>
    </w:p>
    <w:p w14:paraId="5CBD0A8A">
      <w:pPr>
        <w:spacing w:before="120" w:line="320" w:lineRule="atLeast"/>
        <w:ind w:firstLine="420" w:firstLineChars="200"/>
        <w:rPr>
          <w:color w:val="auto"/>
          <w:szCs w:val="21"/>
          <w:highlight w:val="none"/>
        </w:rPr>
      </w:pPr>
      <w:r>
        <w:rPr>
          <w:rFonts w:hint="eastAsia"/>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6C694C71">
      <w:pPr>
        <w:spacing w:before="120" w:line="320" w:lineRule="atLeast"/>
        <w:ind w:firstLine="420" w:firstLineChars="200"/>
        <w:rPr>
          <w:color w:val="auto"/>
          <w:szCs w:val="21"/>
          <w:highlight w:val="none"/>
        </w:rPr>
      </w:pPr>
      <w:r>
        <w:rPr>
          <w:rFonts w:hint="eastAsia"/>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2C5A6FA6">
      <w:pPr>
        <w:spacing w:before="120" w:line="320" w:lineRule="atLeast"/>
        <w:ind w:firstLine="420" w:firstLineChars="200"/>
        <w:rPr>
          <w:color w:val="auto"/>
          <w:szCs w:val="21"/>
          <w:highlight w:val="none"/>
        </w:rPr>
      </w:pPr>
      <w:r>
        <w:rPr>
          <w:rFonts w:hint="eastAsia"/>
          <w:color w:val="auto"/>
          <w:szCs w:val="21"/>
          <w:highlight w:val="none"/>
        </w:rPr>
        <w:t>（4）以联合体形式参加政府采购活动的，联合体各方不得再单独参加或者与其他供应商另外组成联合体参加同一合同项下的政府采购活动。</w:t>
      </w:r>
    </w:p>
    <w:p w14:paraId="484F321C">
      <w:pPr>
        <w:spacing w:before="120" w:line="320" w:lineRule="atLeast"/>
        <w:ind w:firstLine="420" w:firstLineChars="200"/>
        <w:rPr>
          <w:color w:val="auto"/>
          <w:szCs w:val="21"/>
          <w:highlight w:val="none"/>
        </w:rPr>
      </w:pPr>
      <w:r>
        <w:rPr>
          <w:rFonts w:hint="eastAsia"/>
          <w:color w:val="auto"/>
          <w:szCs w:val="21"/>
          <w:highlight w:val="none"/>
        </w:rPr>
        <w:t>（5）联合体中有同类资质的供应商按照联合体分工承担相同工作的，应当按照资质等级较低的供应商确定资质等级。</w:t>
      </w:r>
    </w:p>
    <w:p w14:paraId="7EEB0C9A">
      <w:pPr>
        <w:spacing w:before="120" w:line="320" w:lineRule="atLeast"/>
        <w:ind w:firstLine="420" w:firstLineChars="200"/>
        <w:rPr>
          <w:color w:val="auto"/>
          <w:szCs w:val="21"/>
          <w:highlight w:val="none"/>
        </w:rPr>
      </w:pPr>
      <w:r>
        <w:rPr>
          <w:rFonts w:hint="eastAsia"/>
          <w:color w:val="auto"/>
          <w:szCs w:val="21"/>
          <w:highlight w:val="none"/>
        </w:rPr>
        <w:t>（6）联合体响应业绩、履约能力按照联合体各方其中较高的一方认定并计算（采购文件其他章节另有规定的除外）。</w:t>
      </w:r>
    </w:p>
    <w:p w14:paraId="6CC6E418">
      <w:pPr>
        <w:spacing w:before="120" w:line="320" w:lineRule="atLeast"/>
        <w:ind w:firstLine="420" w:firstLineChars="200"/>
        <w:rPr>
          <w:color w:val="auto"/>
          <w:szCs w:val="21"/>
          <w:highlight w:val="none"/>
        </w:rPr>
      </w:pPr>
      <w:r>
        <w:rPr>
          <w:rFonts w:hint="eastAsia"/>
          <w:color w:val="auto"/>
          <w:szCs w:val="21"/>
          <w:highlight w:val="none"/>
        </w:rPr>
        <w:t>（7）供应商为联合体的，可以由联合体中的一方或者多方共同交纳谈判保证金，其交纳的保证金对联合体各方均具有约束力。</w:t>
      </w:r>
    </w:p>
    <w:p w14:paraId="551D93BF">
      <w:pPr>
        <w:spacing w:before="120" w:line="320" w:lineRule="atLeast"/>
        <w:ind w:firstLine="420" w:firstLineChars="200"/>
        <w:rPr>
          <w:color w:val="auto"/>
          <w:szCs w:val="21"/>
          <w:highlight w:val="none"/>
        </w:rPr>
      </w:pPr>
      <w:r>
        <w:rPr>
          <w:rFonts w:hint="eastAsia"/>
          <w:color w:val="auto"/>
          <w:szCs w:val="21"/>
          <w:highlight w:val="none"/>
        </w:rPr>
        <w:t>（8）联合体各方均应按照采购文件的规定提交资格证明文件。</w:t>
      </w:r>
    </w:p>
    <w:p w14:paraId="55689416">
      <w:pPr>
        <w:spacing w:before="120" w:line="320" w:lineRule="atLeast"/>
        <w:ind w:firstLine="422" w:firstLineChars="200"/>
        <w:outlineLvl w:val="2"/>
        <w:rPr>
          <w:b/>
          <w:bCs/>
          <w:color w:val="auto"/>
          <w:kern w:val="0"/>
          <w:szCs w:val="21"/>
          <w:highlight w:val="none"/>
        </w:rPr>
      </w:pPr>
      <w:bookmarkStart w:id="35" w:name="_Toc254970672"/>
      <w:bookmarkStart w:id="36" w:name="_Toc254970531"/>
      <w:r>
        <w:rPr>
          <w:b/>
          <w:bCs/>
          <w:color w:val="auto"/>
          <w:kern w:val="0"/>
          <w:szCs w:val="21"/>
          <w:highlight w:val="none"/>
        </w:rPr>
        <w:t>1.6现场踏勘及响应费用</w:t>
      </w:r>
      <w:bookmarkEnd w:id="35"/>
      <w:bookmarkEnd w:id="36"/>
    </w:p>
    <w:p w14:paraId="4C6F55E9">
      <w:pPr>
        <w:spacing w:before="120" w:line="320" w:lineRule="atLeast"/>
        <w:ind w:firstLine="420" w:firstLineChars="200"/>
        <w:rPr>
          <w:color w:val="auto"/>
          <w:szCs w:val="21"/>
          <w:highlight w:val="none"/>
        </w:rPr>
      </w:pPr>
      <w:r>
        <w:rPr>
          <w:color w:val="auto"/>
          <w:szCs w:val="21"/>
          <w:highlight w:val="none"/>
        </w:rPr>
        <w:t>1.6.1前附表如规定现场踏勘的，供应商应按规定时间地点参加踏勘。</w:t>
      </w:r>
    </w:p>
    <w:p w14:paraId="47FFD0B1">
      <w:pPr>
        <w:spacing w:before="120" w:line="320" w:lineRule="atLeast"/>
        <w:ind w:firstLine="420" w:firstLineChars="200"/>
        <w:rPr>
          <w:color w:val="auto"/>
          <w:szCs w:val="21"/>
          <w:highlight w:val="none"/>
        </w:rPr>
      </w:pPr>
      <w:r>
        <w:rPr>
          <w:color w:val="auto"/>
          <w:szCs w:val="21"/>
          <w:highlight w:val="none"/>
        </w:rPr>
        <w:t>1.6.2供应商均应自行承担所有与响应有关的全部费用（采购文件有相关的规定除外）。</w:t>
      </w:r>
    </w:p>
    <w:p w14:paraId="23BB881A">
      <w:pPr>
        <w:spacing w:before="120" w:line="320" w:lineRule="atLeast"/>
        <w:ind w:firstLine="422" w:firstLineChars="200"/>
        <w:outlineLvl w:val="2"/>
        <w:rPr>
          <w:b/>
          <w:bCs/>
          <w:color w:val="auto"/>
          <w:kern w:val="0"/>
          <w:szCs w:val="21"/>
          <w:highlight w:val="none"/>
        </w:rPr>
      </w:pPr>
      <w:r>
        <w:rPr>
          <w:b/>
          <w:bCs/>
          <w:color w:val="auto"/>
          <w:kern w:val="0"/>
          <w:szCs w:val="21"/>
          <w:highlight w:val="none"/>
        </w:rPr>
        <w:t>1.7转包与分包</w:t>
      </w:r>
    </w:p>
    <w:p w14:paraId="2DCA4450">
      <w:pPr>
        <w:spacing w:before="120" w:line="320" w:lineRule="atLeast"/>
        <w:ind w:firstLine="420" w:firstLineChars="200"/>
        <w:rPr>
          <w:color w:val="auto"/>
          <w:szCs w:val="21"/>
          <w:highlight w:val="none"/>
        </w:rPr>
      </w:pPr>
      <w:r>
        <w:rPr>
          <w:color w:val="auto"/>
          <w:szCs w:val="21"/>
          <w:highlight w:val="none"/>
        </w:rPr>
        <w:t>1.7.1如</w:t>
      </w:r>
      <w:r>
        <w:rPr>
          <w:rFonts w:hint="eastAsia"/>
          <w:color w:val="auto"/>
          <w:szCs w:val="21"/>
          <w:highlight w:val="none"/>
        </w:rPr>
        <w:t>采购文件</w:t>
      </w:r>
      <w:r>
        <w:rPr>
          <w:color w:val="auto"/>
          <w:szCs w:val="21"/>
          <w:highlight w:val="none"/>
        </w:rPr>
        <w:t>其他地方无特别规定</w:t>
      </w:r>
      <w:r>
        <w:rPr>
          <w:rFonts w:hint="eastAsia"/>
          <w:color w:val="auto"/>
          <w:szCs w:val="21"/>
          <w:highlight w:val="none"/>
        </w:rPr>
        <w:t>，</w:t>
      </w:r>
      <w:r>
        <w:rPr>
          <w:color w:val="auto"/>
          <w:szCs w:val="21"/>
          <w:highlight w:val="none"/>
        </w:rPr>
        <w:t>本项目不允许转包。</w:t>
      </w:r>
    </w:p>
    <w:p w14:paraId="3B073F09">
      <w:pPr>
        <w:spacing w:before="120" w:line="320" w:lineRule="atLeast"/>
        <w:ind w:firstLine="420" w:firstLineChars="200"/>
        <w:rPr>
          <w:color w:val="auto"/>
          <w:szCs w:val="21"/>
          <w:highlight w:val="none"/>
        </w:rPr>
      </w:pPr>
      <w:r>
        <w:rPr>
          <w:color w:val="auto"/>
          <w:szCs w:val="21"/>
          <w:highlight w:val="none"/>
        </w:rPr>
        <w:t>1.7.2</w:t>
      </w:r>
      <w:r>
        <w:rPr>
          <w:rFonts w:hint="eastAsia"/>
          <w:color w:val="auto"/>
          <w:szCs w:val="21"/>
          <w:highlight w:val="none"/>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02ECFB4C">
      <w:pPr>
        <w:spacing w:before="120" w:line="276" w:lineRule="auto"/>
        <w:ind w:firstLine="422" w:firstLineChars="200"/>
        <w:outlineLvl w:val="2"/>
        <w:rPr>
          <w:b/>
          <w:bCs/>
          <w:color w:val="auto"/>
          <w:kern w:val="0"/>
          <w:szCs w:val="21"/>
          <w:highlight w:val="none"/>
        </w:rPr>
      </w:pPr>
      <w:bookmarkStart w:id="37" w:name="_Toc254970532"/>
      <w:bookmarkStart w:id="38" w:name="_Toc254970673"/>
      <w:r>
        <w:rPr>
          <w:b/>
          <w:bCs/>
          <w:color w:val="auto"/>
          <w:kern w:val="0"/>
          <w:szCs w:val="21"/>
          <w:highlight w:val="none"/>
        </w:rPr>
        <w:t>1.8特别说明</w:t>
      </w:r>
      <w:bookmarkEnd w:id="37"/>
      <w:bookmarkEnd w:id="38"/>
    </w:p>
    <w:p w14:paraId="1C8A7026">
      <w:pPr>
        <w:spacing w:line="276" w:lineRule="auto"/>
        <w:ind w:firstLine="420" w:firstLineChars="200"/>
        <w:rPr>
          <w:color w:val="auto"/>
          <w:szCs w:val="21"/>
          <w:highlight w:val="none"/>
        </w:rPr>
      </w:pPr>
      <w:r>
        <w:rPr>
          <w:color w:val="auto"/>
          <w:szCs w:val="21"/>
          <w:highlight w:val="none"/>
        </w:rPr>
        <w:t>1.8.1 供应商应保证其提供的联系方式（电话、传真、电子邮件）有效，以保证往来函件（澄清、修改等）能及时通知供应商，并能及时反馈，否则采购人</w:t>
      </w:r>
      <w:r>
        <w:rPr>
          <w:rFonts w:hint="eastAsia"/>
          <w:color w:val="auto"/>
          <w:szCs w:val="21"/>
          <w:highlight w:val="none"/>
        </w:rPr>
        <w:t>及代理机构</w:t>
      </w:r>
      <w:r>
        <w:rPr>
          <w:color w:val="auto"/>
          <w:szCs w:val="21"/>
          <w:highlight w:val="none"/>
        </w:rPr>
        <w:t>不承担由此引起的一切后果。</w:t>
      </w:r>
    </w:p>
    <w:p w14:paraId="00B7CC57">
      <w:pPr>
        <w:spacing w:before="120" w:line="320" w:lineRule="atLeast"/>
        <w:ind w:firstLine="420" w:firstLineChars="200"/>
        <w:rPr>
          <w:color w:val="auto"/>
          <w:szCs w:val="21"/>
          <w:highlight w:val="none"/>
        </w:rPr>
      </w:pPr>
      <w:r>
        <w:rPr>
          <w:color w:val="auto"/>
          <w:szCs w:val="21"/>
          <w:highlight w:val="none"/>
        </w:rPr>
        <w:t>1.8.2供应商应仔细阅读采购文件的所有内容，按照采购文件的要求提交响应文件，并对所提供的全部资料的真实性承担法律责任。</w:t>
      </w:r>
    </w:p>
    <w:p w14:paraId="241D0661">
      <w:pPr>
        <w:spacing w:before="120" w:line="360" w:lineRule="auto"/>
        <w:ind w:firstLine="420" w:firstLineChars="200"/>
        <w:rPr>
          <w:color w:val="auto"/>
          <w:szCs w:val="21"/>
          <w:highlight w:val="none"/>
        </w:rPr>
      </w:pPr>
      <w:r>
        <w:rPr>
          <w:color w:val="auto"/>
          <w:szCs w:val="21"/>
          <w:highlight w:val="none"/>
        </w:rPr>
        <w:t>1.8.3供应商在响应活动中提供任何虚假材料，</w:t>
      </w:r>
      <w:r>
        <w:rPr>
          <w:rFonts w:hint="eastAsia"/>
          <w:color w:val="auto"/>
          <w:szCs w:val="21"/>
          <w:highlight w:val="none"/>
        </w:rPr>
        <w:t>将</w:t>
      </w:r>
      <w:r>
        <w:rPr>
          <w:color w:val="auto"/>
          <w:szCs w:val="21"/>
          <w:highlight w:val="none"/>
        </w:rPr>
        <w:t xml:space="preserve">报监管部门查处； </w:t>
      </w:r>
    </w:p>
    <w:p w14:paraId="4C147590">
      <w:pPr>
        <w:spacing w:before="120" w:line="276" w:lineRule="auto"/>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w:t>
      </w:r>
      <w:r>
        <w:rPr>
          <w:rFonts w:hint="eastAsia"/>
          <w:b/>
          <w:bCs/>
          <w:color w:val="auto"/>
          <w:kern w:val="0"/>
          <w:szCs w:val="21"/>
          <w:highlight w:val="none"/>
        </w:rPr>
        <w:t>9 对本国产品的支持政策</w:t>
      </w:r>
    </w:p>
    <w:p w14:paraId="242701CC">
      <w:pPr>
        <w:spacing w:before="120" w:line="360" w:lineRule="auto"/>
        <w:ind w:left="819" w:leftChars="190" w:hanging="420" w:hangingChars="200"/>
        <w:rPr>
          <w:color w:val="auto"/>
          <w:szCs w:val="21"/>
          <w:highlight w:val="none"/>
        </w:rPr>
      </w:pPr>
      <w:r>
        <w:rPr>
          <w:rFonts w:hint="eastAsia"/>
          <w:color w:val="auto"/>
          <w:szCs w:val="21"/>
          <w:highlight w:val="none"/>
        </w:rPr>
        <w:t>1.9.1</w:t>
      </w:r>
      <w:r>
        <w:rPr>
          <w:color w:val="auto"/>
          <w:szCs w:val="21"/>
          <w:highlight w:val="none"/>
        </w:rPr>
        <w:t>本国产品标准</w:t>
      </w:r>
    </w:p>
    <w:p w14:paraId="590AC7EE">
      <w:pPr>
        <w:spacing w:line="276" w:lineRule="auto"/>
        <w:ind w:firstLine="420" w:firstLineChars="200"/>
        <w:rPr>
          <w:color w:val="auto"/>
          <w:szCs w:val="21"/>
          <w:highlight w:val="none"/>
        </w:rPr>
      </w:pPr>
      <w:r>
        <w:rPr>
          <w:rFonts w:hint="eastAsia"/>
          <w:color w:val="auto"/>
          <w:szCs w:val="21"/>
          <w:highlight w:val="none"/>
        </w:rPr>
        <w:t>“本国产品标准的产品”是指：符合《国务院办公厅关于在政府采购中实施本国产品标准及相关政策的通知》（国办发〔2025〕34号）规定的本国产品标准的产品。</w:t>
      </w:r>
    </w:p>
    <w:p w14:paraId="3A32D9AD">
      <w:pPr>
        <w:spacing w:line="276" w:lineRule="auto"/>
        <w:ind w:firstLine="420" w:firstLineChars="200"/>
        <w:rPr>
          <w:color w:val="auto"/>
          <w:szCs w:val="21"/>
          <w:highlight w:val="none"/>
        </w:rPr>
      </w:pPr>
      <w:r>
        <w:rPr>
          <w:rFonts w:hint="eastAsia"/>
          <w:color w:val="auto"/>
          <w:szCs w:val="21"/>
          <w:highlight w:val="none"/>
        </w:rPr>
        <w:t>本国产品标准的产品应当符合以下条件：</w:t>
      </w:r>
    </w:p>
    <w:p w14:paraId="1D6E63A2">
      <w:pPr>
        <w:spacing w:line="276" w:lineRule="auto"/>
        <w:ind w:firstLine="420" w:firstLineChars="200"/>
        <w:rPr>
          <w:color w:val="auto"/>
          <w:szCs w:val="21"/>
          <w:highlight w:val="none"/>
        </w:rPr>
      </w:pPr>
      <w:r>
        <w:rPr>
          <w:rFonts w:hint="eastAsia"/>
          <w:color w:val="auto"/>
          <w:szCs w:val="21"/>
          <w:highlight w:val="none"/>
        </w:rPr>
        <w:t>（1）</w:t>
      </w:r>
      <w:r>
        <w:rPr>
          <w:color w:val="auto"/>
          <w:szCs w:val="21"/>
          <w:highlight w:val="none"/>
        </w:rPr>
        <w:t>在中国境内生产</w:t>
      </w:r>
      <w:r>
        <w:rPr>
          <w:rFonts w:hint="eastAsia"/>
          <w:color w:val="auto"/>
          <w:szCs w:val="21"/>
          <w:highlight w:val="none"/>
        </w:rPr>
        <w:t>。</w:t>
      </w:r>
      <w:r>
        <w:rPr>
          <w:color w:val="auto"/>
          <w:szCs w:val="21"/>
          <w:highlight w:val="none"/>
        </w:rPr>
        <w:t>产品应当在中国境内生产，即在中华人民共和国关境内</w:t>
      </w:r>
      <w:r>
        <w:rPr>
          <w:rFonts w:hint="eastAsia"/>
          <w:color w:val="auto"/>
          <w:szCs w:val="21"/>
          <w:highlight w:val="none"/>
        </w:rPr>
        <w:t>（含保税区、综合保税区等海关特殊监管区域）</w:t>
      </w:r>
      <w:r>
        <w:rPr>
          <w:color w:val="auto"/>
          <w:szCs w:val="21"/>
          <w:highlight w:val="none"/>
        </w:rPr>
        <w:t>实现从原材料、组件到产品的属性改变；属性改变是指经过制造、加工或者组装等工序，产生完全不同于原材料、组件的新产品，并具有新的名称和特征（用途），属性改变不包括以下细微操作：</w:t>
      </w:r>
    </w:p>
    <w:p w14:paraId="74014359">
      <w:pPr>
        <w:spacing w:line="276" w:lineRule="auto"/>
        <w:ind w:firstLine="420" w:firstLineChars="200"/>
        <w:rPr>
          <w:color w:val="auto"/>
          <w:szCs w:val="21"/>
          <w:highlight w:val="none"/>
        </w:rPr>
      </w:pPr>
      <w:r>
        <w:rPr>
          <w:color w:val="auto"/>
          <w:szCs w:val="21"/>
          <w:highlight w:val="none"/>
        </w:rPr>
        <w:t>①为确保产品在运输或者储存期间保持某种状态而进行的操作；</w:t>
      </w:r>
    </w:p>
    <w:p w14:paraId="0736F0D5">
      <w:pPr>
        <w:spacing w:line="276" w:lineRule="auto"/>
        <w:ind w:firstLine="420" w:firstLineChars="200"/>
        <w:rPr>
          <w:color w:val="auto"/>
          <w:szCs w:val="21"/>
          <w:highlight w:val="none"/>
        </w:rPr>
      </w:pPr>
      <w:r>
        <w:rPr>
          <w:color w:val="auto"/>
          <w:szCs w:val="21"/>
          <w:highlight w:val="none"/>
        </w:rPr>
        <w:t>②为产品运输或者销售进行的包装或者展示；</w:t>
      </w:r>
    </w:p>
    <w:p w14:paraId="615014AE">
      <w:pPr>
        <w:spacing w:line="276" w:lineRule="auto"/>
        <w:ind w:firstLine="420" w:firstLineChars="200"/>
        <w:rPr>
          <w:color w:val="auto"/>
          <w:szCs w:val="21"/>
          <w:highlight w:val="none"/>
        </w:rPr>
      </w:pPr>
      <w:r>
        <w:rPr>
          <w:color w:val="auto"/>
          <w:szCs w:val="21"/>
          <w:highlight w:val="none"/>
        </w:rPr>
        <w:t>③在产品或者其包装上粘贴或者印刷品牌、标志、标识以及其他用于区别的标记；</w:t>
      </w:r>
    </w:p>
    <w:p w14:paraId="70AC9D8B">
      <w:pPr>
        <w:spacing w:line="276" w:lineRule="auto"/>
        <w:ind w:firstLine="420" w:firstLineChars="200"/>
        <w:rPr>
          <w:color w:val="auto"/>
          <w:szCs w:val="21"/>
          <w:highlight w:val="none"/>
        </w:rPr>
      </w:pPr>
      <w:r>
        <w:rPr>
          <w:color w:val="auto"/>
          <w:szCs w:val="21"/>
          <w:highlight w:val="none"/>
        </w:rPr>
        <w:t>④简单的上漆、磨光和分装；</w:t>
      </w:r>
    </w:p>
    <w:p w14:paraId="15FD92EA">
      <w:pPr>
        <w:spacing w:line="276" w:lineRule="auto"/>
        <w:ind w:firstLine="420" w:firstLineChars="200"/>
        <w:rPr>
          <w:color w:val="auto"/>
          <w:szCs w:val="21"/>
          <w:highlight w:val="none"/>
        </w:rPr>
      </w:pPr>
      <w:r>
        <w:rPr>
          <w:color w:val="auto"/>
          <w:szCs w:val="21"/>
          <w:highlight w:val="none"/>
        </w:rPr>
        <w:t>⑤其他不属于属性改变的情形；</w:t>
      </w:r>
    </w:p>
    <w:p w14:paraId="00CF04F7">
      <w:pPr>
        <w:spacing w:line="276" w:lineRule="auto"/>
        <w:ind w:firstLine="420" w:firstLineChars="200"/>
        <w:rPr>
          <w:color w:val="auto"/>
          <w:szCs w:val="21"/>
          <w:highlight w:val="none"/>
        </w:rPr>
      </w:pPr>
      <w:r>
        <w:rPr>
          <w:rFonts w:hint="eastAsia"/>
          <w:color w:val="auto"/>
          <w:szCs w:val="21"/>
          <w:highlight w:val="none"/>
        </w:rPr>
        <w:t>（2）</w:t>
      </w:r>
      <w:r>
        <w:rPr>
          <w:color w:val="auto"/>
          <w:szCs w:val="21"/>
          <w:highlight w:val="none"/>
        </w:rPr>
        <w:t>中国境内生产的组件成本占比达到规定比例</w:t>
      </w:r>
      <w:r>
        <w:rPr>
          <w:rFonts w:hint="eastAsia"/>
          <w:color w:val="auto"/>
          <w:szCs w:val="21"/>
          <w:highlight w:val="none"/>
        </w:rPr>
        <w:t>。</w:t>
      </w:r>
    </w:p>
    <w:p w14:paraId="5F6C689D">
      <w:pPr>
        <w:spacing w:line="276" w:lineRule="auto"/>
        <w:ind w:firstLine="420" w:firstLineChars="200"/>
        <w:rPr>
          <w:color w:val="auto"/>
          <w:szCs w:val="21"/>
          <w:highlight w:val="none"/>
        </w:rPr>
      </w:pPr>
      <w:r>
        <w:rPr>
          <w:rFonts w:hint="eastAsia"/>
          <w:color w:val="auto"/>
          <w:szCs w:val="21"/>
          <w:highlight w:val="none"/>
        </w:rPr>
        <w:t>①产品在中国境内生产的组件成本占比应当达到规定比例，计算公式为：产品在中国境内生产的组件成本/产品总成本≥规定比例；</w:t>
      </w:r>
    </w:p>
    <w:p w14:paraId="7EAD3DF1">
      <w:pPr>
        <w:spacing w:line="276" w:lineRule="auto"/>
        <w:ind w:firstLine="420" w:firstLineChars="200"/>
        <w:rPr>
          <w:color w:val="auto"/>
          <w:szCs w:val="21"/>
          <w:highlight w:val="none"/>
        </w:rPr>
      </w:pPr>
      <w:r>
        <w:rPr>
          <w:rFonts w:hint="eastAsia"/>
          <w:color w:val="auto"/>
          <w:szCs w:val="21"/>
          <w:highlight w:val="none"/>
        </w:rPr>
        <w:t>②产品在中国境内生产的组件成本，按照《中国境内生产的组件成本核算基本规则》计算；</w:t>
      </w:r>
    </w:p>
    <w:p w14:paraId="5385870E">
      <w:pPr>
        <w:spacing w:line="276" w:lineRule="auto"/>
        <w:ind w:firstLine="420" w:firstLineChars="200"/>
        <w:rPr>
          <w:color w:val="auto"/>
          <w:szCs w:val="21"/>
          <w:highlight w:val="none"/>
        </w:rPr>
      </w:pPr>
      <w:r>
        <w:rPr>
          <w:rFonts w:hint="eastAsia"/>
          <w:color w:val="auto"/>
          <w:szCs w:val="21"/>
          <w:highlight w:val="none"/>
        </w:rPr>
        <w:t>③中国境内生产的组件成本占比相关要求实施前，符合第（1）项条件的产品在政府采购活动中视同本国产品。</w:t>
      </w:r>
    </w:p>
    <w:p w14:paraId="65A98863">
      <w:pPr>
        <w:spacing w:line="276" w:lineRule="auto"/>
        <w:ind w:firstLine="420" w:firstLineChars="200"/>
        <w:rPr>
          <w:color w:val="auto"/>
          <w:szCs w:val="21"/>
          <w:highlight w:val="none"/>
        </w:rPr>
      </w:pPr>
      <w:r>
        <w:rPr>
          <w:rFonts w:hint="eastAsia"/>
          <w:color w:val="auto"/>
          <w:szCs w:val="21"/>
          <w:highlight w:val="none"/>
        </w:rPr>
        <w:t>（3）</w:t>
      </w:r>
      <w:r>
        <w:rPr>
          <w:color w:val="auto"/>
          <w:szCs w:val="21"/>
          <w:highlight w:val="none"/>
        </w:rPr>
        <w:t>特定产品的关键组件和工序在中国境内完成。</w:t>
      </w:r>
    </w:p>
    <w:p w14:paraId="10D56CEC">
      <w:pPr>
        <w:spacing w:line="276" w:lineRule="auto"/>
        <w:ind w:firstLine="420" w:firstLineChars="200"/>
        <w:rPr>
          <w:color w:val="auto"/>
          <w:szCs w:val="21"/>
          <w:highlight w:val="none"/>
        </w:rPr>
      </w:pPr>
      <w:r>
        <w:rPr>
          <w:rFonts w:hint="eastAsia"/>
          <w:color w:val="auto"/>
          <w:szCs w:val="21"/>
          <w:highlight w:val="none"/>
        </w:rPr>
        <w:t>①对特定产品，在符合第（1）项和第（2）项条件的基础上，应当符合财政部会同有关行业主管部门确定的其关键组件、关键工序在中国境内生产、完成等要求；</w:t>
      </w:r>
    </w:p>
    <w:p w14:paraId="192F4E0B">
      <w:pPr>
        <w:spacing w:line="276" w:lineRule="auto"/>
        <w:ind w:firstLine="420" w:firstLineChars="200"/>
        <w:rPr>
          <w:color w:val="auto"/>
          <w:szCs w:val="21"/>
          <w:highlight w:val="none"/>
        </w:rPr>
      </w:pPr>
      <w:r>
        <w:rPr>
          <w:rFonts w:hint="eastAsia"/>
          <w:color w:val="auto"/>
          <w:szCs w:val="21"/>
          <w:highlight w:val="none"/>
        </w:rPr>
        <w:t>②特定产品的关键组件、关键工序符合相关要求实施前，符合第（1）项和第（2）项条件的产品在政府采购活动中视同本国产品。</w:t>
      </w:r>
    </w:p>
    <w:p w14:paraId="44B1E440">
      <w:pPr>
        <w:spacing w:before="120" w:line="360" w:lineRule="auto"/>
        <w:ind w:left="819" w:leftChars="190" w:hanging="420" w:hangingChars="200"/>
        <w:rPr>
          <w:color w:val="auto"/>
          <w:szCs w:val="21"/>
          <w:highlight w:val="none"/>
        </w:rPr>
      </w:pPr>
      <w:r>
        <w:rPr>
          <w:rFonts w:hint="eastAsia"/>
          <w:color w:val="auto"/>
          <w:szCs w:val="21"/>
          <w:highlight w:val="none"/>
        </w:rPr>
        <w:t>1.9.2 本国产品标准的适用范围</w:t>
      </w:r>
    </w:p>
    <w:p w14:paraId="100A714E">
      <w:pPr>
        <w:spacing w:line="276" w:lineRule="auto"/>
        <w:ind w:firstLine="420" w:firstLineChars="200"/>
        <w:rPr>
          <w:color w:val="auto"/>
          <w:szCs w:val="21"/>
          <w:highlight w:val="none"/>
        </w:rPr>
      </w:pPr>
      <w:r>
        <w:rPr>
          <w:color w:val="auto"/>
          <w:szCs w:val="21"/>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b/>
          <w:bCs/>
          <w:color w:val="auto"/>
          <w:szCs w:val="21"/>
          <w:highlight w:val="none"/>
        </w:rPr>
        <w:t>本项目是否适用对本国产品的支持政策详见供应商须知前附表。</w:t>
      </w:r>
    </w:p>
    <w:p w14:paraId="5BE51530">
      <w:pPr>
        <w:spacing w:line="276" w:lineRule="auto"/>
        <w:ind w:firstLine="420" w:firstLineChars="200"/>
        <w:rPr>
          <w:color w:val="auto"/>
          <w:szCs w:val="21"/>
          <w:highlight w:val="none"/>
        </w:rPr>
      </w:pPr>
      <w:r>
        <w:rPr>
          <w:color w:val="auto"/>
          <w:szCs w:val="21"/>
          <w:highlight w:val="none"/>
        </w:rPr>
        <w:t>中华人民共和国缔结或者共同参加的国际条约、协定对政府采购中本国产品政策另有规定的，按照有关条约、协定执行。</w:t>
      </w:r>
    </w:p>
    <w:p w14:paraId="4E50CD62">
      <w:pPr>
        <w:spacing w:before="120" w:line="320" w:lineRule="atLeast"/>
        <w:ind w:firstLine="420" w:firstLineChars="200"/>
        <w:rPr>
          <w:color w:val="auto"/>
          <w:szCs w:val="21"/>
          <w:highlight w:val="none"/>
        </w:rPr>
      </w:pPr>
      <w:r>
        <w:rPr>
          <w:rFonts w:hint="eastAsia"/>
          <w:color w:val="auto"/>
          <w:szCs w:val="21"/>
          <w:highlight w:val="none"/>
        </w:rPr>
        <w:t>1.9.3 价格评审优惠</w:t>
      </w:r>
    </w:p>
    <w:p w14:paraId="4AA5F5F7">
      <w:pPr>
        <w:spacing w:before="120" w:line="320" w:lineRule="atLeast"/>
        <w:ind w:firstLine="420" w:firstLineChars="200"/>
        <w:rPr>
          <w:color w:val="auto"/>
          <w:szCs w:val="21"/>
          <w:highlight w:val="none"/>
        </w:rPr>
      </w:pPr>
      <w:r>
        <w:rPr>
          <w:rFonts w:hint="eastAsia"/>
          <w:color w:val="auto"/>
          <w:szCs w:val="21"/>
          <w:highlight w:val="none"/>
        </w:rPr>
        <w:t>既有本国产品又有非本国产品参与竞争的，依法对本国产品给予价格评审优惠，对本国产品的报价给予20%的价格扣除，用扣除后的价格参与评审。</w:t>
      </w:r>
    </w:p>
    <w:p w14:paraId="437A16F4">
      <w:pPr>
        <w:spacing w:before="120" w:line="320" w:lineRule="atLeast"/>
        <w:ind w:firstLine="420" w:firstLineChars="200"/>
        <w:rPr>
          <w:color w:val="auto"/>
          <w:szCs w:val="21"/>
          <w:highlight w:val="none"/>
        </w:rPr>
      </w:pPr>
      <w:r>
        <w:rPr>
          <w:rFonts w:hint="eastAsia"/>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1EE9E6F">
      <w:pPr>
        <w:spacing w:before="120" w:line="320" w:lineRule="atLeast"/>
        <w:ind w:firstLine="420" w:firstLineChars="200"/>
        <w:rPr>
          <w:color w:val="auto"/>
          <w:szCs w:val="21"/>
          <w:highlight w:val="none"/>
        </w:rPr>
      </w:pPr>
      <w:r>
        <w:rPr>
          <w:rFonts w:hint="eastAsia"/>
          <w:color w:val="auto"/>
          <w:szCs w:val="21"/>
          <w:highlight w:val="none"/>
        </w:rPr>
        <w:t>价格扣除比例在第四章评审方法及标准中规定。</w:t>
      </w:r>
    </w:p>
    <w:p w14:paraId="09DA2B0D">
      <w:pPr>
        <w:spacing w:before="120" w:line="320" w:lineRule="atLeast"/>
        <w:ind w:firstLine="420" w:firstLineChars="200"/>
        <w:rPr>
          <w:color w:val="auto"/>
          <w:szCs w:val="21"/>
          <w:highlight w:val="none"/>
        </w:rPr>
      </w:pPr>
      <w:r>
        <w:rPr>
          <w:rFonts w:hint="eastAsia"/>
          <w:color w:val="auto"/>
          <w:szCs w:val="21"/>
          <w:highlight w:val="none"/>
        </w:rPr>
        <w:t>1.9.4政策执行要求</w:t>
      </w:r>
    </w:p>
    <w:p w14:paraId="0B5931D7">
      <w:pPr>
        <w:spacing w:before="120" w:line="320" w:lineRule="atLeast"/>
        <w:ind w:firstLine="420" w:firstLineChars="200"/>
        <w:rPr>
          <w:color w:val="auto"/>
          <w:szCs w:val="21"/>
          <w:highlight w:val="none"/>
        </w:rPr>
      </w:pPr>
      <w:r>
        <w:rPr>
          <w:rFonts w:hint="eastAsia"/>
          <w:color w:val="auto"/>
          <w:szCs w:val="21"/>
          <w:highlight w:val="none"/>
        </w:rPr>
        <w:t>1.9.4.1产品在中国境内生产的组件成本核算规则：产品在中国境内生产的组件成本，按照《中国境内生产的组件成本核算基本规则》计算。</w:t>
      </w:r>
    </w:p>
    <w:p w14:paraId="0CD7559C">
      <w:pPr>
        <w:spacing w:before="120" w:line="360" w:lineRule="auto"/>
        <w:ind w:firstLine="2520" w:firstLineChars="1200"/>
        <w:rPr>
          <w:color w:val="auto"/>
          <w:szCs w:val="21"/>
          <w:highlight w:val="none"/>
        </w:rPr>
      </w:pPr>
      <w:r>
        <w:rPr>
          <w:rFonts w:hint="eastAsia"/>
          <w:color w:val="auto"/>
          <w:szCs w:val="21"/>
          <w:highlight w:val="none"/>
        </w:rPr>
        <w:t>《中国境内生产的组件成本核算基本规则》</w:t>
      </w:r>
    </w:p>
    <w:p w14:paraId="392575DF">
      <w:pPr>
        <w:spacing w:before="120"/>
        <w:ind w:firstLine="420" w:firstLineChars="200"/>
        <w:rPr>
          <w:color w:val="auto"/>
          <w:szCs w:val="21"/>
          <w:highlight w:val="none"/>
        </w:rPr>
      </w:pPr>
      <w:r>
        <w:rPr>
          <w:rFonts w:hint="eastAsia"/>
          <w:color w:val="auto"/>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6FB0DC1">
      <w:pPr>
        <w:spacing w:before="120"/>
        <w:ind w:firstLine="420" w:firstLineChars="200"/>
        <w:rPr>
          <w:color w:val="auto"/>
          <w:szCs w:val="21"/>
          <w:highlight w:val="none"/>
        </w:rPr>
      </w:pPr>
      <w:r>
        <w:rPr>
          <w:rFonts w:hint="eastAsia"/>
          <w:color w:val="auto"/>
          <w:szCs w:val="21"/>
          <w:highlight w:val="none"/>
        </w:rPr>
        <w:t>1.产品的一级组件是指直接组成产品的组件。产品的二级组件是指直接组成产品一级组件的组件。一级组件不可分解的，视同二级组件。</w:t>
      </w:r>
    </w:p>
    <w:p w14:paraId="39A1F90C">
      <w:pPr>
        <w:spacing w:before="120"/>
        <w:ind w:firstLine="420" w:firstLineChars="200"/>
        <w:rPr>
          <w:color w:val="auto"/>
          <w:szCs w:val="21"/>
          <w:highlight w:val="none"/>
        </w:rPr>
      </w:pPr>
      <w:r>
        <w:rPr>
          <w:rFonts w:hint="eastAsia"/>
          <w:color w:val="auto"/>
          <w:szCs w:val="21"/>
          <w:highlight w:val="none"/>
        </w:rPr>
        <w:t>2.二级组件在中国境内生产的，其全部成本计入中国境内生产的组件成本；二级组件不在中国境内生产的，其成本不计入中国境内生产的组件成本。</w:t>
      </w:r>
    </w:p>
    <w:p w14:paraId="5EA5E45D">
      <w:pPr>
        <w:spacing w:before="120"/>
        <w:ind w:firstLine="420" w:firstLineChars="200"/>
        <w:rPr>
          <w:color w:val="auto"/>
          <w:szCs w:val="21"/>
          <w:highlight w:val="none"/>
        </w:rPr>
      </w:pPr>
      <w:r>
        <w:rPr>
          <w:rFonts w:hint="eastAsia"/>
          <w:color w:val="auto"/>
          <w:szCs w:val="21"/>
          <w:highlight w:val="none"/>
        </w:rPr>
        <w:t>3.产品总成本和组件成本以相关会计核算数据、采购合同、进货记录等为基础进行计算。</w:t>
      </w:r>
    </w:p>
    <w:p w14:paraId="7D2BDDA8">
      <w:pPr>
        <w:spacing w:before="120"/>
        <w:ind w:firstLine="420" w:firstLineChars="200"/>
        <w:rPr>
          <w:color w:val="auto"/>
          <w:szCs w:val="21"/>
          <w:highlight w:val="none"/>
        </w:rPr>
      </w:pPr>
      <w:r>
        <w:rPr>
          <w:rFonts w:hint="eastAsia"/>
          <w:color w:val="auto"/>
          <w:szCs w:val="21"/>
          <w:highlight w:val="none"/>
        </w:rPr>
        <w:t>4.需要对成本核算规则予以进一步明确的其他有关事项，由财政部会同有关部门另行规定。</w:t>
      </w:r>
    </w:p>
    <w:p w14:paraId="1CFDA5F3">
      <w:pPr>
        <w:spacing w:before="120" w:line="320" w:lineRule="atLeast"/>
        <w:ind w:firstLine="420" w:firstLineChars="200"/>
        <w:rPr>
          <w:color w:val="auto"/>
          <w:szCs w:val="21"/>
          <w:highlight w:val="none"/>
        </w:rPr>
      </w:pPr>
      <w:r>
        <w:rPr>
          <w:rFonts w:hint="eastAsia"/>
          <w:color w:val="auto"/>
          <w:szCs w:val="21"/>
          <w:highlight w:val="none"/>
        </w:rPr>
        <w:t>1.9.4.2证明材料提交与审查：供应商需在投标（响应）文件中对其提供的产品出具《关于符合本国产品标准的声明函》（样式见响应文件格式）或财政部会同有关部门规定的有关证明文件。</w:t>
      </w:r>
      <w:r>
        <w:rPr>
          <w:rFonts w:hint="eastAsia"/>
          <w:b/>
          <w:bCs/>
          <w:color w:val="auto"/>
          <w:szCs w:val="21"/>
          <w:highlight w:val="none"/>
        </w:rPr>
        <w:t>医疗器械产品凭药品监督管理部门授予的准字号注册证直接认定属于在中国境内生产的产品。</w:t>
      </w:r>
      <w:r>
        <w:rPr>
          <w:rFonts w:hint="eastAsia"/>
          <w:color w:val="auto"/>
          <w:szCs w:val="21"/>
          <w:highlight w:val="none"/>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73325ECA">
      <w:pPr>
        <w:pStyle w:val="19"/>
        <w:ind w:firstLine="420" w:firstLineChars="200"/>
        <w:rPr>
          <w:color w:val="auto"/>
          <w:sz w:val="21"/>
          <w:szCs w:val="21"/>
          <w:highlight w:val="none"/>
        </w:rPr>
      </w:pPr>
      <w:r>
        <w:rPr>
          <w:rFonts w:hint="eastAsia"/>
          <w:color w:val="auto"/>
          <w:sz w:val="21"/>
          <w:szCs w:val="21"/>
          <w:highlight w:val="none"/>
        </w:rPr>
        <w:t>谈判小组应对《声明函》的完整性、准确性进行审查，对《声明函》内容含义不明确、同类事项与投标（响应）文件表述不一致或存在明显文字错误的，应当以书面形式要求供应商澄清、说明或者补正；经澄清、说明或者补正后仍不符合要求的，不认定为本国产品。</w:t>
      </w:r>
    </w:p>
    <w:p w14:paraId="64CDA371">
      <w:pPr>
        <w:pStyle w:val="19"/>
        <w:ind w:firstLine="420" w:firstLineChars="200"/>
        <w:rPr>
          <w:color w:val="auto"/>
          <w:sz w:val="21"/>
          <w:szCs w:val="21"/>
          <w:highlight w:val="none"/>
        </w:rPr>
      </w:pPr>
      <w:r>
        <w:rPr>
          <w:rFonts w:hint="eastAsia"/>
          <w:color w:val="auto"/>
          <w:sz w:val="21"/>
          <w:szCs w:val="21"/>
          <w:highlight w:val="none"/>
        </w:rPr>
        <w:t>澄清补正应当按照“6.3.3澄清、说明或补正”的规定提交。</w:t>
      </w:r>
    </w:p>
    <w:p w14:paraId="03A7B9B2">
      <w:pPr>
        <w:pStyle w:val="19"/>
        <w:ind w:firstLine="420" w:firstLineChars="200"/>
        <w:rPr>
          <w:color w:val="auto"/>
          <w:sz w:val="21"/>
          <w:szCs w:val="21"/>
          <w:highlight w:val="none"/>
        </w:rPr>
      </w:pPr>
      <w:r>
        <w:rPr>
          <w:rFonts w:hint="eastAsia"/>
          <w:color w:val="auto"/>
          <w:sz w:val="21"/>
          <w:szCs w:val="21"/>
          <w:highlight w:val="none"/>
        </w:rPr>
        <w:t>1.9.4.3成本核算与承诺</w:t>
      </w:r>
    </w:p>
    <w:p w14:paraId="0BB55392">
      <w:pPr>
        <w:pStyle w:val="19"/>
        <w:ind w:firstLine="420" w:firstLineChars="200"/>
        <w:rPr>
          <w:color w:val="auto"/>
          <w:sz w:val="21"/>
          <w:szCs w:val="21"/>
          <w:highlight w:val="none"/>
        </w:rPr>
      </w:pPr>
      <w:r>
        <w:rPr>
          <w:color w:val="auto"/>
          <w:sz w:val="21"/>
          <w:szCs w:val="21"/>
          <w:highlight w:val="none"/>
        </w:rPr>
        <w:t>供应商应依据《中国境内生产的组件成本核算基本规则》核算产品成本占比，并对核算结果负责，按要求提交《</w:t>
      </w:r>
      <w:r>
        <w:rPr>
          <w:rFonts w:hint="eastAsia"/>
          <w:color w:val="auto"/>
          <w:sz w:val="21"/>
          <w:szCs w:val="21"/>
          <w:highlight w:val="none"/>
        </w:rPr>
        <w:t>关于符合</w:t>
      </w:r>
      <w:r>
        <w:rPr>
          <w:color w:val="auto"/>
          <w:sz w:val="21"/>
          <w:szCs w:val="21"/>
          <w:highlight w:val="none"/>
        </w:rPr>
        <w:t>本国产品</w:t>
      </w:r>
      <w:r>
        <w:rPr>
          <w:rFonts w:hint="eastAsia"/>
          <w:color w:val="auto"/>
          <w:sz w:val="21"/>
          <w:szCs w:val="21"/>
          <w:highlight w:val="none"/>
        </w:rPr>
        <w:t>标准的</w:t>
      </w:r>
      <w:r>
        <w:rPr>
          <w:color w:val="auto"/>
          <w:sz w:val="21"/>
          <w:szCs w:val="21"/>
          <w:highlight w:val="none"/>
        </w:rPr>
        <w:t>成本占比承诺函》</w:t>
      </w:r>
      <w:r>
        <w:rPr>
          <w:rFonts w:hint="eastAsia"/>
          <w:color w:val="auto"/>
          <w:sz w:val="21"/>
          <w:szCs w:val="21"/>
          <w:highlight w:val="none"/>
        </w:rPr>
        <w:t>（如适用）</w:t>
      </w:r>
      <w:r>
        <w:rPr>
          <w:color w:val="auto"/>
          <w:sz w:val="21"/>
          <w:szCs w:val="21"/>
          <w:highlight w:val="none"/>
        </w:rPr>
        <w:t>（参考模板</w:t>
      </w:r>
      <w:r>
        <w:rPr>
          <w:rFonts w:hint="eastAsia"/>
          <w:color w:val="auto"/>
          <w:sz w:val="21"/>
          <w:szCs w:val="21"/>
          <w:highlight w:val="none"/>
        </w:rPr>
        <w:t>详见响应文件格式</w:t>
      </w:r>
      <w:r>
        <w:rPr>
          <w:color w:val="auto"/>
          <w:sz w:val="21"/>
          <w:szCs w:val="21"/>
          <w:highlight w:val="none"/>
        </w:rPr>
        <w:t>）。相关成本核算的原始凭证应妥善留存，以备核查。采购人可在履约验收环节对相关材料进行抽查。</w:t>
      </w:r>
    </w:p>
    <w:p w14:paraId="25B26AFC">
      <w:pPr>
        <w:spacing w:before="120" w:line="320" w:lineRule="atLeast"/>
        <w:ind w:firstLine="420" w:firstLineChars="200"/>
        <w:rPr>
          <w:color w:val="auto"/>
          <w:szCs w:val="21"/>
          <w:highlight w:val="none"/>
        </w:rPr>
      </w:pPr>
      <w:r>
        <w:rPr>
          <w:rFonts w:hint="eastAsia"/>
          <w:color w:val="auto"/>
          <w:szCs w:val="21"/>
          <w:highlight w:val="none"/>
        </w:rPr>
        <w:t>1.9.5 争议处理</w:t>
      </w:r>
    </w:p>
    <w:p w14:paraId="22F41371">
      <w:pPr>
        <w:spacing w:before="120" w:line="320" w:lineRule="atLeast"/>
        <w:ind w:firstLine="420" w:firstLineChars="200"/>
        <w:rPr>
          <w:color w:val="auto"/>
          <w:szCs w:val="21"/>
          <w:highlight w:val="none"/>
        </w:rPr>
      </w:pPr>
      <w:r>
        <w:rPr>
          <w:rFonts w:hint="eastAsia"/>
          <w:color w:val="auto"/>
          <w:szCs w:val="21"/>
          <w:highlight w:val="none"/>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06FFB82F">
      <w:pPr>
        <w:spacing w:before="120" w:line="320" w:lineRule="atLeast"/>
        <w:ind w:left="2" w:leftChars="1" w:firstLine="422" w:firstLineChars="200"/>
        <w:outlineLvl w:val="1"/>
        <w:rPr>
          <w:b/>
          <w:bCs/>
          <w:color w:val="auto"/>
          <w:kern w:val="0"/>
          <w:szCs w:val="21"/>
          <w:highlight w:val="none"/>
        </w:rPr>
      </w:pPr>
      <w:bookmarkStart w:id="39" w:name="_Toc254970534"/>
      <w:bookmarkStart w:id="40" w:name="_Toc254970675"/>
      <w:r>
        <w:rPr>
          <w:b/>
          <w:bCs/>
          <w:color w:val="auto"/>
          <w:kern w:val="0"/>
          <w:szCs w:val="21"/>
          <w:highlight w:val="none"/>
        </w:rPr>
        <w:t>2．采购文件</w:t>
      </w:r>
      <w:bookmarkEnd w:id="39"/>
      <w:bookmarkEnd w:id="40"/>
    </w:p>
    <w:p w14:paraId="7D2E7C5E">
      <w:pPr>
        <w:spacing w:before="120" w:line="320" w:lineRule="atLeast"/>
        <w:ind w:firstLine="422" w:firstLineChars="200"/>
        <w:outlineLvl w:val="2"/>
        <w:rPr>
          <w:b/>
          <w:bCs/>
          <w:color w:val="auto"/>
          <w:kern w:val="0"/>
          <w:szCs w:val="21"/>
          <w:highlight w:val="none"/>
        </w:rPr>
      </w:pPr>
      <w:r>
        <w:rPr>
          <w:b/>
          <w:bCs/>
          <w:color w:val="auto"/>
          <w:kern w:val="0"/>
          <w:szCs w:val="21"/>
          <w:highlight w:val="none"/>
        </w:rPr>
        <w:t>2.1采购文件的构成</w:t>
      </w:r>
    </w:p>
    <w:p w14:paraId="6FA73951">
      <w:pPr>
        <w:spacing w:before="120" w:line="320" w:lineRule="atLeast"/>
        <w:ind w:firstLine="420" w:firstLineChars="200"/>
        <w:rPr>
          <w:color w:val="auto"/>
          <w:szCs w:val="21"/>
          <w:highlight w:val="none"/>
        </w:rPr>
      </w:pPr>
      <w:r>
        <w:rPr>
          <w:color w:val="auto"/>
          <w:szCs w:val="21"/>
          <w:highlight w:val="none"/>
        </w:rPr>
        <w:t>第一章 谈判公告</w:t>
      </w:r>
    </w:p>
    <w:p w14:paraId="7A88BC2F">
      <w:pPr>
        <w:spacing w:before="120" w:line="320" w:lineRule="atLeast"/>
        <w:ind w:firstLine="420" w:firstLineChars="200"/>
        <w:rPr>
          <w:color w:val="auto"/>
          <w:szCs w:val="21"/>
          <w:highlight w:val="none"/>
        </w:rPr>
      </w:pPr>
      <w:r>
        <w:rPr>
          <w:color w:val="auto"/>
          <w:szCs w:val="21"/>
          <w:highlight w:val="none"/>
        </w:rPr>
        <w:t>第二章 采购需求</w:t>
      </w:r>
    </w:p>
    <w:p w14:paraId="005F5100">
      <w:pPr>
        <w:spacing w:before="120" w:line="320" w:lineRule="atLeast"/>
        <w:ind w:firstLine="420" w:firstLineChars="200"/>
        <w:rPr>
          <w:color w:val="auto"/>
          <w:szCs w:val="21"/>
          <w:highlight w:val="none"/>
        </w:rPr>
      </w:pPr>
      <w:r>
        <w:rPr>
          <w:color w:val="auto"/>
          <w:szCs w:val="21"/>
          <w:highlight w:val="none"/>
        </w:rPr>
        <w:t>第三章 供应商须知</w:t>
      </w:r>
    </w:p>
    <w:p w14:paraId="7E3918CD">
      <w:pPr>
        <w:spacing w:before="120" w:line="320" w:lineRule="atLeast"/>
        <w:ind w:firstLine="420" w:firstLineChars="200"/>
        <w:rPr>
          <w:color w:val="auto"/>
          <w:szCs w:val="21"/>
          <w:highlight w:val="none"/>
        </w:rPr>
      </w:pPr>
      <w:r>
        <w:rPr>
          <w:color w:val="auto"/>
          <w:szCs w:val="21"/>
          <w:highlight w:val="none"/>
        </w:rPr>
        <w:t>第四章 评审方法及标准</w:t>
      </w:r>
    </w:p>
    <w:p w14:paraId="3229873D">
      <w:pPr>
        <w:spacing w:before="120" w:line="320" w:lineRule="atLeast"/>
        <w:ind w:firstLine="420" w:firstLineChars="200"/>
        <w:rPr>
          <w:color w:val="auto"/>
          <w:szCs w:val="21"/>
          <w:highlight w:val="none"/>
        </w:rPr>
      </w:pPr>
      <w:r>
        <w:rPr>
          <w:color w:val="auto"/>
          <w:szCs w:val="21"/>
          <w:highlight w:val="none"/>
        </w:rPr>
        <w:t>第五章 合同主要条款格式</w:t>
      </w:r>
    </w:p>
    <w:p w14:paraId="74F8C4D2">
      <w:pPr>
        <w:spacing w:before="120" w:line="320" w:lineRule="atLeast"/>
        <w:ind w:firstLine="420" w:firstLineChars="200"/>
        <w:rPr>
          <w:color w:val="auto"/>
          <w:szCs w:val="21"/>
          <w:highlight w:val="none"/>
        </w:rPr>
      </w:pPr>
      <w:r>
        <w:rPr>
          <w:color w:val="auto"/>
          <w:szCs w:val="21"/>
          <w:highlight w:val="none"/>
        </w:rPr>
        <w:t>第六章 响应文件格式</w:t>
      </w:r>
    </w:p>
    <w:p w14:paraId="45C899BF">
      <w:pPr>
        <w:spacing w:before="120" w:line="320" w:lineRule="atLeast"/>
        <w:ind w:firstLine="422" w:firstLineChars="200"/>
        <w:outlineLvl w:val="2"/>
        <w:rPr>
          <w:b/>
          <w:bCs/>
          <w:color w:val="auto"/>
          <w:kern w:val="0"/>
          <w:szCs w:val="21"/>
          <w:highlight w:val="none"/>
        </w:rPr>
      </w:pPr>
      <w:r>
        <w:rPr>
          <w:b/>
          <w:bCs/>
          <w:color w:val="auto"/>
          <w:kern w:val="0"/>
          <w:szCs w:val="21"/>
          <w:highlight w:val="none"/>
        </w:rPr>
        <w:t>2.2供应商的风险</w:t>
      </w:r>
    </w:p>
    <w:p w14:paraId="28C3C09A">
      <w:pPr>
        <w:spacing w:before="120" w:line="320" w:lineRule="atLeast"/>
        <w:ind w:firstLine="420" w:firstLineChars="200"/>
        <w:rPr>
          <w:color w:val="auto"/>
          <w:szCs w:val="21"/>
          <w:highlight w:val="none"/>
        </w:rPr>
      </w:pPr>
      <w:r>
        <w:rPr>
          <w:color w:val="auto"/>
          <w:szCs w:val="21"/>
          <w:highlight w:val="none"/>
        </w:rPr>
        <w:t>供应商没有按照采购文件要求提供全部资料，或者供应商没有对采购文件在各方面作出实质性响应是供应商的风险，并可能导致其响应被否决。</w:t>
      </w:r>
    </w:p>
    <w:p w14:paraId="631E679F">
      <w:pPr>
        <w:spacing w:before="120" w:line="320" w:lineRule="atLeast"/>
        <w:ind w:firstLine="422" w:firstLineChars="200"/>
        <w:outlineLvl w:val="2"/>
        <w:rPr>
          <w:b/>
          <w:color w:val="auto"/>
          <w:szCs w:val="21"/>
          <w:highlight w:val="none"/>
        </w:rPr>
      </w:pPr>
      <w:r>
        <w:rPr>
          <w:b/>
          <w:bCs/>
          <w:color w:val="auto"/>
          <w:kern w:val="0"/>
          <w:szCs w:val="21"/>
          <w:highlight w:val="none"/>
        </w:rPr>
        <w:t>2.3采购文件的澄清与修改</w:t>
      </w:r>
    </w:p>
    <w:p w14:paraId="4766A820">
      <w:pPr>
        <w:spacing w:before="120" w:line="320" w:lineRule="atLeast"/>
        <w:ind w:firstLine="420" w:firstLineChars="200"/>
        <w:rPr>
          <w:color w:val="auto"/>
          <w:szCs w:val="21"/>
          <w:highlight w:val="none"/>
        </w:rPr>
      </w:pPr>
      <w:r>
        <w:rPr>
          <w:color w:val="auto"/>
          <w:szCs w:val="21"/>
          <w:highlight w:val="none"/>
        </w:rPr>
        <w:t>2.3.1</w:t>
      </w:r>
      <w:r>
        <w:rPr>
          <w:rFonts w:hint="eastAsia"/>
          <w:color w:val="auto"/>
          <w:szCs w:val="21"/>
          <w:highlight w:val="none"/>
        </w:rPr>
        <w:t>任何已获得采购文件的潜在供应商，均可</w:t>
      </w:r>
      <w:r>
        <w:rPr>
          <w:color w:val="auto"/>
          <w:szCs w:val="21"/>
          <w:highlight w:val="none"/>
        </w:rPr>
        <w:t>以书面形式要求采购代理机构作出书面解释、澄清</w:t>
      </w:r>
      <w:r>
        <w:rPr>
          <w:rFonts w:hint="eastAsia"/>
          <w:color w:val="auto"/>
          <w:szCs w:val="21"/>
          <w:highlight w:val="none"/>
        </w:rPr>
        <w:t>。</w:t>
      </w:r>
    </w:p>
    <w:p w14:paraId="7A673ECA">
      <w:pPr>
        <w:spacing w:before="120" w:line="320" w:lineRule="atLeast"/>
        <w:ind w:firstLine="420" w:firstLineChars="200"/>
        <w:rPr>
          <w:color w:val="auto"/>
          <w:szCs w:val="21"/>
          <w:highlight w:val="none"/>
        </w:rPr>
      </w:pPr>
      <w:r>
        <w:rPr>
          <w:color w:val="auto"/>
          <w:szCs w:val="21"/>
          <w:highlight w:val="none"/>
        </w:rPr>
        <w:t>2.3.2</w:t>
      </w:r>
      <w:r>
        <w:rPr>
          <w:rFonts w:hint="eastAsia"/>
          <w:color w:val="auto"/>
          <w:szCs w:val="21"/>
          <w:highlight w:val="none"/>
        </w:rPr>
        <w:t>采购人、采购代理机构可以对已发出的采购文件进行必要的澄清或者修改，澄清或者修改的内容可能影响响应文件编制的，采购人、采购代理机构应当在提交首次响应文件截止之日3个工作日前，</w:t>
      </w:r>
      <w:bookmarkStart w:id="41" w:name="_Hlk132790706"/>
      <w:r>
        <w:rPr>
          <w:rFonts w:hint="eastAsia"/>
          <w:color w:val="auto"/>
          <w:szCs w:val="21"/>
          <w:highlight w:val="none"/>
        </w:rPr>
        <w:t>在供应商须知前附表规定的方式通知所有获取采购文件的潜在</w:t>
      </w:r>
      <w:bookmarkEnd w:id="41"/>
      <w:r>
        <w:rPr>
          <w:rFonts w:hint="eastAsia"/>
          <w:color w:val="auto"/>
          <w:szCs w:val="21"/>
          <w:highlight w:val="none"/>
        </w:rPr>
        <w:t xml:space="preserve">供应商，不足3个工作日的，应当顺延提交首次响应文件截止之日。 </w:t>
      </w:r>
    </w:p>
    <w:p w14:paraId="6E573164">
      <w:pPr>
        <w:spacing w:before="120" w:line="320" w:lineRule="atLeast"/>
        <w:ind w:firstLine="420" w:firstLineChars="200"/>
        <w:rPr>
          <w:color w:val="auto"/>
          <w:szCs w:val="21"/>
          <w:highlight w:val="none"/>
        </w:rPr>
      </w:pPr>
      <w:r>
        <w:rPr>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1566B716">
      <w:pPr>
        <w:spacing w:before="120" w:line="320" w:lineRule="atLeast"/>
        <w:ind w:left="2" w:leftChars="1" w:firstLine="422" w:firstLineChars="200"/>
        <w:outlineLvl w:val="1"/>
        <w:rPr>
          <w:b/>
          <w:bCs/>
          <w:color w:val="auto"/>
          <w:kern w:val="0"/>
          <w:szCs w:val="21"/>
          <w:highlight w:val="none"/>
        </w:rPr>
      </w:pPr>
      <w:bookmarkStart w:id="42" w:name="_Toc254970676"/>
      <w:bookmarkStart w:id="43" w:name="_Toc254970535"/>
      <w:r>
        <w:rPr>
          <w:b/>
          <w:bCs/>
          <w:color w:val="auto"/>
          <w:kern w:val="0"/>
          <w:szCs w:val="21"/>
          <w:highlight w:val="none"/>
        </w:rPr>
        <w:t>3．响应文件</w:t>
      </w:r>
      <w:bookmarkEnd w:id="42"/>
      <w:bookmarkEnd w:id="43"/>
    </w:p>
    <w:p w14:paraId="1FBC978C">
      <w:pPr>
        <w:spacing w:before="120" w:line="320" w:lineRule="atLeast"/>
        <w:ind w:firstLine="422" w:firstLineChars="200"/>
        <w:outlineLvl w:val="2"/>
        <w:rPr>
          <w:b/>
          <w:bCs/>
          <w:color w:val="auto"/>
          <w:kern w:val="0"/>
          <w:szCs w:val="21"/>
          <w:highlight w:val="none"/>
        </w:rPr>
      </w:pPr>
      <w:bookmarkStart w:id="44" w:name="_Toc254970536"/>
      <w:bookmarkStart w:id="45" w:name="_Toc254970677"/>
      <w:r>
        <w:rPr>
          <w:b/>
          <w:bCs/>
          <w:color w:val="auto"/>
          <w:kern w:val="0"/>
          <w:szCs w:val="21"/>
          <w:highlight w:val="none"/>
        </w:rPr>
        <w:t>3.1响应文件的组成</w:t>
      </w:r>
      <w:bookmarkEnd w:id="44"/>
      <w:bookmarkEnd w:id="45"/>
    </w:p>
    <w:p w14:paraId="1A9AA9EB">
      <w:pPr>
        <w:spacing w:before="120" w:line="320" w:lineRule="atLeast"/>
        <w:ind w:firstLine="420" w:firstLineChars="200"/>
        <w:rPr>
          <w:color w:val="auto"/>
          <w:szCs w:val="21"/>
          <w:highlight w:val="none"/>
        </w:rPr>
      </w:pPr>
      <w:r>
        <w:rPr>
          <w:color w:val="auto"/>
          <w:szCs w:val="21"/>
          <w:highlight w:val="none"/>
        </w:rPr>
        <w:t>响应文件由第六章“响应文件格式”规定的</w:t>
      </w:r>
      <w:r>
        <w:rPr>
          <w:rFonts w:hint="eastAsia"/>
          <w:color w:val="auto"/>
          <w:szCs w:val="21"/>
          <w:highlight w:val="none"/>
        </w:rPr>
        <w:t>内容</w:t>
      </w:r>
      <w:r>
        <w:rPr>
          <w:color w:val="auto"/>
          <w:szCs w:val="21"/>
          <w:highlight w:val="none"/>
        </w:rPr>
        <w:t>和供应商所作的一切有效补充、修改和承诺等文件组成</w:t>
      </w:r>
      <w:r>
        <w:rPr>
          <w:rFonts w:hint="eastAsia"/>
          <w:color w:val="auto"/>
          <w:szCs w:val="21"/>
          <w:highlight w:val="none"/>
        </w:rPr>
        <w:t>。</w:t>
      </w:r>
    </w:p>
    <w:p w14:paraId="0A7E7E35">
      <w:pPr>
        <w:spacing w:before="120" w:line="320" w:lineRule="atLeast"/>
        <w:ind w:firstLine="422" w:firstLineChars="200"/>
        <w:outlineLvl w:val="2"/>
        <w:rPr>
          <w:b/>
          <w:bCs/>
          <w:color w:val="auto"/>
          <w:kern w:val="0"/>
          <w:szCs w:val="21"/>
          <w:highlight w:val="none"/>
        </w:rPr>
      </w:pPr>
      <w:bookmarkStart w:id="46" w:name="_Toc254970678"/>
      <w:bookmarkStart w:id="47" w:name="_Toc254970537"/>
      <w:r>
        <w:rPr>
          <w:b/>
          <w:color w:val="auto"/>
          <w:szCs w:val="21"/>
          <w:highlight w:val="none"/>
        </w:rPr>
        <w:t>3.2</w:t>
      </w:r>
      <w:r>
        <w:rPr>
          <w:b/>
          <w:bCs/>
          <w:color w:val="auto"/>
          <w:kern w:val="0"/>
          <w:szCs w:val="21"/>
          <w:highlight w:val="none"/>
        </w:rPr>
        <w:t>响应文件的语言及计量</w:t>
      </w:r>
      <w:bookmarkEnd w:id="46"/>
      <w:bookmarkEnd w:id="47"/>
    </w:p>
    <w:p w14:paraId="5091EB61">
      <w:pPr>
        <w:spacing w:before="120" w:line="320" w:lineRule="atLeast"/>
        <w:ind w:firstLine="420" w:firstLineChars="200"/>
        <w:rPr>
          <w:color w:val="auto"/>
          <w:szCs w:val="21"/>
          <w:highlight w:val="none"/>
        </w:rPr>
      </w:pPr>
      <w:r>
        <w:rPr>
          <w:color w:val="auto"/>
          <w:szCs w:val="21"/>
          <w:highlight w:val="none"/>
        </w:rPr>
        <w:t>3.2.1</w:t>
      </w:r>
      <w:r>
        <w:rPr>
          <w:rFonts w:hint="eastAsia"/>
          <w:color w:val="auto"/>
          <w:szCs w:val="21"/>
          <w:highlight w:val="none"/>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1E4F1685">
      <w:pPr>
        <w:spacing w:before="120" w:line="320" w:lineRule="atLeast"/>
        <w:ind w:firstLine="420" w:firstLineChars="200"/>
        <w:rPr>
          <w:color w:val="auto"/>
          <w:szCs w:val="21"/>
          <w:highlight w:val="none"/>
        </w:rPr>
      </w:pPr>
      <w:r>
        <w:rPr>
          <w:color w:val="auto"/>
          <w:szCs w:val="21"/>
          <w:highlight w:val="none"/>
        </w:rPr>
        <w:t>3.2.2计量单位采购文件已有明确规定的，响应使用采购文件规定的计量单位；采购文件没有规定的，应采用中华人民共和国法定计量单位。</w:t>
      </w:r>
    </w:p>
    <w:p w14:paraId="49DC98CC">
      <w:pPr>
        <w:spacing w:before="120" w:line="320" w:lineRule="atLeast"/>
        <w:ind w:firstLine="422" w:firstLineChars="200"/>
        <w:outlineLvl w:val="2"/>
        <w:rPr>
          <w:b/>
          <w:bCs/>
          <w:color w:val="auto"/>
          <w:kern w:val="0"/>
          <w:szCs w:val="21"/>
          <w:highlight w:val="none"/>
        </w:rPr>
      </w:pPr>
      <w:bookmarkStart w:id="48" w:name="_Toc254970538"/>
      <w:bookmarkStart w:id="49" w:name="_Toc254970679"/>
      <w:r>
        <w:rPr>
          <w:b/>
          <w:bCs/>
          <w:color w:val="auto"/>
          <w:kern w:val="0"/>
          <w:szCs w:val="21"/>
          <w:highlight w:val="none"/>
        </w:rPr>
        <w:t>3.3响应报价</w:t>
      </w:r>
      <w:bookmarkEnd w:id="48"/>
      <w:bookmarkEnd w:id="49"/>
    </w:p>
    <w:p w14:paraId="175A1D20">
      <w:pPr>
        <w:spacing w:before="120" w:line="320" w:lineRule="atLeast"/>
        <w:ind w:firstLine="420" w:firstLineChars="200"/>
        <w:rPr>
          <w:color w:val="auto"/>
          <w:szCs w:val="21"/>
          <w:highlight w:val="none"/>
        </w:rPr>
      </w:pPr>
      <w:r>
        <w:rPr>
          <w:color w:val="auto"/>
          <w:szCs w:val="21"/>
          <w:highlight w:val="none"/>
        </w:rPr>
        <w:t>3.3.1响应报价应按采购文件中相关附表格式填写。</w:t>
      </w:r>
    </w:p>
    <w:p w14:paraId="1B1B86AC">
      <w:pPr>
        <w:spacing w:before="120" w:line="320" w:lineRule="atLeast"/>
        <w:ind w:firstLine="420" w:firstLineChars="200"/>
        <w:rPr>
          <w:color w:val="auto"/>
          <w:szCs w:val="21"/>
          <w:highlight w:val="none"/>
        </w:rPr>
      </w:pPr>
      <w:r>
        <w:rPr>
          <w:color w:val="auto"/>
          <w:szCs w:val="21"/>
          <w:highlight w:val="none"/>
        </w:rPr>
        <w:t>3.3.2响应文件只允许有一个报价，有选择的或有条件的报价将不予接受。</w:t>
      </w:r>
    </w:p>
    <w:p w14:paraId="004B3C95">
      <w:pPr>
        <w:suppressAutoHyphens/>
        <w:spacing w:before="120" w:line="320" w:lineRule="atLeast"/>
        <w:ind w:firstLine="420" w:firstLineChars="200"/>
        <w:rPr>
          <w:color w:val="auto"/>
          <w:kern w:val="1"/>
          <w:szCs w:val="21"/>
          <w:highlight w:val="none"/>
        </w:rPr>
      </w:pPr>
      <w:r>
        <w:rPr>
          <w:color w:val="auto"/>
          <w:kern w:val="1"/>
          <w:szCs w:val="21"/>
          <w:highlight w:val="none"/>
        </w:rPr>
        <w:t>3.3.3对于本文件中未列明，而供应商认为必需的费用也需列入</w:t>
      </w:r>
      <w:r>
        <w:rPr>
          <w:rFonts w:hint="eastAsia"/>
          <w:color w:val="auto"/>
          <w:kern w:val="1"/>
          <w:szCs w:val="21"/>
          <w:highlight w:val="none"/>
        </w:rPr>
        <w:t>响应报价</w:t>
      </w:r>
      <w:r>
        <w:rPr>
          <w:color w:val="auto"/>
          <w:kern w:val="1"/>
          <w:szCs w:val="21"/>
          <w:highlight w:val="none"/>
        </w:rPr>
        <w:t>。在合同实施时，采购人将不予支付成交供应商没有列入的项目费用，并认为此项目的费用已包括在</w:t>
      </w:r>
      <w:r>
        <w:rPr>
          <w:rFonts w:hint="eastAsia"/>
          <w:color w:val="auto"/>
          <w:kern w:val="1"/>
          <w:szCs w:val="21"/>
          <w:highlight w:val="none"/>
        </w:rPr>
        <w:t>响应报价</w:t>
      </w:r>
      <w:r>
        <w:rPr>
          <w:color w:val="auto"/>
          <w:kern w:val="1"/>
          <w:szCs w:val="21"/>
          <w:highlight w:val="none"/>
        </w:rPr>
        <w:t>中。</w:t>
      </w:r>
    </w:p>
    <w:p w14:paraId="64725D11">
      <w:pPr>
        <w:suppressAutoHyphens/>
        <w:spacing w:before="120" w:line="320" w:lineRule="atLeast"/>
        <w:ind w:firstLine="420" w:firstLineChars="200"/>
        <w:rPr>
          <w:b/>
          <w:bCs/>
          <w:color w:val="auto"/>
          <w:kern w:val="1"/>
          <w:szCs w:val="21"/>
          <w:highlight w:val="none"/>
        </w:rPr>
      </w:pPr>
      <w:r>
        <w:rPr>
          <w:rFonts w:hint="eastAsia"/>
          <w:color w:val="auto"/>
          <w:kern w:val="1"/>
          <w:szCs w:val="21"/>
          <w:highlight w:val="none"/>
        </w:rPr>
        <w:t>3</w:t>
      </w:r>
      <w:r>
        <w:rPr>
          <w:color w:val="auto"/>
          <w:kern w:val="1"/>
          <w:szCs w:val="21"/>
          <w:highlight w:val="none"/>
        </w:rPr>
        <w:t>.3.4</w:t>
      </w:r>
      <w:r>
        <w:rPr>
          <w:rFonts w:hint="eastAsia"/>
          <w:color w:val="auto"/>
          <w:kern w:val="1"/>
          <w:szCs w:val="21"/>
          <w:highlight w:val="none"/>
        </w:rPr>
        <w:t>采购人不接受供应商给予的赠品、回扣或者与采购无关的其他商品、服务。</w:t>
      </w:r>
    </w:p>
    <w:p w14:paraId="2D92EAAD">
      <w:pPr>
        <w:spacing w:before="120" w:line="320" w:lineRule="atLeast"/>
        <w:ind w:firstLine="422" w:firstLineChars="200"/>
        <w:outlineLvl w:val="2"/>
        <w:rPr>
          <w:b/>
          <w:bCs/>
          <w:color w:val="auto"/>
          <w:kern w:val="0"/>
          <w:szCs w:val="21"/>
          <w:highlight w:val="none"/>
        </w:rPr>
      </w:pPr>
      <w:r>
        <w:rPr>
          <w:b/>
          <w:bCs/>
          <w:color w:val="auto"/>
          <w:kern w:val="0"/>
          <w:szCs w:val="21"/>
          <w:highlight w:val="none"/>
        </w:rPr>
        <w:t>3.4响应有效期</w:t>
      </w:r>
    </w:p>
    <w:p w14:paraId="0A7EDDB9">
      <w:pPr>
        <w:spacing w:before="120" w:line="320" w:lineRule="atLeast"/>
        <w:ind w:firstLine="420" w:firstLineChars="200"/>
        <w:rPr>
          <w:color w:val="auto"/>
          <w:szCs w:val="21"/>
          <w:highlight w:val="none"/>
        </w:rPr>
      </w:pPr>
      <w:r>
        <w:rPr>
          <w:color w:val="auto"/>
          <w:szCs w:val="21"/>
          <w:highlight w:val="none"/>
        </w:rPr>
        <w:t>3.4.1如采购文件其他地方无特别规定</w:t>
      </w:r>
      <w:r>
        <w:rPr>
          <w:rFonts w:hint="eastAsia"/>
          <w:color w:val="auto"/>
          <w:szCs w:val="21"/>
          <w:highlight w:val="none"/>
        </w:rPr>
        <w:t>，</w:t>
      </w:r>
      <w:r>
        <w:rPr>
          <w:color w:val="auto"/>
          <w:szCs w:val="21"/>
          <w:highlight w:val="none"/>
        </w:rPr>
        <w:t>响应有效期则为响应截止之日起90天</w:t>
      </w:r>
      <w:r>
        <w:rPr>
          <w:rFonts w:hint="eastAsia"/>
          <w:color w:val="auto"/>
          <w:szCs w:val="21"/>
          <w:highlight w:val="none"/>
        </w:rPr>
        <w:t>。</w:t>
      </w:r>
      <w:r>
        <w:rPr>
          <w:color w:val="auto"/>
          <w:szCs w:val="21"/>
          <w:highlight w:val="none"/>
        </w:rPr>
        <w:t>在响应有效期内响应文件应保持有效。</w:t>
      </w:r>
      <w:r>
        <w:rPr>
          <w:b/>
          <w:bCs/>
          <w:color w:val="auto"/>
          <w:szCs w:val="21"/>
          <w:highlight w:val="none"/>
        </w:rPr>
        <w:t>有效期不足的响应文件将被否决</w:t>
      </w:r>
      <w:r>
        <w:rPr>
          <w:color w:val="auto"/>
          <w:szCs w:val="21"/>
          <w:highlight w:val="none"/>
        </w:rPr>
        <w:t>。</w:t>
      </w:r>
    </w:p>
    <w:p w14:paraId="194AF0B2">
      <w:pPr>
        <w:spacing w:before="120" w:line="320" w:lineRule="atLeast"/>
        <w:ind w:firstLine="420" w:firstLineChars="200"/>
        <w:rPr>
          <w:color w:val="auto"/>
          <w:szCs w:val="21"/>
          <w:highlight w:val="none"/>
        </w:rPr>
      </w:pPr>
      <w:r>
        <w:rPr>
          <w:color w:val="auto"/>
          <w:szCs w:val="21"/>
          <w:highlight w:val="none"/>
        </w:rPr>
        <w:t>3.4.2在特殊情况下，采购人可与供应商协商延长响应文件的有效期，这种要求和答复均以书面形式进行。</w:t>
      </w:r>
    </w:p>
    <w:p w14:paraId="408CFA20">
      <w:pPr>
        <w:spacing w:before="120" w:line="320" w:lineRule="atLeast"/>
        <w:ind w:firstLine="420" w:firstLineChars="200"/>
        <w:rPr>
          <w:color w:val="auto"/>
          <w:szCs w:val="21"/>
          <w:highlight w:val="none"/>
        </w:rPr>
      </w:pPr>
      <w:r>
        <w:rPr>
          <w:color w:val="auto"/>
          <w:szCs w:val="21"/>
          <w:highlight w:val="none"/>
        </w:rPr>
        <w:t>3.4.3</w:t>
      </w:r>
      <w:r>
        <w:rPr>
          <w:rFonts w:hint="eastAsia"/>
          <w:color w:val="auto"/>
          <w:szCs w:val="21"/>
          <w:highlight w:val="none"/>
        </w:rPr>
        <w:t>供应商同意延长的响应有效期的，如本项目要求提交保证金则应相应延长其谈判保证金的有效期，但不得要求或被允许修改或撤销其响应文件；供应商拒绝延长的，其响应无效，但供应商有权收回其谈判保证金。</w:t>
      </w:r>
    </w:p>
    <w:p w14:paraId="59F44359">
      <w:pPr>
        <w:spacing w:before="120" w:line="320" w:lineRule="atLeast"/>
        <w:ind w:firstLine="422" w:firstLineChars="200"/>
        <w:outlineLvl w:val="2"/>
        <w:rPr>
          <w:b/>
          <w:bCs/>
          <w:color w:val="auto"/>
          <w:kern w:val="0"/>
          <w:szCs w:val="21"/>
          <w:highlight w:val="none"/>
        </w:rPr>
      </w:pPr>
      <w:bookmarkStart w:id="50" w:name="_Toc254970541"/>
      <w:bookmarkStart w:id="51" w:name="_Toc254970682"/>
      <w:r>
        <w:rPr>
          <w:b/>
          <w:bCs/>
          <w:color w:val="auto"/>
          <w:kern w:val="0"/>
          <w:szCs w:val="21"/>
          <w:highlight w:val="none"/>
        </w:rPr>
        <w:t>3.5谈判保证金</w:t>
      </w:r>
      <w:bookmarkEnd w:id="50"/>
      <w:bookmarkEnd w:id="51"/>
    </w:p>
    <w:p w14:paraId="3DC6A773">
      <w:pPr>
        <w:spacing w:before="120" w:line="320" w:lineRule="atLeast"/>
        <w:ind w:firstLine="420" w:firstLineChars="200"/>
        <w:rPr>
          <w:color w:val="auto"/>
          <w:szCs w:val="21"/>
          <w:highlight w:val="none"/>
        </w:rPr>
      </w:pPr>
      <w:r>
        <w:rPr>
          <w:color w:val="auto"/>
          <w:szCs w:val="21"/>
          <w:highlight w:val="none"/>
        </w:rPr>
        <w:t>3.5.1供应商须按须知前附表规定提交谈判保证金，</w:t>
      </w:r>
      <w:r>
        <w:rPr>
          <w:b/>
          <w:bCs/>
          <w:color w:val="auto"/>
          <w:szCs w:val="21"/>
          <w:highlight w:val="none"/>
        </w:rPr>
        <w:t>否则其响应将被否决</w:t>
      </w:r>
      <w:r>
        <w:rPr>
          <w:color w:val="auto"/>
          <w:szCs w:val="21"/>
          <w:highlight w:val="none"/>
        </w:rPr>
        <w:t>。除采购文件规定不予退还保证金的情形外，代理机构在规定时间内退回供应商的谈判保证金（供应商自行承担因未按供应商须知前附表要求交纳导致谈判保证金无法及时退还的责任）。</w:t>
      </w:r>
    </w:p>
    <w:p w14:paraId="23D37FE3">
      <w:pPr>
        <w:spacing w:before="120" w:line="320" w:lineRule="atLeast"/>
        <w:ind w:firstLine="420" w:firstLineChars="200"/>
        <w:rPr>
          <w:color w:val="auto"/>
          <w:szCs w:val="21"/>
          <w:highlight w:val="none"/>
        </w:rPr>
      </w:pPr>
      <w:r>
        <w:rPr>
          <w:color w:val="auto"/>
          <w:szCs w:val="21"/>
          <w:highlight w:val="none"/>
        </w:rPr>
        <w:t>3.5.2谈判保证金币种应与响应报价币种相同。</w:t>
      </w:r>
    </w:p>
    <w:p w14:paraId="07CD9B40">
      <w:pPr>
        <w:spacing w:before="120" w:line="320" w:lineRule="atLeast"/>
        <w:ind w:firstLine="420" w:firstLineChars="200"/>
        <w:rPr>
          <w:color w:val="auto"/>
          <w:szCs w:val="21"/>
          <w:highlight w:val="none"/>
        </w:rPr>
      </w:pPr>
      <w:r>
        <w:rPr>
          <w:color w:val="auto"/>
          <w:szCs w:val="21"/>
          <w:highlight w:val="none"/>
        </w:rPr>
        <w:t>3.5.3未成交供应商的谈判保证金在成交通知书发出后5个工作日内退还。成交供应商的谈判保证金在合同签订后5个工作日内退还（办理退还手续时需要向采购代理机构提供两份合同复印件）。</w:t>
      </w:r>
    </w:p>
    <w:p w14:paraId="475F5752">
      <w:pPr>
        <w:spacing w:before="120" w:line="320" w:lineRule="atLeast"/>
        <w:ind w:firstLine="420" w:firstLineChars="200"/>
        <w:rPr>
          <w:color w:val="auto"/>
          <w:szCs w:val="21"/>
          <w:highlight w:val="none"/>
        </w:rPr>
      </w:pPr>
      <w:r>
        <w:rPr>
          <w:color w:val="auto"/>
          <w:szCs w:val="21"/>
          <w:highlight w:val="none"/>
        </w:rPr>
        <w:t>3.5.4供应商有下列情形之一的，谈判保证金将不予退还：</w:t>
      </w:r>
    </w:p>
    <w:p w14:paraId="6D2368F8">
      <w:pPr>
        <w:numPr>
          <w:ilvl w:val="0"/>
          <w:numId w:val="1"/>
        </w:numPr>
        <w:spacing w:before="120" w:line="320" w:lineRule="atLeast"/>
        <w:rPr>
          <w:color w:val="auto"/>
          <w:szCs w:val="21"/>
          <w:highlight w:val="none"/>
        </w:rPr>
      </w:pPr>
      <w:r>
        <w:rPr>
          <w:color w:val="auto"/>
          <w:szCs w:val="21"/>
          <w:highlight w:val="none"/>
        </w:rPr>
        <w:t>供应商在响应有效期内撤销响应文件的；</w:t>
      </w:r>
    </w:p>
    <w:p w14:paraId="772724A6">
      <w:pPr>
        <w:numPr>
          <w:ilvl w:val="0"/>
          <w:numId w:val="1"/>
        </w:numPr>
        <w:spacing w:before="120" w:line="320" w:lineRule="atLeast"/>
        <w:rPr>
          <w:color w:val="auto"/>
          <w:szCs w:val="21"/>
          <w:highlight w:val="none"/>
        </w:rPr>
      </w:pPr>
      <w:r>
        <w:rPr>
          <w:rFonts w:hint="eastAsia"/>
          <w:color w:val="auto"/>
          <w:szCs w:val="21"/>
          <w:highlight w:val="none"/>
        </w:rPr>
        <w:t>供应商在提交响应文件截止时间后撤回响应文件的，但采取竞争性谈判方式采购且在提交最后报价之前退出谈判的情况除外；</w:t>
      </w:r>
    </w:p>
    <w:p w14:paraId="262638F9">
      <w:pPr>
        <w:numPr>
          <w:ilvl w:val="0"/>
          <w:numId w:val="1"/>
        </w:numPr>
        <w:spacing w:before="120" w:line="320" w:lineRule="atLeast"/>
        <w:rPr>
          <w:color w:val="auto"/>
          <w:szCs w:val="21"/>
          <w:highlight w:val="none"/>
        </w:rPr>
      </w:pPr>
      <w:r>
        <w:rPr>
          <w:color w:val="auto"/>
          <w:szCs w:val="21"/>
          <w:highlight w:val="none"/>
        </w:rPr>
        <w:t>供应商在响应过程中弄虚作假，提供虚假材料的；</w:t>
      </w:r>
    </w:p>
    <w:p w14:paraId="37BC4F1F">
      <w:pPr>
        <w:numPr>
          <w:ilvl w:val="0"/>
          <w:numId w:val="1"/>
        </w:numPr>
        <w:spacing w:before="120" w:line="320" w:lineRule="atLeast"/>
        <w:rPr>
          <w:color w:val="auto"/>
          <w:szCs w:val="21"/>
          <w:highlight w:val="none"/>
        </w:rPr>
      </w:pPr>
      <w:r>
        <w:rPr>
          <w:color w:val="auto"/>
          <w:szCs w:val="21"/>
          <w:highlight w:val="none"/>
        </w:rPr>
        <w:t>成交供应商无正当理由不与采购人签订合同的；</w:t>
      </w:r>
    </w:p>
    <w:p w14:paraId="54D2D63A">
      <w:pPr>
        <w:numPr>
          <w:ilvl w:val="0"/>
          <w:numId w:val="1"/>
        </w:numPr>
        <w:spacing w:before="120" w:line="320" w:lineRule="atLeast"/>
        <w:rPr>
          <w:color w:val="auto"/>
          <w:szCs w:val="21"/>
          <w:highlight w:val="none"/>
        </w:rPr>
      </w:pPr>
      <w:r>
        <w:rPr>
          <w:color w:val="auto"/>
          <w:szCs w:val="21"/>
          <w:highlight w:val="none"/>
        </w:rPr>
        <w:t>将成交项目转让给他人或者在响应文件中未说明且未经采购人同意，将成交项目分包给他人的；</w:t>
      </w:r>
    </w:p>
    <w:p w14:paraId="5A2E7292">
      <w:pPr>
        <w:numPr>
          <w:ilvl w:val="0"/>
          <w:numId w:val="1"/>
        </w:numPr>
        <w:spacing w:before="120" w:line="320" w:lineRule="atLeast"/>
        <w:rPr>
          <w:color w:val="auto"/>
          <w:szCs w:val="21"/>
          <w:highlight w:val="none"/>
        </w:rPr>
      </w:pPr>
      <w:r>
        <w:rPr>
          <w:rFonts w:hint="eastAsia"/>
          <w:color w:val="auto"/>
          <w:szCs w:val="21"/>
          <w:highlight w:val="none"/>
        </w:rPr>
        <w:t>供应商与采购人、其他供应商或者采购代理机构恶意串通的；</w:t>
      </w:r>
    </w:p>
    <w:p w14:paraId="4B1CC9D6">
      <w:pPr>
        <w:numPr>
          <w:ilvl w:val="0"/>
          <w:numId w:val="1"/>
        </w:numPr>
        <w:spacing w:before="120" w:line="320" w:lineRule="atLeast"/>
        <w:rPr>
          <w:color w:val="auto"/>
          <w:szCs w:val="21"/>
          <w:highlight w:val="none"/>
        </w:rPr>
      </w:pPr>
      <w:r>
        <w:rPr>
          <w:color w:val="auto"/>
          <w:szCs w:val="21"/>
          <w:highlight w:val="none"/>
        </w:rPr>
        <w:t>拒绝履行合同义务的；</w:t>
      </w:r>
    </w:p>
    <w:p w14:paraId="6D47CDB4">
      <w:pPr>
        <w:numPr>
          <w:ilvl w:val="0"/>
          <w:numId w:val="1"/>
        </w:numPr>
        <w:spacing w:before="120" w:line="320" w:lineRule="atLeast"/>
        <w:rPr>
          <w:color w:val="auto"/>
          <w:szCs w:val="21"/>
          <w:highlight w:val="none"/>
        </w:rPr>
      </w:pPr>
      <w:r>
        <w:rPr>
          <w:color w:val="auto"/>
          <w:szCs w:val="21"/>
          <w:highlight w:val="none"/>
        </w:rPr>
        <w:t>其他严重扰乱招</w:t>
      </w:r>
      <w:r>
        <w:rPr>
          <w:rFonts w:hint="eastAsia"/>
          <w:color w:val="auto"/>
          <w:szCs w:val="21"/>
          <w:highlight w:val="none"/>
        </w:rPr>
        <w:t>投标</w:t>
      </w:r>
      <w:r>
        <w:rPr>
          <w:color w:val="auto"/>
          <w:szCs w:val="21"/>
          <w:highlight w:val="none"/>
        </w:rPr>
        <w:t>程序的</w:t>
      </w:r>
      <w:r>
        <w:rPr>
          <w:rFonts w:hint="eastAsia"/>
          <w:color w:val="auto"/>
          <w:szCs w:val="21"/>
          <w:highlight w:val="none"/>
        </w:rPr>
        <w:t>。</w:t>
      </w:r>
    </w:p>
    <w:p w14:paraId="3C56F5CC">
      <w:pPr>
        <w:spacing w:before="120" w:line="320" w:lineRule="atLeast"/>
        <w:ind w:firstLine="422" w:firstLineChars="200"/>
        <w:outlineLvl w:val="2"/>
        <w:rPr>
          <w:b/>
          <w:bCs/>
          <w:color w:val="auto"/>
          <w:kern w:val="0"/>
          <w:szCs w:val="21"/>
          <w:highlight w:val="none"/>
        </w:rPr>
      </w:pPr>
      <w:bookmarkStart w:id="52" w:name="_Toc254970683"/>
      <w:bookmarkStart w:id="53" w:name="_Toc254970542"/>
      <w:r>
        <w:rPr>
          <w:b/>
          <w:bCs/>
          <w:color w:val="auto"/>
          <w:kern w:val="0"/>
          <w:szCs w:val="21"/>
          <w:highlight w:val="none"/>
        </w:rPr>
        <w:t>3.6响应文件的</w:t>
      </w:r>
      <w:bookmarkEnd w:id="52"/>
      <w:bookmarkEnd w:id="53"/>
      <w:r>
        <w:rPr>
          <w:b/>
          <w:bCs/>
          <w:color w:val="auto"/>
          <w:kern w:val="0"/>
          <w:szCs w:val="21"/>
          <w:highlight w:val="none"/>
        </w:rPr>
        <w:t>编制要求</w:t>
      </w:r>
    </w:p>
    <w:p w14:paraId="43233443">
      <w:pPr>
        <w:spacing w:before="120" w:line="320" w:lineRule="atLeast"/>
        <w:ind w:firstLine="420" w:firstLineChars="200"/>
        <w:rPr>
          <w:b/>
          <w:bCs/>
          <w:color w:val="auto"/>
          <w:kern w:val="0"/>
          <w:szCs w:val="21"/>
          <w:highlight w:val="none"/>
        </w:rPr>
      </w:pPr>
      <w:r>
        <w:rPr>
          <w:rFonts w:hint="eastAsia"/>
          <w:color w:val="auto"/>
          <w:kern w:val="0"/>
          <w:szCs w:val="21"/>
          <w:highlight w:val="none"/>
        </w:rPr>
        <w:t>3</w:t>
      </w:r>
      <w:r>
        <w:rPr>
          <w:color w:val="auto"/>
          <w:kern w:val="0"/>
          <w:szCs w:val="21"/>
          <w:highlight w:val="none"/>
        </w:rPr>
        <w:t>.6.1</w:t>
      </w:r>
      <w:r>
        <w:rPr>
          <w:rFonts w:hint="eastAsia"/>
          <w:color w:val="auto"/>
          <w:szCs w:val="21"/>
          <w:highlight w:val="none"/>
        </w:rPr>
        <w:t>供应商应先安装广西政府采购云平台新版客户端，通过账号密码或C</w:t>
      </w:r>
      <w:r>
        <w:rPr>
          <w:color w:val="auto"/>
          <w:szCs w:val="21"/>
          <w:highlight w:val="none"/>
        </w:rPr>
        <w:t>A</w:t>
      </w:r>
      <w:r>
        <w:rPr>
          <w:rFonts w:hint="eastAsia"/>
          <w:color w:val="auto"/>
          <w:szCs w:val="21"/>
          <w:highlight w:val="none"/>
        </w:rPr>
        <w:t>登录客户端制作响应文件。</w:t>
      </w:r>
    </w:p>
    <w:p w14:paraId="3F640438">
      <w:pPr>
        <w:spacing w:before="120" w:line="320" w:lineRule="atLeast"/>
        <w:ind w:firstLine="420" w:firstLineChars="200"/>
        <w:rPr>
          <w:color w:val="auto"/>
          <w:szCs w:val="21"/>
          <w:highlight w:val="none"/>
        </w:rPr>
      </w:pPr>
      <w:r>
        <w:rPr>
          <w:rFonts w:hint="eastAsia"/>
          <w:color w:val="auto"/>
          <w:szCs w:val="21"/>
          <w:highlight w:val="none"/>
        </w:rPr>
        <w:t>3.6.2供应商应按本采购文件规定的格式和顺序编制响应文件并进行关联定位，以便谈判小组在评审时，点击评分项可直接定位到该评分项内容。如对采购文件的某项要求，供应商的响应文件未能关联定位提供相应的内容与其对应，则谈判小组在评审时如做出对供应商不利的评审由供应商自行承担。响应文件如内容不完整、编排混乱导致响应文件被误读、漏读，或者在按采购文件规定的部位查找不到相关内容的，由供应商自行承担。</w:t>
      </w:r>
    </w:p>
    <w:p w14:paraId="6874E480">
      <w:pPr>
        <w:spacing w:before="120" w:line="320" w:lineRule="atLeast"/>
        <w:ind w:firstLine="420" w:firstLineChars="200"/>
        <w:rPr>
          <w:color w:val="auto"/>
          <w:szCs w:val="21"/>
          <w:highlight w:val="none"/>
        </w:rPr>
      </w:pPr>
      <w:r>
        <w:rPr>
          <w:rFonts w:hint="eastAsia"/>
          <w:color w:val="auto"/>
          <w:szCs w:val="21"/>
          <w:highlight w:val="none"/>
        </w:rPr>
        <w:t>3.6.3 供应商的响应文件未按照采购文件要求签署、盖章的，其响应无效。</w:t>
      </w:r>
    </w:p>
    <w:p w14:paraId="0C9DF17B">
      <w:pPr>
        <w:spacing w:before="120" w:line="320" w:lineRule="atLeast"/>
        <w:ind w:firstLine="420" w:firstLineChars="200"/>
        <w:rPr>
          <w:color w:val="auto"/>
          <w:szCs w:val="21"/>
          <w:highlight w:val="none"/>
        </w:rPr>
      </w:pPr>
      <w:r>
        <w:rPr>
          <w:color w:val="auto"/>
          <w:szCs w:val="21"/>
          <w:highlight w:val="none"/>
        </w:rPr>
        <w:t>3.6.4</w:t>
      </w:r>
      <w:r>
        <w:rPr>
          <w:rFonts w:hint="eastAsia"/>
          <w:color w:val="auto"/>
          <w:szCs w:val="21"/>
          <w:highlight w:val="none"/>
        </w:rPr>
        <w:t>为确保网上操作合法、有效和安全，供应商应当在响应截止时间前完成在广西政府采购云平台的身份认证，确保在电子投标过程中能够对相关数据电文进行加密和使用电子签名。</w:t>
      </w:r>
    </w:p>
    <w:p w14:paraId="3B5A1DA7">
      <w:pP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.6.5</w:t>
      </w:r>
      <w:r>
        <w:rPr>
          <w:rFonts w:hint="eastAsia"/>
          <w:color w:val="auto"/>
          <w:szCs w:val="21"/>
          <w:highlight w:val="none"/>
        </w:rPr>
        <w:t>响应文件中标注的供应商名称应与主体资格证明（如营业执照、事业单位法人证书、执业许可证、个体工商户营业执照、自然人身份证等）和公章/电子签章一致，</w:t>
      </w:r>
      <w:r>
        <w:rPr>
          <w:rFonts w:hint="eastAsia"/>
          <w:b/>
          <w:bCs/>
          <w:color w:val="auto"/>
          <w:szCs w:val="21"/>
          <w:highlight w:val="none"/>
        </w:rPr>
        <w:t>否则作无效响应处理。</w:t>
      </w:r>
    </w:p>
    <w:p w14:paraId="0B05516A">
      <w:pPr>
        <w:spacing w:before="120" w:line="320" w:lineRule="atLeast"/>
        <w:ind w:firstLine="422" w:firstLineChars="200"/>
        <w:outlineLvl w:val="2"/>
        <w:rPr>
          <w:b/>
          <w:bCs/>
          <w:color w:val="auto"/>
          <w:kern w:val="0"/>
          <w:szCs w:val="21"/>
          <w:highlight w:val="none"/>
        </w:rPr>
      </w:pPr>
      <w:r>
        <w:rPr>
          <w:b/>
          <w:bCs/>
          <w:color w:val="auto"/>
          <w:kern w:val="0"/>
          <w:szCs w:val="21"/>
          <w:highlight w:val="none"/>
        </w:rPr>
        <w:t>3.7响应文件的递交、修改和撤回</w:t>
      </w:r>
    </w:p>
    <w:p w14:paraId="494E7E1F">
      <w:pPr>
        <w:spacing w:before="120" w:line="320" w:lineRule="atLeast"/>
        <w:ind w:firstLine="420" w:firstLineChars="200"/>
        <w:rPr>
          <w:color w:val="auto"/>
          <w:szCs w:val="21"/>
          <w:highlight w:val="none"/>
        </w:rPr>
      </w:pPr>
      <w:r>
        <w:rPr>
          <w:color w:val="auto"/>
          <w:szCs w:val="21"/>
          <w:highlight w:val="none"/>
        </w:rPr>
        <w:t>3.7.1</w:t>
      </w:r>
      <w:r>
        <w:rPr>
          <w:rFonts w:hint="eastAsia"/>
          <w:color w:val="auto"/>
          <w:szCs w:val="21"/>
          <w:highlight w:val="none"/>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42A288D9">
      <w:pP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.7.2</w:t>
      </w:r>
      <w:r>
        <w:rPr>
          <w:rFonts w:hint="eastAsia"/>
          <w:color w:val="auto"/>
          <w:szCs w:val="21"/>
          <w:highlight w:val="none"/>
        </w:rPr>
        <w:t xml:space="preserve">未在规定时间内提交或者未按照采购文件要求签章、加密的电子响应文件，广西政府采购云平台将拒收。 </w:t>
      </w:r>
    </w:p>
    <w:p w14:paraId="02227BDF">
      <w:pPr>
        <w:spacing w:before="120" w:line="320" w:lineRule="atLeast"/>
        <w:ind w:left="2" w:leftChars="1" w:firstLine="420" w:firstLineChars="200"/>
        <w:rPr>
          <w:color w:val="auto"/>
          <w:szCs w:val="21"/>
          <w:highlight w:val="none"/>
        </w:rPr>
      </w:pPr>
      <w:bookmarkStart w:id="54" w:name="_Toc254970544"/>
      <w:bookmarkStart w:id="55" w:name="_Toc254970685"/>
      <w:r>
        <w:rPr>
          <w:rFonts w:hint="eastAsia"/>
          <w:color w:val="auto"/>
          <w:szCs w:val="21"/>
          <w:highlight w:val="none"/>
        </w:rPr>
        <w:t>3</w:t>
      </w:r>
      <w:r>
        <w:rPr>
          <w:color w:val="auto"/>
          <w:szCs w:val="21"/>
          <w:highlight w:val="none"/>
        </w:rPr>
        <w:t>.7.3</w:t>
      </w:r>
      <w:r>
        <w:rPr>
          <w:rFonts w:hint="eastAsia"/>
          <w:color w:val="auto"/>
          <w:szCs w:val="21"/>
          <w:highlight w:val="none"/>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4AF4B180">
      <w:pPr>
        <w:spacing w:before="120" w:line="320" w:lineRule="atLeast"/>
        <w:ind w:left="2" w:leftChars="1" w:firstLine="420" w:firstLineChars="200"/>
        <w:rPr>
          <w:color w:val="auto"/>
          <w:szCs w:val="21"/>
          <w:highlight w:val="none"/>
        </w:rPr>
      </w:pPr>
      <w:r>
        <w:rPr>
          <w:color w:val="auto"/>
          <w:szCs w:val="21"/>
          <w:highlight w:val="none"/>
        </w:rPr>
        <w:t>3.7.4</w:t>
      </w:r>
      <w:r>
        <w:rPr>
          <w:rFonts w:hint="eastAsia"/>
          <w:color w:val="auto"/>
          <w:szCs w:val="21"/>
          <w:highlight w:val="none"/>
        </w:rPr>
        <w:t>在响应截止时间前，除供应商补充、修改或者撤回响应文件外，任何单位和个人不得解密或提取响应文件。</w:t>
      </w:r>
    </w:p>
    <w:p w14:paraId="450782EA">
      <w:pPr>
        <w:spacing w:before="120" w:line="320" w:lineRule="atLeast"/>
        <w:ind w:left="2" w:leftChars="1" w:firstLine="420" w:firstLineChars="200"/>
        <w:rPr>
          <w:color w:val="auto"/>
          <w:szCs w:val="21"/>
          <w:highlight w:val="none"/>
        </w:rPr>
      </w:pPr>
      <w:r>
        <w:rPr>
          <w:color w:val="auto"/>
          <w:szCs w:val="21"/>
          <w:highlight w:val="none"/>
        </w:rPr>
        <w:t>3.7.5</w:t>
      </w:r>
      <w:r>
        <w:rPr>
          <w:rFonts w:hint="eastAsia"/>
          <w:color w:val="auto"/>
          <w:szCs w:val="21"/>
          <w:highlight w:val="none"/>
        </w:rPr>
        <w:t>在响应截止时间止提交电子版响应文件的供应商不足3家时，电子版响应文件由代理机构在广西政府采购云平台操作退回，除此之外采购人和采购代理机构对已提交的响应文件概不退回。</w:t>
      </w:r>
    </w:p>
    <w:p w14:paraId="19938A4C">
      <w:pPr>
        <w:spacing w:before="120" w:line="320" w:lineRule="atLeast"/>
        <w:ind w:left="2" w:leftChars="1" w:firstLine="420" w:firstLineChars="200"/>
        <w:rPr>
          <w:color w:val="auto"/>
          <w:szCs w:val="21"/>
          <w:highlight w:val="none"/>
        </w:rPr>
      </w:pPr>
      <w:bookmarkStart w:id="56" w:name="_Hlk93046827"/>
      <w:r>
        <w:rPr>
          <w:rFonts w:hint="eastAsia"/>
          <w:color w:val="auto"/>
          <w:szCs w:val="21"/>
          <w:highlight w:val="none"/>
        </w:rPr>
        <w:t>3</w:t>
      </w:r>
      <w:r>
        <w:rPr>
          <w:color w:val="auto"/>
          <w:szCs w:val="21"/>
          <w:highlight w:val="none"/>
        </w:rPr>
        <w:t>.7.6</w:t>
      </w:r>
      <w:r>
        <w:rPr>
          <w:rFonts w:hint="eastAsia"/>
          <w:color w:val="auto"/>
          <w:szCs w:val="21"/>
          <w:highlight w:val="none"/>
        </w:rPr>
        <w:t>采购文件未允许同一供应商提交两个或以上不同的响应文件，但存在</w:t>
      </w:r>
      <w:r>
        <w:rPr>
          <w:rFonts w:hint="eastAsia"/>
          <w:color w:val="auto"/>
          <w:highlight w:val="none"/>
        </w:rPr>
        <w:t>同</w:t>
      </w:r>
      <w:r>
        <w:rPr>
          <w:rFonts w:hint="eastAsia"/>
          <w:color w:val="auto"/>
          <w:szCs w:val="21"/>
          <w:highlight w:val="none"/>
        </w:rPr>
        <w:t>一供应商提交两个或以上不同的响应文件的，</w:t>
      </w:r>
      <w:r>
        <w:rPr>
          <w:rFonts w:hint="eastAsia"/>
          <w:b/>
          <w:bCs/>
          <w:color w:val="auto"/>
          <w:szCs w:val="21"/>
          <w:highlight w:val="none"/>
        </w:rPr>
        <w:t>其响应无效。</w:t>
      </w:r>
      <w:r>
        <w:rPr>
          <w:rFonts w:hint="eastAsia"/>
          <w:color w:val="auto"/>
          <w:szCs w:val="21"/>
          <w:highlight w:val="none"/>
        </w:rPr>
        <w:t>供应商在同一响应文件中对某项技术、商务要求提供有选择性的响应参数或方案等同于提交两个或以上不同的响应文件。</w:t>
      </w:r>
      <w:bookmarkEnd w:id="56"/>
    </w:p>
    <w:p w14:paraId="2215739D">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4．截标</w:t>
      </w:r>
      <w:bookmarkEnd w:id="54"/>
      <w:bookmarkEnd w:id="55"/>
    </w:p>
    <w:p w14:paraId="44362F23">
      <w:pPr>
        <w:spacing w:before="120" w:line="320" w:lineRule="atLeast"/>
        <w:ind w:firstLine="422" w:firstLineChars="200"/>
        <w:outlineLvl w:val="2"/>
        <w:rPr>
          <w:b/>
          <w:bCs/>
          <w:color w:val="auto"/>
          <w:kern w:val="0"/>
          <w:szCs w:val="21"/>
          <w:highlight w:val="none"/>
        </w:rPr>
      </w:pPr>
      <w:r>
        <w:rPr>
          <w:b/>
          <w:bCs/>
          <w:color w:val="auto"/>
          <w:kern w:val="0"/>
          <w:szCs w:val="21"/>
          <w:highlight w:val="none"/>
        </w:rPr>
        <w:t>4.1截标准备</w:t>
      </w:r>
    </w:p>
    <w:p w14:paraId="3F6017CF">
      <w:pPr>
        <w:spacing w:before="120" w:line="276" w:lineRule="auto"/>
        <w:ind w:firstLine="420" w:firstLineChars="200"/>
        <w:rPr>
          <w:color w:val="auto"/>
          <w:szCs w:val="21"/>
          <w:highlight w:val="none"/>
        </w:rPr>
      </w:pPr>
      <w:r>
        <w:rPr>
          <w:color w:val="auto"/>
          <w:szCs w:val="21"/>
          <w:highlight w:val="none"/>
        </w:rPr>
        <w:t>本项目响应截止时间及地点见“供应商须知前附表”规定。</w:t>
      </w:r>
    </w:p>
    <w:p w14:paraId="47D10CAC">
      <w:pPr>
        <w:autoSpaceDE w:val="0"/>
        <w:autoSpaceDN w:val="0"/>
        <w:adjustRightInd w:val="0"/>
        <w:spacing w:line="276" w:lineRule="auto"/>
        <w:ind w:firstLine="420" w:firstLineChars="200"/>
        <w:rPr>
          <w:color w:val="auto"/>
          <w:szCs w:val="21"/>
          <w:highlight w:val="none"/>
        </w:rPr>
      </w:pPr>
      <w:r>
        <w:rPr>
          <w:rFonts w:hint="eastAsia"/>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w:t>
      </w:r>
      <w:r>
        <w:rPr>
          <w:color w:val="auto"/>
          <w:szCs w:val="21"/>
          <w:highlight w:val="none"/>
        </w:rPr>
        <w:t>如不</w:t>
      </w:r>
      <w:r>
        <w:rPr>
          <w:rFonts w:hint="eastAsia"/>
          <w:color w:val="auto"/>
          <w:szCs w:val="21"/>
          <w:highlight w:val="none"/>
        </w:rPr>
        <w:t>参加</w:t>
      </w:r>
      <w:r>
        <w:rPr>
          <w:color w:val="auto"/>
          <w:szCs w:val="21"/>
          <w:highlight w:val="none"/>
        </w:rPr>
        <w:t>截标大会的，</w:t>
      </w:r>
      <w:r>
        <w:rPr>
          <w:rFonts w:hint="eastAsia"/>
          <w:color w:val="auto"/>
          <w:szCs w:val="21"/>
          <w:highlight w:val="none"/>
        </w:rPr>
        <w:t>视同认可截标结果，</w:t>
      </w:r>
      <w:r>
        <w:rPr>
          <w:color w:val="auto"/>
          <w:szCs w:val="21"/>
          <w:highlight w:val="none"/>
        </w:rPr>
        <w:t>事后不得对采购相关人员、截标过程和截标结果提出异议</w:t>
      </w:r>
      <w:r>
        <w:rPr>
          <w:rFonts w:hint="eastAsia"/>
          <w:color w:val="auto"/>
          <w:szCs w:val="21"/>
          <w:highlight w:val="none"/>
        </w:rPr>
        <w:t>，同时供应商因未在线参加截标而导致响应文件无法按时解密等一切后果由供应商自己承担。</w:t>
      </w:r>
    </w:p>
    <w:p w14:paraId="09A526AD">
      <w:pPr>
        <w:spacing w:before="120" w:line="276" w:lineRule="auto"/>
        <w:ind w:firstLine="420" w:firstLineChars="200"/>
        <w:rPr>
          <w:color w:val="auto"/>
          <w:szCs w:val="21"/>
          <w:highlight w:val="none"/>
        </w:rPr>
      </w:pPr>
      <w:r>
        <w:rPr>
          <w:rFonts w:hint="eastAsia"/>
          <w:color w:val="auto"/>
          <w:szCs w:val="21"/>
          <w:highlight w:val="none"/>
        </w:rPr>
        <w:t xml:space="preserve">如供应商成功解密响应文件，但未在广西政府采购云平台电子开标大厅参加截标的，视同认可截标过程和结果，由此产生的后果由供应商自行负责。 </w:t>
      </w:r>
    </w:p>
    <w:p w14:paraId="10CB73FC">
      <w:pPr>
        <w:spacing w:before="120" w:line="320" w:lineRule="atLeast"/>
        <w:ind w:firstLine="422" w:firstLineChars="200"/>
        <w:outlineLvl w:val="2"/>
        <w:rPr>
          <w:b/>
          <w:bCs/>
          <w:color w:val="auto"/>
          <w:kern w:val="0"/>
          <w:szCs w:val="21"/>
          <w:highlight w:val="none"/>
        </w:rPr>
      </w:pPr>
      <w:r>
        <w:rPr>
          <w:b/>
          <w:bCs/>
          <w:color w:val="auto"/>
          <w:kern w:val="0"/>
          <w:szCs w:val="21"/>
          <w:highlight w:val="none"/>
        </w:rPr>
        <w:t>4.2截标程序</w:t>
      </w:r>
    </w:p>
    <w:p w14:paraId="5EC5946C">
      <w:pPr>
        <w:spacing w:before="120" w:line="320" w:lineRule="atLeast"/>
        <w:ind w:firstLine="420" w:firstLineChars="200"/>
        <w:rPr>
          <w:color w:val="auto"/>
          <w:szCs w:val="21"/>
          <w:highlight w:val="none"/>
        </w:rPr>
      </w:pPr>
      <w:r>
        <w:rPr>
          <w:color w:val="auto"/>
          <w:szCs w:val="21"/>
          <w:highlight w:val="none"/>
        </w:rPr>
        <w:t>4.2.1</w:t>
      </w:r>
      <w:r>
        <w:rPr>
          <w:rFonts w:hint="eastAsia"/>
          <w:color w:val="auto"/>
          <w:szCs w:val="21"/>
          <w:highlight w:val="none"/>
        </w:rPr>
        <w:t>供应商登录广西政府采购云平台进入开标大厅签到。</w:t>
      </w:r>
    </w:p>
    <w:p w14:paraId="6F007737">
      <w:pP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.2.2</w:t>
      </w:r>
      <w:r>
        <w:rPr>
          <w:rFonts w:hint="eastAsia"/>
          <w:color w:val="auto"/>
          <w:szCs w:val="21"/>
          <w:highlight w:val="none"/>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7" w:name="_Hlk106637960"/>
      <w:r>
        <w:rPr>
          <w:rFonts w:hint="eastAsia"/>
          <w:color w:val="auto"/>
          <w:highlight w:val="none"/>
        </w:rPr>
        <w:t>通知后供应商仍未在上述规定时间内解密响应文件</w:t>
      </w:r>
      <w:bookmarkEnd w:id="57"/>
      <w:r>
        <w:rPr>
          <w:rFonts w:hint="eastAsia"/>
          <w:color w:val="auto"/>
          <w:szCs w:val="21"/>
          <w:highlight w:val="none"/>
        </w:rPr>
        <w:t>，或者供应商没预留联系方式或预留联系方式无效导致代理机构无法联系到供应商进行解密的，均视为无效响应。</w:t>
      </w:r>
    </w:p>
    <w:p w14:paraId="481C330D">
      <w:pP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.2.3</w:t>
      </w:r>
      <w:bookmarkStart w:id="58" w:name="_Hlk106637968"/>
      <w:r>
        <w:rPr>
          <w:rFonts w:hint="eastAsia"/>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8"/>
    <w:p w14:paraId="0912CA66">
      <w:pP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.2.4</w:t>
      </w:r>
      <w:r>
        <w:rPr>
          <w:rFonts w:hint="eastAsia"/>
          <w:color w:val="auto"/>
          <w:szCs w:val="21"/>
          <w:highlight w:val="none"/>
        </w:rPr>
        <w:t>解密异常情况处理：详见本章</w:t>
      </w:r>
      <w:r>
        <w:rPr>
          <w:color w:val="auto"/>
          <w:szCs w:val="21"/>
          <w:highlight w:val="none"/>
        </w:rPr>
        <w:t>9.2</w:t>
      </w:r>
      <w:r>
        <w:rPr>
          <w:rFonts w:hint="eastAsia"/>
          <w:color w:val="auto"/>
          <w:szCs w:val="21"/>
          <w:highlight w:val="none"/>
        </w:rPr>
        <w:t>电子交易活动的中止。</w:t>
      </w:r>
    </w:p>
    <w:p w14:paraId="43E36CE0">
      <w:pPr>
        <w:spacing w:before="120" w:line="320" w:lineRule="atLeast"/>
        <w:ind w:firstLine="420" w:firstLineChars="200"/>
        <w:rPr>
          <w:color w:val="auto"/>
          <w:szCs w:val="21"/>
          <w:highlight w:val="none"/>
        </w:rPr>
      </w:pPr>
      <w:r>
        <w:rPr>
          <w:color w:val="auto"/>
          <w:szCs w:val="21"/>
          <w:highlight w:val="none"/>
        </w:rPr>
        <w:t>4.2.5截标结束。</w:t>
      </w:r>
    </w:p>
    <w:p w14:paraId="06D00CFF">
      <w:pPr>
        <w:pStyle w:val="26"/>
        <w:snapToGrid w:val="0"/>
        <w:spacing w:line="440" w:lineRule="exact"/>
        <w:ind w:firstLine="422" w:firstLineChars="200"/>
        <w:rPr>
          <w:rFonts w:hAnsi="宋体"/>
          <w:color w:val="auto"/>
          <w:highlight w:val="none"/>
        </w:rPr>
      </w:pPr>
      <w:r>
        <w:rPr>
          <w:rFonts w:hint="eastAsia" w:hAnsi="宋体"/>
          <w:b/>
          <w:bCs/>
          <w:color w:val="auto"/>
          <w:highlight w:val="none"/>
        </w:rPr>
        <w:t>特别说明：</w:t>
      </w:r>
      <w:r>
        <w:rPr>
          <w:rFonts w:hint="eastAsia" w:hAnsi="宋体"/>
          <w:color w:val="auto"/>
          <w:highlight w:val="none"/>
        </w:rPr>
        <w:t>如遇广西政府采购云平台电子化截标或评审程序调整的，按调整后的程序执行。</w:t>
      </w:r>
    </w:p>
    <w:p w14:paraId="66407511">
      <w:pPr>
        <w:spacing w:before="120" w:line="320" w:lineRule="atLeast"/>
        <w:ind w:left="2" w:leftChars="1" w:firstLine="422" w:firstLineChars="200"/>
        <w:outlineLvl w:val="1"/>
        <w:rPr>
          <w:b/>
          <w:bCs/>
          <w:color w:val="auto"/>
          <w:kern w:val="0"/>
          <w:szCs w:val="21"/>
          <w:highlight w:val="none"/>
        </w:rPr>
      </w:pPr>
      <w:bookmarkStart w:id="59" w:name="_Toc254970545"/>
      <w:bookmarkStart w:id="60" w:name="_Toc254970686"/>
      <w:r>
        <w:rPr>
          <w:b/>
          <w:bCs/>
          <w:color w:val="auto"/>
          <w:kern w:val="0"/>
          <w:szCs w:val="21"/>
          <w:highlight w:val="none"/>
        </w:rPr>
        <w:t>5．</w:t>
      </w:r>
      <w:r>
        <w:rPr>
          <w:rFonts w:hint="eastAsia"/>
          <w:b/>
          <w:bCs/>
          <w:color w:val="auto"/>
          <w:kern w:val="0"/>
          <w:szCs w:val="21"/>
          <w:highlight w:val="none"/>
        </w:rPr>
        <w:t>资格审查</w:t>
      </w:r>
    </w:p>
    <w:p w14:paraId="7FBEEDCD">
      <w:pP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.1</w:t>
      </w:r>
      <w:r>
        <w:rPr>
          <w:rFonts w:hint="eastAsia"/>
          <w:bCs/>
          <w:color w:val="auto"/>
          <w:kern w:val="0"/>
          <w:szCs w:val="21"/>
          <w:highlight w:val="none"/>
        </w:rPr>
        <w:t>截标</w:t>
      </w:r>
      <w:r>
        <w:rPr>
          <w:rFonts w:ascii="宋体" w:hAnsi="宋体"/>
          <w:bCs/>
          <w:color w:val="auto"/>
          <w:szCs w:val="21"/>
          <w:highlight w:val="none"/>
        </w:rPr>
        <w:t>后，</w:t>
      </w:r>
      <w:r>
        <w:rPr>
          <w:rFonts w:hint="eastAsia" w:ascii="宋体" w:hAnsi="宋体"/>
          <w:bCs/>
          <w:color w:val="auto"/>
          <w:szCs w:val="21"/>
          <w:highlight w:val="none"/>
        </w:rPr>
        <w:t>谈判小组通过电子交易平台</w:t>
      </w:r>
      <w:r>
        <w:rPr>
          <w:rFonts w:ascii="宋体" w:hAnsi="宋体"/>
          <w:bCs/>
          <w:color w:val="auto"/>
          <w:szCs w:val="21"/>
          <w:highlight w:val="none"/>
        </w:rPr>
        <w:t>对供应商的资格进行审查。</w:t>
      </w:r>
      <w:r>
        <w:rPr>
          <w:rFonts w:hint="eastAsia" w:ascii="宋体" w:hAnsi="宋体"/>
          <w:bCs/>
          <w:color w:val="auto"/>
          <w:szCs w:val="21"/>
          <w:highlight w:val="none"/>
        </w:rPr>
        <w:t>资格审查</w:t>
      </w:r>
      <w:r>
        <w:rPr>
          <w:rFonts w:hint="eastAsia"/>
          <w:bCs/>
          <w:color w:val="auto"/>
          <w:kern w:val="0"/>
          <w:szCs w:val="21"/>
          <w:highlight w:val="none"/>
        </w:rPr>
        <w:t>是根据法律法规和采购文件的规定，对供应商的基本资格条件、特定资格条件进行审查。</w:t>
      </w:r>
    </w:p>
    <w:p w14:paraId="64FA5B3A">
      <w:pP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2</w:t>
      </w:r>
      <w:r>
        <w:rPr>
          <w:rFonts w:hint="eastAsia"/>
          <w:bCs/>
          <w:color w:val="auto"/>
          <w:kern w:val="0"/>
          <w:szCs w:val="21"/>
          <w:highlight w:val="none"/>
        </w:rPr>
        <w:t>资格审查标准在第四章评审方法及标准中规定，符合资格审查标准要求的供应商即为资格审查合格。</w:t>
      </w:r>
    </w:p>
    <w:p w14:paraId="111ADEB4">
      <w:pPr>
        <w:spacing w:before="120" w:line="276" w:lineRule="auto"/>
        <w:ind w:left="2" w:leftChars="1" w:firstLine="420" w:firstLineChars="200"/>
        <w:outlineLvl w:val="2"/>
        <w:rPr>
          <w:bCs/>
          <w:color w:val="auto"/>
          <w:kern w:val="0"/>
          <w:szCs w:val="21"/>
          <w:highlight w:val="none"/>
        </w:rPr>
      </w:pPr>
      <w:r>
        <w:rPr>
          <w:bCs/>
          <w:color w:val="auto"/>
          <w:kern w:val="0"/>
          <w:szCs w:val="21"/>
          <w:highlight w:val="none"/>
        </w:rPr>
        <w:t>5.3</w:t>
      </w:r>
      <w:r>
        <w:rPr>
          <w:rFonts w:hint="eastAsia"/>
          <w:bCs/>
          <w:color w:val="auto"/>
          <w:kern w:val="0"/>
          <w:szCs w:val="21"/>
          <w:highlight w:val="none"/>
        </w:rPr>
        <w:t>供应商有下列情形之一的，资格审查不合格，作无效响应处理：</w:t>
      </w:r>
    </w:p>
    <w:p w14:paraId="26D64B88">
      <w:pPr>
        <w:spacing w:line="276" w:lineRule="auto"/>
        <w:ind w:firstLine="420" w:firstLineChars="200"/>
        <w:rPr>
          <w:rFonts w:hAnsi="宋体"/>
          <w:color w:val="auto"/>
          <w:highlight w:val="none"/>
        </w:rPr>
      </w:pPr>
      <w:r>
        <w:rPr>
          <w:rFonts w:hint="eastAsia"/>
          <w:color w:val="auto"/>
          <w:szCs w:val="21"/>
          <w:highlight w:val="none"/>
        </w:rPr>
        <w:t>5</w:t>
      </w:r>
      <w:r>
        <w:rPr>
          <w:color w:val="auto"/>
          <w:szCs w:val="21"/>
          <w:highlight w:val="none"/>
        </w:rPr>
        <w:t>.3.1</w:t>
      </w:r>
      <w:r>
        <w:rPr>
          <w:rFonts w:hint="eastAsia"/>
          <w:color w:val="auto"/>
          <w:szCs w:val="21"/>
          <w:highlight w:val="none"/>
        </w:rPr>
        <w:t>不具备招标文件中规定的资格要求或资格条件的； （注：其中信用查询规则见“供应商须知前附表”，广西政府采购云平台已与“信用中国”平台做接口，可直接在线查询）</w:t>
      </w:r>
    </w:p>
    <w:p w14:paraId="7B429596">
      <w:pPr>
        <w:spacing w:before="120" w:line="276" w:lineRule="auto"/>
        <w:ind w:firstLine="420" w:firstLineChars="200"/>
        <w:rPr>
          <w:color w:val="auto"/>
          <w:szCs w:val="21"/>
          <w:highlight w:val="none"/>
        </w:rPr>
      </w:pPr>
      <w:r>
        <w:rPr>
          <w:rFonts w:hint="eastAsia"/>
          <w:color w:val="auto"/>
          <w:szCs w:val="21"/>
          <w:highlight w:val="none"/>
        </w:rPr>
        <w:t>5</w:t>
      </w:r>
      <w:r>
        <w:rPr>
          <w:color w:val="auto"/>
          <w:szCs w:val="21"/>
          <w:highlight w:val="none"/>
        </w:rPr>
        <w:t>.3.2</w:t>
      </w:r>
      <w:r>
        <w:rPr>
          <w:rFonts w:hint="eastAsia"/>
          <w:color w:val="auto"/>
          <w:szCs w:val="21"/>
          <w:highlight w:val="none"/>
        </w:rPr>
        <w:t>响应文件缺少任何一项资格证明文件或不符合第四章评审方法及标准中资格审查标准规定的评审内容的。</w:t>
      </w:r>
    </w:p>
    <w:bookmarkEnd w:id="59"/>
    <w:bookmarkEnd w:id="60"/>
    <w:p w14:paraId="7C2EA639">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6．评审</w:t>
      </w:r>
    </w:p>
    <w:p w14:paraId="35B55503">
      <w:pPr>
        <w:spacing w:before="120" w:line="320" w:lineRule="atLeast"/>
        <w:ind w:firstLine="422" w:firstLineChars="200"/>
        <w:outlineLvl w:val="2"/>
        <w:rPr>
          <w:b/>
          <w:bCs/>
          <w:color w:val="auto"/>
          <w:kern w:val="0"/>
          <w:szCs w:val="21"/>
          <w:highlight w:val="none"/>
        </w:rPr>
      </w:pPr>
      <w:r>
        <w:rPr>
          <w:b/>
          <w:bCs/>
          <w:color w:val="auto"/>
          <w:kern w:val="0"/>
          <w:szCs w:val="21"/>
          <w:highlight w:val="none"/>
        </w:rPr>
        <w:t>6.1组建</w:t>
      </w:r>
      <w:r>
        <w:rPr>
          <w:rFonts w:hint="eastAsia"/>
          <w:b/>
          <w:bCs/>
          <w:color w:val="auto"/>
          <w:kern w:val="0"/>
          <w:szCs w:val="21"/>
          <w:highlight w:val="none"/>
        </w:rPr>
        <w:t>谈判</w:t>
      </w:r>
      <w:r>
        <w:rPr>
          <w:b/>
          <w:bCs/>
          <w:color w:val="auto"/>
          <w:kern w:val="0"/>
          <w:szCs w:val="21"/>
          <w:highlight w:val="none"/>
        </w:rPr>
        <w:t>小组</w:t>
      </w:r>
    </w:p>
    <w:p w14:paraId="4F9FEC7B">
      <w:pPr>
        <w:spacing w:before="120" w:line="320" w:lineRule="atLeast"/>
        <w:ind w:firstLine="420" w:firstLineChars="200"/>
        <w:rPr>
          <w:color w:val="auto"/>
          <w:szCs w:val="21"/>
          <w:highlight w:val="none"/>
        </w:rPr>
      </w:pPr>
      <w:r>
        <w:rPr>
          <w:rFonts w:hint="eastAsia"/>
          <w:color w:val="auto"/>
          <w:szCs w:val="21"/>
          <w:highlight w:val="none"/>
        </w:rPr>
        <w:t>6.1.1</w:t>
      </w:r>
      <w:r>
        <w:rPr>
          <w:color w:val="auto"/>
          <w:szCs w:val="21"/>
          <w:highlight w:val="none"/>
        </w:rPr>
        <w:t>本项目</w:t>
      </w:r>
      <w:r>
        <w:rPr>
          <w:rFonts w:hint="eastAsia"/>
          <w:color w:val="auto"/>
          <w:szCs w:val="21"/>
          <w:highlight w:val="none"/>
        </w:rPr>
        <w:t>评审工作由谈判</w:t>
      </w:r>
      <w:r>
        <w:rPr>
          <w:color w:val="auto"/>
          <w:szCs w:val="21"/>
          <w:highlight w:val="none"/>
        </w:rPr>
        <w:t>小组</w:t>
      </w:r>
      <w:r>
        <w:rPr>
          <w:rFonts w:hint="eastAsia"/>
          <w:color w:val="auto"/>
          <w:szCs w:val="21"/>
          <w:highlight w:val="none"/>
        </w:rPr>
        <w:t>负责，谈判小组</w:t>
      </w:r>
      <w:r>
        <w:rPr>
          <w:color w:val="auto"/>
          <w:szCs w:val="21"/>
          <w:highlight w:val="none"/>
        </w:rPr>
        <w:t>由</w:t>
      </w:r>
      <w:r>
        <w:rPr>
          <w:rFonts w:hint="eastAsia"/>
          <w:color w:val="auto"/>
          <w:szCs w:val="21"/>
          <w:highlight w:val="none"/>
        </w:rPr>
        <w:t>评审专家</w:t>
      </w:r>
      <w:r>
        <w:rPr>
          <w:color w:val="auto"/>
          <w:szCs w:val="21"/>
          <w:highlight w:val="none"/>
        </w:rPr>
        <w:t>和采购人代表</w:t>
      </w:r>
      <w:r>
        <w:rPr>
          <w:rFonts w:hint="eastAsia"/>
          <w:color w:val="auto"/>
          <w:szCs w:val="21"/>
          <w:highlight w:val="none"/>
        </w:rPr>
        <w:t>（如有）</w:t>
      </w:r>
      <w:r>
        <w:rPr>
          <w:color w:val="auto"/>
          <w:szCs w:val="21"/>
          <w:highlight w:val="none"/>
        </w:rPr>
        <w:t>组成。</w:t>
      </w:r>
      <w:r>
        <w:rPr>
          <w:rFonts w:hint="eastAsia"/>
          <w:color w:val="auto"/>
          <w:szCs w:val="21"/>
          <w:highlight w:val="none"/>
        </w:rPr>
        <w:t>谈判小组评审时必须公平、公正、客观，不带任何倾向性和启发性；不得向外界透露任何与评审有关的内容；任何单位和个人不得干扰、影响评标的正常进行；谈判小组及有关工作人员不得私下与供应商接触，不得收受利害关系人的财物或者其他好处；</w:t>
      </w:r>
      <w:r>
        <w:rPr>
          <w:color w:val="auto"/>
          <w:szCs w:val="21"/>
          <w:highlight w:val="none"/>
        </w:rPr>
        <w:t>评审专家发现本人与参加采购活动的供应商有利害关系的，应当主动提出回避</w:t>
      </w:r>
      <w:r>
        <w:rPr>
          <w:rFonts w:hint="eastAsia"/>
          <w:color w:val="auto"/>
          <w:szCs w:val="21"/>
          <w:highlight w:val="none"/>
        </w:rPr>
        <w:t>。</w:t>
      </w:r>
    </w:p>
    <w:p w14:paraId="7CF20D4E">
      <w:pPr>
        <w:spacing w:before="120" w:line="320" w:lineRule="atLeast"/>
        <w:ind w:firstLine="420" w:firstLineChars="200"/>
        <w:rPr>
          <w:color w:val="auto"/>
          <w:szCs w:val="21"/>
          <w:highlight w:val="none"/>
        </w:rPr>
      </w:pPr>
      <w:r>
        <w:rPr>
          <w:rFonts w:hint="eastAsia"/>
          <w:color w:val="auto"/>
          <w:szCs w:val="21"/>
          <w:highlight w:val="none"/>
        </w:rPr>
        <w:t>6.1.2谈判小组成员应当通过电子交易平台进行独立评审，谈判小组成员对需要共同认定的事项存在争议的，应当按照少数服从多数的原则作出结论。持不同意见的谈判小组成员应当在评审报告上签署不同意见及理由，否则视为同意评审报告。如果在评审过程中出现法律法规和采购文件均没有明确规定的情形时，由谈判小组现场协商确定，协商不一致的，由全体谈判小组成员投票表决，应当按照少数服从多数的原则作出结论并记录在评审报告中。</w:t>
      </w:r>
    </w:p>
    <w:p w14:paraId="581F5CC9">
      <w:pPr>
        <w:spacing w:before="120" w:line="320" w:lineRule="atLeast"/>
        <w:ind w:firstLine="420" w:firstLineChars="200"/>
        <w:rPr>
          <w:color w:val="auto"/>
          <w:szCs w:val="21"/>
          <w:highlight w:val="none"/>
        </w:rPr>
      </w:pPr>
      <w:r>
        <w:rPr>
          <w:rFonts w:hint="eastAsia"/>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72ACB730">
      <w:pPr>
        <w:spacing w:before="120" w:line="320" w:lineRule="atLeast"/>
        <w:ind w:firstLine="420" w:firstLineChars="200"/>
        <w:rPr>
          <w:color w:val="auto"/>
          <w:szCs w:val="21"/>
          <w:highlight w:val="none"/>
        </w:rPr>
      </w:pPr>
      <w:r>
        <w:rPr>
          <w:rFonts w:hint="eastAsia"/>
          <w:color w:val="auto"/>
          <w:szCs w:val="21"/>
          <w:highlight w:val="none"/>
        </w:rPr>
        <w:t>6.1.4本项目评审过程实行全程网上留痕及录音、录像监控，供应商在评审过程中所进行的试图影响评审结果的不公正活动，可能导致其响应按无效处理。</w:t>
      </w:r>
    </w:p>
    <w:p w14:paraId="6925FED5">
      <w:pPr>
        <w:spacing w:before="120" w:line="320" w:lineRule="atLeast"/>
        <w:ind w:firstLine="422" w:firstLineChars="200"/>
        <w:outlineLvl w:val="2"/>
        <w:rPr>
          <w:b/>
          <w:bCs/>
          <w:color w:val="auto"/>
          <w:kern w:val="0"/>
          <w:szCs w:val="21"/>
          <w:highlight w:val="none"/>
        </w:rPr>
      </w:pPr>
      <w:r>
        <w:rPr>
          <w:b/>
          <w:bCs/>
          <w:color w:val="auto"/>
          <w:kern w:val="0"/>
          <w:szCs w:val="21"/>
          <w:highlight w:val="none"/>
        </w:rPr>
        <w:t>6.2</w:t>
      </w:r>
      <w:r>
        <w:rPr>
          <w:rFonts w:hint="eastAsia"/>
          <w:b/>
          <w:bCs/>
          <w:color w:val="auto"/>
          <w:kern w:val="0"/>
          <w:szCs w:val="21"/>
          <w:highlight w:val="none"/>
        </w:rPr>
        <w:t>评审方法及依据</w:t>
      </w:r>
    </w:p>
    <w:p w14:paraId="3D915B4D">
      <w:pPr>
        <w:spacing w:before="120" w:line="320" w:lineRule="atLeast"/>
        <w:ind w:firstLine="420" w:firstLineChars="200"/>
        <w:rPr>
          <w:bCs/>
          <w:color w:val="auto"/>
          <w:kern w:val="0"/>
          <w:szCs w:val="21"/>
          <w:highlight w:val="none"/>
        </w:rPr>
      </w:pPr>
      <w:r>
        <w:rPr>
          <w:bCs/>
          <w:color w:val="auto"/>
          <w:kern w:val="0"/>
          <w:szCs w:val="21"/>
          <w:highlight w:val="none"/>
        </w:rPr>
        <w:t>6.2.1</w:t>
      </w:r>
      <w:r>
        <w:rPr>
          <w:rFonts w:hint="eastAsia"/>
          <w:bCs/>
          <w:color w:val="auto"/>
          <w:kern w:val="0"/>
          <w:szCs w:val="21"/>
          <w:highlight w:val="none"/>
        </w:rPr>
        <w:t>本项目采用第四章评审方法及标准规定的方法进行评审。</w:t>
      </w:r>
    </w:p>
    <w:p w14:paraId="56BD4D2D">
      <w:pPr>
        <w:suppressAutoHyphens/>
        <w:spacing w:before="120" w:line="320" w:lineRule="atLeast"/>
        <w:ind w:firstLine="420" w:firstLineChars="200"/>
        <w:rPr>
          <w:bCs/>
          <w:color w:val="auto"/>
          <w:kern w:val="0"/>
          <w:szCs w:val="21"/>
          <w:highlight w:val="none"/>
        </w:rPr>
      </w:pPr>
      <w:r>
        <w:rPr>
          <w:bCs/>
          <w:color w:val="auto"/>
          <w:kern w:val="0"/>
          <w:szCs w:val="21"/>
          <w:highlight w:val="none"/>
        </w:rPr>
        <w:t>6.2.2</w:t>
      </w:r>
      <w:r>
        <w:rPr>
          <w:rFonts w:hint="eastAsia"/>
          <w:bCs/>
          <w:color w:val="auto"/>
          <w:kern w:val="0"/>
          <w:szCs w:val="21"/>
          <w:highlight w:val="none"/>
        </w:rPr>
        <w:t>谈判小组</w:t>
      </w:r>
      <w:r>
        <w:rPr>
          <w:color w:val="auto"/>
          <w:highlight w:val="none"/>
        </w:rPr>
        <w:t>以</w:t>
      </w:r>
      <w:r>
        <w:rPr>
          <w:rFonts w:hint="eastAsia"/>
          <w:color w:val="auto"/>
          <w:highlight w:val="none"/>
        </w:rPr>
        <w:t>采购</w:t>
      </w:r>
      <w:r>
        <w:rPr>
          <w:color w:val="auto"/>
          <w:highlight w:val="none"/>
        </w:rPr>
        <w:t>文件、补充文件、</w:t>
      </w:r>
      <w:r>
        <w:rPr>
          <w:rFonts w:hint="eastAsia"/>
          <w:color w:val="auto"/>
          <w:highlight w:val="none"/>
        </w:rPr>
        <w:t>响应</w:t>
      </w:r>
      <w:r>
        <w:rPr>
          <w:color w:val="auto"/>
          <w:highlight w:val="none"/>
        </w:rPr>
        <w:t>文件、澄清及答复为评审依据</w:t>
      </w:r>
      <w:r>
        <w:rPr>
          <w:rFonts w:hint="eastAsia"/>
          <w:color w:val="auto"/>
          <w:highlight w:val="none"/>
        </w:rPr>
        <w:t>，</w:t>
      </w:r>
      <w:r>
        <w:rPr>
          <w:rFonts w:hint="eastAsia"/>
          <w:bCs/>
          <w:color w:val="auto"/>
          <w:kern w:val="0"/>
          <w:szCs w:val="21"/>
          <w:highlight w:val="none"/>
        </w:rPr>
        <w:t>第四章评审方法及标准没有规定的评审方法、标准及因素，不得作为评审依据。</w:t>
      </w:r>
    </w:p>
    <w:p w14:paraId="1CA41D44">
      <w:pPr>
        <w:spacing w:before="120" w:line="320" w:lineRule="atLeast"/>
        <w:ind w:firstLine="422" w:firstLineChars="200"/>
        <w:outlineLvl w:val="2"/>
        <w:rPr>
          <w:b/>
          <w:bCs/>
          <w:color w:val="auto"/>
          <w:kern w:val="0"/>
          <w:szCs w:val="21"/>
          <w:highlight w:val="none"/>
        </w:rPr>
      </w:pPr>
      <w:r>
        <w:rPr>
          <w:b/>
          <w:bCs/>
          <w:color w:val="auto"/>
          <w:kern w:val="0"/>
          <w:szCs w:val="21"/>
          <w:highlight w:val="none"/>
        </w:rPr>
        <w:t>6.3评审</w:t>
      </w:r>
      <w:r>
        <w:rPr>
          <w:rFonts w:hint="eastAsia"/>
          <w:b/>
          <w:bCs/>
          <w:color w:val="auto"/>
          <w:kern w:val="0"/>
          <w:szCs w:val="21"/>
          <w:highlight w:val="none"/>
        </w:rPr>
        <w:t>程序</w:t>
      </w:r>
    </w:p>
    <w:p w14:paraId="414DE20A">
      <w:pPr>
        <w:spacing w:before="120" w:line="320" w:lineRule="atLeast"/>
        <w:ind w:firstLine="420" w:firstLineChars="200"/>
        <w:rPr>
          <w:color w:val="auto"/>
          <w:highlight w:val="none"/>
        </w:rPr>
      </w:pPr>
      <w:r>
        <w:rPr>
          <w:color w:val="auto"/>
          <w:highlight w:val="none"/>
        </w:rPr>
        <w:t>6.</w:t>
      </w:r>
      <w:bookmarkStart w:id="61" w:name="_Hlk80956880"/>
      <w:bookmarkStart w:id="62" w:name="_Hlk19175507"/>
      <w:r>
        <w:rPr>
          <w:color w:val="auto"/>
          <w:highlight w:val="none"/>
        </w:rPr>
        <w:t>3.1</w:t>
      </w:r>
      <w:r>
        <w:rPr>
          <w:rFonts w:hint="eastAsia"/>
          <w:color w:val="auto"/>
          <w:highlight w:val="none"/>
        </w:rPr>
        <w:t>符合性审查</w:t>
      </w:r>
    </w:p>
    <w:p w14:paraId="0614C6EC">
      <w:pPr>
        <w:spacing w:before="120" w:line="320" w:lineRule="atLeast"/>
        <w:ind w:firstLine="420" w:firstLineChars="200"/>
        <w:rPr>
          <w:color w:val="auto"/>
          <w:szCs w:val="21"/>
          <w:highlight w:val="none"/>
        </w:rPr>
      </w:pPr>
      <w:r>
        <w:rPr>
          <w:bCs/>
          <w:color w:val="auto"/>
          <w:kern w:val="1"/>
          <w:szCs w:val="21"/>
          <w:highlight w:val="none"/>
        </w:rPr>
        <w:t>资格审查结束后，</w:t>
      </w:r>
      <w:r>
        <w:rPr>
          <w:rFonts w:hint="eastAsia" w:hAnsi="宋体"/>
          <w:color w:val="auto"/>
          <w:highlight w:val="none"/>
        </w:rPr>
        <w:t>谈判小组对</w:t>
      </w:r>
      <w:r>
        <w:rPr>
          <w:color w:val="auto"/>
          <w:highlight w:val="none"/>
        </w:rPr>
        <w:t>通过资格审查的供应商</w:t>
      </w:r>
      <w:r>
        <w:rPr>
          <w:rFonts w:hint="eastAsia" w:hAnsi="宋体"/>
          <w:color w:val="auto"/>
          <w:highlight w:val="none"/>
        </w:rPr>
        <w:t>的响应文件报价、商务资信、技术等方面实质性内容进行符合性审查，</w:t>
      </w:r>
      <w:r>
        <w:rPr>
          <w:rFonts w:hint="eastAsia"/>
          <w:color w:val="auto"/>
          <w:szCs w:val="21"/>
          <w:highlight w:val="none"/>
        </w:rPr>
        <w:t>符合性审查标准</w:t>
      </w:r>
      <w:r>
        <w:rPr>
          <w:color w:val="auto"/>
          <w:szCs w:val="21"/>
          <w:highlight w:val="none"/>
        </w:rPr>
        <w:t>详见第四章评审方法及标准。</w:t>
      </w:r>
    </w:p>
    <w:bookmarkEnd w:id="61"/>
    <w:bookmarkEnd w:id="62"/>
    <w:p w14:paraId="395CCF60">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.3.2</w:t>
      </w:r>
      <w:r>
        <w:rPr>
          <w:rFonts w:hAnsi="宋体"/>
          <w:color w:val="auto"/>
          <w:highlight w:val="none"/>
        </w:rPr>
        <w:t>强制性</w:t>
      </w:r>
      <w:r>
        <w:rPr>
          <w:color w:val="auto"/>
          <w:szCs w:val="21"/>
          <w:highlight w:val="none"/>
        </w:rPr>
        <w:t>采购要求</w:t>
      </w:r>
      <w:r>
        <w:rPr>
          <w:rFonts w:hint="eastAsia"/>
          <w:color w:val="auto"/>
          <w:szCs w:val="21"/>
          <w:highlight w:val="none"/>
        </w:rPr>
        <w:t>（仅适用于货物采购项目）</w:t>
      </w:r>
    </w:p>
    <w:p w14:paraId="6053AFD9">
      <w:pPr>
        <w:spacing w:before="120" w:line="320" w:lineRule="atLeast"/>
        <w:ind w:firstLine="422" w:firstLineChars="201"/>
        <w:rPr>
          <w:color w:val="auto"/>
          <w:highlight w:val="none"/>
        </w:rPr>
      </w:pPr>
      <w:bookmarkStart w:id="63" w:name="_Hlk47714684"/>
      <w:r>
        <w:rPr>
          <w:rFonts w:hint="eastAsia"/>
          <w:color w:val="auto"/>
          <w:szCs w:val="21"/>
          <w:highlight w:val="none"/>
        </w:rPr>
        <w:t>（1）</w:t>
      </w:r>
      <w:bookmarkEnd w:id="63"/>
      <w:r>
        <w:rPr>
          <w:rFonts w:hint="eastAsia"/>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bookmarkStart w:id="64" w:name="_Hlk19176155"/>
    </w:p>
    <w:p w14:paraId="308A42DB">
      <w:pPr>
        <w:spacing w:before="120" w:line="320" w:lineRule="atLeast"/>
        <w:ind w:firstLine="420" w:firstLineChars="200"/>
        <w:rPr>
          <w:color w:val="auto"/>
          <w:highlight w:val="none"/>
        </w:rPr>
      </w:pPr>
      <w:r>
        <w:rPr>
          <w:color w:val="auto"/>
          <w:highlight w:val="none"/>
        </w:rPr>
        <w:t>6.3.3澄清、说明或补正</w:t>
      </w:r>
    </w:p>
    <w:p w14:paraId="7E75E32B">
      <w:pPr>
        <w:spacing w:before="120" w:line="320" w:lineRule="atLeast"/>
        <w:ind w:firstLine="420" w:firstLineChars="200"/>
        <w:rPr>
          <w:color w:val="auto"/>
          <w:highlight w:val="none"/>
        </w:rPr>
      </w:pPr>
      <w:r>
        <w:rPr>
          <w:rFonts w:hint="eastAsia"/>
          <w:color w:val="auto"/>
          <w:highlight w:val="none"/>
        </w:rPr>
        <w:t>（1）对响应文件中含义不明确、同类问题表述不一致或者有明显文字和计算错误的内容，</w:t>
      </w:r>
      <w:r>
        <w:rPr>
          <w:rFonts w:hint="eastAsia" w:hAnsi="宋体"/>
          <w:color w:val="auto"/>
          <w:highlight w:val="none"/>
        </w:rPr>
        <w:t>谈判</w:t>
      </w:r>
      <w:r>
        <w:rPr>
          <w:rFonts w:hint="eastAsia"/>
          <w:color w:val="auto"/>
          <w:highlight w:val="none"/>
        </w:rPr>
        <w:t>小组应在广西政府采购云平台发布电子澄清函，要求供应商在平台设置的时间内作出必要的澄清、说明或者补正。供应商在广西政府采购云平台接收到电子澄清函后根据澄清函内容直接在线编辑或上传PDF格式回函，电子澄清答复函使用CA证书加盖单位电子签章后提交至</w:t>
      </w:r>
      <w:r>
        <w:rPr>
          <w:rFonts w:hint="eastAsia" w:hAnsi="宋体"/>
          <w:color w:val="auto"/>
          <w:highlight w:val="none"/>
        </w:rPr>
        <w:t>谈判</w:t>
      </w:r>
      <w:r>
        <w:rPr>
          <w:rFonts w:hint="eastAsia"/>
          <w:color w:val="auto"/>
          <w:highlight w:val="none"/>
        </w:rPr>
        <w:t>小组。供应商的澄清、说明或者补正不得超出响应文件的范围或者改变响应文件的实质性内容。供应商未在规定时间内进行澄清、说明或者补正的，按无效响应处理。</w:t>
      </w:r>
    </w:p>
    <w:p w14:paraId="7909C401">
      <w:pPr>
        <w:spacing w:before="120" w:line="320" w:lineRule="atLeast"/>
        <w:ind w:firstLine="420" w:firstLineChars="200"/>
        <w:rPr>
          <w:color w:val="auto"/>
          <w:highlight w:val="none"/>
        </w:rPr>
      </w:pPr>
      <w:r>
        <w:rPr>
          <w:rFonts w:hint="eastAsia"/>
          <w:color w:val="auto"/>
          <w:highlight w:val="none"/>
        </w:rPr>
        <w:t>（2）异常情况处理：如遇无法正常使用线上发送澄清函的情况，将以书面形式执行。</w:t>
      </w:r>
      <w:r>
        <w:rPr>
          <w:rFonts w:hint="eastAsia" w:hAnsi="宋体"/>
          <w:color w:val="auto"/>
          <w:highlight w:val="none"/>
        </w:rPr>
        <w:t>谈判</w:t>
      </w:r>
      <w:r>
        <w:rPr>
          <w:rFonts w:hint="eastAsia"/>
          <w:color w:val="auto"/>
          <w:highlight w:val="none"/>
        </w:rPr>
        <w:t>小组以书面形式要求供应商在规定时间内作出必要的澄清、说明或者补正。供应商的澄清、说明或者补正必须采用书面形式，并加盖公章或者由法定代表人或者其授权的代表签字。</w:t>
      </w:r>
    </w:p>
    <w:p w14:paraId="28335B5E">
      <w:pPr>
        <w:spacing w:before="120" w:line="320" w:lineRule="atLeast"/>
        <w:ind w:firstLine="420" w:firstLineChars="200"/>
        <w:rPr>
          <w:color w:val="auto"/>
          <w:highlight w:val="none"/>
        </w:rPr>
      </w:pPr>
      <w:r>
        <w:rPr>
          <w:color w:val="auto"/>
          <w:highlight w:val="none"/>
        </w:rPr>
        <w:t>6.3.4</w:t>
      </w:r>
      <w:r>
        <w:rPr>
          <w:rFonts w:hint="eastAsia"/>
          <w:color w:val="auto"/>
          <w:highlight w:val="none"/>
        </w:rPr>
        <w:t>报价</w:t>
      </w:r>
      <w:r>
        <w:rPr>
          <w:color w:val="auto"/>
          <w:highlight w:val="none"/>
        </w:rPr>
        <w:t>修正</w:t>
      </w:r>
    </w:p>
    <w:p w14:paraId="0F00EF8E">
      <w:pPr>
        <w:spacing w:before="120" w:line="320" w:lineRule="atLeast"/>
        <w:ind w:firstLine="420" w:firstLineChars="200"/>
        <w:rPr>
          <w:color w:val="auto"/>
          <w:highlight w:val="none"/>
        </w:rPr>
      </w:pPr>
      <w:r>
        <w:rPr>
          <w:rFonts w:hint="eastAsia"/>
          <w:color w:val="auto"/>
          <w:highlight w:val="none"/>
        </w:rPr>
        <w:t>（1）报价出现前后不一致的，按照下列规定修正：</w:t>
      </w:r>
    </w:p>
    <w:p w14:paraId="5E98F6C9">
      <w:pPr>
        <w:spacing w:before="120" w:line="320" w:lineRule="atLeast"/>
        <w:ind w:firstLine="420" w:firstLineChars="200"/>
        <w:rPr>
          <w:color w:val="auto"/>
          <w:szCs w:val="21"/>
          <w:highlight w:val="none"/>
        </w:rPr>
      </w:pPr>
      <w:r>
        <w:rPr>
          <w:rFonts w:hint="eastAsia" w:ascii="宋体" w:hAnsi="宋体"/>
          <w:color w:val="auto"/>
          <w:szCs w:val="21"/>
          <w:highlight w:val="none"/>
        </w:rPr>
        <w:t>①</w:t>
      </w:r>
      <w:r>
        <w:rPr>
          <w:color w:val="auto"/>
          <w:szCs w:val="21"/>
          <w:highlight w:val="none"/>
        </w:rPr>
        <w:t>响应文件中开标一览表（报价表）内容与响应文件中相应内容不一致的，以开标一览表（报价表）为准；</w:t>
      </w:r>
    </w:p>
    <w:p w14:paraId="65948FB9">
      <w:pPr>
        <w:spacing w:before="120" w:line="320" w:lineRule="atLeast"/>
        <w:ind w:firstLine="420" w:firstLineChars="200"/>
        <w:rPr>
          <w:color w:val="auto"/>
          <w:szCs w:val="21"/>
          <w:highlight w:val="none"/>
        </w:rPr>
      </w:pPr>
      <w:r>
        <w:rPr>
          <w:rFonts w:ascii="宋体" w:hAnsi="宋体"/>
          <w:color w:val="auto"/>
          <w:szCs w:val="21"/>
          <w:highlight w:val="none"/>
        </w:rPr>
        <w:t>②</w:t>
      </w:r>
      <w:r>
        <w:rPr>
          <w:color w:val="auto"/>
          <w:szCs w:val="21"/>
          <w:highlight w:val="none"/>
        </w:rPr>
        <w:t>大写金额和小写金额不一致的，以大写金额为准；</w:t>
      </w:r>
    </w:p>
    <w:p w14:paraId="35998737">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单价金额小数点或者百分比有明显错位的，以开标一览表的总价为准，并修改单价；</w:t>
      </w:r>
    </w:p>
    <w:p w14:paraId="11129050">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总价金额与按单价汇总金额不一致的，以单价金额计算结果为准</w:t>
      </w:r>
      <w:r>
        <w:rPr>
          <w:rFonts w:hint="eastAsia"/>
          <w:color w:val="auto"/>
          <w:szCs w:val="21"/>
          <w:highlight w:val="none"/>
        </w:rPr>
        <w:t>。</w:t>
      </w:r>
    </w:p>
    <w:p w14:paraId="25A48563">
      <w:pPr>
        <w:spacing w:before="120" w:line="320" w:lineRule="atLeast"/>
        <w:ind w:firstLine="420" w:firstLineChars="200"/>
        <w:rPr>
          <w:color w:val="auto"/>
          <w:szCs w:val="21"/>
          <w:highlight w:val="none"/>
        </w:rPr>
      </w:pPr>
      <w:r>
        <w:rPr>
          <w:rFonts w:hint="eastAsia"/>
          <w:color w:val="auto"/>
          <w:szCs w:val="21"/>
          <w:highlight w:val="none"/>
        </w:rPr>
        <w:t>同时出现两种以上不一致的，按照上述</w:t>
      </w:r>
      <w:r>
        <w:rPr>
          <w:rFonts w:hint="eastAsia" w:ascii="宋体" w:hAnsi="宋体"/>
          <w:color w:val="auto"/>
          <w:szCs w:val="21"/>
          <w:highlight w:val="none"/>
        </w:rPr>
        <w:t>①-</w:t>
      </w:r>
      <w:r>
        <w:rPr>
          <w:rFonts w:hint="eastAsia"/>
          <w:color w:val="auto"/>
          <w:szCs w:val="21"/>
          <w:highlight w:val="none"/>
        </w:rPr>
        <w:t>④顺序修正。修正后的报价按照上述“</w:t>
      </w:r>
      <w:r>
        <w:rPr>
          <w:color w:val="auto"/>
          <w:szCs w:val="21"/>
          <w:highlight w:val="none"/>
        </w:rPr>
        <w:t>6.3.3</w:t>
      </w:r>
      <w:r>
        <w:rPr>
          <w:rFonts w:hint="eastAsia"/>
          <w:color w:val="auto"/>
          <w:szCs w:val="21"/>
          <w:highlight w:val="none"/>
        </w:rPr>
        <w:t>澄清、说明或补正”的规定经供应商确认后产生约束力，供应商不确认的，其响应无效。</w:t>
      </w:r>
    </w:p>
    <w:p w14:paraId="6D4B9F33">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2</w:t>
      </w:r>
      <w:r>
        <w:rPr>
          <w:rFonts w:hint="eastAsia"/>
          <w:color w:val="auto"/>
          <w:szCs w:val="21"/>
          <w:highlight w:val="none"/>
        </w:rPr>
        <w:t>）经供应商确认修正后的最后报价若超过采购预算金额或者最高限价，其响应文件作无效响应处理。</w:t>
      </w:r>
    </w:p>
    <w:p w14:paraId="0B94505A">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）经供应商确认修正后的最后报价作为签订合同的依据，并以此报价计算价格分。</w:t>
      </w:r>
    </w:p>
    <w:p w14:paraId="3E2E27CD">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）如</w:t>
      </w:r>
      <w:r>
        <w:rPr>
          <w:rFonts w:hint="eastAsia" w:hAnsi="宋体"/>
          <w:color w:val="auto"/>
          <w:highlight w:val="none"/>
        </w:rPr>
        <w:t>谈判</w:t>
      </w:r>
      <w:r>
        <w:rPr>
          <w:rFonts w:hint="eastAsia"/>
          <w:color w:val="auto"/>
          <w:szCs w:val="21"/>
          <w:highlight w:val="none"/>
        </w:rPr>
        <w:t>过程中有多轮报价的，</w:t>
      </w:r>
      <w:r>
        <w:rPr>
          <w:rFonts w:hint="eastAsia" w:hAnsi="宋体"/>
          <w:color w:val="auto"/>
          <w:highlight w:val="none"/>
        </w:rPr>
        <w:t>谈判</w:t>
      </w:r>
      <w:r>
        <w:rPr>
          <w:rFonts w:hint="eastAsia"/>
          <w:color w:val="auto"/>
          <w:szCs w:val="21"/>
          <w:highlight w:val="none"/>
        </w:rPr>
        <w:t>小组在每一轮报价均应按上述规则修正报价。</w:t>
      </w:r>
    </w:p>
    <w:p w14:paraId="59F780EA">
      <w:pPr>
        <w:spacing w:before="120" w:line="320" w:lineRule="atLeast"/>
        <w:ind w:firstLine="420" w:firstLineChars="200"/>
        <w:rPr>
          <w:color w:val="auto"/>
          <w:szCs w:val="21"/>
          <w:highlight w:val="none"/>
        </w:rPr>
      </w:pPr>
      <w:r>
        <w:rPr>
          <w:rFonts w:hint="eastAsia"/>
          <w:color w:val="auto"/>
          <w:szCs w:val="21"/>
          <w:highlight w:val="none"/>
        </w:rPr>
        <w:t>6.3.5异常低价审查</w:t>
      </w:r>
    </w:p>
    <w:p w14:paraId="241B0946">
      <w:pPr>
        <w:spacing w:before="120" w:line="320" w:lineRule="atLeast"/>
        <w:ind w:firstLine="420" w:firstLineChars="200"/>
        <w:rPr>
          <w:color w:val="auto"/>
          <w:szCs w:val="21"/>
          <w:highlight w:val="none"/>
        </w:rPr>
      </w:pPr>
      <w:r>
        <w:rPr>
          <w:color w:val="auto"/>
          <w:szCs w:val="21"/>
          <w:highlight w:val="none"/>
        </w:rPr>
        <w:t>本项目</w:t>
      </w:r>
      <w:r>
        <w:rPr>
          <w:rFonts w:hint="eastAsia"/>
          <w:color w:val="auto"/>
          <w:szCs w:val="21"/>
          <w:highlight w:val="none"/>
        </w:rPr>
        <w:t>异常低价审查情形见</w:t>
      </w:r>
      <w:r>
        <w:rPr>
          <w:color w:val="auto"/>
          <w:szCs w:val="21"/>
          <w:highlight w:val="none"/>
        </w:rPr>
        <w:t>“</w:t>
      </w:r>
      <w:r>
        <w:rPr>
          <w:rFonts w:hint="eastAsia"/>
          <w:color w:val="auto"/>
          <w:szCs w:val="21"/>
          <w:highlight w:val="none"/>
        </w:rPr>
        <w:t>供应商须知前附表</w:t>
      </w:r>
      <w:r>
        <w:rPr>
          <w:color w:val="auto"/>
          <w:szCs w:val="21"/>
          <w:highlight w:val="none"/>
        </w:rPr>
        <w:t>”规定。</w:t>
      </w:r>
    </w:p>
    <w:p w14:paraId="21F40185">
      <w:pPr>
        <w:spacing w:before="120" w:line="320" w:lineRule="atLeast"/>
        <w:ind w:firstLine="420" w:firstLineChars="200"/>
        <w:rPr>
          <w:color w:val="auto"/>
          <w:szCs w:val="21"/>
          <w:highlight w:val="none"/>
        </w:rPr>
      </w:pPr>
      <w:r>
        <w:rPr>
          <w:rFonts w:hint="eastAsia"/>
          <w:color w:val="auto"/>
          <w:szCs w:val="21"/>
          <w:highlight w:val="none"/>
        </w:rPr>
        <w:t>谈判小组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4F9B502">
      <w:pPr>
        <w:spacing w:before="120" w:line="320" w:lineRule="atLeast"/>
        <w:ind w:firstLine="420" w:firstLineChars="200"/>
        <w:rPr>
          <w:strike/>
          <w:color w:val="auto"/>
          <w:szCs w:val="21"/>
          <w:highlight w:val="none"/>
        </w:rPr>
      </w:pPr>
      <w:r>
        <w:rPr>
          <w:rFonts w:hint="eastAsia"/>
          <w:color w:val="auto"/>
          <w:szCs w:val="21"/>
          <w:highlight w:val="none"/>
        </w:rPr>
        <w:t>谈判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谈判小组应当将其作为无效投标（响应）处理。</w:t>
      </w:r>
    </w:p>
    <w:p w14:paraId="4022424B">
      <w:pPr>
        <w:spacing w:before="120" w:line="320" w:lineRule="atLeast"/>
        <w:ind w:firstLine="420" w:firstLineChars="200"/>
        <w:rPr>
          <w:color w:val="auto"/>
          <w:szCs w:val="21"/>
          <w:highlight w:val="none"/>
        </w:rPr>
      </w:pPr>
      <w:r>
        <w:rPr>
          <w:rFonts w:hint="eastAsia"/>
          <w:color w:val="auto"/>
          <w:szCs w:val="21"/>
          <w:highlight w:val="none"/>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66B139DD">
      <w:pPr>
        <w:spacing w:before="120" w:line="320" w:lineRule="atLeast"/>
        <w:ind w:firstLine="420" w:firstLineChars="200"/>
        <w:rPr>
          <w:color w:val="auto"/>
          <w:szCs w:val="21"/>
          <w:highlight w:val="none"/>
        </w:rPr>
      </w:pPr>
      <w:r>
        <w:rPr>
          <w:rFonts w:hint="eastAsia"/>
          <w:color w:val="auto"/>
          <w:szCs w:val="21"/>
          <w:highlight w:val="none"/>
        </w:rPr>
        <w:t>异常低价投标审查的启动原因、审查意见和审查结果应当在评审报告中记录，并随供应商提供的相关书面说明及证明材料，以及谈判小组有关互联网浏览、查询历史一并归档。</w:t>
      </w:r>
    </w:p>
    <w:p w14:paraId="1A34B09E">
      <w:pPr>
        <w:spacing w:before="120" w:line="320" w:lineRule="atLeast"/>
        <w:ind w:firstLine="420" w:firstLineChars="200"/>
        <w:rPr>
          <w:color w:val="auto"/>
          <w:szCs w:val="21"/>
          <w:highlight w:val="none"/>
        </w:rPr>
      </w:pPr>
      <w:r>
        <w:rPr>
          <w:rFonts w:hint="eastAsia"/>
          <w:color w:val="auto"/>
          <w:szCs w:val="21"/>
          <w:highlight w:val="none"/>
        </w:rPr>
        <w:t>书面证明应当按照上述“</w:t>
      </w:r>
      <w:r>
        <w:rPr>
          <w:color w:val="auto"/>
          <w:szCs w:val="21"/>
          <w:highlight w:val="none"/>
        </w:rPr>
        <w:t>6.3.3</w:t>
      </w:r>
      <w:r>
        <w:rPr>
          <w:rFonts w:hint="eastAsia"/>
          <w:color w:val="auto"/>
          <w:szCs w:val="21"/>
          <w:highlight w:val="none"/>
        </w:rPr>
        <w:t>澄清、说明或补正”的规定提交。</w:t>
      </w:r>
    </w:p>
    <w:p w14:paraId="7B8112C0">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w:t>
      </w:r>
      <w:r>
        <w:rPr>
          <w:rFonts w:hint="eastAsia"/>
          <w:color w:val="auto"/>
          <w:szCs w:val="21"/>
          <w:highlight w:val="none"/>
        </w:rPr>
        <w:t>6相同品牌认定（仅适用于货物采购项目）</w:t>
      </w:r>
    </w:p>
    <w:p w14:paraId="62CD3DEB">
      <w:pPr>
        <w:spacing w:before="120" w:line="320" w:lineRule="atLeast"/>
        <w:ind w:firstLine="420" w:firstLineChars="200"/>
        <w:rPr>
          <w:color w:val="auto"/>
          <w:szCs w:val="21"/>
          <w:highlight w:val="none"/>
        </w:rPr>
      </w:pPr>
      <w:r>
        <w:rPr>
          <w:rFonts w:hint="eastAsia"/>
          <w:color w:val="auto"/>
          <w:szCs w:val="21"/>
          <w:highlight w:val="none"/>
        </w:rPr>
        <w:t>（1）单一产品采购项目，</w:t>
      </w:r>
      <w:r>
        <w:rPr>
          <w:color w:val="auto"/>
          <w:highlight w:val="none"/>
        </w:rPr>
        <w:t>不同供应商提供的产品品牌相同时，</w:t>
      </w:r>
      <w:r>
        <w:rPr>
          <w:rFonts w:hint="eastAsia"/>
          <w:color w:val="auto"/>
          <w:highlight w:val="none"/>
        </w:rPr>
        <w:t>按以下</w:t>
      </w:r>
      <w:r>
        <w:rPr>
          <w:color w:val="auto"/>
          <w:highlight w:val="none"/>
        </w:rPr>
        <w:t>规定</w:t>
      </w:r>
      <w:r>
        <w:rPr>
          <w:rFonts w:hint="eastAsia"/>
          <w:color w:val="auto"/>
          <w:highlight w:val="none"/>
        </w:rPr>
        <w:t>确定</w:t>
      </w:r>
      <w:r>
        <w:rPr>
          <w:bCs/>
          <w:color w:val="auto"/>
          <w:kern w:val="0"/>
          <w:szCs w:val="21"/>
          <w:highlight w:val="none"/>
        </w:rPr>
        <w:t>相同品牌的响应有效性</w:t>
      </w:r>
      <w:r>
        <w:rPr>
          <w:color w:val="auto"/>
          <w:highlight w:val="none"/>
        </w:rPr>
        <w:t>。</w:t>
      </w:r>
    </w:p>
    <w:bookmarkEnd w:id="64"/>
    <w:p w14:paraId="641EF3A2">
      <w:pPr>
        <w:spacing w:before="120" w:line="320" w:lineRule="atLeast"/>
        <w:ind w:firstLine="420" w:firstLineChars="200"/>
        <w:rPr>
          <w:color w:val="auto"/>
          <w:szCs w:val="21"/>
          <w:highlight w:val="none"/>
        </w:rPr>
      </w:pPr>
      <w:r>
        <w:rPr>
          <w:rFonts w:hint="eastAsia"/>
          <w:color w:val="auto"/>
          <w:szCs w:val="21"/>
          <w:highlight w:val="none"/>
        </w:rPr>
        <w:t>提供相同品牌产品的不同供应商参加同一合同项下响应的，以其中通过资格审查、符合性审查且报价最低的参加评标；报价相同的，由采购人或者采购人委托谈判小组按照采购文件规定的方式确定一个参加评标的供应商，采购文件未规定的采取随机抽取方式确定，其他响应无效。</w:t>
      </w:r>
    </w:p>
    <w:p w14:paraId="7FCB161B">
      <w:pPr>
        <w:spacing w:before="120" w:line="320" w:lineRule="atLeast"/>
        <w:ind w:firstLine="420" w:firstLineChars="200"/>
        <w:rPr>
          <w:color w:val="auto"/>
          <w:szCs w:val="21"/>
          <w:highlight w:val="none"/>
        </w:rPr>
      </w:pPr>
      <w:r>
        <w:rPr>
          <w:rFonts w:hint="eastAsia"/>
          <w:color w:val="auto"/>
          <w:szCs w:val="21"/>
          <w:highlight w:val="none"/>
        </w:rPr>
        <w:t>（2）非单一产品采购项目，</w:t>
      </w:r>
      <w:r>
        <w:rPr>
          <w:color w:val="auto"/>
          <w:szCs w:val="21"/>
          <w:highlight w:val="none"/>
        </w:rPr>
        <w:t>采购人应当确定核心产品，并在采购文件中载明。</w:t>
      </w:r>
      <w:r>
        <w:rPr>
          <w:rFonts w:hint="eastAsia"/>
          <w:color w:val="auto"/>
          <w:szCs w:val="21"/>
          <w:highlight w:val="none"/>
        </w:rPr>
        <w:t>不同</w:t>
      </w:r>
      <w:r>
        <w:rPr>
          <w:color w:val="auto"/>
          <w:szCs w:val="21"/>
          <w:highlight w:val="none"/>
        </w:rPr>
        <w:t>供应商提供的核心产品品牌相同的，按上述规定处理。核心产品</w:t>
      </w:r>
      <w:r>
        <w:rPr>
          <w:rFonts w:hint="eastAsia"/>
          <w:color w:val="auto"/>
          <w:szCs w:val="21"/>
          <w:highlight w:val="none"/>
        </w:rPr>
        <w:t>在第二章</w:t>
      </w:r>
      <w:r>
        <w:rPr>
          <w:color w:val="auto"/>
          <w:szCs w:val="21"/>
          <w:highlight w:val="none"/>
        </w:rPr>
        <w:t>采购需求规定。</w:t>
      </w:r>
    </w:p>
    <w:p w14:paraId="524D9A2A">
      <w:pPr>
        <w:spacing w:before="120" w:line="320" w:lineRule="atLeast"/>
        <w:ind w:firstLine="420" w:firstLineChars="200"/>
        <w:rPr>
          <w:color w:val="auto"/>
          <w:highlight w:val="none"/>
        </w:rPr>
      </w:pPr>
      <w:r>
        <w:rPr>
          <w:color w:val="auto"/>
          <w:highlight w:val="none"/>
        </w:rPr>
        <w:t>6.3.</w:t>
      </w:r>
      <w:r>
        <w:rPr>
          <w:rFonts w:hint="eastAsia"/>
          <w:color w:val="auto"/>
          <w:highlight w:val="none"/>
        </w:rPr>
        <w:t>7谈判</w:t>
      </w:r>
    </w:p>
    <w:p w14:paraId="36F48D4F">
      <w:pPr>
        <w:spacing w:before="120" w:line="320" w:lineRule="atLeast"/>
        <w:ind w:firstLine="420" w:firstLineChars="200"/>
        <w:rPr>
          <w:color w:val="auto"/>
          <w:highlight w:val="none"/>
        </w:rPr>
      </w:pPr>
      <w:r>
        <w:rPr>
          <w:rFonts w:hint="eastAsia"/>
          <w:color w:val="auto"/>
          <w:highlight w:val="none"/>
        </w:rPr>
        <w:t>（1）谈判小组按照“供应商须知前附表” 确定的顺序，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响应处理。</w:t>
      </w:r>
    </w:p>
    <w:p w14:paraId="054D89DF">
      <w:pPr>
        <w:spacing w:before="120" w:line="320" w:lineRule="atLeast"/>
        <w:ind w:firstLine="420" w:firstLineChars="200"/>
        <w:rPr>
          <w:color w:val="auto"/>
          <w:highlight w:val="none"/>
        </w:rPr>
      </w:pPr>
      <w:r>
        <w:rPr>
          <w:rFonts w:hint="eastAsia"/>
          <w:color w:val="auto"/>
          <w:highlight w:val="none"/>
        </w:rPr>
        <w:t>（2）在谈判过程中，谈判小组可以根据采购文件和谈判情况实质性变动采购需求中的技术、服务要求以及合同草案条款，但不得变动采购文件中的其他内容。实质性变动的内容，须经采购人代表确认。</w:t>
      </w:r>
    </w:p>
    <w:p w14:paraId="714F5DFB">
      <w:pPr>
        <w:spacing w:before="120" w:line="320" w:lineRule="atLeast"/>
        <w:ind w:firstLine="420" w:firstLineChars="200"/>
        <w:rPr>
          <w:color w:val="auto"/>
          <w:highlight w:val="none"/>
        </w:rPr>
      </w:pPr>
      <w:r>
        <w:rPr>
          <w:rFonts w:hint="eastAsia"/>
          <w:color w:val="auto"/>
          <w:highlight w:val="none"/>
        </w:rPr>
        <w:t>对采购文件作出的实质性变动是采购文件的有效组成部分，由谈判小组通过广西政府采购云平台以书面形式同时通知所有参加谈判的供应商。</w:t>
      </w:r>
    </w:p>
    <w:p w14:paraId="0037D503">
      <w:pPr>
        <w:spacing w:before="120" w:line="320" w:lineRule="atLeast"/>
        <w:ind w:firstLine="420" w:firstLineChars="200"/>
        <w:rPr>
          <w:color w:val="auto"/>
          <w:highlight w:val="none"/>
        </w:rPr>
      </w:pPr>
      <w:r>
        <w:rPr>
          <w:rFonts w:hint="eastAsia"/>
          <w:color w:val="auto"/>
          <w:highlight w:val="none"/>
        </w:rPr>
        <w:t>（3）供应商必须按照采购文件的变动情况和谈判小组的要求重新提交响应文件，并在广西政府采购云平台在线编辑或上传PDF格式，使用电子签章后提交至谈判小组。参加谈判的供应商未在规定时间内重新提交响应文件的，视同退出谈判。</w:t>
      </w:r>
    </w:p>
    <w:p w14:paraId="090516C8">
      <w:pPr>
        <w:spacing w:before="120" w:line="320" w:lineRule="atLeast"/>
        <w:ind w:firstLine="420" w:firstLineChars="200"/>
        <w:rPr>
          <w:color w:val="auto"/>
          <w:highlight w:val="none"/>
        </w:rPr>
      </w:pPr>
      <w:r>
        <w:rPr>
          <w:rFonts w:hint="eastAsia"/>
          <w:color w:val="auto"/>
          <w:highlight w:val="none"/>
        </w:rPr>
        <w:t>（4）供应商的法定代表人或其授权代表无须到现场参加谈判，提问及回答/响应均通过广西政府采购云平台进行。谈判过程中使用的电子签章应为供应商上传响应文件的同一签章。</w:t>
      </w:r>
    </w:p>
    <w:p w14:paraId="6C9EA549">
      <w:pPr>
        <w:spacing w:before="120" w:line="320" w:lineRule="atLeast"/>
        <w:ind w:firstLine="420" w:firstLineChars="200"/>
        <w:rPr>
          <w:color w:val="auto"/>
          <w:highlight w:val="none"/>
        </w:rPr>
      </w:pPr>
      <w:r>
        <w:rPr>
          <w:rFonts w:hint="eastAsia"/>
          <w:color w:val="auto"/>
          <w:highlight w:val="none"/>
        </w:rPr>
        <w:t>6</w:t>
      </w:r>
      <w:r>
        <w:rPr>
          <w:color w:val="auto"/>
          <w:highlight w:val="none"/>
        </w:rPr>
        <w:t>.3.</w:t>
      </w:r>
      <w:r>
        <w:rPr>
          <w:rFonts w:hint="eastAsia"/>
          <w:color w:val="auto"/>
          <w:highlight w:val="none"/>
        </w:rPr>
        <w:t>8最后报价</w:t>
      </w:r>
    </w:p>
    <w:p w14:paraId="777F64ED">
      <w:pPr>
        <w:spacing w:before="120" w:line="320" w:lineRule="atLeast"/>
        <w:ind w:firstLine="420" w:firstLineChars="200"/>
        <w:rPr>
          <w:color w:val="auto"/>
          <w:highlight w:val="none"/>
        </w:rPr>
      </w:pPr>
      <w:r>
        <w:rPr>
          <w:rFonts w:hint="eastAsia"/>
          <w:color w:val="auto"/>
          <w:highlight w:val="none"/>
        </w:rPr>
        <w:t xml:space="preserve">（1）采购文件能够详细列明采购标的的技术、服务要求的，谈判结束后，谈判小组应当要求所有实质性响应的供应商在规定时间内提交最后报价，提交最后报价的供应商不得少于3家。 </w:t>
      </w:r>
    </w:p>
    <w:p w14:paraId="251EF5EB">
      <w:pPr>
        <w:spacing w:before="120" w:line="320" w:lineRule="atLeast"/>
        <w:ind w:firstLine="420" w:firstLineChars="200"/>
        <w:rPr>
          <w:color w:val="auto"/>
          <w:highlight w:val="none"/>
        </w:rPr>
      </w:pPr>
      <w:r>
        <w:rPr>
          <w:rFonts w:hint="eastAsia"/>
          <w:color w:val="auto"/>
          <w:highlight w:val="none"/>
        </w:rPr>
        <w:t>采购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035806EF">
      <w:pPr>
        <w:spacing w:before="120" w:line="320" w:lineRule="atLeast"/>
        <w:ind w:firstLine="420" w:firstLineChars="200"/>
        <w:rPr>
          <w:color w:val="auto"/>
          <w:highlight w:val="none"/>
        </w:rPr>
      </w:pPr>
      <w:r>
        <w:rPr>
          <w:rFonts w:hint="eastAsia"/>
          <w:color w:val="auto"/>
          <w:highlight w:val="none"/>
        </w:rPr>
        <w:t>最后报价是供应商响应文件的有效组成部分。</w:t>
      </w:r>
    </w:p>
    <w:p w14:paraId="1A007392">
      <w:pPr>
        <w:spacing w:before="120" w:line="320" w:lineRule="atLeast"/>
        <w:ind w:firstLine="420" w:firstLineChars="200"/>
        <w:rPr>
          <w:color w:val="auto"/>
          <w:highlight w:val="none"/>
        </w:rPr>
      </w:pPr>
      <w:r>
        <w:rPr>
          <w:rFonts w:hint="eastAsia"/>
          <w:color w:val="auto"/>
          <w:highlight w:val="none"/>
        </w:rPr>
        <w:t>（2）最后报价要求通过广西政府采购云平台发出，供应商需在广西政府采购云平台设置的时间内报价，最后报价不得超过采购预算金额且具有唯一性，否则否决其响应。</w:t>
      </w:r>
    </w:p>
    <w:p w14:paraId="4F09D43D">
      <w:pPr>
        <w:spacing w:before="120" w:line="320" w:lineRule="atLeast"/>
        <w:ind w:firstLine="42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已提交响应文件的供应商，在提交最后报价之前，可以根据谈判情况退出谈判，退出谈判的供应商的响应文件无效。退出谈判的说明须经签字扫描后以电子邮件方式发送至采购代理机构，并及时通知项目负责人。谈判小组在评审报告中注明退出谈判的供应商名单。采购人、采购代理机构应当退还退出谈判的供应商的谈判保证金。</w:t>
      </w:r>
    </w:p>
    <w:p w14:paraId="2ECD3CDC">
      <w:pPr>
        <w:spacing w:before="120" w:line="320" w:lineRule="atLeast"/>
        <w:ind w:firstLine="420" w:firstLineChars="200"/>
        <w:rPr>
          <w:color w:val="auto"/>
          <w:highlight w:val="none"/>
        </w:rPr>
      </w:pPr>
      <w:r>
        <w:rPr>
          <w:rFonts w:hint="eastAsia"/>
          <w:color w:val="auto"/>
          <w:highlight w:val="none"/>
        </w:rPr>
        <w:t>（4）供应商未在规定时间内提交最后报价的，视同退出谈判。</w:t>
      </w:r>
    </w:p>
    <w:p w14:paraId="5B801595">
      <w:pPr>
        <w:spacing w:before="120" w:line="320" w:lineRule="atLeast"/>
        <w:ind w:firstLine="420" w:firstLineChars="200"/>
        <w:rPr>
          <w:color w:val="auto"/>
          <w:highlight w:val="none"/>
        </w:rPr>
      </w:pPr>
      <w:r>
        <w:rPr>
          <w:rFonts w:hint="eastAsia"/>
          <w:color w:val="auto"/>
          <w:highlight w:val="none"/>
        </w:rPr>
        <w:t>（5）最后报价结束后，谈判小组不得再与供应商进行任何形式的商谈。</w:t>
      </w:r>
    </w:p>
    <w:p w14:paraId="340AF5D3">
      <w:pP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rPr>
        <w:t>9</w:t>
      </w:r>
      <w:r>
        <w:rPr>
          <w:color w:val="auto"/>
          <w:szCs w:val="21"/>
          <w:highlight w:val="none"/>
        </w:rPr>
        <w:t>串通投标认定</w:t>
      </w:r>
    </w:p>
    <w:p w14:paraId="0CD35C11">
      <w:pPr>
        <w:spacing w:before="120" w:line="320" w:lineRule="atLeast"/>
        <w:ind w:firstLine="420" w:firstLineChars="200"/>
        <w:rPr>
          <w:color w:val="auto"/>
          <w:highlight w:val="none"/>
        </w:rPr>
      </w:pPr>
      <w:r>
        <w:rPr>
          <w:rFonts w:hint="eastAsia"/>
          <w:color w:val="auto"/>
          <w:szCs w:val="21"/>
          <w:highlight w:val="none"/>
        </w:rPr>
        <w:t>谈判</w:t>
      </w:r>
      <w:r>
        <w:rPr>
          <w:color w:val="auto"/>
          <w:szCs w:val="21"/>
          <w:highlight w:val="none"/>
        </w:rPr>
        <w:t>小组须根据</w:t>
      </w:r>
      <w:r>
        <w:rPr>
          <w:rFonts w:hint="eastAsia"/>
          <w:color w:val="auto"/>
          <w:szCs w:val="21"/>
          <w:highlight w:val="none"/>
        </w:rPr>
        <w:t>以下</w:t>
      </w:r>
      <w:r>
        <w:rPr>
          <w:color w:val="auto"/>
          <w:szCs w:val="21"/>
          <w:highlight w:val="none"/>
        </w:rPr>
        <w:t>规定</w:t>
      </w:r>
      <w:r>
        <w:rPr>
          <w:rFonts w:hint="eastAsia"/>
          <w:color w:val="auto"/>
          <w:szCs w:val="21"/>
          <w:highlight w:val="none"/>
        </w:rPr>
        <w:t>认定</w:t>
      </w:r>
      <w:r>
        <w:rPr>
          <w:color w:val="auto"/>
          <w:szCs w:val="21"/>
          <w:highlight w:val="none"/>
        </w:rPr>
        <w:t>供应商是否有</w:t>
      </w:r>
      <w:r>
        <w:rPr>
          <w:bCs/>
          <w:color w:val="auto"/>
          <w:kern w:val="0"/>
          <w:szCs w:val="21"/>
          <w:highlight w:val="none"/>
        </w:rPr>
        <w:t>串通投标的行为</w:t>
      </w:r>
      <w:r>
        <w:rPr>
          <w:color w:val="auto"/>
          <w:highlight w:val="none"/>
        </w:rPr>
        <w:t>。</w:t>
      </w:r>
    </w:p>
    <w:p w14:paraId="1EE95531">
      <w:pPr>
        <w:spacing w:before="120" w:line="320" w:lineRule="atLeast"/>
        <w:ind w:firstLine="420" w:firstLineChars="200"/>
        <w:rPr>
          <w:color w:val="auto"/>
          <w:szCs w:val="21"/>
          <w:highlight w:val="none"/>
        </w:rPr>
      </w:pPr>
      <w:bookmarkStart w:id="65" w:name="_Hlk19122026"/>
      <w:r>
        <w:rPr>
          <w:rFonts w:hint="eastAsia"/>
          <w:color w:val="auto"/>
          <w:szCs w:val="21"/>
          <w:highlight w:val="none"/>
        </w:rPr>
        <w:t>（1）</w:t>
      </w:r>
      <w:bookmarkEnd w:id="65"/>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rPr>
        <w:t>〔2016〕42号）</w:t>
      </w:r>
      <w:r>
        <w:rPr>
          <w:color w:val="auto"/>
          <w:szCs w:val="21"/>
          <w:highlight w:val="none"/>
        </w:rPr>
        <w:t>规定，出现下述情况的，相关供应商的投标作无效投标处理。</w:t>
      </w:r>
    </w:p>
    <w:p w14:paraId="41F16C90">
      <w:pPr>
        <w:spacing w:before="120" w:line="320" w:lineRule="atLeast"/>
        <w:ind w:firstLine="420" w:firstLineChars="200"/>
        <w:rPr>
          <w:color w:val="auto"/>
          <w:szCs w:val="21"/>
          <w:highlight w:val="none"/>
        </w:rPr>
      </w:pPr>
      <w:bookmarkStart w:id="66" w:name="_Hlk19122039"/>
      <w:r>
        <w:rPr>
          <w:rFonts w:hint="eastAsia" w:ascii="宋体" w:hAnsi="宋体" w:cs="宋体"/>
          <w:color w:val="auto"/>
          <w:szCs w:val="21"/>
          <w:highlight w:val="none"/>
        </w:rPr>
        <w:t>①</w:t>
      </w:r>
      <w:r>
        <w:rPr>
          <w:color w:val="auto"/>
          <w:szCs w:val="21"/>
          <w:highlight w:val="none"/>
        </w:rPr>
        <w:t>单位负责人为同一人或者存在直接控股、管理关系，参加同一合同项下政府采购活动的不同供应商。</w:t>
      </w:r>
    </w:p>
    <w:p w14:paraId="50F9688F">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授权给供应商后参加同一合同项（分标、分包）投标的生产厂商。</w:t>
      </w:r>
    </w:p>
    <w:p w14:paraId="10BF659E">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视为或被认定为串通投标的相关供应商。</w:t>
      </w:r>
    </w:p>
    <w:bookmarkEnd w:id="66"/>
    <w:p w14:paraId="6385208E">
      <w:pPr>
        <w:spacing w:before="120" w:line="320" w:lineRule="atLeast"/>
        <w:ind w:firstLine="420" w:firstLineChars="200"/>
        <w:rPr>
          <w:color w:val="auto"/>
          <w:szCs w:val="21"/>
          <w:highlight w:val="none"/>
        </w:rPr>
      </w:pPr>
      <w:bookmarkStart w:id="67" w:name="_Hlk19122058"/>
      <w:r>
        <w:rPr>
          <w:rFonts w:hint="eastAsia"/>
          <w:color w:val="auto"/>
          <w:szCs w:val="21"/>
          <w:highlight w:val="none"/>
        </w:rPr>
        <w:t>（2）</w:t>
      </w:r>
      <w:bookmarkEnd w:id="67"/>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rPr>
        <w:t>〔2016〕42号）</w:t>
      </w:r>
      <w:r>
        <w:rPr>
          <w:color w:val="auto"/>
          <w:szCs w:val="21"/>
          <w:highlight w:val="none"/>
        </w:rPr>
        <w:t>规定，有下列情形之一的视为供应商相互串通投标，响应文件将被视为无效。</w:t>
      </w:r>
    </w:p>
    <w:p w14:paraId="239D6262">
      <w:pPr>
        <w:spacing w:before="120" w:line="320" w:lineRule="atLeast"/>
        <w:ind w:firstLine="420" w:firstLineChars="200"/>
        <w:rPr>
          <w:color w:val="auto"/>
          <w:szCs w:val="21"/>
          <w:highlight w:val="none"/>
        </w:rPr>
      </w:pPr>
      <w:bookmarkStart w:id="68" w:name="_Hlk19122048"/>
      <w:r>
        <w:rPr>
          <w:rFonts w:hint="eastAsia" w:ascii="宋体" w:hAnsi="宋体" w:cs="宋体"/>
          <w:color w:val="auto"/>
          <w:szCs w:val="21"/>
          <w:highlight w:val="none"/>
        </w:rPr>
        <w:t>①</w:t>
      </w:r>
      <w:r>
        <w:rPr>
          <w:color w:val="auto"/>
          <w:szCs w:val="21"/>
          <w:highlight w:val="none"/>
        </w:rPr>
        <w:t>不同供应商的响应文件由同一单位或者个人编制；或不同供应商报名的IP地址一致的；</w:t>
      </w:r>
    </w:p>
    <w:p w14:paraId="789BC7A2">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不同供应商委托同一单位或者个人办理投标事宜；</w:t>
      </w:r>
    </w:p>
    <w:p w14:paraId="38F3C4E3">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不同的供应商的响应文件载明的项目管理员为同一个人；</w:t>
      </w:r>
    </w:p>
    <w:p w14:paraId="56D17ADE">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不同供应商的响应文件异常一致或投标报价呈规律性差异；</w:t>
      </w:r>
    </w:p>
    <w:p w14:paraId="354AD67E">
      <w:pP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不同供应商的响应文件相互混装；</w:t>
      </w:r>
    </w:p>
    <w:p w14:paraId="485A19B9">
      <w:pP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不同供应商的保证金从同一单位或者个人账户转出。</w:t>
      </w:r>
    </w:p>
    <w:bookmarkEnd w:id="68"/>
    <w:p w14:paraId="419D5276">
      <w:pPr>
        <w:spacing w:before="120" w:line="320" w:lineRule="atLeast"/>
        <w:ind w:firstLine="420" w:firstLineChars="200"/>
        <w:rPr>
          <w:color w:val="auto"/>
          <w:szCs w:val="21"/>
          <w:highlight w:val="none"/>
        </w:rPr>
      </w:pPr>
      <w:bookmarkStart w:id="69" w:name="_Hlk19122102"/>
      <w:r>
        <w:rPr>
          <w:rFonts w:hint="eastAsia"/>
          <w:color w:val="auto"/>
          <w:szCs w:val="21"/>
          <w:highlight w:val="none"/>
        </w:rPr>
        <w:t>（3）</w:t>
      </w:r>
      <w:bookmarkEnd w:id="69"/>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rPr>
        <w:t>〔2016〕42号）</w:t>
      </w:r>
      <w:r>
        <w:rPr>
          <w:color w:val="auto"/>
          <w:szCs w:val="21"/>
          <w:highlight w:val="none"/>
        </w:rPr>
        <w:t>规定，供应商有下列情形之一的，属于恶意串通行为，响应文件将被视为无效。</w:t>
      </w:r>
    </w:p>
    <w:p w14:paraId="163613EF">
      <w:pPr>
        <w:spacing w:before="120" w:line="320" w:lineRule="atLeast"/>
        <w:ind w:firstLine="420" w:firstLineChars="200"/>
        <w:rPr>
          <w:color w:val="auto"/>
          <w:szCs w:val="21"/>
          <w:highlight w:val="none"/>
        </w:rPr>
      </w:pPr>
      <w:bookmarkStart w:id="70" w:name="_Hlk19122095"/>
      <w:r>
        <w:rPr>
          <w:rFonts w:hint="eastAsia"/>
          <w:color w:val="auto"/>
          <w:szCs w:val="21"/>
          <w:highlight w:val="none"/>
        </w:rPr>
        <w:t>①</w:t>
      </w:r>
      <w:r>
        <w:rPr>
          <w:color w:val="auto"/>
          <w:szCs w:val="21"/>
          <w:highlight w:val="none"/>
        </w:rPr>
        <w:t>供应商直接或者间接从采购人或者采购代理机构处获得其他供应商的相关信息并修改其响应文件或者响应文件；</w:t>
      </w:r>
    </w:p>
    <w:p w14:paraId="2F12AEB6">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供应商按照采购人或者采购代理机构的授意撤换、修改响应文件或者响应文件</w:t>
      </w:r>
      <w:r>
        <w:rPr>
          <w:rFonts w:hint="eastAsia"/>
          <w:color w:val="auto"/>
          <w:szCs w:val="21"/>
          <w:highlight w:val="none"/>
        </w:rPr>
        <w:t>;</w:t>
      </w:r>
    </w:p>
    <w:p w14:paraId="55F43782">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供应商之间协商报价、技术方案等响应文件或者响应文件的实质性内容；</w:t>
      </w:r>
    </w:p>
    <w:p w14:paraId="2FBEC636">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属于同一集团、协会、商会等组织成员的供应商按照该组织要求协同参加政府采购活动；</w:t>
      </w:r>
    </w:p>
    <w:p w14:paraId="31220378">
      <w:pP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供应商之间事先约定一致抬高或者压低投标报价，或者在招标项目中事先约定轮流以高价位或者低价位中标，或者事先约定由某一特定供应商中标，然后再参加投标；</w:t>
      </w:r>
    </w:p>
    <w:p w14:paraId="5BDDDD0F">
      <w:pP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供应商之间商定部分供应商放弃参加政府采购活动或者放弃中标；</w:t>
      </w:r>
    </w:p>
    <w:p w14:paraId="3867E6AB">
      <w:pPr>
        <w:spacing w:before="120" w:line="320" w:lineRule="atLeast"/>
        <w:ind w:firstLine="420" w:firstLineChars="200"/>
        <w:rPr>
          <w:color w:val="auto"/>
          <w:szCs w:val="21"/>
          <w:highlight w:val="none"/>
        </w:rPr>
      </w:pPr>
      <w:r>
        <w:rPr>
          <w:rFonts w:hint="eastAsia"/>
          <w:color w:val="auto"/>
          <w:szCs w:val="21"/>
          <w:highlight w:val="none"/>
        </w:rPr>
        <w:t>⑦</w:t>
      </w:r>
      <w:r>
        <w:rPr>
          <w:color w:val="auto"/>
          <w:szCs w:val="21"/>
          <w:highlight w:val="none"/>
        </w:rPr>
        <w:t>供应商与采购人或者采购代理机构之间、供应商相互之间，为谋求特定供应商中标或者排斥其他供应商的其他串通行为。</w:t>
      </w:r>
    </w:p>
    <w:bookmarkEnd w:id="70"/>
    <w:p w14:paraId="67CDB518">
      <w:pP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rPr>
        <w:t>10</w:t>
      </w:r>
      <w:r>
        <w:rPr>
          <w:color w:val="auto"/>
          <w:szCs w:val="21"/>
          <w:highlight w:val="none"/>
        </w:rPr>
        <w:t>响应</w:t>
      </w:r>
      <w:r>
        <w:rPr>
          <w:rFonts w:hint="eastAsia"/>
          <w:color w:val="auto"/>
          <w:szCs w:val="21"/>
          <w:highlight w:val="none"/>
        </w:rPr>
        <w:t>无效</w:t>
      </w:r>
      <w:r>
        <w:rPr>
          <w:color w:val="auto"/>
          <w:szCs w:val="21"/>
          <w:highlight w:val="none"/>
        </w:rPr>
        <w:t>认定</w:t>
      </w:r>
    </w:p>
    <w:p w14:paraId="072ACF89">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1）在</w:t>
      </w:r>
      <w:r>
        <w:rPr>
          <w:rFonts w:hint="eastAsia"/>
          <w:color w:val="auto"/>
          <w:szCs w:val="21"/>
          <w:highlight w:val="none"/>
        </w:rPr>
        <w:t>评审过程中</w:t>
      </w:r>
      <w:r>
        <w:rPr>
          <w:color w:val="auto"/>
          <w:szCs w:val="21"/>
          <w:highlight w:val="none"/>
        </w:rPr>
        <w:t>如发现下列情形之一的，响应文件将被视为无效：</w:t>
      </w:r>
    </w:p>
    <w:p w14:paraId="1D555C1D">
      <w:pPr>
        <w:spacing w:before="120" w:line="320" w:lineRule="atLeast"/>
        <w:ind w:firstLine="420" w:firstLineChars="200"/>
        <w:rPr>
          <w:color w:val="auto"/>
          <w:highlight w:val="none"/>
        </w:rPr>
      </w:pPr>
      <w:r>
        <w:rPr>
          <w:rFonts w:hint="eastAsia"/>
          <w:color w:val="auto"/>
          <w:szCs w:val="21"/>
          <w:highlight w:val="none"/>
        </w:rPr>
        <w:t>①</w:t>
      </w:r>
      <w:r>
        <w:rPr>
          <w:color w:val="auto"/>
          <w:szCs w:val="21"/>
          <w:highlight w:val="none"/>
        </w:rPr>
        <w:t>响应文件</w:t>
      </w:r>
      <w:r>
        <w:rPr>
          <w:rFonts w:hint="eastAsia"/>
          <w:color w:val="auto"/>
          <w:szCs w:val="21"/>
          <w:highlight w:val="none"/>
        </w:rPr>
        <w:t>存在法律、法规及监督部门有关文件规定的无效情形</w:t>
      </w:r>
      <w:r>
        <w:rPr>
          <w:color w:val="auto"/>
          <w:szCs w:val="21"/>
          <w:highlight w:val="none"/>
        </w:rPr>
        <w:t>。</w:t>
      </w:r>
    </w:p>
    <w:p w14:paraId="66B8E7D9">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响应文件</w:t>
      </w:r>
      <w:r>
        <w:rPr>
          <w:rFonts w:hint="eastAsia"/>
          <w:color w:val="auto"/>
          <w:szCs w:val="21"/>
          <w:highlight w:val="none"/>
        </w:rPr>
        <w:t>存在采购文件规定的无效情形。</w:t>
      </w:r>
    </w:p>
    <w:p w14:paraId="120B5840">
      <w:pPr>
        <w:spacing w:before="120" w:line="320" w:lineRule="atLeast"/>
        <w:ind w:firstLine="420" w:firstLineChars="200"/>
        <w:rPr>
          <w:color w:val="auto"/>
          <w:szCs w:val="21"/>
          <w:highlight w:val="none"/>
        </w:rPr>
      </w:pPr>
      <w:bookmarkStart w:id="71" w:name="_Hlk19113313"/>
      <w:r>
        <w:rPr>
          <w:rFonts w:hint="eastAsia"/>
          <w:color w:val="auto"/>
          <w:szCs w:val="21"/>
          <w:highlight w:val="none"/>
        </w:rPr>
        <w:t>（2）根据</w:t>
      </w:r>
      <w:r>
        <w:rPr>
          <w:color w:val="auto"/>
          <w:szCs w:val="21"/>
          <w:highlight w:val="none"/>
        </w:rPr>
        <w:t>财库</w:t>
      </w:r>
      <w:r>
        <w:rPr>
          <w:rFonts w:hint="eastAsia"/>
          <w:color w:val="auto"/>
          <w:szCs w:val="21"/>
          <w:highlight w:val="none"/>
        </w:rPr>
        <w:t>《</w:t>
      </w:r>
      <w:r>
        <w:rPr>
          <w:color w:val="auto"/>
          <w:szCs w:val="21"/>
          <w:highlight w:val="none"/>
        </w:rPr>
        <w:t>关于促进政府采购公平竞争优化营商环境的通知</w:t>
      </w:r>
      <w:r>
        <w:rPr>
          <w:rFonts w:hint="eastAsia"/>
          <w:color w:val="auto"/>
          <w:szCs w:val="21"/>
          <w:highlight w:val="none"/>
        </w:rPr>
        <w:t>》（</w:t>
      </w:r>
      <w:r>
        <w:rPr>
          <w:color w:val="auto"/>
          <w:szCs w:val="21"/>
          <w:highlight w:val="none"/>
        </w:rPr>
        <w:t>〔2019〕38号</w:t>
      </w:r>
      <w:r>
        <w:rPr>
          <w:rFonts w:hint="eastAsia"/>
          <w:color w:val="auto"/>
          <w:szCs w:val="21"/>
          <w:highlight w:val="none"/>
        </w:rPr>
        <w:t>）以及《广西壮族自治区财政厅转发财政部关于促进政府采购公平竞争优化营商环境的通知》（桂财采〔2019〕41号）规定，谈判小组不得因装订、纸张、文件排序等非实质性的格式、形式问题认定投标无效或否决投标，从而限制和影响供应商投标（响应）。</w:t>
      </w:r>
    </w:p>
    <w:bookmarkEnd w:id="71"/>
    <w:p w14:paraId="02418ED1">
      <w:pPr>
        <w:spacing w:before="120" w:line="320" w:lineRule="atLeast"/>
        <w:ind w:firstLine="420" w:firstLineChars="200"/>
        <w:rPr>
          <w:color w:val="auto"/>
          <w:szCs w:val="21"/>
          <w:highlight w:val="none"/>
        </w:rPr>
      </w:pPr>
      <w:r>
        <w:rPr>
          <w:color w:val="auto"/>
          <w:szCs w:val="21"/>
          <w:highlight w:val="none"/>
        </w:rPr>
        <w:t>6.3.1</w:t>
      </w:r>
      <w:r>
        <w:rPr>
          <w:rFonts w:hint="eastAsia"/>
          <w:color w:val="auto"/>
          <w:szCs w:val="21"/>
          <w:highlight w:val="none"/>
        </w:rPr>
        <w:t>1</w:t>
      </w:r>
      <w:r>
        <w:rPr>
          <w:color w:val="auto"/>
          <w:szCs w:val="21"/>
          <w:highlight w:val="none"/>
        </w:rPr>
        <w:t>比较</w:t>
      </w:r>
      <w:r>
        <w:rPr>
          <w:rFonts w:hint="eastAsia"/>
          <w:color w:val="auto"/>
          <w:szCs w:val="21"/>
          <w:highlight w:val="none"/>
        </w:rPr>
        <w:t>与评价</w:t>
      </w:r>
    </w:p>
    <w:p w14:paraId="6E7B0924">
      <w:pPr>
        <w:spacing w:before="120" w:line="320" w:lineRule="atLeast"/>
        <w:ind w:firstLine="420" w:firstLineChars="200"/>
        <w:rPr>
          <w:color w:val="auto"/>
          <w:highlight w:val="none"/>
        </w:rPr>
      </w:pPr>
      <w:r>
        <w:rPr>
          <w:rFonts w:hint="eastAsia"/>
          <w:color w:val="auto"/>
          <w:szCs w:val="21"/>
          <w:highlight w:val="none"/>
        </w:rPr>
        <w:t>（1）</w:t>
      </w:r>
      <w:r>
        <w:rPr>
          <w:color w:val="auto"/>
          <w:szCs w:val="21"/>
          <w:highlight w:val="none"/>
        </w:rPr>
        <w:t>谈判小组按扣除后的价格由低到高的顺序排列推荐3名以上供应商为本项目（或分标）的成交候选</w:t>
      </w:r>
      <w:r>
        <w:rPr>
          <w:rFonts w:hint="eastAsia"/>
          <w:color w:val="auto"/>
          <w:szCs w:val="21"/>
          <w:highlight w:val="none"/>
        </w:rPr>
        <w:t>供应商</w:t>
      </w:r>
      <w:r>
        <w:rPr>
          <w:color w:val="auto"/>
          <w:szCs w:val="21"/>
          <w:highlight w:val="none"/>
        </w:rPr>
        <w:t>，排名第一的为第一成交候选</w:t>
      </w:r>
      <w:r>
        <w:rPr>
          <w:rFonts w:hint="eastAsia"/>
          <w:color w:val="auto"/>
          <w:szCs w:val="21"/>
          <w:highlight w:val="none"/>
        </w:rPr>
        <w:t>供应商</w:t>
      </w:r>
      <w:r>
        <w:rPr>
          <w:color w:val="auto"/>
          <w:szCs w:val="21"/>
          <w:highlight w:val="none"/>
        </w:rPr>
        <w:t>。若供应商的响应</w:t>
      </w:r>
      <w:r>
        <w:rPr>
          <w:rFonts w:hint="eastAsia"/>
          <w:color w:val="auto"/>
          <w:szCs w:val="21"/>
          <w:highlight w:val="none"/>
        </w:rPr>
        <w:t>最后</w:t>
      </w:r>
      <w:r>
        <w:rPr>
          <w:color w:val="auto"/>
          <w:szCs w:val="21"/>
          <w:highlight w:val="none"/>
        </w:rPr>
        <w:t>报价经扣除后价格相同，则按</w:t>
      </w:r>
      <w:r>
        <w:rPr>
          <w:rFonts w:hint="eastAsia"/>
          <w:color w:val="auto"/>
          <w:szCs w:val="21"/>
          <w:highlight w:val="none"/>
        </w:rPr>
        <w:t>（2）谈判小组根据评审记录及评审结果编写评审报告，谈判小组成员均应当在评审报告上签字，对自己的评审意见承担法律责任。</w:t>
      </w:r>
      <w:r>
        <w:rPr>
          <w:color w:val="auto"/>
          <w:highlight w:val="none"/>
        </w:rPr>
        <w:t>评审报告签署前，经复核发现存在以</w:t>
      </w:r>
      <w:r>
        <w:rPr>
          <w:rFonts w:hint="eastAsia"/>
          <w:color w:val="auto"/>
          <w:highlight w:val="none"/>
        </w:rPr>
        <w:t>下</w:t>
      </w:r>
      <w:r>
        <w:rPr>
          <w:color w:val="auto"/>
          <w:highlight w:val="none"/>
        </w:rPr>
        <w:t>情形之一的，</w:t>
      </w:r>
      <w:r>
        <w:rPr>
          <w:rFonts w:hint="eastAsia"/>
          <w:color w:val="auto"/>
          <w:highlight w:val="none"/>
        </w:rPr>
        <w:t>谈判</w:t>
      </w:r>
      <w:r>
        <w:rPr>
          <w:color w:val="auto"/>
          <w:highlight w:val="none"/>
        </w:rPr>
        <w:t>小组应当当场修改评审结果，并在评审报告中记载；评审报告签署后，采购人或者采购代理机构发现存在以</w:t>
      </w:r>
      <w:r>
        <w:rPr>
          <w:rFonts w:hint="eastAsia"/>
          <w:color w:val="auto"/>
          <w:highlight w:val="none"/>
        </w:rPr>
        <w:t>下</w:t>
      </w:r>
      <w:r>
        <w:rPr>
          <w:color w:val="auto"/>
          <w:highlight w:val="none"/>
        </w:rPr>
        <w:t>情形之一的，应当组织原</w:t>
      </w:r>
      <w:r>
        <w:rPr>
          <w:rFonts w:hint="eastAsia"/>
          <w:color w:val="auto"/>
          <w:highlight w:val="none"/>
        </w:rPr>
        <w:t>谈判</w:t>
      </w:r>
      <w:r>
        <w:rPr>
          <w:color w:val="auto"/>
          <w:highlight w:val="none"/>
        </w:rPr>
        <w:t>小组进行重新评审。</w:t>
      </w:r>
    </w:p>
    <w:p w14:paraId="36BBD804">
      <w:pPr>
        <w:spacing w:before="120" w:line="320" w:lineRule="atLeast"/>
        <w:ind w:firstLine="420" w:firstLineChars="200"/>
        <w:rPr>
          <w:color w:val="auto"/>
          <w:szCs w:val="21"/>
          <w:highlight w:val="none"/>
        </w:rPr>
      </w:pPr>
      <w:r>
        <w:rPr>
          <w:rFonts w:hint="eastAsia"/>
          <w:color w:val="auto"/>
          <w:highlight w:val="none"/>
        </w:rPr>
        <w:t>资格性检查认定错误、价格计算错误。</w:t>
      </w:r>
    </w:p>
    <w:p w14:paraId="625EDC27">
      <w:pPr>
        <w:spacing w:before="120" w:line="320" w:lineRule="atLeast"/>
        <w:ind w:firstLine="422" w:firstLineChars="200"/>
        <w:outlineLvl w:val="2"/>
        <w:rPr>
          <w:b/>
          <w:bCs/>
          <w:color w:val="auto"/>
          <w:kern w:val="0"/>
          <w:szCs w:val="21"/>
          <w:highlight w:val="none"/>
        </w:rPr>
      </w:pPr>
      <w:r>
        <w:rPr>
          <w:b/>
          <w:bCs/>
          <w:color w:val="auto"/>
          <w:kern w:val="0"/>
          <w:szCs w:val="21"/>
          <w:highlight w:val="none"/>
        </w:rPr>
        <w:t>6.4确定成交供应商</w:t>
      </w:r>
    </w:p>
    <w:p w14:paraId="022702B5">
      <w:pPr>
        <w:spacing w:before="120" w:line="276" w:lineRule="auto"/>
        <w:ind w:firstLine="420" w:firstLineChars="200"/>
        <w:rPr>
          <w:color w:val="auto"/>
          <w:szCs w:val="21"/>
          <w:highlight w:val="none"/>
        </w:rPr>
      </w:pPr>
      <w:r>
        <w:rPr>
          <w:rFonts w:hint="eastAsia"/>
          <w:color w:val="auto"/>
          <w:szCs w:val="21"/>
          <w:highlight w:val="none"/>
        </w:rPr>
        <w:t>6.</w:t>
      </w:r>
      <w:r>
        <w:rPr>
          <w:color w:val="auto"/>
          <w:szCs w:val="21"/>
          <w:highlight w:val="none"/>
        </w:rPr>
        <w:t>4.1采购代理机构将在评审结束后2个工作日内将评审报告送采购人，采购人在5个工作日内按照评审报告中推荐的</w:t>
      </w:r>
      <w:r>
        <w:rPr>
          <w:rFonts w:hint="eastAsia"/>
          <w:color w:val="auto"/>
          <w:szCs w:val="21"/>
          <w:highlight w:val="none"/>
        </w:rPr>
        <w:t>成交</w:t>
      </w:r>
      <w:r>
        <w:rPr>
          <w:color w:val="auto"/>
          <w:szCs w:val="21"/>
          <w:highlight w:val="none"/>
        </w:rPr>
        <w:t>候选供应商顺序确定成交供应商。</w:t>
      </w:r>
    </w:p>
    <w:p w14:paraId="3959EF79">
      <w:pPr>
        <w:spacing w:before="120" w:line="276" w:lineRule="auto"/>
        <w:ind w:firstLine="420" w:firstLineChars="200"/>
        <w:rPr>
          <w:color w:val="auto"/>
          <w:szCs w:val="21"/>
          <w:highlight w:val="none"/>
        </w:rPr>
      </w:pPr>
      <w:r>
        <w:rPr>
          <w:color w:val="auto"/>
          <w:szCs w:val="21"/>
          <w:highlight w:val="none"/>
        </w:rPr>
        <w:t>6.4.2</w:t>
      </w:r>
      <w:r>
        <w:rPr>
          <w:rFonts w:hint="eastAsia"/>
          <w:color w:val="auto"/>
          <w:szCs w:val="21"/>
          <w:highlight w:val="none"/>
        </w:rPr>
        <w:t>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789586CA">
      <w:pPr>
        <w:spacing w:before="120" w:line="320" w:lineRule="atLeast"/>
        <w:ind w:firstLine="422" w:firstLineChars="200"/>
        <w:outlineLvl w:val="2"/>
        <w:rPr>
          <w:b/>
          <w:bCs/>
          <w:color w:val="auto"/>
          <w:kern w:val="0"/>
          <w:szCs w:val="21"/>
          <w:highlight w:val="none"/>
        </w:rPr>
      </w:pPr>
      <w:r>
        <w:rPr>
          <w:b/>
          <w:bCs/>
          <w:color w:val="auto"/>
          <w:kern w:val="0"/>
          <w:szCs w:val="21"/>
          <w:highlight w:val="none"/>
        </w:rPr>
        <w:t>6.5</w:t>
      </w:r>
      <w:r>
        <w:rPr>
          <w:rFonts w:hint="eastAsia"/>
          <w:b/>
          <w:bCs/>
          <w:color w:val="auto"/>
          <w:kern w:val="0"/>
          <w:szCs w:val="21"/>
          <w:highlight w:val="none"/>
        </w:rPr>
        <w:t>结果公告</w:t>
      </w:r>
    </w:p>
    <w:p w14:paraId="3FE2EF34">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.5.1自成交供应商确定后2个工作日内，采购代理机构</w:t>
      </w:r>
      <w:r>
        <w:rPr>
          <w:rFonts w:hint="eastAsia"/>
          <w:color w:val="auto"/>
          <w:szCs w:val="21"/>
          <w:highlight w:val="none"/>
        </w:rPr>
        <w:t>按照供应商须知</w:t>
      </w:r>
      <w:r>
        <w:rPr>
          <w:rFonts w:hint="eastAsia"/>
          <w:color w:val="auto"/>
          <w:kern w:val="0"/>
          <w:szCs w:val="21"/>
          <w:highlight w:val="none"/>
        </w:rPr>
        <w:t>前附表的规定</w:t>
      </w:r>
      <w:r>
        <w:rPr>
          <w:color w:val="auto"/>
          <w:kern w:val="0"/>
          <w:szCs w:val="21"/>
          <w:highlight w:val="none"/>
        </w:rPr>
        <w:t>公告</w:t>
      </w:r>
      <w:r>
        <w:rPr>
          <w:color w:val="auto"/>
          <w:szCs w:val="21"/>
          <w:highlight w:val="none"/>
        </w:rPr>
        <w:t>成交结果</w:t>
      </w:r>
      <w:r>
        <w:rPr>
          <w:rFonts w:hint="eastAsia"/>
          <w:color w:val="auto"/>
          <w:szCs w:val="21"/>
          <w:highlight w:val="none"/>
        </w:rPr>
        <w:t>，成交结果公告期限为1个工作日，发布成交结果公告的同时向成交供应商发出成交通知书。采购代理机构发出成交通知书前，应当对成交供应商信用进行核实，对列入失信被执行人、重大税收违法案件当事人名 单、政府采购严重违法失信行为记录名单及其他不符合《中华人民共和国政府采购法》第二十二条规定条件的供应商，取消其成交资格，并确定排名第二的成交候选人为成交供应商。排名第二的成交候选人因前款规定的同样原因被取消成交资格的，授权的评标委员会可以确定排名第三的成交候选人为成交供应商，以此类推。以上信息查询记录及相关证据与采购文件一并保存。</w:t>
      </w:r>
    </w:p>
    <w:p w14:paraId="11803C00">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.5.2在发布</w:t>
      </w:r>
      <w:r>
        <w:rPr>
          <w:rFonts w:hint="eastAsia"/>
          <w:color w:val="auto"/>
          <w:szCs w:val="21"/>
          <w:highlight w:val="none"/>
        </w:rPr>
        <w:t>结果</w:t>
      </w:r>
      <w:r>
        <w:rPr>
          <w:color w:val="auto"/>
          <w:szCs w:val="21"/>
          <w:highlight w:val="none"/>
        </w:rPr>
        <w:t>公告的同时，采购代理机构以供应商须知前附表规定的形式向成交供应商发出成交通知书。成交通知书发出后，采购人改变成交结果，或者成交供应商放弃成交，应当承担相应的法律责任。</w:t>
      </w:r>
    </w:p>
    <w:p w14:paraId="494D75AD">
      <w:pPr>
        <w:suppressAutoHyphens/>
        <w:spacing w:before="120" w:line="320" w:lineRule="atLeast"/>
        <w:ind w:firstLine="422" w:firstLineChars="200"/>
        <w:outlineLvl w:val="2"/>
        <w:rPr>
          <w:b/>
          <w:bCs/>
          <w:color w:val="auto"/>
          <w:kern w:val="0"/>
          <w:szCs w:val="21"/>
          <w:highlight w:val="none"/>
        </w:rPr>
      </w:pPr>
      <w:r>
        <w:rPr>
          <w:b/>
          <w:bCs/>
          <w:color w:val="auto"/>
          <w:kern w:val="0"/>
          <w:szCs w:val="21"/>
          <w:highlight w:val="none"/>
        </w:rPr>
        <w:t>6.6</w:t>
      </w:r>
      <w:r>
        <w:rPr>
          <w:rFonts w:hint="eastAsia"/>
          <w:b/>
          <w:bCs/>
          <w:color w:val="auto"/>
          <w:kern w:val="0"/>
          <w:szCs w:val="21"/>
          <w:highlight w:val="none"/>
        </w:rPr>
        <w:t>废标</w:t>
      </w:r>
    </w:p>
    <w:p w14:paraId="3CDF0013">
      <w:pPr>
        <w:spacing w:before="120" w:line="320" w:lineRule="atLeast"/>
        <w:ind w:firstLine="420" w:firstLineChars="200"/>
        <w:rPr>
          <w:color w:val="auto"/>
          <w:kern w:val="1"/>
          <w:szCs w:val="21"/>
          <w:highlight w:val="none"/>
        </w:rPr>
      </w:pPr>
      <w:r>
        <w:rPr>
          <w:color w:val="auto"/>
          <w:kern w:val="1"/>
          <w:szCs w:val="21"/>
          <w:highlight w:val="none"/>
        </w:rPr>
        <w:t>6.6.1</w:t>
      </w:r>
      <w:r>
        <w:rPr>
          <w:rFonts w:hint="eastAsia"/>
          <w:color w:val="auto"/>
          <w:kern w:val="1"/>
          <w:szCs w:val="21"/>
          <w:highlight w:val="none"/>
        </w:rPr>
        <w:t xml:space="preserve">出现下列情形之一，将导致项目废标： </w:t>
      </w:r>
    </w:p>
    <w:p w14:paraId="4A68F803">
      <w:pPr>
        <w:spacing w:before="120" w:line="320" w:lineRule="atLeast"/>
        <w:ind w:firstLine="420" w:firstLineChars="200"/>
        <w:rPr>
          <w:color w:val="auto"/>
          <w:szCs w:val="21"/>
          <w:highlight w:val="none"/>
        </w:rPr>
      </w:pPr>
      <w:r>
        <w:rPr>
          <w:rFonts w:hint="eastAsia"/>
          <w:color w:val="auto"/>
          <w:kern w:val="1"/>
          <w:szCs w:val="21"/>
          <w:highlight w:val="none"/>
        </w:rPr>
        <w:t>（1</w:t>
      </w:r>
      <w:r>
        <w:rPr>
          <w:rFonts w:hint="eastAsia"/>
          <w:color w:val="auto"/>
          <w:szCs w:val="21"/>
          <w:highlight w:val="none"/>
        </w:rPr>
        <w:t>）符合专业条件的供应商或者对采购文件做实质性响应的供应商不足三家；</w:t>
      </w:r>
    </w:p>
    <w:p w14:paraId="4ED74CFC">
      <w:pPr>
        <w:spacing w:before="120" w:line="320" w:lineRule="atLeast"/>
        <w:ind w:firstLine="420" w:firstLineChars="200"/>
        <w:rPr>
          <w:color w:val="auto"/>
          <w:szCs w:val="21"/>
          <w:highlight w:val="none"/>
        </w:rPr>
      </w:pPr>
      <w:r>
        <w:rPr>
          <w:rFonts w:hint="eastAsia"/>
          <w:color w:val="auto"/>
          <w:szCs w:val="21"/>
          <w:highlight w:val="none"/>
        </w:rPr>
        <w:t>（2）出现影响采购公正的违法、违规行为的；</w:t>
      </w:r>
    </w:p>
    <w:p w14:paraId="382A2AEC">
      <w:pPr>
        <w:spacing w:before="120" w:line="320" w:lineRule="atLeast"/>
        <w:ind w:firstLine="420" w:firstLineChars="200"/>
        <w:rPr>
          <w:color w:val="auto"/>
          <w:szCs w:val="21"/>
          <w:highlight w:val="none"/>
        </w:rPr>
      </w:pPr>
      <w:r>
        <w:rPr>
          <w:rFonts w:hint="eastAsia"/>
          <w:color w:val="auto"/>
          <w:szCs w:val="21"/>
          <w:highlight w:val="none"/>
        </w:rPr>
        <w:t>（3）供应商的报价均超过了采购预算，采购人不能支付的；</w:t>
      </w:r>
    </w:p>
    <w:p w14:paraId="2D29C4E3">
      <w:pPr>
        <w:spacing w:before="120" w:line="320" w:lineRule="atLeast"/>
        <w:ind w:firstLine="420" w:firstLineChars="200"/>
        <w:rPr>
          <w:color w:val="auto"/>
          <w:highlight w:val="none"/>
        </w:rPr>
      </w:pPr>
      <w:r>
        <w:rPr>
          <w:rFonts w:hint="eastAsia"/>
          <w:color w:val="auto"/>
          <w:szCs w:val="21"/>
          <w:highlight w:val="none"/>
        </w:rPr>
        <w:t>（4）</w:t>
      </w:r>
      <w:r>
        <w:rPr>
          <w:rFonts w:hint="eastAsia"/>
          <w:color w:val="auto"/>
          <w:highlight w:val="none"/>
        </w:rPr>
        <w:t>因发生重大变故或采购任务取消的。</w:t>
      </w:r>
    </w:p>
    <w:p w14:paraId="7B5059F7">
      <w:pPr>
        <w:spacing w:before="120" w:line="320" w:lineRule="atLeast"/>
        <w:ind w:firstLine="420" w:firstLineChars="200"/>
        <w:rPr>
          <w:color w:val="auto"/>
          <w:szCs w:val="21"/>
          <w:highlight w:val="none"/>
        </w:rPr>
      </w:pPr>
      <w:r>
        <w:rPr>
          <w:color w:val="auto"/>
          <w:kern w:val="1"/>
          <w:szCs w:val="21"/>
          <w:highlight w:val="none"/>
        </w:rPr>
        <w:t>6.6.2</w:t>
      </w:r>
      <w:r>
        <w:rPr>
          <w:rFonts w:hint="eastAsia"/>
          <w:color w:val="auto"/>
          <w:kern w:val="1"/>
          <w:szCs w:val="21"/>
          <w:highlight w:val="none"/>
        </w:rPr>
        <w:t>废标后</w:t>
      </w:r>
      <w:r>
        <w:rPr>
          <w:rFonts w:hint="eastAsia"/>
          <w:color w:val="auto"/>
          <w:szCs w:val="21"/>
          <w:highlight w:val="none"/>
        </w:rPr>
        <w:t>采购</w:t>
      </w:r>
      <w:r>
        <w:rPr>
          <w:rFonts w:hint="eastAsia"/>
          <w:color w:val="auto"/>
          <w:kern w:val="1"/>
          <w:szCs w:val="21"/>
          <w:highlight w:val="none"/>
        </w:rPr>
        <w:t>代理机构将发布废标公告通知供应商。</w:t>
      </w:r>
    </w:p>
    <w:p w14:paraId="3C7E6E67">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7．合同</w:t>
      </w:r>
    </w:p>
    <w:p w14:paraId="560CEAE4">
      <w:pPr>
        <w:spacing w:before="120" w:line="320" w:lineRule="atLeast"/>
        <w:ind w:firstLine="422" w:firstLineChars="200"/>
        <w:outlineLvl w:val="2"/>
        <w:rPr>
          <w:b/>
          <w:bCs/>
          <w:color w:val="auto"/>
          <w:kern w:val="0"/>
          <w:szCs w:val="21"/>
          <w:highlight w:val="none"/>
        </w:rPr>
      </w:pPr>
      <w:r>
        <w:rPr>
          <w:b/>
          <w:bCs/>
          <w:color w:val="auto"/>
          <w:kern w:val="0"/>
          <w:szCs w:val="21"/>
          <w:highlight w:val="none"/>
        </w:rPr>
        <w:t>7.1合同授予标准</w:t>
      </w:r>
    </w:p>
    <w:p w14:paraId="7A59A114">
      <w:pPr>
        <w:spacing w:before="120" w:line="320" w:lineRule="atLeast"/>
        <w:ind w:firstLine="420" w:firstLineChars="200"/>
        <w:rPr>
          <w:color w:val="auto"/>
          <w:szCs w:val="21"/>
          <w:highlight w:val="none"/>
        </w:rPr>
      </w:pPr>
      <w:r>
        <w:rPr>
          <w:color w:val="auto"/>
          <w:szCs w:val="21"/>
          <w:highlight w:val="none"/>
        </w:rPr>
        <w:t>合同将授予被确定实质上响应采购文件要求，具备履行合同能力，排名第一的供应商。在</w:t>
      </w:r>
      <w:r>
        <w:rPr>
          <w:rFonts w:hint="eastAsia"/>
          <w:color w:val="auto"/>
          <w:szCs w:val="21"/>
          <w:highlight w:val="none"/>
        </w:rPr>
        <w:t>成交通知书</w:t>
      </w:r>
      <w:r>
        <w:rPr>
          <w:color w:val="auto"/>
          <w:szCs w:val="21"/>
          <w:highlight w:val="none"/>
        </w:rPr>
        <w:t>发出前或签订合同前，如果</w:t>
      </w:r>
      <w:r>
        <w:rPr>
          <w:rFonts w:hint="eastAsia"/>
          <w:color w:val="auto"/>
          <w:szCs w:val="21"/>
          <w:highlight w:val="none"/>
        </w:rPr>
        <w:t>成交供应商</w:t>
      </w:r>
      <w:r>
        <w:rPr>
          <w:color w:val="auto"/>
          <w:szCs w:val="21"/>
          <w:highlight w:val="none"/>
        </w:rPr>
        <w:t>的组织机构</w:t>
      </w:r>
      <w:r>
        <w:rPr>
          <w:rFonts w:hint="eastAsia"/>
          <w:color w:val="auto"/>
          <w:szCs w:val="21"/>
          <w:highlight w:val="none"/>
        </w:rPr>
        <w:t>、</w:t>
      </w:r>
      <w:r>
        <w:rPr>
          <w:color w:val="auto"/>
          <w:szCs w:val="21"/>
          <w:highlight w:val="none"/>
        </w:rPr>
        <w:t>经营、财务状况发生较大变化，可能造成不能履行合同、无法按照</w:t>
      </w:r>
      <w:r>
        <w:rPr>
          <w:rFonts w:hint="eastAsia"/>
          <w:color w:val="auto"/>
          <w:szCs w:val="21"/>
          <w:highlight w:val="none"/>
        </w:rPr>
        <w:t>采购文件</w:t>
      </w:r>
      <w:r>
        <w:rPr>
          <w:color w:val="auto"/>
          <w:szCs w:val="21"/>
          <w:highlight w:val="none"/>
        </w:rPr>
        <w:t>要求提交履约保证金等情形，不符合成交条件或不满足供应商资格条件要求 ，应在</w:t>
      </w:r>
      <w:r>
        <w:rPr>
          <w:rFonts w:hint="eastAsia"/>
          <w:color w:val="auto"/>
          <w:szCs w:val="21"/>
          <w:highlight w:val="none"/>
        </w:rPr>
        <w:t>成交通知书</w:t>
      </w:r>
      <w:r>
        <w:rPr>
          <w:color w:val="auto"/>
          <w:szCs w:val="21"/>
          <w:highlight w:val="none"/>
        </w:rPr>
        <w:t>发出前或签订合同前及时书面告知采购人</w:t>
      </w:r>
      <w:r>
        <w:rPr>
          <w:rFonts w:hint="eastAsia"/>
          <w:color w:val="auto"/>
          <w:szCs w:val="21"/>
          <w:highlight w:val="none"/>
        </w:rPr>
        <w:t>，</w:t>
      </w:r>
      <w:r>
        <w:rPr>
          <w:color w:val="auto"/>
          <w:szCs w:val="21"/>
          <w:highlight w:val="none"/>
        </w:rPr>
        <w:t>未主动告知</w:t>
      </w:r>
      <w:r>
        <w:rPr>
          <w:rFonts w:hint="eastAsia"/>
          <w:color w:val="auto"/>
          <w:szCs w:val="21"/>
          <w:highlight w:val="none"/>
        </w:rPr>
        <w:t>，</w:t>
      </w:r>
      <w:r>
        <w:rPr>
          <w:color w:val="auto"/>
          <w:szCs w:val="21"/>
          <w:highlight w:val="none"/>
        </w:rPr>
        <w:t>给采购人造成损失的</w:t>
      </w:r>
      <w:r>
        <w:rPr>
          <w:rFonts w:hint="eastAsia"/>
          <w:color w:val="auto"/>
          <w:szCs w:val="21"/>
          <w:highlight w:val="none"/>
        </w:rPr>
        <w:t>，</w:t>
      </w:r>
      <w:r>
        <w:rPr>
          <w:color w:val="auto"/>
          <w:szCs w:val="21"/>
          <w:highlight w:val="none"/>
        </w:rPr>
        <w:t>采购人有权</w:t>
      </w:r>
      <w:r>
        <w:rPr>
          <w:rFonts w:hint="eastAsia"/>
          <w:color w:val="auto"/>
          <w:szCs w:val="21"/>
          <w:highlight w:val="none"/>
        </w:rPr>
        <w:t>取消其成交资格并</w:t>
      </w:r>
      <w:r>
        <w:rPr>
          <w:color w:val="auto"/>
          <w:szCs w:val="21"/>
          <w:highlight w:val="none"/>
        </w:rPr>
        <w:t>没收谈判保证金</w:t>
      </w:r>
      <w:r>
        <w:rPr>
          <w:rFonts w:hint="eastAsia"/>
          <w:color w:val="auto"/>
          <w:szCs w:val="21"/>
          <w:highlight w:val="none"/>
        </w:rPr>
        <w:t>。</w:t>
      </w:r>
    </w:p>
    <w:p w14:paraId="244E9DB3">
      <w:pPr>
        <w:spacing w:before="120" w:line="320" w:lineRule="atLeast"/>
        <w:ind w:firstLine="422" w:firstLineChars="200"/>
        <w:outlineLvl w:val="2"/>
        <w:rPr>
          <w:b/>
          <w:bCs/>
          <w:color w:val="auto"/>
          <w:kern w:val="0"/>
          <w:szCs w:val="21"/>
          <w:highlight w:val="none"/>
        </w:rPr>
      </w:pPr>
      <w:r>
        <w:rPr>
          <w:b/>
          <w:bCs/>
          <w:color w:val="auto"/>
          <w:kern w:val="0"/>
          <w:szCs w:val="21"/>
          <w:highlight w:val="none"/>
        </w:rPr>
        <w:t>7.2签订合同</w:t>
      </w:r>
    </w:p>
    <w:p w14:paraId="6EE3D94B">
      <w:pPr>
        <w:spacing w:before="120" w:line="320" w:lineRule="atLeast"/>
        <w:ind w:firstLine="420" w:firstLineChars="200"/>
        <w:rPr>
          <w:color w:val="auto"/>
          <w:szCs w:val="21"/>
          <w:highlight w:val="none"/>
        </w:rPr>
      </w:pPr>
      <w:r>
        <w:rPr>
          <w:color w:val="auto"/>
          <w:szCs w:val="21"/>
          <w:highlight w:val="none"/>
        </w:rPr>
        <w:t>7.2.1如</w:t>
      </w:r>
      <w:r>
        <w:rPr>
          <w:rFonts w:hint="eastAsia"/>
          <w:color w:val="auto"/>
          <w:szCs w:val="21"/>
          <w:highlight w:val="none"/>
        </w:rPr>
        <w:t>采购文件</w:t>
      </w:r>
      <w:r>
        <w:rPr>
          <w:color w:val="auto"/>
          <w:szCs w:val="21"/>
          <w:highlight w:val="none"/>
        </w:rPr>
        <w:t>无</w:t>
      </w:r>
      <w:r>
        <w:rPr>
          <w:rFonts w:hint="eastAsia"/>
          <w:color w:val="auto"/>
          <w:szCs w:val="21"/>
          <w:highlight w:val="none"/>
        </w:rPr>
        <w:t>特别</w:t>
      </w:r>
      <w:r>
        <w:rPr>
          <w:color w:val="auto"/>
          <w:szCs w:val="21"/>
          <w:highlight w:val="none"/>
        </w:rPr>
        <w:t>规定，</w:t>
      </w:r>
      <w:r>
        <w:rPr>
          <w:rFonts w:hint="eastAsia"/>
          <w:color w:val="auto"/>
          <w:szCs w:val="21"/>
          <w:highlight w:val="none"/>
        </w:rPr>
        <w:t>成交供应商按采购文件确定的事项签订政府采购合同。</w:t>
      </w:r>
    </w:p>
    <w:p w14:paraId="763098F7">
      <w:pPr>
        <w:spacing w:before="120" w:line="320" w:lineRule="atLeast"/>
        <w:ind w:firstLine="420" w:firstLineChars="200"/>
        <w:rPr>
          <w:color w:val="auto"/>
          <w:szCs w:val="21"/>
          <w:highlight w:val="none"/>
        </w:rPr>
      </w:pPr>
      <w:r>
        <w:rPr>
          <w:color w:val="auto"/>
          <w:szCs w:val="21"/>
          <w:highlight w:val="none"/>
        </w:rPr>
        <w:t>7.2.2</w:t>
      </w:r>
      <w:r>
        <w:rPr>
          <w:rFonts w:hint="eastAsia"/>
          <w:color w:val="auto"/>
          <w:szCs w:val="21"/>
          <w:highlight w:val="none"/>
        </w:rPr>
        <w:t>政府采购合同应当包括采购人与成交供应商的名称和住所、标的、数量、质量、价款或者报酬、履行期限及地点和方式、验收要求、违约责任、解决争议的方法等内容。</w:t>
      </w:r>
      <w:r>
        <w:rPr>
          <w:color w:val="auto"/>
          <w:szCs w:val="21"/>
          <w:highlight w:val="none"/>
        </w:rPr>
        <w:t>采购文件、成交供应商的响应文件及澄清文件等，均为签订政府采购合同的依据。</w:t>
      </w:r>
    </w:p>
    <w:p w14:paraId="1277DD0A">
      <w:pPr>
        <w:spacing w:before="120" w:line="320" w:lineRule="atLeast"/>
        <w:ind w:firstLine="420" w:firstLineChars="200"/>
        <w:rPr>
          <w:color w:val="auto"/>
          <w:szCs w:val="21"/>
          <w:highlight w:val="none"/>
        </w:rPr>
      </w:pPr>
      <w:r>
        <w:rPr>
          <w:color w:val="auto"/>
          <w:szCs w:val="21"/>
          <w:highlight w:val="none"/>
        </w:rPr>
        <w:t>7.2.3如成交供应商不按成交通知书的规定签订合同，</w:t>
      </w:r>
      <w:r>
        <w:rPr>
          <w:rFonts w:hint="eastAsia"/>
          <w:color w:val="auto"/>
          <w:szCs w:val="21"/>
          <w:highlight w:val="none"/>
        </w:rPr>
        <w:t>其谈判保证金将不予退还，并报由同级政府采购监督管理部门处理。</w:t>
      </w:r>
    </w:p>
    <w:p w14:paraId="4D06D508">
      <w:pPr>
        <w:spacing w:before="120" w:line="320" w:lineRule="atLeast"/>
        <w:ind w:firstLine="420" w:firstLineChars="200"/>
        <w:rPr>
          <w:color w:val="auto"/>
          <w:szCs w:val="21"/>
          <w:highlight w:val="none"/>
        </w:rPr>
      </w:pPr>
      <w:r>
        <w:rPr>
          <w:rFonts w:hint="eastAsia"/>
          <w:color w:val="auto"/>
          <w:szCs w:val="21"/>
          <w:highlight w:val="none"/>
        </w:rPr>
        <w:t>7</w:t>
      </w:r>
      <w:r>
        <w:rPr>
          <w:color w:val="auto"/>
          <w:szCs w:val="21"/>
          <w:highlight w:val="none"/>
        </w:rPr>
        <w:t>.2.4</w:t>
      </w:r>
      <w:r>
        <w:rPr>
          <w:rFonts w:hint="eastAsia"/>
          <w:color w:val="auto"/>
          <w:szCs w:val="21"/>
          <w:highlight w:val="none"/>
        </w:rPr>
        <w:t>成交供应商拒绝与采购人签订合同的，采购人可以按照评审报告推荐的成交候选人名单排序，确定下一候选人为成交供应商，也可以重新开展政府采购活动。</w:t>
      </w:r>
    </w:p>
    <w:p w14:paraId="5C0BD8D9">
      <w:pPr>
        <w:spacing w:before="120" w:line="320" w:lineRule="atLeast"/>
        <w:ind w:firstLine="420" w:firstLineChars="200"/>
        <w:rPr>
          <w:color w:val="auto"/>
          <w:szCs w:val="21"/>
          <w:highlight w:val="none"/>
        </w:rPr>
      </w:pPr>
      <w:bookmarkStart w:id="72" w:name="_Hlk155170999"/>
      <w:r>
        <w:rPr>
          <w:rFonts w:hint="eastAsia"/>
          <w:color w:val="auto"/>
          <w:szCs w:val="21"/>
          <w:highlight w:val="none"/>
        </w:rPr>
        <w:t>7</w:t>
      </w:r>
      <w:r>
        <w:rPr>
          <w:color w:val="auto"/>
          <w:szCs w:val="21"/>
          <w:highlight w:val="none"/>
        </w:rPr>
        <w:t>.2.5</w:t>
      </w:r>
      <w:r>
        <w:rPr>
          <w:rFonts w:hint="eastAsia"/>
          <w:color w:val="auto"/>
          <w:szCs w:val="21"/>
          <w:highlight w:val="none"/>
        </w:rPr>
        <w:t>采购人因不可抗力原因迟延签订合同的，应当自不可抗力事由消除之日起5个工作日内完成合同签订事宜。</w:t>
      </w:r>
      <w:bookmarkEnd w:id="72"/>
    </w:p>
    <w:p w14:paraId="2D536F14">
      <w:pPr>
        <w:spacing w:before="120" w:line="320" w:lineRule="atLeast"/>
        <w:ind w:firstLine="422" w:firstLineChars="200"/>
        <w:outlineLvl w:val="2"/>
        <w:rPr>
          <w:b/>
          <w:bCs/>
          <w:color w:val="auto"/>
          <w:kern w:val="0"/>
          <w:szCs w:val="21"/>
          <w:highlight w:val="none"/>
        </w:rPr>
      </w:pPr>
      <w:r>
        <w:rPr>
          <w:b/>
          <w:bCs/>
          <w:color w:val="auto"/>
          <w:kern w:val="0"/>
          <w:szCs w:val="21"/>
          <w:highlight w:val="none"/>
        </w:rPr>
        <w:t>7.3合同公告</w:t>
      </w:r>
    </w:p>
    <w:p w14:paraId="23EA8DFD">
      <w:pPr>
        <w:spacing w:before="120" w:line="320" w:lineRule="atLeast"/>
        <w:ind w:firstLine="420" w:firstLineChars="200"/>
        <w:rPr>
          <w:color w:val="auto"/>
          <w:szCs w:val="21"/>
          <w:highlight w:val="none"/>
        </w:rPr>
      </w:pPr>
      <w:r>
        <w:rPr>
          <w:color w:val="auto"/>
          <w:szCs w:val="21"/>
          <w:highlight w:val="none"/>
        </w:rPr>
        <w:t>7.3.1如</w:t>
      </w:r>
      <w:r>
        <w:rPr>
          <w:rFonts w:hint="eastAsia"/>
          <w:color w:val="auto"/>
          <w:szCs w:val="21"/>
          <w:highlight w:val="none"/>
        </w:rPr>
        <w:t>采购文件</w:t>
      </w:r>
      <w:r>
        <w:rPr>
          <w:color w:val="auto"/>
          <w:szCs w:val="21"/>
          <w:highlight w:val="none"/>
        </w:rPr>
        <w:t>无特殊规定</w:t>
      </w:r>
      <w:r>
        <w:rPr>
          <w:rFonts w:hint="eastAsia"/>
          <w:color w:val="auto"/>
          <w:szCs w:val="21"/>
          <w:highlight w:val="none"/>
        </w:rPr>
        <w:t>，</w:t>
      </w:r>
      <w:r>
        <w:rPr>
          <w:color w:val="auto"/>
          <w:szCs w:val="21"/>
          <w:highlight w:val="none"/>
        </w:rPr>
        <w:t>成交供应商应在签订合同后1个工作日内，将政府采购合同副本送采购代理机构</w:t>
      </w:r>
      <w:r>
        <w:rPr>
          <w:rFonts w:hint="eastAsia"/>
          <w:color w:val="auto"/>
          <w:szCs w:val="21"/>
          <w:highlight w:val="none"/>
        </w:rPr>
        <w:t>存档</w:t>
      </w:r>
      <w:r>
        <w:rPr>
          <w:color w:val="auto"/>
          <w:szCs w:val="21"/>
          <w:highlight w:val="none"/>
        </w:rPr>
        <w:t>。</w:t>
      </w:r>
    </w:p>
    <w:p w14:paraId="45210F7C">
      <w:pPr>
        <w:spacing w:before="120" w:line="320" w:lineRule="atLeast"/>
        <w:ind w:firstLine="420" w:firstLineChars="200"/>
        <w:rPr>
          <w:color w:val="auto"/>
          <w:szCs w:val="21"/>
          <w:highlight w:val="none"/>
        </w:rPr>
      </w:pPr>
      <w:r>
        <w:rPr>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14C93E0A">
      <w:pPr>
        <w:spacing w:before="120" w:line="320" w:lineRule="atLeast"/>
        <w:ind w:firstLine="420" w:firstLineChars="200"/>
        <w:rPr>
          <w:color w:val="auto"/>
          <w:szCs w:val="21"/>
          <w:highlight w:val="none"/>
        </w:rPr>
      </w:pPr>
      <w:bookmarkStart w:id="73" w:name="_Hlk155171014"/>
      <w:r>
        <w:rPr>
          <w:rFonts w:hint="eastAsia"/>
          <w:color w:val="auto"/>
          <w:szCs w:val="21"/>
          <w:highlight w:val="none"/>
        </w:rPr>
        <w:t>7</w:t>
      </w:r>
      <w:r>
        <w:rPr>
          <w:color w:val="auto"/>
          <w:szCs w:val="21"/>
          <w:highlight w:val="none"/>
        </w:rPr>
        <w:t xml:space="preserve">.3.3 </w:t>
      </w:r>
      <w:r>
        <w:rPr>
          <w:rFonts w:hint="eastAsia"/>
          <w:color w:val="auto"/>
          <w:szCs w:val="21"/>
          <w:highlight w:val="none"/>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73"/>
    </w:p>
    <w:p w14:paraId="54DDE74B">
      <w:pPr>
        <w:spacing w:before="120" w:line="320" w:lineRule="atLeast"/>
        <w:ind w:firstLine="422" w:firstLineChars="200"/>
        <w:outlineLvl w:val="2"/>
        <w:rPr>
          <w:b/>
          <w:bCs/>
          <w:color w:val="auto"/>
          <w:kern w:val="0"/>
          <w:szCs w:val="21"/>
          <w:highlight w:val="none"/>
        </w:rPr>
      </w:pPr>
      <w:r>
        <w:rPr>
          <w:b/>
          <w:bCs/>
          <w:color w:val="auto"/>
          <w:kern w:val="0"/>
          <w:szCs w:val="21"/>
          <w:highlight w:val="none"/>
        </w:rPr>
        <w:t>7.4 履行合同</w:t>
      </w:r>
    </w:p>
    <w:p w14:paraId="69C1917D">
      <w:pPr>
        <w:spacing w:before="120" w:line="320" w:lineRule="atLeast"/>
        <w:ind w:firstLine="420" w:firstLineChars="200"/>
        <w:rPr>
          <w:color w:val="auto"/>
          <w:szCs w:val="21"/>
          <w:highlight w:val="none"/>
        </w:rPr>
      </w:pPr>
      <w:bookmarkStart w:id="74" w:name="_Toc217446070"/>
      <w:bookmarkStart w:id="75" w:name="_Toc308164814"/>
      <w:r>
        <w:rPr>
          <w:color w:val="auto"/>
          <w:szCs w:val="21"/>
          <w:highlight w:val="none"/>
        </w:rPr>
        <w:t>7.4.1</w:t>
      </w:r>
      <w:r>
        <w:rPr>
          <w:rFonts w:hint="eastAsia"/>
          <w:color w:val="auto"/>
          <w:szCs w:val="21"/>
          <w:highlight w:val="none"/>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3B0A5DCD">
      <w:pPr>
        <w:spacing w:before="120" w:line="320" w:lineRule="atLeast"/>
        <w:ind w:firstLine="422" w:firstLineChars="200"/>
        <w:rPr>
          <w:b/>
          <w:bCs/>
          <w:color w:val="auto"/>
          <w:kern w:val="0"/>
          <w:szCs w:val="21"/>
          <w:highlight w:val="none"/>
        </w:rPr>
      </w:pPr>
      <w:r>
        <w:rPr>
          <w:b/>
          <w:bCs/>
          <w:color w:val="auto"/>
          <w:kern w:val="0"/>
          <w:szCs w:val="21"/>
          <w:highlight w:val="none"/>
        </w:rPr>
        <w:t>7.5履约验收</w:t>
      </w:r>
      <w:bookmarkEnd w:id="74"/>
      <w:bookmarkEnd w:id="75"/>
    </w:p>
    <w:p w14:paraId="3624B86C">
      <w:pPr>
        <w:spacing w:before="120" w:line="320" w:lineRule="atLeast"/>
        <w:ind w:firstLine="420" w:firstLineChars="200"/>
        <w:rPr>
          <w:color w:val="auto"/>
          <w:szCs w:val="21"/>
          <w:highlight w:val="none"/>
        </w:rPr>
      </w:pPr>
      <w:r>
        <w:rPr>
          <w:color w:val="auto"/>
          <w:szCs w:val="21"/>
          <w:highlight w:val="none"/>
        </w:rPr>
        <w:t>7.5.1采购人可以根据政府采购项目具体情况自行组织验收，或者委托政府采购代理机构、国家认可的质量检测机构开展采购项目履约验收工作。</w:t>
      </w:r>
    </w:p>
    <w:p w14:paraId="555E6BE5">
      <w:pPr>
        <w:spacing w:before="120" w:line="320" w:lineRule="atLeast"/>
        <w:ind w:firstLine="420" w:firstLineChars="200"/>
        <w:rPr>
          <w:color w:val="auto"/>
          <w:szCs w:val="21"/>
          <w:highlight w:val="none"/>
        </w:rPr>
      </w:pPr>
      <w:r>
        <w:rPr>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782903CD">
      <w:pPr>
        <w:spacing w:before="120" w:line="320" w:lineRule="atLeast"/>
        <w:ind w:firstLine="420" w:firstLineChars="200"/>
        <w:rPr>
          <w:color w:val="auto"/>
          <w:szCs w:val="21"/>
          <w:highlight w:val="none"/>
        </w:rPr>
      </w:pPr>
      <w:r>
        <w:rPr>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AC642DB">
      <w:pPr>
        <w:spacing w:before="120" w:line="320" w:lineRule="atLeast"/>
        <w:ind w:firstLine="420" w:firstLineChars="200"/>
        <w:rPr>
          <w:color w:val="auto"/>
          <w:szCs w:val="21"/>
          <w:highlight w:val="none"/>
        </w:rPr>
      </w:pPr>
      <w:r>
        <w:rPr>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610BACB6">
      <w:pPr>
        <w:spacing w:before="120" w:line="320" w:lineRule="atLeast"/>
        <w:ind w:left="2" w:leftChars="1" w:firstLine="422" w:firstLineChars="200"/>
        <w:outlineLvl w:val="1"/>
        <w:rPr>
          <w:b/>
          <w:bCs/>
          <w:color w:val="auto"/>
          <w:kern w:val="0"/>
          <w:szCs w:val="21"/>
          <w:highlight w:val="none"/>
        </w:rPr>
      </w:pPr>
      <w:bookmarkStart w:id="76" w:name="_Toc254970533"/>
      <w:bookmarkStart w:id="77" w:name="_Toc254970674"/>
      <w:r>
        <w:rPr>
          <w:b/>
          <w:bCs/>
          <w:color w:val="auto"/>
          <w:kern w:val="0"/>
          <w:szCs w:val="21"/>
          <w:highlight w:val="none"/>
        </w:rPr>
        <w:t>8．质疑和投诉</w:t>
      </w:r>
      <w:bookmarkEnd w:id="76"/>
      <w:bookmarkEnd w:id="77"/>
    </w:p>
    <w:p w14:paraId="148FA8A5">
      <w:pPr>
        <w:spacing w:before="120" w:line="320" w:lineRule="atLeast"/>
        <w:ind w:firstLine="422" w:firstLineChars="200"/>
        <w:outlineLvl w:val="2"/>
        <w:rPr>
          <w:b/>
          <w:bCs/>
          <w:color w:val="auto"/>
          <w:kern w:val="0"/>
          <w:szCs w:val="21"/>
          <w:highlight w:val="none"/>
        </w:rPr>
      </w:pPr>
      <w:r>
        <w:rPr>
          <w:b/>
          <w:bCs/>
          <w:color w:val="auto"/>
          <w:kern w:val="0"/>
          <w:szCs w:val="21"/>
          <w:highlight w:val="none"/>
        </w:rPr>
        <w:t>8.1质疑</w:t>
      </w:r>
    </w:p>
    <w:p w14:paraId="65F6FA18">
      <w:pPr>
        <w:spacing w:before="120" w:line="320" w:lineRule="atLeast"/>
        <w:ind w:firstLine="420" w:firstLineChars="200"/>
        <w:rPr>
          <w:color w:val="auto"/>
          <w:szCs w:val="21"/>
          <w:highlight w:val="none"/>
        </w:rPr>
      </w:pPr>
      <w:r>
        <w:rPr>
          <w:color w:val="auto"/>
          <w:szCs w:val="21"/>
          <w:highlight w:val="none"/>
        </w:rPr>
        <w:t>8.1.1质疑内容、时限</w:t>
      </w:r>
    </w:p>
    <w:p w14:paraId="711C98C8">
      <w:pPr>
        <w:spacing w:before="120" w:line="320" w:lineRule="atLeast"/>
        <w:ind w:firstLine="420" w:firstLineChars="200"/>
        <w:rPr>
          <w:color w:val="auto"/>
          <w:szCs w:val="21"/>
          <w:highlight w:val="none"/>
        </w:rPr>
      </w:pPr>
      <w:r>
        <w:rPr>
          <w:rFonts w:hint="eastAsia"/>
          <w:color w:val="auto"/>
          <w:szCs w:val="21"/>
          <w:highlight w:val="none"/>
        </w:rPr>
        <w:t>（1）供应商对政府采购活动有疑问的，可以向采购人或采购代理机构提出询问。采购人或者采购代理机构应当在3个工作日内对供应商依法提出的询问作出答复。</w:t>
      </w:r>
    </w:p>
    <w:p w14:paraId="670EACED">
      <w:pPr>
        <w:spacing w:before="120" w:line="320" w:lineRule="atLeast"/>
        <w:ind w:firstLine="420" w:firstLineChars="200"/>
        <w:rPr>
          <w:color w:val="auto"/>
          <w:szCs w:val="21"/>
          <w:highlight w:val="none"/>
        </w:rPr>
      </w:pPr>
      <w:r>
        <w:rPr>
          <w:rFonts w:hint="eastAsia"/>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w:t>
      </w:r>
      <w:r>
        <w:rPr>
          <w:color w:val="auto"/>
          <w:szCs w:val="21"/>
          <w:highlight w:val="none"/>
        </w:rPr>
        <w:t>采购代理机构在收到供应商书面质疑后7个工作日内，对质疑内容作出答复。</w:t>
      </w:r>
    </w:p>
    <w:p w14:paraId="443C35C3">
      <w:pPr>
        <w:spacing w:before="120" w:line="320" w:lineRule="atLeast"/>
        <w:ind w:firstLine="420" w:firstLineChars="200"/>
        <w:rPr>
          <w:color w:val="auto"/>
          <w:szCs w:val="21"/>
          <w:highlight w:val="none"/>
        </w:rPr>
      </w:pPr>
      <w:r>
        <w:rPr>
          <w:color w:val="auto"/>
          <w:szCs w:val="21"/>
          <w:highlight w:val="none"/>
        </w:rPr>
        <w:t>8.1.2质疑形式</w:t>
      </w:r>
    </w:p>
    <w:p w14:paraId="5D4BFC32">
      <w:pPr>
        <w:spacing w:before="120" w:line="320" w:lineRule="atLeast"/>
        <w:ind w:firstLine="420" w:firstLineChars="200"/>
        <w:rPr>
          <w:color w:val="auto"/>
          <w:szCs w:val="21"/>
          <w:highlight w:val="none"/>
        </w:rPr>
      </w:pPr>
      <w:r>
        <w:rPr>
          <w:color w:val="auto"/>
          <w:szCs w:val="21"/>
          <w:highlight w:val="none"/>
        </w:rPr>
        <w:t>质疑应当采用</w:t>
      </w:r>
      <w:r>
        <w:rPr>
          <w:rFonts w:hint="eastAsia"/>
          <w:color w:val="auto"/>
          <w:szCs w:val="21"/>
          <w:highlight w:val="none"/>
        </w:rPr>
        <w:t>供应商</w:t>
      </w:r>
      <w:r>
        <w:rPr>
          <w:color w:val="auto"/>
          <w:szCs w:val="21"/>
          <w:highlight w:val="none"/>
        </w:rPr>
        <w:t>须知前附表所规定的形式，质疑书应明确阐述</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过程或成交结果中使自己合法权益受到损害的实质性内容，提供相关事实、依据和证据及其来源或线索，便于有关单位调查、答复和处理。</w:t>
      </w:r>
    </w:p>
    <w:p w14:paraId="4DE74C2A">
      <w:pPr>
        <w:spacing w:before="120" w:line="320" w:lineRule="atLeast"/>
        <w:ind w:firstLine="420" w:firstLineChars="200"/>
        <w:rPr>
          <w:color w:val="auto"/>
          <w:szCs w:val="21"/>
          <w:highlight w:val="none"/>
        </w:rPr>
      </w:pPr>
      <w:r>
        <w:rPr>
          <w:rFonts w:hint="eastAsia"/>
          <w:color w:val="auto"/>
          <w:szCs w:val="21"/>
          <w:highlight w:val="none"/>
        </w:rPr>
        <w:t>8</w:t>
      </w:r>
      <w:r>
        <w:rPr>
          <w:color w:val="auto"/>
          <w:szCs w:val="21"/>
          <w:highlight w:val="none"/>
        </w:rPr>
        <w:t>.1.3</w:t>
      </w:r>
      <w:r>
        <w:rPr>
          <w:rFonts w:hint="eastAsia"/>
          <w:color w:val="auto"/>
          <w:szCs w:val="21"/>
          <w:highlight w:val="none"/>
        </w:rPr>
        <w:t>供应商提出质疑应当提交质疑函和必要的证明材料。质疑函应当包括下列内容：</w:t>
      </w:r>
    </w:p>
    <w:p w14:paraId="49A8A8A1">
      <w:pPr>
        <w:spacing w:before="120" w:line="320" w:lineRule="atLeast"/>
        <w:ind w:firstLine="420" w:firstLineChars="200"/>
        <w:rPr>
          <w:color w:val="auto"/>
          <w:szCs w:val="21"/>
          <w:highlight w:val="none"/>
        </w:rPr>
      </w:pPr>
      <w:r>
        <w:rPr>
          <w:rFonts w:hint="eastAsia"/>
          <w:color w:val="auto"/>
          <w:szCs w:val="21"/>
          <w:highlight w:val="none"/>
        </w:rPr>
        <w:t>（1）供应商的姓名或者名称、地址、邮编、联系人及联系电话；</w:t>
      </w:r>
    </w:p>
    <w:p w14:paraId="6F22B388">
      <w:pPr>
        <w:spacing w:before="120" w:line="320" w:lineRule="atLeast"/>
        <w:ind w:firstLine="420" w:firstLineChars="200"/>
        <w:rPr>
          <w:color w:val="auto"/>
          <w:szCs w:val="21"/>
          <w:highlight w:val="none"/>
        </w:rPr>
      </w:pPr>
      <w:r>
        <w:rPr>
          <w:rFonts w:hint="eastAsia"/>
          <w:color w:val="auto"/>
          <w:szCs w:val="21"/>
          <w:highlight w:val="none"/>
        </w:rPr>
        <w:t>（2）质疑项目的名称、编号；</w:t>
      </w:r>
    </w:p>
    <w:p w14:paraId="5BDECB4F">
      <w:pPr>
        <w:spacing w:before="120" w:line="320" w:lineRule="atLeast"/>
        <w:ind w:firstLine="420" w:firstLineChars="200"/>
        <w:rPr>
          <w:color w:val="auto"/>
          <w:szCs w:val="21"/>
          <w:highlight w:val="none"/>
        </w:rPr>
      </w:pPr>
      <w:r>
        <w:rPr>
          <w:rFonts w:hint="eastAsia"/>
          <w:color w:val="auto"/>
          <w:szCs w:val="21"/>
          <w:highlight w:val="none"/>
        </w:rPr>
        <w:t>（3）具体、明确的质疑事项和与质疑事项相关的请求；</w:t>
      </w:r>
    </w:p>
    <w:p w14:paraId="3A938359">
      <w:pPr>
        <w:spacing w:before="120" w:line="320" w:lineRule="atLeast"/>
        <w:ind w:firstLine="420" w:firstLineChars="200"/>
        <w:rPr>
          <w:color w:val="auto"/>
          <w:szCs w:val="21"/>
          <w:highlight w:val="none"/>
        </w:rPr>
      </w:pPr>
      <w:r>
        <w:rPr>
          <w:rFonts w:hint="eastAsia"/>
          <w:color w:val="auto"/>
          <w:szCs w:val="21"/>
          <w:highlight w:val="none"/>
        </w:rPr>
        <w:t>（4）事实依据；</w:t>
      </w:r>
    </w:p>
    <w:p w14:paraId="7AB4D27B">
      <w:pPr>
        <w:spacing w:before="120" w:line="320" w:lineRule="atLeast"/>
        <w:ind w:firstLine="420" w:firstLineChars="200"/>
        <w:rPr>
          <w:color w:val="auto"/>
          <w:szCs w:val="21"/>
          <w:highlight w:val="none"/>
        </w:rPr>
      </w:pPr>
      <w:r>
        <w:rPr>
          <w:rFonts w:hint="eastAsia"/>
          <w:color w:val="auto"/>
          <w:szCs w:val="21"/>
          <w:highlight w:val="none"/>
        </w:rPr>
        <w:t>（5）必要的法律依据；</w:t>
      </w:r>
    </w:p>
    <w:p w14:paraId="0E1590CA">
      <w:pPr>
        <w:spacing w:before="120" w:line="320" w:lineRule="atLeast"/>
        <w:ind w:firstLine="420" w:firstLineChars="200"/>
        <w:rPr>
          <w:color w:val="auto"/>
          <w:szCs w:val="21"/>
          <w:highlight w:val="none"/>
        </w:rPr>
      </w:pPr>
      <w:r>
        <w:rPr>
          <w:rFonts w:hint="eastAsia"/>
          <w:color w:val="auto"/>
          <w:szCs w:val="21"/>
          <w:highlight w:val="none"/>
        </w:rPr>
        <w:t>（6）提出质疑的日期。</w:t>
      </w:r>
    </w:p>
    <w:p w14:paraId="720FD17D">
      <w:pPr>
        <w:spacing w:before="120" w:line="320" w:lineRule="atLeast"/>
        <w:ind w:firstLine="420" w:firstLineChars="200"/>
        <w:rPr>
          <w:color w:val="auto"/>
          <w:szCs w:val="21"/>
          <w:highlight w:val="none"/>
        </w:rPr>
      </w:pPr>
      <w:r>
        <w:rPr>
          <w:rFonts w:hint="eastAsia"/>
          <w:color w:val="auto"/>
          <w:szCs w:val="21"/>
          <w:highlight w:val="none"/>
        </w:rPr>
        <w:t>供应商为自然人的，应当由本人签字；供应商为法人或者其他组织的，应当由法定代表人、主要负责人，或者其授权代表签字或者盖章，并加盖公章。</w:t>
      </w:r>
    </w:p>
    <w:p w14:paraId="07FB278C">
      <w:pPr>
        <w:spacing w:before="120" w:line="320" w:lineRule="atLeast"/>
        <w:ind w:firstLine="422" w:firstLineChars="200"/>
        <w:outlineLvl w:val="2"/>
        <w:rPr>
          <w:b/>
          <w:bCs/>
          <w:color w:val="auto"/>
          <w:kern w:val="0"/>
          <w:szCs w:val="21"/>
          <w:highlight w:val="none"/>
        </w:rPr>
      </w:pPr>
      <w:r>
        <w:rPr>
          <w:b/>
          <w:bCs/>
          <w:color w:val="auto"/>
          <w:kern w:val="0"/>
          <w:szCs w:val="21"/>
          <w:highlight w:val="none"/>
        </w:rPr>
        <w:t>8.2投诉</w:t>
      </w:r>
    </w:p>
    <w:p w14:paraId="1E6B40A2">
      <w:pPr>
        <w:spacing w:before="120" w:line="320" w:lineRule="atLeast"/>
        <w:ind w:firstLine="420" w:firstLineChars="200"/>
        <w:rPr>
          <w:color w:val="auto"/>
          <w:szCs w:val="21"/>
          <w:highlight w:val="none"/>
        </w:rPr>
      </w:pPr>
      <w:r>
        <w:rPr>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687EBCA0">
      <w:pPr>
        <w:spacing w:before="120" w:line="320" w:lineRule="atLeast"/>
        <w:ind w:firstLine="420" w:firstLineChars="200"/>
        <w:rPr>
          <w:color w:val="auto"/>
          <w:szCs w:val="21"/>
          <w:highlight w:val="none"/>
        </w:rPr>
      </w:pPr>
      <w:r>
        <w:rPr>
          <w:color w:val="auto"/>
          <w:szCs w:val="21"/>
          <w:highlight w:val="none"/>
        </w:rPr>
        <w:t>8.2.</w:t>
      </w:r>
      <w:r>
        <w:rPr>
          <w:rFonts w:hint="eastAsia"/>
          <w:color w:val="auto"/>
          <w:szCs w:val="21"/>
          <w:highlight w:val="none"/>
        </w:rPr>
        <w:t>2投诉</w:t>
      </w:r>
      <w:r>
        <w:rPr>
          <w:color w:val="auto"/>
          <w:szCs w:val="21"/>
          <w:highlight w:val="none"/>
        </w:rPr>
        <w:t>书应使用财政部发布的</w:t>
      </w:r>
      <w:r>
        <w:rPr>
          <w:rFonts w:hint="eastAsia"/>
          <w:color w:val="auto"/>
          <w:szCs w:val="21"/>
          <w:highlight w:val="none"/>
        </w:rPr>
        <w:t>政府采购供应投诉书范本，并应按照“投诉书制作说明”进行编写。</w:t>
      </w:r>
    </w:p>
    <w:p w14:paraId="6C772470">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9．其他事项</w:t>
      </w:r>
    </w:p>
    <w:p w14:paraId="33C550A4">
      <w:pPr>
        <w:spacing w:before="120" w:line="320" w:lineRule="atLeast"/>
        <w:ind w:firstLine="420" w:firstLineChars="200"/>
        <w:rPr>
          <w:color w:val="auto"/>
          <w:szCs w:val="21"/>
          <w:highlight w:val="none"/>
        </w:rPr>
      </w:pPr>
      <w:r>
        <w:rPr>
          <w:color w:val="auto"/>
          <w:szCs w:val="21"/>
          <w:highlight w:val="none"/>
        </w:rPr>
        <w:t>9.1代理服务收费由采购代理机构向成交供应商收取。签订合同前，成交供应商应向采购代理机构一次付清代理服务费。</w:t>
      </w:r>
    </w:p>
    <w:p w14:paraId="5AAE84FD">
      <w:pPr>
        <w:spacing w:before="120" w:line="276" w:lineRule="auto"/>
        <w:ind w:firstLine="420" w:firstLineChars="200"/>
        <w:rPr>
          <w:color w:val="auto"/>
          <w:szCs w:val="21"/>
          <w:highlight w:val="none"/>
        </w:rPr>
      </w:pPr>
      <w:r>
        <w:rPr>
          <w:color w:val="auto"/>
          <w:szCs w:val="21"/>
          <w:highlight w:val="none"/>
        </w:rPr>
        <w:t>9.2</w:t>
      </w:r>
      <w:r>
        <w:rPr>
          <w:rFonts w:hint="eastAsia"/>
          <w:color w:val="auto"/>
          <w:szCs w:val="21"/>
          <w:highlight w:val="none"/>
        </w:rPr>
        <w:t>电子交易活动的中止。采购过程中出现以下情形，导致电子交易平台无法正常运行，或者无法保证电子交易的公平、公正和安全时，采购机构可中止电子交易活动：</w:t>
      </w:r>
    </w:p>
    <w:p w14:paraId="2E94D61A">
      <w:pPr>
        <w:spacing w:before="120" w:line="276" w:lineRule="auto"/>
        <w:ind w:firstLine="420" w:firstLineChars="200"/>
        <w:rPr>
          <w:color w:val="auto"/>
          <w:szCs w:val="21"/>
          <w:highlight w:val="none"/>
        </w:rPr>
      </w:pPr>
      <w:r>
        <w:rPr>
          <w:rFonts w:hint="eastAsia"/>
          <w:color w:val="auto"/>
          <w:szCs w:val="21"/>
          <w:highlight w:val="none"/>
        </w:rPr>
        <w:t xml:space="preserve">（1）电子交易平台发生故障而无法登录访问的； </w:t>
      </w:r>
    </w:p>
    <w:p w14:paraId="393301C9">
      <w:pPr>
        <w:spacing w:before="120" w:line="276" w:lineRule="auto"/>
        <w:ind w:firstLine="420" w:firstLineChars="200"/>
        <w:rPr>
          <w:color w:val="auto"/>
          <w:szCs w:val="21"/>
          <w:highlight w:val="none"/>
        </w:rPr>
      </w:pPr>
      <w:r>
        <w:rPr>
          <w:rFonts w:hint="eastAsia"/>
          <w:color w:val="auto"/>
          <w:szCs w:val="21"/>
          <w:highlight w:val="none"/>
        </w:rPr>
        <w:t>（2）电子交易平台应用或数据库出现错误，不能进行正常操作的；</w:t>
      </w:r>
    </w:p>
    <w:p w14:paraId="2A04357E">
      <w:pPr>
        <w:spacing w:before="120" w:line="276" w:lineRule="auto"/>
        <w:ind w:firstLine="420" w:firstLineChars="200"/>
        <w:rPr>
          <w:color w:val="auto"/>
          <w:szCs w:val="21"/>
          <w:highlight w:val="none"/>
        </w:rPr>
      </w:pPr>
      <w:r>
        <w:rPr>
          <w:rFonts w:hint="eastAsia"/>
          <w:color w:val="auto"/>
          <w:szCs w:val="21"/>
          <w:highlight w:val="none"/>
        </w:rPr>
        <w:t>（3）电子交易平台发现严重安全漏洞，有潜在泄密危险的；</w:t>
      </w:r>
    </w:p>
    <w:p w14:paraId="2E29F445">
      <w:pPr>
        <w:spacing w:before="120" w:line="276" w:lineRule="auto"/>
        <w:ind w:firstLine="420" w:firstLineChars="200"/>
        <w:rPr>
          <w:color w:val="auto"/>
          <w:szCs w:val="21"/>
          <w:highlight w:val="none"/>
        </w:rPr>
      </w:pPr>
      <w:r>
        <w:rPr>
          <w:rFonts w:hint="eastAsia"/>
          <w:color w:val="auto"/>
          <w:szCs w:val="21"/>
          <w:highlight w:val="none"/>
        </w:rPr>
        <w:t xml:space="preserve">（4）病毒发作导致不能进行正常操作的； </w:t>
      </w:r>
    </w:p>
    <w:p w14:paraId="78ADA773">
      <w:pPr>
        <w:spacing w:before="120" w:line="276" w:lineRule="auto"/>
        <w:ind w:firstLine="420" w:firstLineChars="200"/>
        <w:rPr>
          <w:color w:val="auto"/>
          <w:szCs w:val="21"/>
          <w:highlight w:val="none"/>
        </w:rPr>
      </w:pPr>
      <w:r>
        <w:rPr>
          <w:rFonts w:hint="eastAsia"/>
          <w:color w:val="auto"/>
          <w:szCs w:val="21"/>
          <w:highlight w:val="none"/>
        </w:rPr>
        <w:t>（</w:t>
      </w:r>
      <w:r>
        <w:rPr>
          <w:color w:val="auto"/>
          <w:szCs w:val="21"/>
          <w:highlight w:val="none"/>
        </w:rPr>
        <w:t>5</w:t>
      </w:r>
      <w:r>
        <w:rPr>
          <w:rFonts w:hint="eastAsia"/>
          <w:color w:val="auto"/>
          <w:szCs w:val="21"/>
          <w:highlight w:val="none"/>
        </w:rPr>
        <w:t>）其他无法保证电子交易的公平、公正和安全的情况。</w:t>
      </w:r>
    </w:p>
    <w:p w14:paraId="427F720B">
      <w:pPr>
        <w:tabs>
          <w:tab w:val="left" w:pos="4820"/>
        </w:tabs>
        <w:spacing w:before="120" w:line="360" w:lineRule="auto"/>
        <w:ind w:firstLine="420" w:firstLineChars="200"/>
        <w:rPr>
          <w:color w:val="auto"/>
          <w:szCs w:val="21"/>
          <w:highlight w:val="none"/>
        </w:rPr>
      </w:pPr>
      <w:r>
        <w:rPr>
          <w:rFonts w:hint="eastAsia"/>
          <w:color w:val="auto"/>
          <w:szCs w:val="21"/>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5ED2E5A">
      <w:pPr>
        <w:spacing w:line="360" w:lineRule="auto"/>
        <w:ind w:firstLine="420"/>
        <w:rPr>
          <w:color w:val="auto"/>
          <w:szCs w:val="21"/>
          <w:highlight w:val="none"/>
        </w:rPr>
      </w:pPr>
      <w:r>
        <w:rPr>
          <w:color w:val="auto"/>
          <w:szCs w:val="21"/>
          <w:highlight w:val="none"/>
        </w:rPr>
        <w:t>9.3</w:t>
      </w:r>
      <w:r>
        <w:rPr>
          <w:rFonts w:hint="eastAsia"/>
          <w:color w:val="auto"/>
          <w:szCs w:val="21"/>
          <w:highlight w:val="none"/>
        </w:rPr>
        <w:t>本项目的附件及图纸</w:t>
      </w:r>
      <w:r>
        <w:rPr>
          <w:color w:val="auto"/>
          <w:szCs w:val="21"/>
          <w:highlight w:val="none"/>
        </w:rPr>
        <w:t>详见供应商须知前附表</w:t>
      </w:r>
      <w:r>
        <w:rPr>
          <w:rFonts w:hint="eastAsia"/>
          <w:color w:val="auto"/>
          <w:szCs w:val="21"/>
          <w:highlight w:val="none"/>
        </w:rPr>
        <w:t>。</w:t>
      </w:r>
    </w:p>
    <w:p w14:paraId="3224B335">
      <w:pPr>
        <w:spacing w:line="360" w:lineRule="auto"/>
        <w:ind w:firstLine="420"/>
        <w:rPr>
          <w:color w:val="auto"/>
          <w:szCs w:val="21"/>
          <w:highlight w:val="none"/>
        </w:rPr>
      </w:pPr>
      <w:r>
        <w:rPr>
          <w:color w:val="auto"/>
          <w:szCs w:val="21"/>
          <w:highlight w:val="none"/>
        </w:rPr>
        <w:t>9.4</w:t>
      </w:r>
      <w:r>
        <w:rPr>
          <w:rFonts w:hint="eastAsia"/>
          <w:color w:val="auto"/>
          <w:szCs w:val="21"/>
          <w:highlight w:val="none"/>
        </w:rPr>
        <w:t>本项目的其他事项</w:t>
      </w:r>
      <w:r>
        <w:rPr>
          <w:color w:val="auto"/>
          <w:szCs w:val="21"/>
          <w:highlight w:val="none"/>
        </w:rPr>
        <w:t>详见供应商须知前附表</w:t>
      </w:r>
      <w:r>
        <w:rPr>
          <w:rFonts w:hint="eastAsia"/>
          <w:color w:val="auto"/>
          <w:szCs w:val="21"/>
          <w:highlight w:val="none"/>
        </w:rPr>
        <w:t>。</w:t>
      </w:r>
    </w:p>
    <w:p w14:paraId="0AE9625A">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10．</w:t>
      </w:r>
      <w:r>
        <w:rPr>
          <w:rFonts w:hint="eastAsia"/>
          <w:b/>
          <w:bCs/>
          <w:color w:val="auto"/>
          <w:kern w:val="0"/>
          <w:szCs w:val="21"/>
          <w:highlight w:val="none"/>
        </w:rPr>
        <w:t>其他说明</w:t>
      </w:r>
    </w:p>
    <w:p w14:paraId="2A162CAB">
      <w:pPr>
        <w:spacing w:before="120" w:line="320" w:lineRule="atLeast"/>
        <w:ind w:left="2" w:leftChars="1" w:firstLine="422" w:firstLineChars="200"/>
        <w:outlineLvl w:val="1"/>
        <w:rPr>
          <w:color w:val="auto"/>
          <w:kern w:val="0"/>
          <w:szCs w:val="21"/>
          <w:highlight w:val="none"/>
        </w:rPr>
      </w:pPr>
      <w:r>
        <w:rPr>
          <w:rFonts w:hint="eastAsia"/>
          <w:b/>
          <w:bCs/>
          <w:color w:val="auto"/>
          <w:kern w:val="0"/>
          <w:szCs w:val="21"/>
          <w:highlight w:val="none"/>
        </w:rPr>
        <w:t>1</w:t>
      </w:r>
      <w:r>
        <w:rPr>
          <w:b/>
          <w:bCs/>
          <w:color w:val="auto"/>
          <w:kern w:val="0"/>
          <w:szCs w:val="21"/>
          <w:highlight w:val="none"/>
        </w:rPr>
        <w:t>0.1</w:t>
      </w:r>
      <w:r>
        <w:rPr>
          <w:rFonts w:hint="eastAsia"/>
          <w:color w:val="auto"/>
          <w:kern w:val="0"/>
          <w:szCs w:val="21"/>
          <w:highlight w:val="none"/>
        </w:rPr>
        <w:t>其余未尽事宜按</w:t>
      </w:r>
      <w:r>
        <w:rPr>
          <w:color w:val="auto"/>
          <w:kern w:val="0"/>
          <w:szCs w:val="21"/>
          <w:highlight w:val="none"/>
        </w:rPr>
        <w:t>《中华人民共和国政府采购法》、《中华人民共和国政府采购法实施条例》</w:t>
      </w:r>
      <w:r>
        <w:rPr>
          <w:rFonts w:hint="eastAsia"/>
          <w:color w:val="auto"/>
          <w:kern w:val="0"/>
          <w:szCs w:val="21"/>
          <w:highlight w:val="none"/>
        </w:rPr>
        <w:t>的相关规定执行。</w:t>
      </w:r>
    </w:p>
    <w:p w14:paraId="12AAAE4D">
      <w:pPr>
        <w:spacing w:before="120" w:line="320" w:lineRule="atLeast"/>
        <w:ind w:left="2" w:leftChars="1" w:firstLine="422" w:firstLineChars="200"/>
        <w:outlineLvl w:val="1"/>
        <w:rPr>
          <w:color w:val="auto"/>
          <w:sz w:val="32"/>
          <w:szCs w:val="32"/>
          <w:highlight w:val="none"/>
        </w:rPr>
      </w:pPr>
      <w:r>
        <w:rPr>
          <w:b/>
          <w:bCs/>
          <w:color w:val="auto"/>
          <w:kern w:val="0"/>
          <w:szCs w:val="21"/>
          <w:highlight w:val="none"/>
        </w:rPr>
        <w:t>10.2</w:t>
      </w:r>
      <w:r>
        <w:rPr>
          <w:rFonts w:hint="eastAsia"/>
          <w:color w:val="auto"/>
          <w:highlight w:val="none"/>
        </w:rPr>
        <w:t>本</w:t>
      </w:r>
      <w:r>
        <w:rPr>
          <w:color w:val="auto"/>
          <w:highlight w:val="none"/>
        </w:rPr>
        <w:t>采购文件是根据国家有关法律及有关政策、法规和参照国际惯例编制，解释权属采购代理机构。</w:t>
      </w:r>
      <w:bookmarkEnd w:id="29"/>
    </w:p>
    <w:bookmarkEnd w:id="30"/>
    <w:p w14:paraId="6A521EF5">
      <w:pPr>
        <w:spacing w:before="120" w:line="320" w:lineRule="atLeast"/>
        <w:outlineLvl w:val="1"/>
        <w:rPr>
          <w:bCs/>
          <w:color w:val="auto"/>
          <w:kern w:val="0"/>
          <w:sz w:val="28"/>
          <w:szCs w:val="28"/>
          <w:highlight w:val="none"/>
        </w:rPr>
        <w:sectPr>
          <w:headerReference r:id="rId19" w:type="first"/>
          <w:headerReference r:id="rId18" w:type="default"/>
          <w:pgSz w:w="11906" w:h="16838"/>
          <w:pgMar w:top="993" w:right="1133" w:bottom="1246" w:left="1418" w:header="851" w:footer="992" w:gutter="0"/>
          <w:cols w:space="720" w:num="1"/>
          <w:titlePg/>
          <w:docGrid w:linePitch="312" w:charSpace="0"/>
        </w:sectPr>
      </w:pPr>
    </w:p>
    <w:p w14:paraId="501D9501">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78" w:name="_Toc489863687"/>
      <w:bookmarkStart w:id="79" w:name="_Toc254970690"/>
      <w:bookmarkStart w:id="80" w:name="_Toc254970549"/>
      <w:r>
        <w:rPr>
          <w:rFonts w:ascii="Times New Roman" w:hAnsi="Times New Roman" w:cs="Times New Roman"/>
          <w:color w:val="auto"/>
          <w:sz w:val="32"/>
          <w:szCs w:val="32"/>
          <w:highlight w:val="none"/>
        </w:rPr>
        <w:t>第四章  评审方法及标准</w:t>
      </w:r>
      <w:bookmarkEnd w:id="78"/>
    </w:p>
    <w:p w14:paraId="3085C16E">
      <w:pPr>
        <w:spacing w:before="120" w:line="320" w:lineRule="atLeast"/>
        <w:ind w:firstLine="413" w:firstLineChars="196"/>
        <w:outlineLvl w:val="1"/>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.评审</w:t>
      </w:r>
      <w:r>
        <w:rPr>
          <w:rFonts w:hint="eastAsia"/>
          <w:b/>
          <w:bCs/>
          <w:color w:val="auto"/>
          <w:kern w:val="0"/>
          <w:szCs w:val="21"/>
          <w:highlight w:val="none"/>
        </w:rPr>
        <w:t>方法</w:t>
      </w:r>
    </w:p>
    <w:p w14:paraId="76009BA1">
      <w:pPr>
        <w:suppressAutoHyphens/>
        <w:spacing w:before="120" w:line="320" w:lineRule="atLeast"/>
        <w:ind w:firstLine="420" w:firstLineChars="200"/>
        <w:rPr>
          <w:color w:val="auto"/>
          <w:highlight w:val="none"/>
        </w:rPr>
      </w:pPr>
      <w:r>
        <w:rPr>
          <w:color w:val="auto"/>
          <w:szCs w:val="21"/>
          <w:highlight w:val="none"/>
        </w:rPr>
        <w:t>本项目采用</w:t>
      </w:r>
      <w:r>
        <w:rPr>
          <w:rFonts w:hint="eastAsia"/>
          <w:bCs/>
          <w:color w:val="auto"/>
          <w:kern w:val="1"/>
          <w:szCs w:val="21"/>
          <w:highlight w:val="none"/>
        </w:rPr>
        <w:t>最低评标价法</w:t>
      </w:r>
      <w:r>
        <w:rPr>
          <w:color w:val="auto"/>
          <w:szCs w:val="21"/>
          <w:highlight w:val="none"/>
        </w:rPr>
        <w:t>进行评审</w:t>
      </w:r>
      <w:r>
        <w:rPr>
          <w:bCs/>
          <w:color w:val="auto"/>
          <w:kern w:val="1"/>
          <w:szCs w:val="21"/>
          <w:highlight w:val="none"/>
        </w:rPr>
        <w:t>。</w:t>
      </w:r>
      <w:r>
        <w:rPr>
          <w:color w:val="auto"/>
          <w:szCs w:val="21"/>
          <w:highlight w:val="none"/>
        </w:rPr>
        <w:t>最低评标价法，是指</w:t>
      </w:r>
      <w:r>
        <w:rPr>
          <w:rFonts w:hint="eastAsia"/>
          <w:color w:val="auto"/>
          <w:szCs w:val="21"/>
          <w:highlight w:val="none"/>
        </w:rPr>
        <w:t>响应</w:t>
      </w:r>
      <w:r>
        <w:rPr>
          <w:color w:val="auto"/>
          <w:szCs w:val="21"/>
          <w:highlight w:val="none"/>
        </w:rPr>
        <w:t>文件满足</w:t>
      </w:r>
      <w:r>
        <w:rPr>
          <w:rFonts w:hint="eastAsia"/>
          <w:color w:val="auto"/>
          <w:szCs w:val="21"/>
          <w:highlight w:val="none"/>
        </w:rPr>
        <w:t>采购文件</w:t>
      </w:r>
      <w:r>
        <w:rPr>
          <w:color w:val="auto"/>
          <w:szCs w:val="21"/>
          <w:highlight w:val="none"/>
        </w:rPr>
        <w:t>全部实质性要求且</w:t>
      </w:r>
      <w:r>
        <w:rPr>
          <w:rFonts w:hint="eastAsia"/>
          <w:color w:val="auto"/>
          <w:szCs w:val="21"/>
          <w:highlight w:val="none"/>
        </w:rPr>
        <w:t>谈判</w:t>
      </w:r>
      <w:r>
        <w:rPr>
          <w:color w:val="auto"/>
          <w:szCs w:val="21"/>
          <w:highlight w:val="none"/>
        </w:rPr>
        <w:t>报价最低的供应商为</w:t>
      </w:r>
      <w:r>
        <w:rPr>
          <w:rFonts w:hint="eastAsia"/>
          <w:color w:val="auto"/>
          <w:szCs w:val="21"/>
          <w:highlight w:val="none"/>
        </w:rPr>
        <w:t>成交</w:t>
      </w:r>
      <w:r>
        <w:rPr>
          <w:color w:val="auto"/>
          <w:szCs w:val="21"/>
          <w:highlight w:val="none"/>
        </w:rPr>
        <w:t>候选人的评</w:t>
      </w:r>
      <w:r>
        <w:rPr>
          <w:rFonts w:hint="eastAsia"/>
          <w:color w:val="auto"/>
          <w:szCs w:val="21"/>
          <w:highlight w:val="none"/>
        </w:rPr>
        <w:t>审</w:t>
      </w:r>
      <w:r>
        <w:rPr>
          <w:color w:val="auto"/>
          <w:szCs w:val="21"/>
          <w:highlight w:val="none"/>
        </w:rPr>
        <w:t>方法。</w:t>
      </w:r>
    </w:p>
    <w:p w14:paraId="0B0749E0">
      <w:pPr>
        <w:suppressAutoHyphens/>
        <w:spacing w:before="120" w:line="320" w:lineRule="atLeast"/>
        <w:ind w:firstLine="420" w:firstLineChars="200"/>
        <w:rPr>
          <w:color w:val="auto"/>
          <w:kern w:val="1"/>
          <w:szCs w:val="21"/>
          <w:highlight w:val="none"/>
        </w:rPr>
      </w:pPr>
      <w:r>
        <w:rPr>
          <w:rFonts w:hint="eastAsia"/>
          <w:color w:val="auto"/>
          <w:kern w:val="1"/>
          <w:szCs w:val="21"/>
          <w:highlight w:val="none"/>
        </w:rPr>
        <w:t>本项目评审的其他详细规定在第三章供应商须知中规定。</w:t>
      </w:r>
    </w:p>
    <w:p w14:paraId="317A5D5B">
      <w:pPr>
        <w:suppressAutoHyphens/>
        <w:spacing w:before="120" w:line="320" w:lineRule="atLeast"/>
        <w:ind w:firstLine="422" w:firstLineChars="200"/>
        <w:rPr>
          <w:color w:val="auto"/>
          <w:kern w:val="1"/>
          <w:szCs w:val="21"/>
          <w:highlight w:val="none"/>
        </w:rPr>
      </w:pPr>
      <w:r>
        <w:rPr>
          <w:rFonts w:hint="eastAsia" w:cs="宋体"/>
          <w:b/>
          <w:color w:val="auto"/>
          <w:highlight w:val="none"/>
        </w:rPr>
        <w:t>供应商均可就本项目中的一个分标或两个分标进行竞标，但一个供应商只能中一个分标，如某供应商已推荐为分标1第一成交候选人则不再推荐为分标2第一成交候选人；评审顺序为分标1→分标2。</w:t>
      </w:r>
    </w:p>
    <w:p w14:paraId="795416ED">
      <w:pPr>
        <w:spacing w:before="120" w:line="320" w:lineRule="atLeast"/>
        <w:ind w:firstLine="413" w:firstLineChars="196"/>
        <w:outlineLvl w:val="1"/>
        <w:rPr>
          <w:b/>
          <w:color w:val="auto"/>
          <w:kern w:val="0"/>
          <w:szCs w:val="21"/>
          <w:highlight w:val="none"/>
        </w:rPr>
      </w:pPr>
      <w:r>
        <w:rPr>
          <w:b/>
          <w:color w:val="auto"/>
          <w:kern w:val="0"/>
          <w:szCs w:val="21"/>
          <w:highlight w:val="none"/>
        </w:rPr>
        <w:t>2</w:t>
      </w:r>
      <w:r>
        <w:rPr>
          <w:rFonts w:hint="eastAsia"/>
          <w:b/>
          <w:color w:val="auto"/>
          <w:kern w:val="0"/>
          <w:szCs w:val="21"/>
          <w:highlight w:val="none"/>
        </w:rPr>
        <w:t>.资格审查标准</w:t>
      </w:r>
      <w:r>
        <w:rPr>
          <w:rFonts w:hint="eastAsia"/>
          <w:b/>
          <w:bCs/>
          <w:color w:val="auto"/>
          <w:kern w:val="0"/>
          <w:szCs w:val="21"/>
          <w:highlight w:val="none"/>
        </w:rPr>
        <w:t>（不满足任何一项审查内容要求，资格审查即为不合格；</w:t>
      </w:r>
      <w:bookmarkStart w:id="81" w:name="_Hlk160525103"/>
      <w:r>
        <w:rPr>
          <w:rFonts w:hint="eastAsia"/>
          <w:b/>
          <w:bCs/>
          <w:color w:val="auto"/>
          <w:kern w:val="0"/>
          <w:szCs w:val="21"/>
          <w:highlight w:val="none"/>
        </w:rPr>
        <w:t>联合体投标的，联合体各方均应提交第一项基本资格要求的资格证明文件）</w:t>
      </w:r>
      <w:bookmarkEnd w:id="81"/>
    </w:p>
    <w:tbl>
      <w:tblPr>
        <w:tblStyle w:val="51"/>
        <w:tblW w:w="893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6242"/>
      </w:tblGrid>
      <w:tr w14:paraId="7DBB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6" w:type="dxa"/>
            <w:noWrap/>
            <w:vAlign w:val="center"/>
          </w:tcPr>
          <w:p w14:paraId="46B66CFA">
            <w:pPr>
              <w:spacing w:line="240" w:lineRule="exact"/>
              <w:jc w:val="center"/>
              <w:rPr>
                <w:b/>
                <w:color w:val="auto"/>
                <w:kern w:val="0"/>
                <w:szCs w:val="21"/>
                <w:highlight w:val="none"/>
              </w:rPr>
            </w:pPr>
            <w:bookmarkStart w:id="82" w:name="_Hlk92979501"/>
            <w:r>
              <w:rPr>
                <w:rFonts w:hint="eastAsia"/>
                <w:b/>
                <w:color w:val="auto"/>
                <w:kern w:val="0"/>
                <w:szCs w:val="21"/>
                <w:highlight w:val="none"/>
              </w:rPr>
              <w:t>审查</w:t>
            </w:r>
            <w:r>
              <w:rPr>
                <w:b/>
                <w:color w:val="auto"/>
                <w:kern w:val="0"/>
                <w:szCs w:val="21"/>
                <w:highlight w:val="none"/>
              </w:rPr>
              <w:t>因素</w:t>
            </w:r>
          </w:p>
        </w:tc>
        <w:tc>
          <w:tcPr>
            <w:tcW w:w="1843" w:type="dxa"/>
            <w:noWrap/>
            <w:vAlign w:val="center"/>
          </w:tcPr>
          <w:p w14:paraId="056D96CB">
            <w:pP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内容</w:t>
            </w:r>
          </w:p>
        </w:tc>
        <w:tc>
          <w:tcPr>
            <w:tcW w:w="6242" w:type="dxa"/>
            <w:noWrap/>
            <w:vAlign w:val="center"/>
          </w:tcPr>
          <w:p w14:paraId="176FD546">
            <w:pPr>
              <w:spacing w:line="240" w:lineRule="exact"/>
              <w:jc w:val="center"/>
              <w:rPr>
                <w:b/>
                <w:color w:val="auto"/>
                <w:kern w:val="0"/>
                <w:szCs w:val="21"/>
                <w:highlight w:val="none"/>
              </w:rPr>
            </w:pPr>
            <w:r>
              <w:rPr>
                <w:rFonts w:hint="eastAsia"/>
                <w:b/>
                <w:color w:val="auto"/>
                <w:kern w:val="0"/>
                <w:szCs w:val="21"/>
                <w:highlight w:val="none"/>
              </w:rPr>
              <w:t>说明</w:t>
            </w:r>
          </w:p>
        </w:tc>
      </w:tr>
      <w:tr w14:paraId="146E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846" w:type="dxa"/>
            <w:vMerge w:val="restart"/>
            <w:noWrap/>
            <w:vAlign w:val="center"/>
          </w:tcPr>
          <w:p w14:paraId="4A88EFD8">
            <w:pPr>
              <w:spacing w:line="240" w:lineRule="exact"/>
              <w:rPr>
                <w:color w:val="auto"/>
                <w:szCs w:val="21"/>
                <w:highlight w:val="none"/>
                <w:lang w:val="zh-CN"/>
              </w:rPr>
            </w:pPr>
            <w:r>
              <w:rPr>
                <w:color w:val="auto"/>
                <w:szCs w:val="21"/>
                <w:highlight w:val="none"/>
                <w:lang w:val="zh-CN"/>
              </w:rPr>
              <w:t>供应商应符合的</w:t>
            </w:r>
            <w:r>
              <w:rPr>
                <w:rFonts w:hint="eastAsia"/>
                <w:color w:val="auto"/>
                <w:szCs w:val="21"/>
                <w:highlight w:val="none"/>
                <w:lang w:val="zh-CN"/>
              </w:rPr>
              <w:t>基本</w:t>
            </w:r>
            <w:r>
              <w:rPr>
                <w:color w:val="auto"/>
                <w:szCs w:val="21"/>
                <w:highlight w:val="none"/>
              </w:rPr>
              <w:t>资格</w:t>
            </w:r>
            <w:r>
              <w:rPr>
                <w:rFonts w:hint="eastAsia"/>
                <w:color w:val="auto"/>
                <w:szCs w:val="21"/>
                <w:highlight w:val="none"/>
              </w:rPr>
              <w:t>要求</w:t>
            </w:r>
          </w:p>
        </w:tc>
        <w:tc>
          <w:tcPr>
            <w:tcW w:w="1843" w:type="dxa"/>
            <w:noWrap/>
            <w:vAlign w:val="center"/>
          </w:tcPr>
          <w:p w14:paraId="407F7C1E">
            <w:pPr>
              <w:spacing w:line="240" w:lineRule="exact"/>
              <w:jc w:val="left"/>
              <w:rPr>
                <w:color w:val="auto"/>
                <w:szCs w:val="21"/>
                <w:highlight w:val="none"/>
              </w:rPr>
            </w:pPr>
            <w:r>
              <w:rPr>
                <w:color w:val="auto"/>
                <w:szCs w:val="21"/>
                <w:highlight w:val="none"/>
              </w:rPr>
              <w:t>（1）具有独立承担民事责任的能力</w:t>
            </w:r>
          </w:p>
        </w:tc>
        <w:tc>
          <w:tcPr>
            <w:tcW w:w="6242" w:type="dxa"/>
            <w:noWrap/>
          </w:tcPr>
          <w:p w14:paraId="21855654">
            <w:pPr>
              <w:spacing w:line="240" w:lineRule="exact"/>
              <w:rPr>
                <w:color w:val="auto"/>
                <w:szCs w:val="21"/>
                <w:highlight w:val="none"/>
              </w:rPr>
            </w:pPr>
            <w:r>
              <w:rPr>
                <w:rFonts w:hint="eastAsia"/>
                <w:color w:val="auto"/>
                <w:szCs w:val="21"/>
                <w:highlight w:val="none"/>
              </w:rPr>
              <w:t>审查供应商为法人或者其他组织的，提供营业执照等证明文件（如营业执照或者事业单位法人证书或者执业许可证等），供应商为自然人的，提供身份证复印件</w:t>
            </w:r>
          </w:p>
        </w:tc>
      </w:tr>
      <w:tr w14:paraId="0675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ign w:val="center"/>
          </w:tcPr>
          <w:p w14:paraId="5CAE5488">
            <w:pPr>
              <w:spacing w:line="240" w:lineRule="exact"/>
              <w:rPr>
                <w:color w:val="auto"/>
                <w:szCs w:val="21"/>
                <w:highlight w:val="none"/>
                <w:lang w:val="zh-CN"/>
              </w:rPr>
            </w:pPr>
          </w:p>
        </w:tc>
        <w:tc>
          <w:tcPr>
            <w:tcW w:w="1843" w:type="dxa"/>
            <w:noWrap/>
            <w:vAlign w:val="center"/>
          </w:tcPr>
          <w:p w14:paraId="10B8DA6C">
            <w:pPr>
              <w:spacing w:line="240" w:lineRule="exact"/>
              <w:jc w:val="left"/>
              <w:rPr>
                <w:color w:val="auto"/>
                <w:szCs w:val="21"/>
                <w:highlight w:val="none"/>
              </w:rPr>
            </w:pPr>
            <w:r>
              <w:rPr>
                <w:color w:val="auto"/>
                <w:szCs w:val="21"/>
                <w:highlight w:val="none"/>
                <w:lang w:val="zh-CN"/>
              </w:rPr>
              <w:t>（2）</w:t>
            </w:r>
            <w:r>
              <w:rPr>
                <w:color w:val="auto"/>
                <w:szCs w:val="21"/>
                <w:highlight w:val="none"/>
              </w:rPr>
              <w:t>具有良好的商业信誉和健全的财务会计制度</w:t>
            </w:r>
          </w:p>
        </w:tc>
        <w:tc>
          <w:tcPr>
            <w:tcW w:w="6242" w:type="dxa"/>
            <w:noWrap/>
          </w:tcPr>
          <w:p w14:paraId="69A75CA3">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审查商业信誉声明。须提供，格式见第六章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szCs w:val="21"/>
                <w:highlight w:val="none"/>
              </w:rPr>
              <w:t>声明书”。</w:t>
            </w:r>
          </w:p>
          <w:p w14:paraId="6AC962E4">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w:t>
            </w:r>
            <w:r>
              <w:rPr>
                <w:rFonts w:hint="eastAsia"/>
                <w:color w:val="auto"/>
                <w:szCs w:val="21"/>
                <w:highlight w:val="none"/>
              </w:rPr>
              <w:t>2025年</w:t>
            </w:r>
            <w:r>
              <w:rPr>
                <w:color w:val="auto"/>
                <w:szCs w:val="21"/>
                <w:highlight w:val="none"/>
              </w:rPr>
              <w:t>度财务状况报告（表）复印件或银行出具的资信证明复印件，</w:t>
            </w:r>
            <w:r>
              <w:rPr>
                <w:color w:val="auto"/>
                <w:highlight w:val="none"/>
              </w:rPr>
              <w:t>对于从取得营业执照时间起到响应文件递交截止时间为止不足1年的供应商，只需提交</w:t>
            </w:r>
            <w:r>
              <w:rPr>
                <w:rFonts w:hint="eastAsia"/>
                <w:color w:val="auto"/>
                <w:szCs w:val="21"/>
                <w:highlight w:val="none"/>
              </w:rPr>
              <w:t>响应</w:t>
            </w:r>
            <w:r>
              <w:rPr>
                <w:color w:val="auto"/>
                <w:szCs w:val="21"/>
                <w:highlight w:val="none"/>
              </w:rPr>
              <w:t>文件递交截止时间前一个月的财务状况报告（表）复印件。</w:t>
            </w:r>
          </w:p>
        </w:tc>
      </w:tr>
      <w:tr w14:paraId="5762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ign w:val="center"/>
          </w:tcPr>
          <w:p w14:paraId="6C31E5F7">
            <w:pPr>
              <w:spacing w:line="240" w:lineRule="exact"/>
              <w:rPr>
                <w:color w:val="auto"/>
                <w:szCs w:val="21"/>
                <w:highlight w:val="none"/>
                <w:lang w:val="zh-CN"/>
              </w:rPr>
            </w:pPr>
          </w:p>
        </w:tc>
        <w:tc>
          <w:tcPr>
            <w:tcW w:w="1843" w:type="dxa"/>
            <w:noWrap/>
            <w:vAlign w:val="center"/>
          </w:tcPr>
          <w:p w14:paraId="7E679B7C">
            <w:pPr>
              <w:spacing w:line="240" w:lineRule="exact"/>
              <w:jc w:val="left"/>
              <w:rPr>
                <w:color w:val="auto"/>
                <w:szCs w:val="21"/>
                <w:highlight w:val="none"/>
              </w:rPr>
            </w:pPr>
            <w:r>
              <w:rPr>
                <w:color w:val="auto"/>
                <w:szCs w:val="21"/>
                <w:highlight w:val="none"/>
                <w:lang w:val="zh-CN"/>
              </w:rPr>
              <w:t>（3）具有履行合同所必需的设备和专业技术能力</w:t>
            </w:r>
          </w:p>
        </w:tc>
        <w:tc>
          <w:tcPr>
            <w:tcW w:w="6242" w:type="dxa"/>
            <w:noWrap/>
          </w:tcPr>
          <w:p w14:paraId="6AFCFC9F">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 xml:space="preserve">审查供应商营业执照，须有效； </w:t>
            </w:r>
          </w:p>
          <w:p w14:paraId="1B4AF14D">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审查书面声明。须提供，格式见第六章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highlight w:val="none"/>
              </w:rPr>
              <w:t>声明书</w:t>
            </w:r>
            <w:r>
              <w:rPr>
                <w:color w:val="auto"/>
                <w:szCs w:val="21"/>
                <w:highlight w:val="none"/>
              </w:rPr>
              <w:t>”。</w:t>
            </w:r>
          </w:p>
          <w:p w14:paraId="5BEAC52A">
            <w:pPr>
              <w:spacing w:line="240" w:lineRule="exact"/>
              <w:jc w:val="left"/>
              <w:rPr>
                <w:color w:val="auto"/>
                <w:szCs w:val="21"/>
                <w:highlight w:val="none"/>
              </w:rPr>
            </w:pPr>
            <w:r>
              <w:rPr>
                <w:color w:val="auto"/>
                <w:szCs w:val="21"/>
                <w:highlight w:val="none"/>
              </w:rPr>
              <w:t>审查</w:t>
            </w:r>
            <w:r>
              <w:rPr>
                <w:rFonts w:hint="eastAsia" w:ascii="宋体" w:hAnsi="宋体" w:cs="宋体"/>
                <w:color w:val="auto"/>
                <w:szCs w:val="21"/>
                <w:highlight w:val="none"/>
              </w:rPr>
              <w:t>①</w:t>
            </w:r>
            <w:r>
              <w:rPr>
                <w:color w:val="auto"/>
                <w:szCs w:val="21"/>
                <w:highlight w:val="none"/>
              </w:rPr>
              <w:t>或</w:t>
            </w:r>
            <w:r>
              <w:rPr>
                <w:rFonts w:hint="eastAsia" w:ascii="宋体" w:hAnsi="宋体" w:cs="宋体"/>
                <w:color w:val="auto"/>
                <w:szCs w:val="21"/>
                <w:highlight w:val="none"/>
              </w:rPr>
              <w:t>②</w:t>
            </w:r>
            <w:r>
              <w:rPr>
                <w:color w:val="auto"/>
                <w:szCs w:val="21"/>
                <w:highlight w:val="none"/>
              </w:rPr>
              <w:t>，满足其一，即为符合要求。</w:t>
            </w:r>
          </w:p>
        </w:tc>
      </w:tr>
      <w:tr w14:paraId="328A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ign w:val="center"/>
          </w:tcPr>
          <w:p w14:paraId="661D4235">
            <w:pPr>
              <w:spacing w:line="240" w:lineRule="exact"/>
              <w:rPr>
                <w:color w:val="auto"/>
                <w:szCs w:val="21"/>
                <w:highlight w:val="none"/>
                <w:lang w:val="zh-CN"/>
              </w:rPr>
            </w:pPr>
          </w:p>
        </w:tc>
        <w:tc>
          <w:tcPr>
            <w:tcW w:w="1843" w:type="dxa"/>
            <w:noWrap/>
            <w:vAlign w:val="center"/>
          </w:tcPr>
          <w:p w14:paraId="20D7DC66">
            <w:pPr>
              <w:spacing w:line="240" w:lineRule="exact"/>
              <w:jc w:val="left"/>
              <w:rPr>
                <w:color w:val="auto"/>
                <w:szCs w:val="21"/>
                <w:highlight w:val="none"/>
              </w:rPr>
            </w:pPr>
            <w:r>
              <w:rPr>
                <w:color w:val="auto"/>
                <w:szCs w:val="21"/>
                <w:highlight w:val="none"/>
                <w:lang w:val="zh-CN"/>
              </w:rPr>
              <w:t>（4）有依法缴纳税收和社会保障金的良好记录</w:t>
            </w:r>
          </w:p>
        </w:tc>
        <w:tc>
          <w:tcPr>
            <w:tcW w:w="6242" w:type="dxa"/>
            <w:noWrap/>
          </w:tcPr>
          <w:p w14:paraId="23E5EC06">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审查</w:t>
            </w:r>
            <w:r>
              <w:rPr>
                <w:rFonts w:hint="eastAsia"/>
                <w:color w:val="auto"/>
                <w:szCs w:val="21"/>
                <w:highlight w:val="none"/>
              </w:rPr>
              <w:t>响应</w:t>
            </w:r>
            <w:r>
              <w:rPr>
                <w:color w:val="auto"/>
                <w:szCs w:val="21"/>
                <w:highlight w:val="none"/>
              </w:rPr>
              <w:t>截止时间前6个月内，</w:t>
            </w:r>
            <w:r>
              <w:rPr>
                <w:rFonts w:hint="eastAsia"/>
                <w:color w:val="auto"/>
                <w:highlight w:val="none"/>
              </w:rPr>
              <w:t>供应商</w:t>
            </w:r>
            <w:r>
              <w:rPr>
                <w:color w:val="auto"/>
                <w:highlight w:val="none"/>
              </w:rPr>
              <w:t>任意</w:t>
            </w:r>
            <w:r>
              <w:rPr>
                <w:rFonts w:hint="eastAsia"/>
                <w:color w:val="auto"/>
                <w:highlight w:val="none"/>
              </w:rPr>
              <w:t>1个月</w:t>
            </w:r>
            <w:r>
              <w:rPr>
                <w:color w:val="auto"/>
                <w:szCs w:val="21"/>
                <w:highlight w:val="none"/>
              </w:rPr>
              <w:t>依法缴纳税费证明复印件加盖供应商</w:t>
            </w:r>
            <w:r>
              <w:rPr>
                <w:rFonts w:hint="eastAsia"/>
                <w:color w:val="auto"/>
                <w:szCs w:val="21"/>
                <w:highlight w:val="none"/>
              </w:rPr>
              <w:t>电子签章</w:t>
            </w:r>
            <w:r>
              <w:rPr>
                <w:color w:val="auto"/>
                <w:szCs w:val="21"/>
                <w:highlight w:val="none"/>
              </w:rPr>
              <w:t>。</w:t>
            </w:r>
          </w:p>
          <w:p w14:paraId="1D51FAC3">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w:t>
            </w:r>
            <w:r>
              <w:rPr>
                <w:rFonts w:hint="eastAsia"/>
                <w:color w:val="auto"/>
                <w:szCs w:val="21"/>
                <w:highlight w:val="none"/>
              </w:rPr>
              <w:t>响应</w:t>
            </w:r>
            <w:r>
              <w:rPr>
                <w:color w:val="auto"/>
                <w:szCs w:val="21"/>
                <w:highlight w:val="none"/>
              </w:rPr>
              <w:t>截止时间前6个月内，</w:t>
            </w:r>
            <w:r>
              <w:rPr>
                <w:rFonts w:hint="eastAsia"/>
                <w:color w:val="auto"/>
                <w:highlight w:val="none"/>
              </w:rPr>
              <w:t>供应商</w:t>
            </w:r>
            <w:r>
              <w:rPr>
                <w:color w:val="auto"/>
                <w:highlight w:val="none"/>
              </w:rPr>
              <w:t>任意</w:t>
            </w:r>
            <w:r>
              <w:rPr>
                <w:rFonts w:hint="eastAsia"/>
                <w:color w:val="auto"/>
                <w:highlight w:val="none"/>
              </w:rPr>
              <w:t>1个月</w:t>
            </w:r>
            <w:r>
              <w:rPr>
                <w:color w:val="auto"/>
                <w:szCs w:val="21"/>
                <w:highlight w:val="none"/>
              </w:rPr>
              <w:t>的社保缴费证明记录复印件加盖供应商</w:t>
            </w:r>
            <w:r>
              <w:rPr>
                <w:rFonts w:hint="eastAsia"/>
                <w:color w:val="auto"/>
                <w:szCs w:val="21"/>
                <w:highlight w:val="none"/>
              </w:rPr>
              <w:t>电子签章</w:t>
            </w:r>
            <w:r>
              <w:rPr>
                <w:color w:val="auto"/>
                <w:szCs w:val="21"/>
                <w:highlight w:val="none"/>
              </w:rPr>
              <w:t>。</w:t>
            </w:r>
          </w:p>
          <w:p w14:paraId="17C33D39">
            <w:pPr>
              <w:spacing w:line="240" w:lineRule="exact"/>
              <w:jc w:val="left"/>
              <w:rPr>
                <w:color w:val="auto"/>
                <w:szCs w:val="21"/>
                <w:highlight w:val="none"/>
              </w:rPr>
            </w:pPr>
            <w:r>
              <w:rPr>
                <w:color w:val="auto"/>
                <w:szCs w:val="21"/>
                <w:highlight w:val="none"/>
              </w:rPr>
              <w:t>供应商成立不足</w:t>
            </w:r>
            <w:r>
              <w:rPr>
                <w:rFonts w:hint="eastAsia"/>
                <w:color w:val="auto"/>
                <w:szCs w:val="21"/>
                <w:highlight w:val="none"/>
              </w:rPr>
              <w:t>1个月的，无须提供</w:t>
            </w:r>
            <w:r>
              <w:rPr>
                <w:color w:val="auto"/>
                <w:szCs w:val="21"/>
                <w:highlight w:val="none"/>
              </w:rPr>
              <w:t>缴纳税费证明及社保缴费证明加盖供应商电子签章</w:t>
            </w:r>
            <w:r>
              <w:rPr>
                <w:rFonts w:hint="eastAsia"/>
                <w:color w:val="auto"/>
                <w:szCs w:val="21"/>
                <w:highlight w:val="none"/>
              </w:rPr>
              <w:t>。</w:t>
            </w:r>
          </w:p>
          <w:p w14:paraId="6FE28449">
            <w:pPr>
              <w:spacing w:line="240" w:lineRule="exact"/>
              <w:jc w:val="left"/>
              <w:rPr>
                <w:color w:val="auto"/>
                <w:szCs w:val="21"/>
                <w:highlight w:val="none"/>
              </w:rPr>
            </w:pPr>
            <w:r>
              <w:rPr>
                <w:color w:val="auto"/>
                <w:szCs w:val="21"/>
                <w:highlight w:val="none"/>
              </w:rPr>
              <w:t>依法免税或不需要缴纳社会保障资金的供应商，须提供相应文件证明其依法免税或不需要缴纳社会保障资金。</w:t>
            </w:r>
          </w:p>
        </w:tc>
      </w:tr>
      <w:tr w14:paraId="0961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ign w:val="center"/>
          </w:tcPr>
          <w:p w14:paraId="46DF5BA9">
            <w:pPr>
              <w:spacing w:line="240" w:lineRule="exact"/>
              <w:rPr>
                <w:color w:val="auto"/>
                <w:szCs w:val="21"/>
                <w:highlight w:val="none"/>
                <w:lang w:val="zh-CN"/>
              </w:rPr>
            </w:pPr>
          </w:p>
        </w:tc>
        <w:tc>
          <w:tcPr>
            <w:tcW w:w="1843" w:type="dxa"/>
            <w:noWrap/>
            <w:vAlign w:val="center"/>
          </w:tcPr>
          <w:p w14:paraId="27162320">
            <w:pPr>
              <w:spacing w:line="240" w:lineRule="exact"/>
              <w:jc w:val="left"/>
              <w:rPr>
                <w:color w:val="auto"/>
                <w:szCs w:val="21"/>
                <w:highlight w:val="none"/>
              </w:rPr>
            </w:pPr>
            <w:r>
              <w:rPr>
                <w:color w:val="auto"/>
                <w:szCs w:val="21"/>
                <w:highlight w:val="none"/>
              </w:rPr>
              <w:t>（5）参加政府采购活动前三年内，在经营活动中没有重大违法记录</w:t>
            </w:r>
          </w:p>
        </w:tc>
        <w:tc>
          <w:tcPr>
            <w:tcW w:w="6242" w:type="dxa"/>
            <w:noWrap/>
            <w:vAlign w:val="center"/>
          </w:tcPr>
          <w:p w14:paraId="40FC8E03">
            <w:pPr>
              <w:spacing w:line="240" w:lineRule="exact"/>
              <w:jc w:val="left"/>
              <w:rPr>
                <w:color w:val="auto"/>
                <w:szCs w:val="21"/>
                <w:highlight w:val="none"/>
              </w:rPr>
            </w:pPr>
            <w:r>
              <w:rPr>
                <w:color w:val="auto"/>
                <w:szCs w:val="21"/>
                <w:highlight w:val="none"/>
              </w:rPr>
              <w:t>审查无重大违法记录声明。须提供，格式见第六章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szCs w:val="21"/>
                <w:highlight w:val="none"/>
              </w:rPr>
              <w:t xml:space="preserve">声明书”。 </w:t>
            </w:r>
          </w:p>
        </w:tc>
      </w:tr>
      <w:tr w14:paraId="4D30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ign w:val="center"/>
          </w:tcPr>
          <w:p w14:paraId="7135C388">
            <w:pPr>
              <w:spacing w:line="240" w:lineRule="exact"/>
              <w:rPr>
                <w:color w:val="auto"/>
                <w:szCs w:val="21"/>
                <w:highlight w:val="none"/>
                <w:lang w:val="zh-CN"/>
              </w:rPr>
            </w:pPr>
          </w:p>
        </w:tc>
        <w:tc>
          <w:tcPr>
            <w:tcW w:w="1843" w:type="dxa"/>
            <w:noWrap/>
            <w:vAlign w:val="center"/>
          </w:tcPr>
          <w:p w14:paraId="799E7E4A">
            <w:pPr>
              <w:spacing w:line="240" w:lineRule="exact"/>
              <w:jc w:val="left"/>
              <w:rPr>
                <w:color w:val="auto"/>
                <w:szCs w:val="21"/>
                <w:highlight w:val="none"/>
              </w:rPr>
            </w:pPr>
            <w:r>
              <w:rPr>
                <w:color w:val="auto"/>
                <w:szCs w:val="21"/>
                <w:highlight w:val="none"/>
              </w:rPr>
              <w:t>（6）具备法律、行政法规规定的其他要求</w:t>
            </w:r>
          </w:p>
        </w:tc>
        <w:tc>
          <w:tcPr>
            <w:tcW w:w="6242" w:type="dxa"/>
            <w:noWrap/>
            <w:vAlign w:val="center"/>
          </w:tcPr>
          <w:p w14:paraId="468466A3">
            <w:pPr>
              <w:spacing w:line="240" w:lineRule="exact"/>
              <w:jc w:val="left"/>
              <w:rPr>
                <w:color w:val="auto"/>
                <w:szCs w:val="21"/>
                <w:highlight w:val="none"/>
              </w:rPr>
            </w:pPr>
            <w:r>
              <w:rPr>
                <w:color w:val="auto"/>
                <w:szCs w:val="21"/>
                <w:highlight w:val="none"/>
              </w:rPr>
              <w:t>无。</w:t>
            </w:r>
          </w:p>
        </w:tc>
      </w:tr>
      <w:tr w14:paraId="0CD9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noWrap/>
            <w:vAlign w:val="center"/>
          </w:tcPr>
          <w:p w14:paraId="5E420A6A">
            <w:pPr>
              <w:spacing w:line="240" w:lineRule="exact"/>
              <w:jc w:val="left"/>
              <w:rPr>
                <w:color w:val="auto"/>
                <w:kern w:val="0"/>
                <w:szCs w:val="21"/>
                <w:highlight w:val="none"/>
              </w:rPr>
            </w:pPr>
            <w:r>
              <w:rPr>
                <w:rFonts w:hint="eastAsia"/>
                <w:color w:val="auto"/>
                <w:kern w:val="0"/>
                <w:szCs w:val="21"/>
                <w:highlight w:val="none"/>
              </w:rPr>
              <w:t>采购政策</w:t>
            </w:r>
          </w:p>
        </w:tc>
        <w:tc>
          <w:tcPr>
            <w:tcW w:w="1843" w:type="dxa"/>
            <w:noWrap/>
            <w:vAlign w:val="center"/>
          </w:tcPr>
          <w:p w14:paraId="0E9512E4">
            <w:pPr>
              <w:spacing w:line="240" w:lineRule="exact"/>
              <w:jc w:val="left"/>
              <w:rPr>
                <w:color w:val="auto"/>
                <w:szCs w:val="21"/>
                <w:highlight w:val="none"/>
              </w:rPr>
            </w:pPr>
            <w:r>
              <w:rPr>
                <w:rFonts w:hint="eastAsia"/>
                <w:color w:val="auto"/>
                <w:szCs w:val="21"/>
                <w:highlight w:val="none"/>
              </w:rPr>
              <w:t>落实政府采购政策需满足的资格要求</w:t>
            </w:r>
          </w:p>
        </w:tc>
        <w:tc>
          <w:tcPr>
            <w:tcW w:w="6242" w:type="dxa"/>
            <w:noWrap/>
            <w:vAlign w:val="center"/>
          </w:tcPr>
          <w:p w14:paraId="3AB28DA0">
            <w:pPr>
              <w:spacing w:line="240" w:lineRule="exact"/>
              <w:rPr>
                <w:color w:val="auto"/>
                <w:szCs w:val="21"/>
                <w:highlight w:val="none"/>
              </w:rPr>
            </w:pPr>
            <w:r>
              <w:rPr>
                <w:rFonts w:hint="eastAsia"/>
                <w:color w:val="auto"/>
                <w:szCs w:val="21"/>
                <w:highlight w:val="none"/>
              </w:rPr>
              <w:t>无</w:t>
            </w:r>
          </w:p>
          <w:p w14:paraId="59B80306">
            <w:pPr>
              <w:spacing w:line="240" w:lineRule="exact"/>
              <w:jc w:val="left"/>
              <w:rPr>
                <w:color w:val="auto"/>
                <w:szCs w:val="21"/>
                <w:highlight w:val="none"/>
              </w:rPr>
            </w:pPr>
          </w:p>
          <w:p w14:paraId="51B31A20">
            <w:pPr>
              <w:spacing w:line="240" w:lineRule="exact"/>
              <w:jc w:val="left"/>
              <w:rPr>
                <w:color w:val="auto"/>
                <w:szCs w:val="21"/>
                <w:highlight w:val="none"/>
              </w:rPr>
            </w:pPr>
          </w:p>
        </w:tc>
      </w:tr>
      <w:tr w14:paraId="0043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846" w:type="dxa"/>
            <w:vMerge w:val="restart"/>
            <w:noWrap/>
            <w:vAlign w:val="center"/>
          </w:tcPr>
          <w:p w14:paraId="4147B7F0">
            <w:pPr>
              <w:spacing w:line="240" w:lineRule="exact"/>
              <w:rPr>
                <w:color w:val="auto"/>
                <w:szCs w:val="21"/>
                <w:highlight w:val="none"/>
              </w:rPr>
            </w:pPr>
            <w:r>
              <w:rPr>
                <w:color w:val="auto"/>
                <w:szCs w:val="21"/>
                <w:highlight w:val="none"/>
                <w:lang w:val="zh-CN"/>
              </w:rPr>
              <w:t>供应商应符合的</w:t>
            </w:r>
            <w:r>
              <w:rPr>
                <w:color w:val="auto"/>
                <w:szCs w:val="21"/>
                <w:highlight w:val="none"/>
              </w:rPr>
              <w:t>特定资格</w:t>
            </w:r>
            <w:r>
              <w:rPr>
                <w:rFonts w:hint="eastAsia"/>
                <w:color w:val="auto"/>
                <w:szCs w:val="21"/>
                <w:highlight w:val="none"/>
              </w:rPr>
              <w:t>要求</w:t>
            </w:r>
          </w:p>
        </w:tc>
        <w:tc>
          <w:tcPr>
            <w:tcW w:w="1843" w:type="dxa"/>
            <w:noWrap/>
            <w:vAlign w:val="center"/>
          </w:tcPr>
          <w:p w14:paraId="155E5751">
            <w:pPr>
              <w:spacing w:line="240" w:lineRule="exact"/>
              <w:jc w:val="left"/>
              <w:rPr>
                <w:color w:val="auto"/>
                <w:szCs w:val="21"/>
                <w:highlight w:val="none"/>
              </w:rPr>
            </w:pPr>
            <w:r>
              <w:rPr>
                <w:color w:val="auto"/>
                <w:szCs w:val="21"/>
                <w:highlight w:val="none"/>
              </w:rPr>
              <w:t>（1）资质</w:t>
            </w:r>
            <w:r>
              <w:rPr>
                <w:rFonts w:hint="eastAsia"/>
                <w:color w:val="auto"/>
                <w:szCs w:val="21"/>
                <w:highlight w:val="none"/>
              </w:rPr>
              <w:t>要求</w:t>
            </w:r>
          </w:p>
        </w:tc>
        <w:tc>
          <w:tcPr>
            <w:tcW w:w="6242" w:type="dxa"/>
            <w:noWrap/>
            <w:vAlign w:val="center"/>
          </w:tcPr>
          <w:p w14:paraId="7A55928B">
            <w:pPr>
              <w:spacing w:line="240" w:lineRule="exact"/>
              <w:jc w:val="left"/>
              <w:rPr>
                <w:color w:val="auto"/>
                <w:szCs w:val="21"/>
                <w:highlight w:val="none"/>
              </w:rPr>
            </w:pPr>
            <w:r>
              <w:rPr>
                <w:color w:val="auto"/>
                <w:szCs w:val="21"/>
                <w:highlight w:val="none"/>
              </w:rPr>
              <w:t>须符合</w:t>
            </w:r>
            <w:r>
              <w:rPr>
                <w:rFonts w:hint="eastAsia"/>
                <w:color w:val="auto"/>
                <w:szCs w:val="21"/>
                <w:highlight w:val="none"/>
              </w:rPr>
              <w:t>“谈判公告”</w:t>
            </w:r>
            <w:r>
              <w:rPr>
                <w:color w:val="auto"/>
                <w:szCs w:val="21"/>
                <w:highlight w:val="none"/>
              </w:rPr>
              <w:t>的要求</w:t>
            </w:r>
          </w:p>
        </w:tc>
      </w:tr>
      <w:tr w14:paraId="68DD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ign w:val="center"/>
          </w:tcPr>
          <w:p w14:paraId="22895494">
            <w:pPr>
              <w:spacing w:line="240" w:lineRule="exact"/>
              <w:rPr>
                <w:color w:val="auto"/>
                <w:szCs w:val="21"/>
                <w:highlight w:val="none"/>
              </w:rPr>
            </w:pPr>
          </w:p>
        </w:tc>
        <w:tc>
          <w:tcPr>
            <w:tcW w:w="1843" w:type="dxa"/>
            <w:noWrap/>
            <w:vAlign w:val="center"/>
          </w:tcPr>
          <w:p w14:paraId="29F85D1B">
            <w:pPr>
              <w:spacing w:line="240" w:lineRule="exact"/>
              <w:jc w:val="left"/>
              <w:rPr>
                <w:color w:val="auto"/>
                <w:szCs w:val="21"/>
                <w:highlight w:val="none"/>
              </w:rPr>
            </w:pPr>
            <w:r>
              <w:rPr>
                <w:color w:val="auto"/>
                <w:szCs w:val="21"/>
                <w:highlight w:val="none"/>
              </w:rPr>
              <w:t>（2）业绩要求</w:t>
            </w:r>
          </w:p>
        </w:tc>
        <w:tc>
          <w:tcPr>
            <w:tcW w:w="6242" w:type="dxa"/>
            <w:noWrap/>
            <w:vAlign w:val="center"/>
          </w:tcPr>
          <w:p w14:paraId="4829FBF2">
            <w:pPr>
              <w:spacing w:line="240" w:lineRule="exact"/>
              <w:jc w:val="left"/>
              <w:rPr>
                <w:color w:val="auto"/>
                <w:szCs w:val="21"/>
                <w:highlight w:val="none"/>
              </w:rPr>
            </w:pPr>
            <w:r>
              <w:rPr>
                <w:color w:val="auto"/>
                <w:szCs w:val="21"/>
                <w:highlight w:val="none"/>
              </w:rPr>
              <w:t>须符合</w:t>
            </w:r>
            <w:r>
              <w:rPr>
                <w:rFonts w:hint="eastAsia"/>
                <w:color w:val="auto"/>
                <w:szCs w:val="21"/>
                <w:highlight w:val="none"/>
              </w:rPr>
              <w:t>“谈判公告”</w:t>
            </w:r>
            <w:r>
              <w:rPr>
                <w:color w:val="auto"/>
                <w:szCs w:val="21"/>
                <w:highlight w:val="none"/>
              </w:rPr>
              <w:t>的要求</w:t>
            </w:r>
          </w:p>
        </w:tc>
      </w:tr>
      <w:tr w14:paraId="5FA8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trPr>
        <w:tc>
          <w:tcPr>
            <w:tcW w:w="846" w:type="dxa"/>
            <w:vMerge w:val="continue"/>
            <w:noWrap/>
            <w:vAlign w:val="center"/>
          </w:tcPr>
          <w:p w14:paraId="407E4473">
            <w:pPr>
              <w:spacing w:line="240" w:lineRule="exact"/>
              <w:jc w:val="left"/>
              <w:rPr>
                <w:color w:val="auto"/>
                <w:szCs w:val="21"/>
                <w:highlight w:val="none"/>
              </w:rPr>
            </w:pPr>
          </w:p>
        </w:tc>
        <w:tc>
          <w:tcPr>
            <w:tcW w:w="1843" w:type="dxa"/>
            <w:noWrap/>
            <w:vAlign w:val="center"/>
          </w:tcPr>
          <w:p w14:paraId="3F94ED08">
            <w:pPr>
              <w:spacing w:line="240" w:lineRule="exact"/>
              <w:jc w:val="left"/>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）供应商不得参加响应的情形</w:t>
            </w:r>
          </w:p>
        </w:tc>
        <w:tc>
          <w:tcPr>
            <w:tcW w:w="6242" w:type="dxa"/>
            <w:noWrap/>
            <w:vAlign w:val="center"/>
          </w:tcPr>
          <w:p w14:paraId="246508B4">
            <w:pPr>
              <w:spacing w:line="240" w:lineRule="exact"/>
              <w:jc w:val="left"/>
              <w:rPr>
                <w:color w:val="auto"/>
                <w:kern w:val="0"/>
                <w:szCs w:val="21"/>
                <w:highlight w:val="none"/>
              </w:rPr>
            </w:pPr>
            <w:r>
              <w:rPr>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p>
          <w:p w14:paraId="5C096012">
            <w:pPr>
              <w:spacing w:line="240" w:lineRule="exact"/>
              <w:jc w:val="left"/>
              <w:rPr>
                <w:color w:val="auto"/>
                <w:szCs w:val="21"/>
                <w:highlight w:val="none"/>
              </w:rPr>
            </w:pPr>
            <w:r>
              <w:rPr>
                <w:color w:val="auto"/>
                <w:szCs w:val="21"/>
                <w:highlight w:val="none"/>
              </w:rPr>
              <w:t>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供应商直接控股股东、管理关系信息表</w:t>
            </w:r>
            <w:r>
              <w:rPr>
                <w:color w:val="auto"/>
                <w:szCs w:val="21"/>
                <w:highlight w:val="none"/>
              </w:rPr>
              <w:t>”。</w:t>
            </w:r>
          </w:p>
        </w:tc>
      </w:tr>
      <w:tr w14:paraId="04AE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ign w:val="center"/>
          </w:tcPr>
          <w:p w14:paraId="080A2EC8">
            <w:pPr>
              <w:spacing w:line="240" w:lineRule="exact"/>
              <w:jc w:val="left"/>
              <w:rPr>
                <w:color w:val="auto"/>
                <w:kern w:val="0"/>
                <w:szCs w:val="21"/>
                <w:highlight w:val="none"/>
              </w:rPr>
            </w:pPr>
          </w:p>
        </w:tc>
        <w:tc>
          <w:tcPr>
            <w:tcW w:w="1843" w:type="dxa"/>
            <w:noWrap/>
            <w:vAlign w:val="center"/>
          </w:tcPr>
          <w:p w14:paraId="002A075B">
            <w:pPr>
              <w:spacing w:line="240" w:lineRule="exact"/>
              <w:jc w:val="left"/>
              <w:rPr>
                <w:color w:val="auto"/>
                <w:kern w:val="0"/>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）诚信要求</w:t>
            </w:r>
          </w:p>
        </w:tc>
        <w:tc>
          <w:tcPr>
            <w:tcW w:w="6242" w:type="dxa"/>
            <w:noWrap/>
          </w:tcPr>
          <w:p w14:paraId="5BB996E5">
            <w:pPr>
              <w:spacing w:line="240" w:lineRule="exact"/>
              <w:jc w:val="left"/>
              <w:rPr>
                <w:color w:val="auto"/>
                <w:kern w:val="0"/>
                <w:szCs w:val="21"/>
                <w:highlight w:val="none"/>
              </w:rPr>
            </w:pPr>
            <w:r>
              <w:rPr>
                <w:rFonts w:hint="eastAsia"/>
                <w:color w:val="auto"/>
                <w:szCs w:val="21"/>
                <w:highlight w:val="none"/>
              </w:rPr>
              <w:t>未被列入失信被执行人、</w:t>
            </w:r>
            <w:r>
              <w:rPr>
                <w:color w:val="auto"/>
                <w:szCs w:val="21"/>
                <w:highlight w:val="none"/>
              </w:rPr>
              <w:t>重大税收违法失信主体、政府采购严重违法失信行为记录名单</w:t>
            </w:r>
            <w:r>
              <w:rPr>
                <w:rFonts w:hint="eastAsia"/>
                <w:color w:val="auto"/>
                <w:szCs w:val="21"/>
                <w:highlight w:val="none"/>
              </w:rPr>
              <w:t>。</w:t>
            </w:r>
          </w:p>
        </w:tc>
      </w:tr>
      <w:tr w14:paraId="4450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ign w:val="center"/>
          </w:tcPr>
          <w:p w14:paraId="3D5006D2">
            <w:pPr>
              <w:spacing w:line="240" w:lineRule="exact"/>
              <w:jc w:val="left"/>
              <w:rPr>
                <w:color w:val="auto"/>
                <w:kern w:val="0"/>
                <w:szCs w:val="21"/>
                <w:highlight w:val="none"/>
              </w:rPr>
            </w:pPr>
          </w:p>
        </w:tc>
        <w:tc>
          <w:tcPr>
            <w:tcW w:w="1843" w:type="dxa"/>
            <w:noWrap/>
            <w:vAlign w:val="center"/>
          </w:tcPr>
          <w:p w14:paraId="38CDCF74">
            <w:pPr>
              <w:spacing w:line="240" w:lineRule="exact"/>
              <w:jc w:val="left"/>
              <w:rPr>
                <w:color w:val="auto"/>
                <w:szCs w:val="21"/>
                <w:highlight w:val="none"/>
              </w:rPr>
            </w:pPr>
            <w:r>
              <w:rPr>
                <w:rFonts w:hint="eastAsia"/>
                <w:color w:val="auto"/>
                <w:szCs w:val="21"/>
                <w:highlight w:val="none"/>
              </w:rPr>
              <w:t>（5）分公司</w:t>
            </w:r>
          </w:p>
        </w:tc>
        <w:tc>
          <w:tcPr>
            <w:tcW w:w="6242" w:type="dxa"/>
            <w:noWrap/>
            <w:vAlign w:val="center"/>
          </w:tcPr>
          <w:p w14:paraId="37D244D2">
            <w:pPr>
              <w:spacing w:line="240" w:lineRule="exact"/>
              <w:rPr>
                <w:color w:val="auto"/>
                <w:szCs w:val="21"/>
                <w:highlight w:val="none"/>
              </w:rPr>
            </w:pPr>
            <w:r>
              <w:rPr>
                <w:rFonts w:hint="eastAsia"/>
                <w:color w:val="auto"/>
                <w:szCs w:val="21"/>
                <w:highlight w:val="none"/>
              </w:rPr>
              <w:t>须符合“谈判公告”的要求</w:t>
            </w:r>
          </w:p>
        </w:tc>
      </w:tr>
      <w:tr w14:paraId="0BE4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ign w:val="center"/>
          </w:tcPr>
          <w:p w14:paraId="18C7EEF9">
            <w:pPr>
              <w:spacing w:line="240" w:lineRule="exact"/>
              <w:jc w:val="left"/>
              <w:rPr>
                <w:color w:val="auto"/>
                <w:kern w:val="0"/>
                <w:szCs w:val="21"/>
                <w:highlight w:val="none"/>
              </w:rPr>
            </w:pPr>
          </w:p>
        </w:tc>
        <w:tc>
          <w:tcPr>
            <w:tcW w:w="1843" w:type="dxa"/>
            <w:noWrap/>
            <w:vAlign w:val="center"/>
          </w:tcPr>
          <w:p w14:paraId="69FA0501">
            <w:pPr>
              <w:spacing w:line="240" w:lineRule="exact"/>
              <w:jc w:val="left"/>
              <w:rPr>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）分包</w:t>
            </w:r>
          </w:p>
        </w:tc>
        <w:tc>
          <w:tcPr>
            <w:tcW w:w="6242" w:type="dxa"/>
            <w:noWrap/>
            <w:vAlign w:val="center"/>
          </w:tcPr>
          <w:p w14:paraId="6E7BB221">
            <w:pPr>
              <w:spacing w:line="240" w:lineRule="exact"/>
              <w:rPr>
                <w:color w:val="auto"/>
                <w:szCs w:val="21"/>
                <w:highlight w:val="none"/>
                <w:lang w:val="zh-CN"/>
              </w:rPr>
            </w:pPr>
            <w:r>
              <w:rPr>
                <w:color w:val="auto"/>
                <w:szCs w:val="21"/>
                <w:highlight w:val="none"/>
              </w:rPr>
              <w:t>须符合</w:t>
            </w:r>
            <w:r>
              <w:rPr>
                <w:rFonts w:hint="eastAsia"/>
                <w:color w:val="auto"/>
                <w:szCs w:val="21"/>
                <w:highlight w:val="none"/>
              </w:rPr>
              <w:t>“谈判公告”</w:t>
            </w:r>
            <w:r>
              <w:rPr>
                <w:color w:val="auto"/>
                <w:szCs w:val="21"/>
                <w:highlight w:val="none"/>
              </w:rPr>
              <w:t>的要求</w:t>
            </w:r>
          </w:p>
        </w:tc>
      </w:tr>
      <w:tr w14:paraId="1C9B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846" w:type="dxa"/>
            <w:vMerge w:val="continue"/>
            <w:noWrap/>
            <w:vAlign w:val="center"/>
          </w:tcPr>
          <w:p w14:paraId="750E304E">
            <w:pPr>
              <w:spacing w:line="240" w:lineRule="exact"/>
              <w:jc w:val="left"/>
              <w:rPr>
                <w:color w:val="auto"/>
                <w:kern w:val="0"/>
                <w:szCs w:val="21"/>
                <w:highlight w:val="none"/>
              </w:rPr>
            </w:pPr>
          </w:p>
        </w:tc>
        <w:tc>
          <w:tcPr>
            <w:tcW w:w="1843" w:type="dxa"/>
            <w:noWrap/>
            <w:vAlign w:val="center"/>
          </w:tcPr>
          <w:p w14:paraId="29347460">
            <w:pPr>
              <w:spacing w:line="240" w:lineRule="exact"/>
              <w:jc w:val="left"/>
              <w:rPr>
                <w:color w:val="auto"/>
                <w:szCs w:val="21"/>
                <w:highlight w:val="none"/>
              </w:rPr>
            </w:pPr>
            <w:r>
              <w:rPr>
                <w:rFonts w:hint="eastAsia"/>
                <w:color w:val="auto"/>
                <w:szCs w:val="21"/>
                <w:highlight w:val="none"/>
              </w:rPr>
              <w:t>（</w:t>
            </w:r>
            <w:r>
              <w:rPr>
                <w:color w:val="auto"/>
                <w:szCs w:val="21"/>
                <w:highlight w:val="none"/>
              </w:rPr>
              <w:t>7</w:t>
            </w:r>
            <w:r>
              <w:rPr>
                <w:rFonts w:hint="eastAsia"/>
                <w:color w:val="auto"/>
                <w:szCs w:val="21"/>
                <w:highlight w:val="none"/>
              </w:rPr>
              <w:t>）联合体</w:t>
            </w:r>
          </w:p>
        </w:tc>
        <w:tc>
          <w:tcPr>
            <w:tcW w:w="6242" w:type="dxa"/>
            <w:noWrap/>
            <w:vAlign w:val="center"/>
          </w:tcPr>
          <w:p w14:paraId="711D6050">
            <w:pPr>
              <w:spacing w:line="240" w:lineRule="exact"/>
              <w:rPr>
                <w:color w:val="auto"/>
                <w:szCs w:val="21"/>
                <w:highlight w:val="none"/>
              </w:rPr>
            </w:pPr>
            <w:r>
              <w:rPr>
                <w:rFonts w:hint="eastAsia"/>
                <w:color w:val="auto"/>
                <w:szCs w:val="21"/>
                <w:highlight w:val="none"/>
                <w:lang w:val="zh-CN"/>
              </w:rPr>
              <w:t>须符合“谈判公告”的要求</w:t>
            </w:r>
          </w:p>
        </w:tc>
      </w:tr>
      <w:tr w14:paraId="1161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846" w:type="dxa"/>
            <w:vMerge w:val="continue"/>
            <w:noWrap/>
            <w:vAlign w:val="center"/>
          </w:tcPr>
          <w:p w14:paraId="253FED3F">
            <w:pPr>
              <w:spacing w:line="240" w:lineRule="exact"/>
              <w:jc w:val="left"/>
              <w:rPr>
                <w:color w:val="auto"/>
                <w:kern w:val="0"/>
                <w:szCs w:val="21"/>
                <w:highlight w:val="none"/>
              </w:rPr>
            </w:pPr>
          </w:p>
        </w:tc>
        <w:tc>
          <w:tcPr>
            <w:tcW w:w="1843" w:type="dxa"/>
            <w:noWrap/>
            <w:vAlign w:val="center"/>
          </w:tcPr>
          <w:p w14:paraId="487691F1">
            <w:pPr>
              <w:spacing w:line="240" w:lineRule="exact"/>
              <w:jc w:val="left"/>
              <w:rPr>
                <w:color w:val="auto"/>
                <w:szCs w:val="21"/>
                <w:highlight w:val="none"/>
              </w:rPr>
            </w:pPr>
            <w:r>
              <w:rPr>
                <w:rFonts w:hint="eastAsia"/>
                <w:color w:val="auto"/>
                <w:szCs w:val="21"/>
                <w:highlight w:val="none"/>
              </w:rPr>
              <w:t>（</w:t>
            </w:r>
            <w:r>
              <w:rPr>
                <w:color w:val="auto"/>
                <w:szCs w:val="21"/>
                <w:highlight w:val="none"/>
              </w:rPr>
              <w:t>8</w:t>
            </w:r>
            <w:r>
              <w:rPr>
                <w:rFonts w:hint="eastAsia"/>
                <w:color w:val="auto"/>
                <w:szCs w:val="21"/>
                <w:highlight w:val="none"/>
              </w:rPr>
              <w:t>）其他要求</w:t>
            </w:r>
          </w:p>
        </w:tc>
        <w:tc>
          <w:tcPr>
            <w:tcW w:w="6242" w:type="dxa"/>
            <w:noWrap/>
          </w:tcPr>
          <w:p w14:paraId="775FB6D2">
            <w:pPr>
              <w:spacing w:line="312" w:lineRule="auto"/>
              <w:jc w:val="left"/>
              <w:rPr>
                <w:color w:val="auto"/>
                <w:kern w:val="0"/>
                <w:szCs w:val="21"/>
                <w:highlight w:val="none"/>
              </w:rPr>
            </w:pPr>
            <w:r>
              <w:rPr>
                <w:rFonts w:hint="eastAsia"/>
                <w:color w:val="auto"/>
                <w:kern w:val="0"/>
                <w:szCs w:val="21"/>
                <w:highlight w:val="none"/>
              </w:rPr>
              <w:t>按</w:t>
            </w:r>
            <w:r>
              <w:rPr>
                <w:color w:val="auto"/>
                <w:kern w:val="0"/>
                <w:szCs w:val="21"/>
                <w:highlight w:val="none"/>
              </w:rPr>
              <w:t>照</w:t>
            </w:r>
            <w:r>
              <w:rPr>
                <w:rFonts w:hint="eastAsia"/>
                <w:color w:val="auto"/>
                <w:kern w:val="0"/>
                <w:szCs w:val="21"/>
                <w:highlight w:val="none"/>
              </w:rPr>
              <w:t>谈判</w:t>
            </w:r>
            <w:r>
              <w:rPr>
                <w:color w:val="auto"/>
                <w:kern w:val="0"/>
                <w:szCs w:val="21"/>
                <w:highlight w:val="none"/>
              </w:rPr>
              <w:t>公告规定获得</w:t>
            </w:r>
            <w:r>
              <w:rPr>
                <w:rFonts w:hint="eastAsia"/>
                <w:color w:val="auto"/>
                <w:kern w:val="0"/>
                <w:szCs w:val="21"/>
                <w:highlight w:val="none"/>
              </w:rPr>
              <w:t>采购</w:t>
            </w:r>
            <w:r>
              <w:rPr>
                <w:color w:val="auto"/>
                <w:kern w:val="0"/>
                <w:szCs w:val="21"/>
                <w:highlight w:val="none"/>
              </w:rPr>
              <w:t>文件。</w:t>
            </w:r>
            <w:r>
              <w:rPr>
                <w:rFonts w:hint="eastAsia"/>
                <w:color w:val="auto"/>
                <w:kern w:val="0"/>
                <w:szCs w:val="21"/>
                <w:highlight w:val="none"/>
              </w:rPr>
              <w:t>足额、及时缴纳谈判保证金。</w:t>
            </w:r>
          </w:p>
        </w:tc>
      </w:tr>
      <w:bookmarkEnd w:id="82"/>
    </w:tbl>
    <w:p w14:paraId="171ADD56">
      <w:pPr>
        <w:spacing w:before="120" w:line="320" w:lineRule="atLeast"/>
        <w:ind w:firstLine="413" w:firstLineChars="196"/>
        <w:outlineLvl w:val="1"/>
        <w:rPr>
          <w:b/>
          <w:bCs/>
          <w:color w:val="auto"/>
          <w:kern w:val="0"/>
          <w:szCs w:val="21"/>
          <w:highlight w:val="none"/>
        </w:rPr>
      </w:pPr>
      <w:bookmarkStart w:id="83" w:name="_Hlk92979639"/>
      <w:r>
        <w:rPr>
          <w:b/>
          <w:bCs/>
          <w:color w:val="auto"/>
          <w:kern w:val="0"/>
          <w:szCs w:val="21"/>
          <w:highlight w:val="none"/>
        </w:rPr>
        <w:t>3</w:t>
      </w:r>
      <w:r>
        <w:rPr>
          <w:rFonts w:hint="eastAsia"/>
          <w:b/>
          <w:bCs/>
          <w:color w:val="auto"/>
          <w:kern w:val="0"/>
          <w:szCs w:val="21"/>
          <w:highlight w:val="none"/>
        </w:rPr>
        <w:t>.</w:t>
      </w:r>
      <w:r>
        <w:rPr>
          <w:b/>
          <w:bCs/>
          <w:color w:val="auto"/>
          <w:kern w:val="0"/>
          <w:szCs w:val="21"/>
          <w:highlight w:val="none"/>
        </w:rPr>
        <w:t>符合性审查</w:t>
      </w:r>
      <w:r>
        <w:rPr>
          <w:rFonts w:hint="eastAsia"/>
          <w:b/>
          <w:bCs/>
          <w:color w:val="auto"/>
          <w:kern w:val="0"/>
          <w:szCs w:val="21"/>
          <w:highlight w:val="none"/>
        </w:rPr>
        <w:t>标准（不满足任何一项审查内容要求，符合性审查即为不合格）</w:t>
      </w:r>
    </w:p>
    <w:tbl>
      <w:tblPr>
        <w:tblStyle w:val="51"/>
        <w:tblW w:w="932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9"/>
        <w:gridCol w:w="2436"/>
        <w:gridCol w:w="5309"/>
      </w:tblGrid>
      <w:tr w14:paraId="7C62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579" w:type="dxa"/>
            <w:noWrap/>
            <w:vAlign w:val="center"/>
          </w:tcPr>
          <w:p w14:paraId="53E3966D">
            <w:pPr>
              <w:spacing w:line="240" w:lineRule="exact"/>
              <w:jc w:val="center"/>
              <w:rPr>
                <w:b/>
                <w:color w:val="auto"/>
                <w:kern w:val="0"/>
                <w:szCs w:val="21"/>
                <w:highlight w:val="none"/>
              </w:rPr>
            </w:pPr>
            <w:bookmarkStart w:id="84" w:name="_Hlk92979654"/>
            <w:r>
              <w:rPr>
                <w:rFonts w:hint="eastAsia"/>
                <w:b/>
                <w:color w:val="auto"/>
                <w:kern w:val="0"/>
                <w:szCs w:val="21"/>
                <w:highlight w:val="none"/>
              </w:rPr>
              <w:t>审查</w:t>
            </w:r>
            <w:r>
              <w:rPr>
                <w:b/>
                <w:color w:val="auto"/>
                <w:kern w:val="0"/>
                <w:szCs w:val="21"/>
                <w:highlight w:val="none"/>
              </w:rPr>
              <w:t>因素</w:t>
            </w:r>
          </w:p>
        </w:tc>
        <w:tc>
          <w:tcPr>
            <w:tcW w:w="2436" w:type="dxa"/>
            <w:noWrap/>
            <w:vAlign w:val="center"/>
          </w:tcPr>
          <w:p w14:paraId="34BBA303">
            <w:pPr>
              <w:spacing w:line="240" w:lineRule="exact"/>
              <w:jc w:val="center"/>
              <w:rPr>
                <w:b/>
                <w:color w:val="auto"/>
                <w:kern w:val="0"/>
                <w:szCs w:val="21"/>
                <w:highlight w:val="none"/>
              </w:rPr>
            </w:pPr>
            <w:r>
              <w:rPr>
                <w:rFonts w:hint="eastAsia"/>
                <w:b/>
                <w:color w:val="auto"/>
                <w:kern w:val="0"/>
                <w:szCs w:val="21"/>
                <w:highlight w:val="none"/>
              </w:rPr>
              <w:t>审查内容</w:t>
            </w:r>
          </w:p>
        </w:tc>
        <w:tc>
          <w:tcPr>
            <w:tcW w:w="5309" w:type="dxa"/>
            <w:noWrap/>
          </w:tcPr>
          <w:p w14:paraId="004B4263">
            <w:pPr>
              <w:spacing w:line="240" w:lineRule="exact"/>
              <w:jc w:val="center"/>
              <w:rPr>
                <w:b/>
                <w:color w:val="auto"/>
                <w:kern w:val="0"/>
                <w:szCs w:val="21"/>
                <w:highlight w:val="none"/>
              </w:rPr>
            </w:pPr>
            <w:r>
              <w:rPr>
                <w:rFonts w:hint="eastAsia"/>
                <w:b/>
                <w:color w:val="auto"/>
                <w:kern w:val="0"/>
                <w:szCs w:val="21"/>
                <w:highlight w:val="none"/>
              </w:rPr>
              <w:t>说明</w:t>
            </w:r>
          </w:p>
        </w:tc>
      </w:tr>
      <w:tr w14:paraId="0498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579" w:type="dxa"/>
            <w:vMerge w:val="restart"/>
            <w:noWrap/>
            <w:vAlign w:val="center"/>
          </w:tcPr>
          <w:p w14:paraId="6AEFC197">
            <w:pPr>
              <w:spacing w:line="240" w:lineRule="exact"/>
              <w:jc w:val="center"/>
              <w:rPr>
                <w:color w:val="auto"/>
                <w:kern w:val="0"/>
                <w:szCs w:val="21"/>
                <w:highlight w:val="none"/>
              </w:rPr>
            </w:pPr>
            <w:r>
              <w:rPr>
                <w:rFonts w:hint="eastAsia"/>
                <w:color w:val="auto"/>
                <w:kern w:val="0"/>
                <w:szCs w:val="21"/>
                <w:highlight w:val="none"/>
              </w:rPr>
              <w:t>商务资信</w:t>
            </w:r>
          </w:p>
        </w:tc>
        <w:tc>
          <w:tcPr>
            <w:tcW w:w="2436" w:type="dxa"/>
            <w:noWrap/>
            <w:vAlign w:val="center"/>
          </w:tcPr>
          <w:p w14:paraId="40C054B9">
            <w:pPr>
              <w:spacing w:line="240" w:lineRule="exact"/>
              <w:rPr>
                <w:color w:val="auto"/>
                <w:highlight w:val="none"/>
              </w:rPr>
            </w:pPr>
            <w:r>
              <w:rPr>
                <w:rFonts w:hint="eastAsia"/>
                <w:color w:val="auto"/>
                <w:highlight w:val="none"/>
              </w:rPr>
              <w:t>法定代表人身份证明及授权委托书</w:t>
            </w:r>
          </w:p>
        </w:tc>
        <w:tc>
          <w:tcPr>
            <w:tcW w:w="5309" w:type="dxa"/>
            <w:noWrap/>
            <w:vAlign w:val="center"/>
          </w:tcPr>
          <w:p w14:paraId="38742C2E">
            <w:pPr>
              <w:spacing w:line="240" w:lineRule="exact"/>
              <w:rPr>
                <w:color w:val="auto"/>
                <w:szCs w:val="21"/>
                <w:highlight w:val="none"/>
              </w:rPr>
            </w:pPr>
            <w:r>
              <w:rPr>
                <w:rFonts w:hint="eastAsia"/>
                <w:color w:val="auto"/>
                <w:szCs w:val="21"/>
                <w:highlight w:val="none"/>
              </w:rPr>
              <w:t>授权</w:t>
            </w:r>
            <w:r>
              <w:rPr>
                <w:color w:val="auto"/>
                <w:szCs w:val="21"/>
                <w:highlight w:val="none"/>
              </w:rPr>
              <w:t>代表</w:t>
            </w:r>
            <w:r>
              <w:rPr>
                <w:rFonts w:hint="eastAsia"/>
                <w:color w:val="auto"/>
                <w:szCs w:val="21"/>
                <w:highlight w:val="none"/>
              </w:rPr>
              <w:t>参加响应</w:t>
            </w:r>
            <w:r>
              <w:rPr>
                <w:color w:val="auto"/>
                <w:szCs w:val="21"/>
                <w:highlight w:val="none"/>
              </w:rPr>
              <w:t>时审查</w:t>
            </w:r>
            <w:r>
              <w:rPr>
                <w:color w:val="auto"/>
                <w:highlight w:val="none"/>
              </w:rPr>
              <w:t>：</w:t>
            </w:r>
            <w:r>
              <w:rPr>
                <w:rFonts w:ascii="宋体" w:hAnsi="宋体"/>
                <w:color w:val="auto"/>
                <w:szCs w:val="21"/>
                <w:highlight w:val="none"/>
              </w:rPr>
              <w:t>法定代表人授权委托书及附件</w:t>
            </w:r>
          </w:p>
          <w:p w14:paraId="339491FC">
            <w:pPr>
              <w:spacing w:line="240" w:lineRule="exact"/>
              <w:rPr>
                <w:rFonts w:ascii="宋体" w:hAnsi="宋体"/>
                <w:color w:val="auto"/>
                <w:szCs w:val="21"/>
                <w:highlight w:val="none"/>
              </w:rPr>
            </w:pPr>
            <w:r>
              <w:rPr>
                <w:rFonts w:hint="eastAsia"/>
                <w:color w:val="auto"/>
                <w:szCs w:val="21"/>
                <w:highlight w:val="none"/>
              </w:rPr>
              <w:t>法定代表人直接参加响应</w:t>
            </w:r>
            <w:r>
              <w:rPr>
                <w:color w:val="auto"/>
                <w:szCs w:val="21"/>
                <w:highlight w:val="none"/>
              </w:rPr>
              <w:t>时审查</w:t>
            </w:r>
            <w:r>
              <w:rPr>
                <w:color w:val="auto"/>
                <w:highlight w:val="none"/>
              </w:rPr>
              <w:t>：</w:t>
            </w:r>
            <w:r>
              <w:rPr>
                <w:rFonts w:ascii="宋体" w:hAnsi="宋体"/>
                <w:color w:val="auto"/>
                <w:szCs w:val="21"/>
                <w:highlight w:val="none"/>
              </w:rPr>
              <w:t>法定代表人身份证明</w:t>
            </w:r>
            <w:r>
              <w:rPr>
                <w:rFonts w:hint="eastAsia" w:ascii="宋体" w:hAnsi="宋体"/>
                <w:color w:val="auto"/>
                <w:szCs w:val="21"/>
                <w:highlight w:val="none"/>
              </w:rPr>
              <w:t>及</w:t>
            </w:r>
            <w:r>
              <w:rPr>
                <w:rFonts w:ascii="宋体" w:hAnsi="宋体"/>
                <w:color w:val="auto"/>
                <w:szCs w:val="21"/>
                <w:highlight w:val="none"/>
              </w:rPr>
              <w:t>附件</w:t>
            </w:r>
          </w:p>
          <w:p w14:paraId="484D9590">
            <w:pPr>
              <w:spacing w:line="240" w:lineRule="exact"/>
              <w:rPr>
                <w:color w:val="auto"/>
                <w:highlight w:val="none"/>
              </w:rPr>
            </w:pPr>
            <w:r>
              <w:rPr>
                <w:rFonts w:ascii="宋体" w:hAnsi="宋体"/>
                <w:color w:val="auto"/>
                <w:szCs w:val="21"/>
                <w:highlight w:val="none"/>
              </w:rPr>
              <w:t>格式及附件见第六章响应文件格式要求</w:t>
            </w:r>
          </w:p>
        </w:tc>
      </w:tr>
      <w:tr w14:paraId="219E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579" w:type="dxa"/>
            <w:vMerge w:val="continue"/>
            <w:noWrap/>
            <w:vAlign w:val="center"/>
          </w:tcPr>
          <w:p w14:paraId="63527859">
            <w:pPr>
              <w:spacing w:line="240" w:lineRule="exact"/>
              <w:jc w:val="center"/>
              <w:rPr>
                <w:color w:val="auto"/>
                <w:kern w:val="0"/>
                <w:szCs w:val="21"/>
                <w:highlight w:val="none"/>
              </w:rPr>
            </w:pPr>
          </w:p>
        </w:tc>
        <w:tc>
          <w:tcPr>
            <w:tcW w:w="2436" w:type="dxa"/>
            <w:noWrap/>
            <w:vAlign w:val="center"/>
          </w:tcPr>
          <w:p w14:paraId="70E1A602">
            <w:pPr>
              <w:spacing w:line="240" w:lineRule="exact"/>
              <w:rPr>
                <w:color w:val="auto"/>
                <w:szCs w:val="21"/>
                <w:highlight w:val="none"/>
              </w:rPr>
            </w:pPr>
            <w:r>
              <w:rPr>
                <w:rFonts w:hint="eastAsia"/>
                <w:color w:val="auto"/>
                <w:szCs w:val="21"/>
                <w:highlight w:val="none"/>
              </w:rPr>
              <w:t>实质性条款响应</w:t>
            </w:r>
          </w:p>
        </w:tc>
        <w:tc>
          <w:tcPr>
            <w:tcW w:w="5309" w:type="dxa"/>
            <w:noWrap/>
            <w:vAlign w:val="center"/>
          </w:tcPr>
          <w:p w14:paraId="41187A48">
            <w:pPr>
              <w:spacing w:line="240" w:lineRule="exact"/>
              <w:rPr>
                <w:color w:val="auto"/>
                <w:szCs w:val="21"/>
                <w:highlight w:val="none"/>
              </w:rPr>
            </w:pPr>
            <w:r>
              <w:rPr>
                <w:rFonts w:hint="eastAsia" w:ascii="宋体" w:hAnsi="宋体"/>
                <w:color w:val="auto"/>
                <w:szCs w:val="21"/>
                <w:highlight w:val="none"/>
              </w:rPr>
              <w:t>采购文件实质性要求响应均无负偏离</w:t>
            </w:r>
          </w:p>
        </w:tc>
      </w:tr>
      <w:tr w14:paraId="59EB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579" w:type="dxa"/>
            <w:vMerge w:val="continue"/>
            <w:noWrap/>
            <w:vAlign w:val="center"/>
          </w:tcPr>
          <w:p w14:paraId="1770221B">
            <w:pPr>
              <w:spacing w:line="240" w:lineRule="exact"/>
              <w:jc w:val="center"/>
              <w:rPr>
                <w:color w:val="auto"/>
                <w:kern w:val="0"/>
                <w:szCs w:val="21"/>
                <w:highlight w:val="none"/>
              </w:rPr>
            </w:pPr>
          </w:p>
        </w:tc>
        <w:tc>
          <w:tcPr>
            <w:tcW w:w="2436" w:type="dxa"/>
            <w:noWrap/>
            <w:vAlign w:val="center"/>
          </w:tcPr>
          <w:p w14:paraId="57FDEB68">
            <w:pPr>
              <w:spacing w:line="240" w:lineRule="exact"/>
              <w:rPr>
                <w:color w:val="auto"/>
                <w:szCs w:val="21"/>
                <w:highlight w:val="none"/>
              </w:rPr>
            </w:pPr>
            <w:r>
              <w:rPr>
                <w:rFonts w:hint="eastAsia"/>
                <w:color w:val="auto"/>
                <w:szCs w:val="21"/>
                <w:highlight w:val="none"/>
              </w:rPr>
              <w:t>串通投标</w:t>
            </w:r>
          </w:p>
        </w:tc>
        <w:tc>
          <w:tcPr>
            <w:tcW w:w="5309" w:type="dxa"/>
            <w:noWrap/>
            <w:vAlign w:val="center"/>
          </w:tcPr>
          <w:p w14:paraId="182528DA">
            <w:pPr>
              <w:spacing w:line="240" w:lineRule="exact"/>
              <w:rPr>
                <w:color w:val="auto"/>
                <w:szCs w:val="21"/>
                <w:highlight w:val="none"/>
              </w:rPr>
            </w:pPr>
            <w:r>
              <w:rPr>
                <w:rFonts w:hint="eastAsia" w:ascii="宋体" w:hAnsi="宋体"/>
                <w:color w:val="auto"/>
                <w:szCs w:val="21"/>
                <w:highlight w:val="none"/>
              </w:rPr>
              <w:t>不属于供应商须知正文第</w:t>
            </w:r>
            <w:r>
              <w:rPr>
                <w:rFonts w:ascii="宋体" w:hAnsi="宋体"/>
                <w:color w:val="auto"/>
                <w:szCs w:val="21"/>
                <w:highlight w:val="none"/>
              </w:rPr>
              <w:t>6</w:t>
            </w: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.9规定的串通投标情形，见</w:t>
            </w:r>
            <w:r>
              <w:rPr>
                <w:rFonts w:ascii="宋体" w:hAnsi="宋体"/>
                <w:color w:val="auto"/>
                <w:szCs w:val="21"/>
                <w:highlight w:val="none"/>
              </w:rPr>
              <w:t>第六章响应文件格式要求</w:t>
            </w:r>
          </w:p>
        </w:tc>
      </w:tr>
      <w:tr w14:paraId="58C7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579" w:type="dxa"/>
            <w:vMerge w:val="restart"/>
            <w:noWrap/>
            <w:vAlign w:val="center"/>
          </w:tcPr>
          <w:p w14:paraId="296A2469">
            <w:pPr>
              <w:spacing w:line="240" w:lineRule="exact"/>
              <w:jc w:val="center"/>
              <w:rPr>
                <w:color w:val="auto"/>
                <w:szCs w:val="21"/>
                <w:highlight w:val="none"/>
              </w:rPr>
            </w:pPr>
            <w:r>
              <w:rPr>
                <w:rFonts w:hint="eastAsia"/>
                <w:color w:val="auto"/>
                <w:kern w:val="0"/>
                <w:szCs w:val="21"/>
                <w:highlight w:val="none"/>
              </w:rPr>
              <w:t>技术</w:t>
            </w:r>
          </w:p>
        </w:tc>
        <w:tc>
          <w:tcPr>
            <w:tcW w:w="2436" w:type="dxa"/>
            <w:noWrap/>
            <w:vAlign w:val="center"/>
          </w:tcPr>
          <w:p w14:paraId="0FA88069">
            <w:pPr>
              <w:spacing w:line="240" w:lineRule="exact"/>
              <w:rPr>
                <w:color w:val="auto"/>
                <w:szCs w:val="21"/>
                <w:highlight w:val="none"/>
              </w:rPr>
            </w:pPr>
            <w:r>
              <w:rPr>
                <w:rFonts w:hint="eastAsia"/>
                <w:color w:val="auto"/>
                <w:szCs w:val="21"/>
                <w:highlight w:val="none"/>
              </w:rPr>
              <w:t>节能产品（如有）</w:t>
            </w:r>
          </w:p>
        </w:tc>
        <w:tc>
          <w:tcPr>
            <w:tcW w:w="5309" w:type="dxa"/>
            <w:noWrap/>
            <w:vAlign w:val="center"/>
          </w:tcPr>
          <w:p w14:paraId="0776172B">
            <w:pPr>
              <w:spacing w:line="240" w:lineRule="exact"/>
              <w:rPr>
                <w:bCs/>
                <w:color w:val="auto"/>
                <w:kern w:val="0"/>
                <w:szCs w:val="21"/>
                <w:highlight w:val="none"/>
              </w:rPr>
            </w:pPr>
            <w:r>
              <w:rPr>
                <w:rFonts w:hint="eastAsia"/>
                <w:color w:val="auto"/>
                <w:szCs w:val="21"/>
                <w:highlight w:val="none"/>
              </w:rPr>
              <w:t>采购需求如果包括政府强制采购节能产品，响应产品未使用节能产品政府采购品目清单内的产品，或未处于有效期之内，</w:t>
            </w:r>
            <w:r>
              <w:rPr>
                <w:rFonts w:hint="eastAsia" w:ascii="宋体" w:hAnsi="宋体"/>
                <w:color w:val="auto"/>
                <w:szCs w:val="21"/>
                <w:highlight w:val="none"/>
              </w:rPr>
              <w:t>见第六章响应文件格式要求</w:t>
            </w:r>
          </w:p>
        </w:tc>
      </w:tr>
      <w:tr w14:paraId="7027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restart"/>
            <w:noWrap/>
            <w:vAlign w:val="center"/>
          </w:tcPr>
          <w:p w14:paraId="5D7245CB">
            <w:pPr>
              <w:spacing w:line="240" w:lineRule="exact"/>
              <w:jc w:val="center"/>
              <w:rPr>
                <w:color w:val="auto"/>
                <w:kern w:val="0"/>
                <w:szCs w:val="21"/>
                <w:highlight w:val="none"/>
              </w:rPr>
            </w:pPr>
            <w:r>
              <w:rPr>
                <w:rFonts w:hint="eastAsia"/>
                <w:color w:val="auto"/>
                <w:kern w:val="0"/>
                <w:szCs w:val="21"/>
                <w:highlight w:val="none"/>
              </w:rPr>
              <w:t>报价</w:t>
            </w:r>
          </w:p>
        </w:tc>
        <w:tc>
          <w:tcPr>
            <w:tcW w:w="2436" w:type="dxa"/>
            <w:noWrap/>
            <w:vAlign w:val="center"/>
          </w:tcPr>
          <w:p w14:paraId="7D959A71">
            <w:pPr>
              <w:spacing w:line="240" w:lineRule="exact"/>
              <w:rPr>
                <w:color w:val="auto"/>
                <w:szCs w:val="21"/>
                <w:highlight w:val="none"/>
              </w:rPr>
            </w:pPr>
            <w:r>
              <w:rPr>
                <w:rFonts w:hint="eastAsia"/>
                <w:color w:val="auto"/>
                <w:szCs w:val="21"/>
                <w:highlight w:val="none"/>
              </w:rPr>
              <w:t>有效报价</w:t>
            </w:r>
          </w:p>
        </w:tc>
        <w:tc>
          <w:tcPr>
            <w:tcW w:w="5309" w:type="dxa"/>
            <w:noWrap/>
            <w:vAlign w:val="center"/>
          </w:tcPr>
          <w:p w14:paraId="05BE8894">
            <w:pPr>
              <w:spacing w:line="240" w:lineRule="exact"/>
              <w:rPr>
                <w:bCs/>
                <w:color w:val="auto"/>
                <w:kern w:val="0"/>
                <w:szCs w:val="21"/>
                <w:highlight w:val="none"/>
              </w:rPr>
            </w:pPr>
            <w:r>
              <w:rPr>
                <w:rFonts w:hint="eastAsia"/>
                <w:color w:val="auto"/>
                <w:highlight w:val="none"/>
              </w:rPr>
              <w:t>报价未超出采购预算金额，也未超出最高限价（如有）</w:t>
            </w:r>
          </w:p>
        </w:tc>
      </w:tr>
      <w:tr w14:paraId="4900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continue"/>
            <w:noWrap/>
            <w:vAlign w:val="center"/>
          </w:tcPr>
          <w:p w14:paraId="1F346593">
            <w:pPr>
              <w:spacing w:line="240" w:lineRule="exact"/>
              <w:jc w:val="center"/>
              <w:rPr>
                <w:color w:val="auto"/>
                <w:kern w:val="0"/>
                <w:szCs w:val="21"/>
                <w:highlight w:val="none"/>
              </w:rPr>
            </w:pPr>
          </w:p>
        </w:tc>
        <w:tc>
          <w:tcPr>
            <w:tcW w:w="2436" w:type="dxa"/>
            <w:noWrap/>
            <w:vAlign w:val="center"/>
          </w:tcPr>
          <w:p w14:paraId="6CD0C64D">
            <w:pPr>
              <w:spacing w:line="240" w:lineRule="exact"/>
              <w:rPr>
                <w:bCs/>
                <w:color w:val="auto"/>
                <w:kern w:val="0"/>
                <w:szCs w:val="21"/>
                <w:highlight w:val="none"/>
              </w:rPr>
            </w:pPr>
            <w:r>
              <w:rPr>
                <w:rFonts w:hint="eastAsia"/>
                <w:bCs/>
                <w:color w:val="auto"/>
                <w:kern w:val="0"/>
                <w:szCs w:val="21"/>
                <w:highlight w:val="none"/>
              </w:rPr>
              <w:t>漏项报价</w:t>
            </w:r>
          </w:p>
        </w:tc>
        <w:tc>
          <w:tcPr>
            <w:tcW w:w="5309" w:type="dxa"/>
            <w:noWrap/>
            <w:vAlign w:val="center"/>
          </w:tcPr>
          <w:p w14:paraId="30EF68CD">
            <w:pPr>
              <w:spacing w:line="240" w:lineRule="exact"/>
              <w:rPr>
                <w:rFonts w:hAnsi="宋体"/>
                <w:color w:val="auto"/>
                <w:szCs w:val="21"/>
                <w:highlight w:val="none"/>
              </w:rPr>
            </w:pPr>
            <w:r>
              <w:rPr>
                <w:rFonts w:hint="eastAsia" w:ascii="宋体" w:hAnsi="宋体"/>
                <w:color w:val="auto"/>
                <w:szCs w:val="21"/>
                <w:highlight w:val="none"/>
              </w:rPr>
              <w:t>未就所投分标进行报价或者存在漏项报价；</w:t>
            </w:r>
          </w:p>
        </w:tc>
      </w:tr>
      <w:tr w14:paraId="6E82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continue"/>
            <w:noWrap/>
            <w:vAlign w:val="center"/>
          </w:tcPr>
          <w:p w14:paraId="41F7B453">
            <w:pPr>
              <w:spacing w:line="240" w:lineRule="exact"/>
              <w:jc w:val="center"/>
              <w:rPr>
                <w:color w:val="auto"/>
                <w:kern w:val="0"/>
                <w:szCs w:val="21"/>
                <w:highlight w:val="none"/>
              </w:rPr>
            </w:pPr>
          </w:p>
        </w:tc>
        <w:tc>
          <w:tcPr>
            <w:tcW w:w="2436" w:type="dxa"/>
            <w:noWrap/>
            <w:vAlign w:val="center"/>
          </w:tcPr>
          <w:p w14:paraId="3E5B0737">
            <w:pPr>
              <w:spacing w:line="240" w:lineRule="exact"/>
              <w:rPr>
                <w:rFonts w:hAnsi="宋体"/>
                <w:color w:val="auto"/>
                <w:szCs w:val="21"/>
                <w:highlight w:val="none"/>
              </w:rPr>
            </w:pPr>
            <w:r>
              <w:rPr>
                <w:rFonts w:hint="eastAsia" w:hAnsi="宋体"/>
                <w:color w:val="auto"/>
                <w:szCs w:val="21"/>
                <w:highlight w:val="none"/>
              </w:rPr>
              <w:t>响应报价唯一性</w:t>
            </w:r>
          </w:p>
        </w:tc>
        <w:tc>
          <w:tcPr>
            <w:tcW w:w="5309" w:type="dxa"/>
            <w:noWrap/>
            <w:vAlign w:val="center"/>
          </w:tcPr>
          <w:p w14:paraId="0E93A59B">
            <w:pPr>
              <w:spacing w:line="240" w:lineRule="exact"/>
              <w:rPr>
                <w:color w:val="auto"/>
                <w:szCs w:val="21"/>
                <w:highlight w:val="none"/>
              </w:rPr>
            </w:pPr>
            <w:r>
              <w:rPr>
                <w:rFonts w:hint="eastAsia" w:ascii="宋体" w:hAnsi="宋体"/>
                <w:color w:val="auto"/>
                <w:szCs w:val="21"/>
                <w:highlight w:val="none"/>
              </w:rPr>
              <w:t>不存在有选择、有条件的最后报价（采购文件允许有备选方案或者其他约定的除外）</w:t>
            </w:r>
          </w:p>
        </w:tc>
      </w:tr>
      <w:tr w14:paraId="005D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continue"/>
            <w:noWrap/>
            <w:vAlign w:val="center"/>
          </w:tcPr>
          <w:p w14:paraId="5C8D30A1">
            <w:pPr>
              <w:spacing w:line="240" w:lineRule="exact"/>
              <w:jc w:val="center"/>
              <w:rPr>
                <w:color w:val="auto"/>
                <w:kern w:val="0"/>
                <w:szCs w:val="21"/>
                <w:highlight w:val="none"/>
              </w:rPr>
            </w:pPr>
          </w:p>
        </w:tc>
        <w:tc>
          <w:tcPr>
            <w:tcW w:w="2436" w:type="dxa"/>
            <w:shd w:val="clear" w:color="auto" w:fill="auto"/>
            <w:noWrap/>
            <w:vAlign w:val="center"/>
          </w:tcPr>
          <w:p w14:paraId="7EF4B0FD">
            <w:pPr>
              <w:spacing w:line="240" w:lineRule="exact"/>
              <w:rPr>
                <w:color w:val="auto"/>
                <w:highlight w:val="none"/>
                <w:lang w:val="zh-CN"/>
              </w:rPr>
            </w:pPr>
            <w:r>
              <w:rPr>
                <w:rFonts w:hint="eastAsia"/>
                <w:color w:val="auto"/>
                <w:szCs w:val="21"/>
                <w:highlight w:val="none"/>
                <w:lang w:val="zh-CN"/>
              </w:rPr>
              <w:t>过低报价合理性</w:t>
            </w:r>
          </w:p>
        </w:tc>
        <w:tc>
          <w:tcPr>
            <w:tcW w:w="5309" w:type="dxa"/>
            <w:shd w:val="clear" w:color="auto" w:fill="auto"/>
            <w:noWrap/>
            <w:vAlign w:val="center"/>
          </w:tcPr>
          <w:p w14:paraId="459ACE5F">
            <w:pPr>
              <w:spacing w:line="240" w:lineRule="exact"/>
              <w:rPr>
                <w:color w:val="auto"/>
                <w:highlight w:val="none"/>
              </w:rPr>
            </w:pPr>
            <w:r>
              <w:rPr>
                <w:rFonts w:hint="eastAsia"/>
                <w:color w:val="auto"/>
                <w:highlight w:val="none"/>
              </w:rPr>
              <w:t>供应商的报价存在异常低价问题的情形，谈判小组</w:t>
            </w:r>
            <w:r>
              <w:rPr>
                <w:rFonts w:hint="eastAsia"/>
                <w:color w:val="auto"/>
                <w:szCs w:val="21"/>
                <w:highlight w:val="none"/>
              </w:rPr>
              <w:t>应当要求其在评标现场合理的时间内提供报价合理性相关的书面说明及必要的证明材料。</w:t>
            </w:r>
            <w:r>
              <w:rPr>
                <w:rFonts w:hint="eastAsia"/>
                <w:color w:val="auto"/>
                <w:highlight w:val="none"/>
              </w:rPr>
              <w:t>供应商不能证明其报价合理性的，谈判小组应当将其作为无效响应处理。</w:t>
            </w:r>
          </w:p>
        </w:tc>
      </w:tr>
      <w:tr w14:paraId="1154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continue"/>
            <w:noWrap/>
            <w:vAlign w:val="center"/>
          </w:tcPr>
          <w:p w14:paraId="61209D9B">
            <w:pPr>
              <w:spacing w:line="240" w:lineRule="exact"/>
              <w:jc w:val="center"/>
              <w:rPr>
                <w:color w:val="auto"/>
                <w:kern w:val="0"/>
                <w:szCs w:val="21"/>
                <w:highlight w:val="none"/>
              </w:rPr>
            </w:pPr>
          </w:p>
        </w:tc>
        <w:tc>
          <w:tcPr>
            <w:tcW w:w="2436" w:type="dxa"/>
            <w:noWrap/>
            <w:vAlign w:val="center"/>
          </w:tcPr>
          <w:p w14:paraId="071ACF63">
            <w:pPr>
              <w:spacing w:line="240" w:lineRule="exact"/>
              <w:rPr>
                <w:rFonts w:ascii="宋体" w:hAnsi="宋体"/>
                <w:color w:val="auto"/>
                <w:szCs w:val="21"/>
                <w:highlight w:val="none"/>
              </w:rPr>
            </w:pPr>
            <w:r>
              <w:rPr>
                <w:rFonts w:hint="eastAsia"/>
                <w:color w:val="auto"/>
                <w:szCs w:val="21"/>
                <w:highlight w:val="none"/>
              </w:rPr>
              <w:t>响应有效期</w:t>
            </w:r>
          </w:p>
        </w:tc>
        <w:tc>
          <w:tcPr>
            <w:tcW w:w="5309" w:type="dxa"/>
            <w:noWrap/>
            <w:vAlign w:val="center"/>
          </w:tcPr>
          <w:p w14:paraId="2AF2DB1A">
            <w:pPr>
              <w:spacing w:line="240" w:lineRule="exact"/>
              <w:rPr>
                <w:color w:val="auto"/>
                <w:szCs w:val="21"/>
                <w:highlight w:val="none"/>
              </w:rPr>
            </w:pPr>
            <w:r>
              <w:rPr>
                <w:rFonts w:hint="eastAsia" w:ascii="宋体" w:hAnsi="宋体"/>
                <w:color w:val="auto"/>
                <w:szCs w:val="21"/>
                <w:highlight w:val="none"/>
              </w:rPr>
              <w:t>满足采购文件规定</w:t>
            </w:r>
          </w:p>
        </w:tc>
      </w:tr>
      <w:bookmarkEnd w:id="84"/>
    </w:tbl>
    <w:p w14:paraId="602C814F">
      <w:pPr>
        <w:spacing w:before="120" w:line="320" w:lineRule="atLeast"/>
        <w:ind w:firstLine="316" w:firstLineChars="150"/>
        <w:rPr>
          <w:b/>
          <w:bCs/>
          <w:color w:val="auto"/>
          <w:kern w:val="0"/>
          <w:szCs w:val="21"/>
          <w:highlight w:val="none"/>
        </w:rPr>
      </w:pPr>
      <w:r>
        <w:rPr>
          <w:rFonts w:hint="eastAsia"/>
          <w:b/>
          <w:bCs/>
          <w:color w:val="auto"/>
          <w:kern w:val="0"/>
          <w:szCs w:val="21"/>
          <w:highlight w:val="none"/>
        </w:rPr>
        <w:t>注：涉及政府采购价格评审优惠政策叠加的，按照相关政策要求统一从对应报价的基础上进行价格扣除，用响应总价减去扣除金额之和的价格参加评审。</w:t>
      </w:r>
    </w:p>
    <w:p w14:paraId="6B13DCE1">
      <w:pPr>
        <w:spacing w:before="120" w:line="320" w:lineRule="atLeast"/>
        <w:ind w:firstLine="316" w:firstLineChars="150"/>
        <w:rPr>
          <w:b/>
          <w:bCs/>
          <w:color w:val="auto"/>
          <w:kern w:val="0"/>
          <w:szCs w:val="21"/>
          <w:highlight w:val="none"/>
        </w:rPr>
      </w:pPr>
      <w:r>
        <w:rPr>
          <w:rFonts w:hint="eastAsia"/>
          <w:b/>
          <w:bCs/>
          <w:color w:val="auto"/>
          <w:kern w:val="0"/>
          <w:szCs w:val="21"/>
          <w:highlight w:val="none"/>
        </w:rPr>
        <w:t>政策性扣除计算方法：</w:t>
      </w:r>
    </w:p>
    <w:p w14:paraId="7FCFB331">
      <w:pPr>
        <w:spacing w:before="120" w:line="320" w:lineRule="atLeast"/>
        <w:ind w:firstLine="315" w:firstLineChars="150"/>
        <w:rPr>
          <w:color w:val="auto"/>
          <w:szCs w:val="21"/>
          <w:highlight w:val="none"/>
        </w:rPr>
      </w:pPr>
      <w:r>
        <w:rPr>
          <w:color w:val="auto"/>
          <w:szCs w:val="21"/>
          <w:highlight w:val="none"/>
        </w:rPr>
        <w:t>1）小微企业的价格扣除计算:供应商响应</w:t>
      </w:r>
      <w:r>
        <w:rPr>
          <w:rFonts w:hint="eastAsia"/>
          <w:color w:val="auto"/>
          <w:szCs w:val="21"/>
          <w:highlight w:val="none"/>
        </w:rPr>
        <w:t>报价将按相应比例进行扣除，用扣除后的价格参与评审（计算价格分），价格扣除比例分别如下：</w:t>
      </w:r>
      <w:r>
        <w:rPr>
          <w:rFonts w:hint="eastAsia" w:ascii="宋体" w:hAnsi="Courier New" w:eastAsia="楷体_GB2312" w:cs="Courier New"/>
          <w:b/>
          <w:color w:val="auto"/>
          <w:sz w:val="24"/>
          <w:highlight w:val="none"/>
        </w:rPr>
        <w:t>【备注：适用非专门面向或非预留份额比例专门面向中小企业（小微企业）的项目】</w:t>
      </w:r>
    </w:p>
    <w:tbl>
      <w:tblPr>
        <w:tblStyle w:val="5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4962"/>
        <w:gridCol w:w="2551"/>
      </w:tblGrid>
      <w:tr w14:paraId="29DD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auto"/>
            <w:noWrap/>
          </w:tcPr>
          <w:p w14:paraId="262F27CA">
            <w:pPr>
              <w:spacing w:before="120" w:line="320" w:lineRule="atLeast"/>
              <w:jc w:val="center"/>
              <w:rPr>
                <w:color w:val="auto"/>
                <w:szCs w:val="21"/>
                <w:highlight w:val="none"/>
              </w:rPr>
            </w:pPr>
            <w:r>
              <w:rPr>
                <w:rFonts w:hint="eastAsia"/>
                <w:color w:val="auto"/>
                <w:szCs w:val="21"/>
                <w:highlight w:val="none"/>
              </w:rPr>
              <w:t>独立响应</w:t>
            </w:r>
          </w:p>
        </w:tc>
        <w:tc>
          <w:tcPr>
            <w:tcW w:w="4962" w:type="dxa"/>
            <w:shd w:val="clear" w:color="auto" w:fill="auto"/>
            <w:noWrap/>
          </w:tcPr>
          <w:p w14:paraId="3930545B">
            <w:pPr>
              <w:spacing w:before="120" w:line="320" w:lineRule="atLeast"/>
              <w:rPr>
                <w:color w:val="auto"/>
                <w:szCs w:val="21"/>
                <w:highlight w:val="none"/>
              </w:rPr>
            </w:pPr>
            <w:r>
              <w:rPr>
                <w:rFonts w:hint="eastAsia"/>
                <w:color w:val="auto"/>
                <w:szCs w:val="21"/>
                <w:highlight w:val="none"/>
              </w:rPr>
              <w:t>供应商所提供产品制造商均为所列企业之一（小型企业、微型企业、残疾人福利企业、监狱企业）</w:t>
            </w:r>
          </w:p>
        </w:tc>
        <w:tc>
          <w:tcPr>
            <w:tcW w:w="2551" w:type="dxa"/>
            <w:shd w:val="clear" w:color="auto" w:fill="auto"/>
            <w:noWrap/>
          </w:tcPr>
          <w:p w14:paraId="77A6D8FA">
            <w:pPr>
              <w:spacing w:before="120" w:line="320" w:lineRule="atLeast"/>
              <w:rPr>
                <w:color w:val="auto"/>
                <w:szCs w:val="21"/>
                <w:highlight w:val="none"/>
              </w:rPr>
            </w:pPr>
            <w:r>
              <w:rPr>
                <w:rFonts w:hint="eastAsia"/>
                <w:color w:val="auto"/>
                <w:szCs w:val="21"/>
                <w:highlight w:val="none"/>
              </w:rPr>
              <w:t>价格扣除响应报价的</w:t>
            </w:r>
            <w:r>
              <w:rPr>
                <w:color w:val="auto"/>
                <w:szCs w:val="21"/>
                <w:highlight w:val="none"/>
              </w:rPr>
              <w:t>10%</w:t>
            </w:r>
          </w:p>
        </w:tc>
      </w:tr>
      <w:tr w14:paraId="5B46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3"/>
            <w:shd w:val="clear" w:color="auto" w:fill="auto"/>
            <w:noWrap/>
          </w:tcPr>
          <w:p w14:paraId="700EE12C">
            <w:pPr>
              <w:spacing w:before="120" w:line="320" w:lineRule="atLeast"/>
              <w:rPr>
                <w:color w:val="auto"/>
                <w:szCs w:val="21"/>
                <w:highlight w:val="none"/>
              </w:rPr>
            </w:pPr>
            <w:r>
              <w:rPr>
                <w:rFonts w:hint="eastAsia"/>
                <w:color w:val="auto"/>
                <w:szCs w:val="21"/>
                <w:highlight w:val="none"/>
              </w:rPr>
              <w:t>注：未提供《中小企业声明函》、《分包意向协议书》或《联合体协议书》或不符合条件的，不享受价格扣除优惠。</w:t>
            </w:r>
          </w:p>
        </w:tc>
      </w:tr>
    </w:tbl>
    <w:p w14:paraId="42329C45">
      <w:pPr>
        <w:rPr>
          <w:color w:val="auto"/>
          <w:highlight w:val="none"/>
        </w:rPr>
      </w:pPr>
    </w:p>
    <w:p w14:paraId="1AFC001A">
      <w:pPr>
        <w:ind w:firstLine="420" w:firstLineChars="200"/>
        <w:rPr>
          <w:rFonts w:eastAsia="楷体_GB2312"/>
          <w:b/>
          <w:color w:val="auto"/>
          <w:sz w:val="24"/>
          <w:highlight w:val="none"/>
        </w:rPr>
      </w:pPr>
      <w:r>
        <w:rPr>
          <w:color w:val="auto"/>
          <w:highlight w:val="none"/>
        </w:rPr>
        <w:t>2）本国产品的价格扣除计算：供应商响应</w:t>
      </w:r>
      <w:r>
        <w:rPr>
          <w:rFonts w:hint="eastAsia"/>
          <w:color w:val="auto"/>
          <w:highlight w:val="none"/>
        </w:rPr>
        <w:t>报价将按相应比例进行扣除，用扣除后的价格参与评审（计算价格分），价格扣除比例分别如下：</w:t>
      </w:r>
      <w:r>
        <w:rPr>
          <w:rFonts w:hint="eastAsia" w:ascii="宋体" w:hAnsi="Courier New" w:eastAsia="楷体_GB2312" w:cs="Courier New"/>
          <w:b/>
          <w:color w:val="auto"/>
          <w:sz w:val="24"/>
          <w:highlight w:val="none"/>
        </w:rPr>
        <w:t>【备注：适用对本国产品支持政策的项目】</w:t>
      </w:r>
    </w:p>
    <w:p w14:paraId="3ACFF2F4">
      <w:pPr>
        <w:ind w:firstLine="420" w:firstLineChars="200"/>
        <w:rPr>
          <w:color w:val="auto"/>
          <w:highlight w:val="none"/>
        </w:rPr>
      </w:pPr>
    </w:p>
    <w:tbl>
      <w:tblPr>
        <w:tblStyle w:val="5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4550"/>
        <w:gridCol w:w="2551"/>
      </w:tblGrid>
      <w:tr w14:paraId="6ED3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9" w:type="dxa"/>
            <w:shd w:val="clear" w:color="auto" w:fill="auto"/>
            <w:noWrap/>
          </w:tcPr>
          <w:p w14:paraId="7E58E2F3">
            <w:pPr>
              <w:rPr>
                <w:color w:val="auto"/>
                <w:highlight w:val="none"/>
              </w:rPr>
            </w:pPr>
            <w:r>
              <w:rPr>
                <w:rFonts w:hint="eastAsia"/>
                <w:color w:val="auto"/>
                <w:highlight w:val="none"/>
              </w:rPr>
              <w:t>采购项目或者采购包中为单一产品</w:t>
            </w:r>
          </w:p>
        </w:tc>
        <w:tc>
          <w:tcPr>
            <w:tcW w:w="4550" w:type="dxa"/>
            <w:shd w:val="clear" w:color="auto" w:fill="auto"/>
            <w:noWrap/>
          </w:tcPr>
          <w:p w14:paraId="773E478F">
            <w:pPr>
              <w:rPr>
                <w:color w:val="auto"/>
                <w:highlight w:val="none"/>
              </w:rPr>
            </w:pPr>
            <w:r>
              <w:rPr>
                <w:rFonts w:hint="eastAsia"/>
                <w:color w:val="auto"/>
                <w:highlight w:val="none"/>
              </w:rPr>
              <w:t>若本项目既有本国产品又有非本国产品参与竞争的，供应商所提供符合本国产品标准的产品</w:t>
            </w:r>
          </w:p>
        </w:tc>
        <w:tc>
          <w:tcPr>
            <w:tcW w:w="2551" w:type="dxa"/>
            <w:vMerge w:val="restart"/>
            <w:shd w:val="clear" w:color="auto" w:fill="auto"/>
            <w:noWrap/>
          </w:tcPr>
          <w:p w14:paraId="41138CE7">
            <w:pPr>
              <w:keepNext/>
              <w:keepLines/>
              <w:spacing w:line="413" w:lineRule="auto"/>
              <w:outlineLvl w:val="2"/>
              <w:rPr>
                <w:color w:val="auto"/>
                <w:highlight w:val="none"/>
              </w:rPr>
            </w:pPr>
          </w:p>
          <w:p w14:paraId="6EA81D99">
            <w:pPr>
              <w:keepNext/>
              <w:keepLines/>
              <w:spacing w:line="413" w:lineRule="auto"/>
              <w:outlineLvl w:val="2"/>
              <w:rPr>
                <w:color w:val="auto"/>
                <w:highlight w:val="none"/>
              </w:rPr>
            </w:pPr>
          </w:p>
          <w:p w14:paraId="1D4D50FC">
            <w:pPr>
              <w:keepNext/>
              <w:keepLines/>
              <w:spacing w:line="413" w:lineRule="auto"/>
              <w:outlineLvl w:val="2"/>
              <w:rPr>
                <w:color w:val="auto"/>
                <w:highlight w:val="none"/>
              </w:rPr>
            </w:pPr>
          </w:p>
          <w:p w14:paraId="7D9414E0">
            <w:pPr>
              <w:rPr>
                <w:color w:val="auto"/>
                <w:highlight w:val="none"/>
              </w:rPr>
            </w:pPr>
            <w:r>
              <w:rPr>
                <w:rFonts w:hint="eastAsia"/>
                <w:color w:val="auto"/>
                <w:highlight w:val="none"/>
              </w:rPr>
              <w:t>价格扣除全部产品报价的</w:t>
            </w:r>
            <w:r>
              <w:rPr>
                <w:color w:val="auto"/>
                <w:highlight w:val="none"/>
              </w:rPr>
              <w:t>20%</w:t>
            </w:r>
          </w:p>
        </w:tc>
      </w:tr>
      <w:tr w14:paraId="61B7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9" w:type="dxa"/>
            <w:shd w:val="clear" w:color="auto" w:fill="auto"/>
            <w:noWrap/>
          </w:tcPr>
          <w:p w14:paraId="7A7BFD9B">
            <w:pPr>
              <w:rPr>
                <w:color w:val="auto"/>
                <w:highlight w:val="none"/>
              </w:rPr>
            </w:pPr>
            <w:r>
              <w:rPr>
                <w:rFonts w:hint="eastAsia"/>
                <w:color w:val="auto"/>
                <w:highlight w:val="none"/>
              </w:rPr>
              <w:t>采购项目或者采购包中含有多种产品</w:t>
            </w:r>
          </w:p>
        </w:tc>
        <w:tc>
          <w:tcPr>
            <w:tcW w:w="4550" w:type="dxa"/>
            <w:shd w:val="clear" w:color="auto" w:fill="auto"/>
            <w:noWrap/>
          </w:tcPr>
          <w:p w14:paraId="3DC5273E">
            <w:pPr>
              <w:rPr>
                <w:color w:val="auto"/>
                <w:highlight w:val="none"/>
              </w:rPr>
            </w:pPr>
            <w:r>
              <w:rPr>
                <w:rFonts w:hint="eastAsia"/>
                <w:color w:val="auto"/>
                <w:highlight w:val="none"/>
              </w:rPr>
              <w:t>若本项目既有本国产品又有非本国产品参与竞争的，供应商提供符合本国产品标准的产品成本之和占该供应商提供的全部产品成本之和的比例达到</w:t>
            </w:r>
            <w:r>
              <w:rPr>
                <w:color w:val="auto"/>
                <w:highlight w:val="none"/>
              </w:rPr>
              <w:t>80%以上时。</w:t>
            </w:r>
            <w:r>
              <w:rPr>
                <w:rFonts w:hint="eastAsia"/>
                <w:b/>
                <w:bCs/>
                <w:color w:val="auto"/>
                <w:highlight w:val="none"/>
              </w:rPr>
              <w:t>供应商须在响应文件提交《关于符合本国产品标准的成本占比承诺函》。如供应商所有产品均为本国产品且填写《关于符合本国产品标准的声明函》的，无须填写《关于符合本国产品标准的成本占比承诺函》。</w:t>
            </w:r>
          </w:p>
        </w:tc>
        <w:tc>
          <w:tcPr>
            <w:tcW w:w="2551" w:type="dxa"/>
            <w:vMerge w:val="continue"/>
            <w:shd w:val="clear" w:color="auto" w:fill="auto"/>
            <w:noWrap/>
          </w:tcPr>
          <w:p w14:paraId="4E656A82">
            <w:pPr>
              <w:keepNext/>
              <w:keepLines/>
              <w:spacing w:line="413" w:lineRule="auto"/>
              <w:ind w:firstLine="420" w:firstLineChars="200"/>
              <w:outlineLvl w:val="2"/>
              <w:rPr>
                <w:color w:val="auto"/>
                <w:highlight w:val="none"/>
              </w:rPr>
            </w:pPr>
          </w:p>
        </w:tc>
      </w:tr>
      <w:tr w14:paraId="659E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3"/>
            <w:shd w:val="clear" w:color="auto" w:fill="auto"/>
            <w:noWrap/>
          </w:tcPr>
          <w:p w14:paraId="38A2D290">
            <w:pPr>
              <w:rPr>
                <w:color w:val="auto"/>
                <w:highlight w:val="none"/>
              </w:rPr>
            </w:pPr>
            <w:r>
              <w:rPr>
                <w:rFonts w:hint="eastAsia"/>
                <w:color w:val="auto"/>
                <w:highlight w:val="none"/>
              </w:rPr>
              <w:t>注：未提供《关于符合本国产品标准的声明函》、</w:t>
            </w:r>
            <w:r>
              <w:rPr>
                <w:rFonts w:hint="eastAsia"/>
                <w:color w:val="auto"/>
                <w:szCs w:val="21"/>
                <w:highlight w:val="none"/>
              </w:rPr>
              <w:t>《关于符合本国产品标准的成本占比承诺函》（如适用）</w:t>
            </w:r>
            <w:r>
              <w:rPr>
                <w:rFonts w:hint="eastAsia"/>
                <w:color w:val="auto"/>
                <w:highlight w:val="none"/>
              </w:rPr>
              <w:t>或不符合条件的，不享受价格扣除优惠。</w:t>
            </w:r>
          </w:p>
        </w:tc>
      </w:tr>
    </w:tbl>
    <w:p w14:paraId="6F2FA560">
      <w:pPr>
        <w:ind w:firstLine="420" w:firstLineChars="200"/>
        <w:rPr>
          <w:color w:val="auto"/>
          <w:highlight w:val="none"/>
        </w:rPr>
      </w:pPr>
    </w:p>
    <w:p w14:paraId="5B44E390">
      <w:pPr>
        <w:pStyle w:val="19"/>
        <w:ind w:firstLine="420" w:firstLineChars="200"/>
        <w:rPr>
          <w:color w:val="auto"/>
          <w:sz w:val="21"/>
          <w:highlight w:val="none"/>
        </w:rPr>
      </w:pPr>
      <w:r>
        <w:rPr>
          <w:color w:val="auto"/>
          <w:sz w:val="21"/>
          <w:highlight w:val="none"/>
        </w:rPr>
        <w:t>3）评审报价计算示例：</w:t>
      </w:r>
    </w:p>
    <w:p w14:paraId="38983F86">
      <w:pPr>
        <w:spacing w:line="320" w:lineRule="atLeast"/>
        <w:ind w:firstLine="420" w:firstLineChars="200"/>
        <w:rPr>
          <w:color w:val="auto"/>
          <w:highlight w:val="none"/>
        </w:rPr>
      </w:pPr>
      <w:r>
        <w:rPr>
          <w:color w:val="auto"/>
          <w:highlight w:val="none"/>
        </w:rPr>
        <w:t>a.供应商若符合中小企业支持政策的要求，计算公式具体为：评审报价＝响应总报价－（响应总报价*小微企业价格扣除比例）</w:t>
      </w:r>
    </w:p>
    <w:p w14:paraId="4B4B141B">
      <w:pPr>
        <w:ind w:firstLine="420" w:firstLineChars="200"/>
        <w:rPr>
          <w:color w:val="auto"/>
          <w:highlight w:val="none"/>
        </w:rPr>
      </w:pPr>
      <w:r>
        <w:rPr>
          <w:color w:val="auto"/>
          <w:highlight w:val="none"/>
        </w:rPr>
        <w:t>b.供应商若符合本国产品支持政策的要求，计算公式具体为：评审报价＝响应总报价－（全部产品的总报价*20%）</w:t>
      </w:r>
    </w:p>
    <w:p w14:paraId="7F554A70">
      <w:pPr>
        <w:ind w:firstLine="420" w:firstLineChars="200"/>
        <w:rPr>
          <w:color w:val="auto"/>
          <w:highlight w:val="none"/>
        </w:rPr>
      </w:pPr>
      <w:r>
        <w:rPr>
          <w:color w:val="auto"/>
          <w:highlight w:val="none"/>
        </w:rPr>
        <w:t>c.供应商若同时符合中小企业、本国产品扶持政策的要求，计算公式具体为：评审报价＝响应总报价－（响应总报价*小微企业价格扣除比例）－（全部产品的总报价*20%）</w:t>
      </w:r>
    </w:p>
    <w:p w14:paraId="2D0CDD85">
      <w:pPr>
        <w:pStyle w:val="19"/>
        <w:ind w:firstLine="420" w:firstLineChars="200"/>
        <w:rPr>
          <w:color w:val="auto"/>
          <w:sz w:val="21"/>
          <w:szCs w:val="21"/>
          <w:highlight w:val="none"/>
        </w:rPr>
      </w:pPr>
      <w:r>
        <w:rPr>
          <w:rFonts w:hint="eastAsia"/>
          <w:color w:val="auto"/>
          <w:sz w:val="21"/>
          <w:szCs w:val="21"/>
          <w:highlight w:val="none"/>
        </w:rPr>
        <w:t>备注：全部产品是指货物或服务采购项目或采购包中包含的全部货物、服务产品。</w:t>
      </w:r>
    </w:p>
    <w:p w14:paraId="06333EA9">
      <w:pPr>
        <w:spacing w:before="120" w:line="320" w:lineRule="atLeast"/>
        <w:ind w:firstLine="420" w:firstLineChars="200"/>
        <w:rPr>
          <w:color w:val="auto"/>
          <w:highlight w:val="none"/>
        </w:rPr>
      </w:pPr>
    </w:p>
    <w:p w14:paraId="741FF55B">
      <w:pPr>
        <w:spacing w:before="120" w:line="320" w:lineRule="atLeast"/>
        <w:ind w:firstLine="420" w:firstLineChars="200"/>
        <w:rPr>
          <w:color w:val="auto"/>
          <w:highlight w:val="none"/>
        </w:rPr>
      </w:pPr>
    </w:p>
    <w:p w14:paraId="0C6891CF">
      <w:pPr>
        <w:spacing w:before="120" w:line="320" w:lineRule="atLeast"/>
        <w:ind w:firstLine="420" w:firstLineChars="200"/>
        <w:rPr>
          <w:color w:val="auto"/>
          <w:highlight w:val="none"/>
        </w:rPr>
      </w:pPr>
    </w:p>
    <w:p w14:paraId="41B5A974">
      <w:pPr>
        <w:spacing w:before="120" w:line="320" w:lineRule="atLeast"/>
        <w:ind w:firstLine="420" w:firstLineChars="200"/>
        <w:rPr>
          <w:color w:val="auto"/>
          <w:highlight w:val="none"/>
        </w:rPr>
      </w:pPr>
    </w:p>
    <w:p w14:paraId="75DF1644">
      <w:pPr>
        <w:spacing w:before="120" w:line="320" w:lineRule="atLeast"/>
        <w:ind w:firstLine="420" w:firstLineChars="200"/>
        <w:rPr>
          <w:color w:val="auto"/>
          <w:highlight w:val="none"/>
        </w:rPr>
      </w:pPr>
    </w:p>
    <w:p w14:paraId="0C15955E">
      <w:pPr>
        <w:spacing w:before="120" w:line="320" w:lineRule="atLeast"/>
        <w:ind w:firstLine="420" w:firstLineChars="200"/>
        <w:rPr>
          <w:color w:val="auto"/>
          <w:highlight w:val="none"/>
        </w:rPr>
      </w:pPr>
    </w:p>
    <w:p w14:paraId="2B94F352">
      <w:pPr>
        <w:spacing w:before="120" w:line="320" w:lineRule="atLeast"/>
        <w:ind w:firstLine="420" w:firstLineChars="200"/>
        <w:rPr>
          <w:color w:val="auto"/>
          <w:highlight w:val="none"/>
        </w:rPr>
      </w:pPr>
    </w:p>
    <w:p w14:paraId="4B79EF42">
      <w:pPr>
        <w:spacing w:before="120" w:line="320" w:lineRule="atLeast"/>
        <w:ind w:firstLine="420" w:firstLineChars="200"/>
        <w:rPr>
          <w:color w:val="auto"/>
          <w:highlight w:val="none"/>
        </w:rPr>
      </w:pPr>
    </w:p>
    <w:p w14:paraId="6C33BBC2">
      <w:pPr>
        <w:spacing w:before="120" w:line="320" w:lineRule="atLeast"/>
        <w:ind w:firstLine="420" w:firstLineChars="200"/>
        <w:rPr>
          <w:color w:val="auto"/>
          <w:highlight w:val="none"/>
        </w:rPr>
      </w:pPr>
    </w:p>
    <w:p w14:paraId="7E88A6FB">
      <w:pPr>
        <w:spacing w:before="120" w:line="320" w:lineRule="atLeast"/>
        <w:ind w:firstLine="420" w:firstLineChars="200"/>
        <w:rPr>
          <w:color w:val="auto"/>
          <w:highlight w:val="none"/>
        </w:rPr>
      </w:pPr>
    </w:p>
    <w:p w14:paraId="6B3BF133">
      <w:pPr>
        <w:spacing w:before="120" w:line="320" w:lineRule="atLeast"/>
        <w:ind w:firstLine="420" w:firstLineChars="200"/>
        <w:rPr>
          <w:color w:val="auto"/>
          <w:highlight w:val="none"/>
        </w:rPr>
      </w:pPr>
    </w:p>
    <w:bookmarkEnd w:id="79"/>
    <w:bookmarkEnd w:id="80"/>
    <w:bookmarkEnd w:id="83"/>
    <w:p w14:paraId="3D181822">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85" w:name="_Toc25316"/>
      <w:bookmarkStart w:id="86" w:name="_Hlk160525271"/>
      <w:r>
        <w:rPr>
          <w:rFonts w:ascii="Times New Roman" w:hAnsi="Times New Roman" w:cs="Times New Roman"/>
          <w:color w:val="auto"/>
          <w:sz w:val="32"/>
          <w:szCs w:val="32"/>
          <w:highlight w:val="none"/>
        </w:rPr>
        <w:t>第五章  合同主要条款格式</w:t>
      </w:r>
      <w:bookmarkEnd w:id="85"/>
    </w:p>
    <w:bookmarkEnd w:id="86"/>
    <w:p w14:paraId="74B20FC1">
      <w:pPr>
        <w:widowControl/>
        <w:jc w:val="left"/>
        <w:rPr>
          <w:b/>
          <w:bCs/>
          <w:color w:val="auto"/>
          <w:szCs w:val="21"/>
          <w:highlight w:val="none"/>
        </w:rPr>
      </w:pPr>
    </w:p>
    <w:p w14:paraId="2964A21C">
      <w:pPr>
        <w:snapToGrid w:val="0"/>
        <w:spacing w:line="400" w:lineRule="exact"/>
        <w:jc w:val="center"/>
        <w:rPr>
          <w:rFonts w:ascii="宋体" w:hAnsi="宋体"/>
          <w:b/>
          <w:bCs/>
          <w:color w:val="auto"/>
          <w:sz w:val="32"/>
          <w:szCs w:val="32"/>
          <w:highlight w:val="none"/>
        </w:rPr>
      </w:pPr>
      <w:r>
        <w:rPr>
          <w:rFonts w:hint="eastAsia" w:ascii="宋体" w:hAnsi="宋体"/>
          <w:b/>
          <w:bCs/>
          <w:color w:val="auto"/>
          <w:sz w:val="32"/>
          <w:szCs w:val="32"/>
          <w:highlight w:val="none"/>
        </w:rPr>
        <w:t>《政府采购合同》</w:t>
      </w:r>
      <w:r>
        <w:rPr>
          <w:rFonts w:hint="eastAsia" w:ascii="宋体" w:hAnsi="宋体"/>
          <w:b/>
          <w:color w:val="auto"/>
          <w:sz w:val="32"/>
          <w:szCs w:val="32"/>
          <w:highlight w:val="none"/>
        </w:rPr>
        <w:t>文本</w:t>
      </w:r>
    </w:p>
    <w:p w14:paraId="2DDA37E8">
      <w:pPr>
        <w:snapToGrid w:val="0"/>
        <w:spacing w:line="400" w:lineRule="exact"/>
        <w:ind w:right="480" w:firstLine="5250" w:firstLineChars="2500"/>
        <w:rPr>
          <w:rFonts w:ascii="宋体" w:hAnsi="宋体"/>
          <w:bCs/>
          <w:color w:val="auto"/>
          <w:szCs w:val="21"/>
          <w:highlight w:val="none"/>
        </w:rPr>
      </w:pPr>
    </w:p>
    <w:p w14:paraId="68572678">
      <w:pPr>
        <w:snapToGrid w:val="0"/>
        <w:spacing w:line="400" w:lineRule="exact"/>
        <w:ind w:right="480" w:firstLine="5250" w:firstLineChars="2500"/>
        <w:rPr>
          <w:rFonts w:ascii="宋体" w:hAnsi="宋体" w:cs="宋体"/>
          <w:bCs/>
          <w:color w:val="auto"/>
          <w:szCs w:val="21"/>
          <w:highlight w:val="none"/>
          <w:u w:val="single"/>
        </w:rPr>
      </w:pPr>
      <w:r>
        <w:rPr>
          <w:rFonts w:hint="eastAsia" w:ascii="宋体" w:hAnsi="宋体" w:cs="宋体"/>
          <w:bCs/>
          <w:color w:val="auto"/>
          <w:szCs w:val="21"/>
          <w:highlight w:val="none"/>
        </w:rPr>
        <w:t>合同编号：</w:t>
      </w:r>
    </w:p>
    <w:p w14:paraId="1FB3B050">
      <w:pPr>
        <w:snapToGrid w:val="0"/>
        <w:spacing w:line="400" w:lineRule="exact"/>
        <w:rPr>
          <w:rFonts w:ascii="宋体" w:hAnsi="宋体" w:cs="宋体"/>
          <w:color w:val="auto"/>
          <w:szCs w:val="21"/>
          <w:highlight w:val="none"/>
        </w:rPr>
      </w:pPr>
    </w:p>
    <w:p w14:paraId="6169205E">
      <w:pPr>
        <w:snapToGrid w:val="0"/>
        <w:spacing w:line="360" w:lineRule="auto"/>
        <w:rPr>
          <w:rFonts w:ascii="宋体" w:hAnsi="宋体"/>
          <w:color w:val="auto"/>
          <w:szCs w:val="21"/>
          <w:highlight w:val="none"/>
          <w:u w:val="single"/>
        </w:rPr>
      </w:pPr>
      <w:r>
        <w:rPr>
          <w:rFonts w:hint="eastAsia" w:ascii="宋体" w:hAnsi="宋体"/>
          <w:color w:val="auto"/>
          <w:szCs w:val="21"/>
          <w:highlight w:val="none"/>
        </w:rPr>
        <w:t>采购人（甲方）：</w:t>
      </w:r>
      <w:r>
        <w:rPr>
          <w:rFonts w:hint="eastAsia" w:ascii="宋体" w:hAnsi="宋体"/>
          <w:color w:val="auto"/>
          <w:szCs w:val="21"/>
          <w:highlight w:val="none"/>
          <w:u w:val="single"/>
        </w:rPr>
        <w:t xml:space="preserve">防城港市疾病预防控制中心(防城港市卫生监督所) </w:t>
      </w:r>
    </w:p>
    <w:p w14:paraId="0AE6FA82">
      <w:pPr>
        <w:snapToGrid w:val="0"/>
        <w:spacing w:line="360" w:lineRule="auto"/>
        <w:rPr>
          <w:rFonts w:ascii="宋体" w:hAnsi="宋体"/>
          <w:color w:val="auto"/>
          <w:szCs w:val="21"/>
          <w:highlight w:val="none"/>
          <w:u w:val="single"/>
        </w:rPr>
      </w:pPr>
      <w:r>
        <w:rPr>
          <w:rFonts w:hint="eastAsia" w:ascii="宋体" w:hAnsi="宋体"/>
          <w:color w:val="auto"/>
          <w:szCs w:val="21"/>
          <w:highlight w:val="none"/>
        </w:rPr>
        <w:t>供应商（乙方）：</w:t>
      </w:r>
    </w:p>
    <w:p w14:paraId="1CF74F8B">
      <w:pPr>
        <w:snapToGrid w:val="0"/>
        <w:spacing w:line="360" w:lineRule="auto"/>
        <w:rPr>
          <w:rFonts w:ascii="宋体" w:hAnsi="宋体"/>
          <w:color w:val="auto"/>
          <w:szCs w:val="21"/>
          <w:highlight w:val="none"/>
        </w:rPr>
      </w:pPr>
      <w:r>
        <w:rPr>
          <w:rFonts w:hint="eastAsia" w:ascii="宋体" w:hAnsi="宋体"/>
          <w:color w:val="auto"/>
          <w:spacing w:val="-20"/>
          <w:szCs w:val="21"/>
          <w:highlight w:val="none"/>
        </w:rPr>
        <w:t>采 购 计 划 号：</w:t>
      </w:r>
    </w:p>
    <w:p w14:paraId="4880DD6C">
      <w:pPr>
        <w:snapToGrid w:val="0"/>
        <w:spacing w:line="360" w:lineRule="auto"/>
        <w:rPr>
          <w:rFonts w:ascii="宋体" w:hAnsi="宋体"/>
          <w:color w:val="auto"/>
          <w:szCs w:val="21"/>
          <w:highlight w:val="none"/>
        </w:rPr>
      </w:pPr>
      <w:r>
        <w:rPr>
          <w:rFonts w:hint="eastAsia" w:ascii="宋体" w:hAnsi="宋体"/>
          <w:color w:val="auto"/>
          <w:szCs w:val="21"/>
          <w:highlight w:val="none"/>
        </w:rPr>
        <w:t xml:space="preserve">项目名称：                                 </w:t>
      </w:r>
    </w:p>
    <w:p w14:paraId="12E2961F">
      <w:pPr>
        <w:snapToGrid w:val="0"/>
        <w:spacing w:line="360" w:lineRule="auto"/>
        <w:rPr>
          <w:rFonts w:ascii="宋体" w:hAnsi="宋体"/>
          <w:color w:val="auto"/>
          <w:szCs w:val="21"/>
          <w:highlight w:val="none"/>
        </w:rPr>
      </w:pPr>
      <w:r>
        <w:rPr>
          <w:rFonts w:hint="eastAsia" w:ascii="宋体" w:hAnsi="宋体"/>
          <w:color w:val="auto"/>
          <w:szCs w:val="21"/>
          <w:highlight w:val="none"/>
        </w:rPr>
        <w:t xml:space="preserve">项目编号：                       </w:t>
      </w:r>
    </w:p>
    <w:p w14:paraId="73448526">
      <w:pPr>
        <w:snapToGrid w:val="0"/>
        <w:spacing w:line="360" w:lineRule="auto"/>
        <w:rPr>
          <w:rFonts w:ascii="宋体" w:hAnsi="宋体"/>
          <w:color w:val="auto"/>
          <w:szCs w:val="21"/>
          <w:highlight w:val="none"/>
        </w:rPr>
      </w:pPr>
      <w:r>
        <w:rPr>
          <w:rFonts w:hint="eastAsia" w:ascii="宋体" w:hAnsi="宋体"/>
          <w:color w:val="auto"/>
          <w:szCs w:val="21"/>
          <w:highlight w:val="none"/>
        </w:rPr>
        <w:t>合同类型：</w:t>
      </w:r>
      <w:r>
        <w:rPr>
          <w:rFonts w:hint="eastAsia" w:ascii="宋体" w:hAnsi="宋体"/>
          <w:color w:val="auto"/>
          <w:szCs w:val="21"/>
          <w:highlight w:val="none"/>
          <w:u w:val="single"/>
        </w:rPr>
        <w:t>买卖合同</w:t>
      </w:r>
    </w:p>
    <w:p w14:paraId="72037087">
      <w:pPr>
        <w:snapToGrid w:val="0"/>
        <w:spacing w:line="360" w:lineRule="auto"/>
        <w:rPr>
          <w:rFonts w:ascii="宋体" w:hAnsi="宋体"/>
          <w:color w:val="auto"/>
          <w:szCs w:val="21"/>
          <w:highlight w:val="none"/>
        </w:rPr>
      </w:pPr>
      <w:r>
        <w:rPr>
          <w:rFonts w:hint="eastAsia" w:ascii="宋体" w:hAnsi="宋体"/>
          <w:color w:val="auto"/>
          <w:szCs w:val="21"/>
          <w:highlight w:val="none"/>
        </w:rPr>
        <w:t>本合同为中小企业预留合同：</w:t>
      </w:r>
      <w:r>
        <w:rPr>
          <w:rFonts w:hint="eastAsia" w:ascii="宋体" w:hAnsi="宋体"/>
          <w:color w:val="auto"/>
          <w:szCs w:val="21"/>
          <w:highlight w:val="none"/>
          <w:u w:val="single"/>
        </w:rPr>
        <w:t>（否）</w:t>
      </w:r>
      <w:r>
        <w:rPr>
          <w:rFonts w:hint="eastAsia" w:ascii="宋体" w:hAnsi="宋体"/>
          <w:color w:val="auto"/>
          <w:szCs w:val="21"/>
          <w:highlight w:val="none"/>
        </w:rPr>
        <w:t>。</w:t>
      </w:r>
    </w:p>
    <w:p w14:paraId="01FDD2C2">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根据《中华人民共和国政府采购法》、《中华人民共和国民法典》等法律、法规规定，按照招标文件（采购文件）规定条款和中标（成交）供应商承诺，甲乙双方签订本合同。</w:t>
      </w:r>
    </w:p>
    <w:p w14:paraId="4396D524">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第一条　合同标的</w:t>
      </w:r>
    </w:p>
    <w:p w14:paraId="25AFA2C0">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1.供货一览表</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33"/>
        <w:gridCol w:w="1059"/>
        <w:gridCol w:w="1233"/>
        <w:gridCol w:w="1210"/>
        <w:gridCol w:w="908"/>
        <w:gridCol w:w="668"/>
        <w:gridCol w:w="947"/>
        <w:gridCol w:w="1189"/>
      </w:tblGrid>
      <w:tr w14:paraId="5584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09" w:type="dxa"/>
            <w:noWrap/>
            <w:vAlign w:val="center"/>
          </w:tcPr>
          <w:p w14:paraId="00BAD71D">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33" w:type="dxa"/>
            <w:noWrap/>
            <w:vAlign w:val="center"/>
          </w:tcPr>
          <w:p w14:paraId="3E9EF5E6">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产品名称</w:t>
            </w:r>
          </w:p>
        </w:tc>
        <w:tc>
          <w:tcPr>
            <w:tcW w:w="1059" w:type="dxa"/>
            <w:noWrap/>
            <w:vAlign w:val="center"/>
          </w:tcPr>
          <w:p w14:paraId="59707865">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商标品牌</w:t>
            </w:r>
          </w:p>
        </w:tc>
        <w:tc>
          <w:tcPr>
            <w:tcW w:w="1233" w:type="dxa"/>
            <w:noWrap/>
            <w:vAlign w:val="center"/>
          </w:tcPr>
          <w:p w14:paraId="25FAF428">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规格</w:t>
            </w:r>
          </w:p>
        </w:tc>
        <w:tc>
          <w:tcPr>
            <w:tcW w:w="1210" w:type="dxa"/>
            <w:noWrap/>
            <w:vAlign w:val="center"/>
          </w:tcPr>
          <w:p w14:paraId="7DB18B2C">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生产厂家</w:t>
            </w:r>
          </w:p>
        </w:tc>
        <w:tc>
          <w:tcPr>
            <w:tcW w:w="908" w:type="dxa"/>
            <w:noWrap/>
            <w:vAlign w:val="center"/>
          </w:tcPr>
          <w:p w14:paraId="5A2C98CA">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数  量</w:t>
            </w:r>
          </w:p>
        </w:tc>
        <w:tc>
          <w:tcPr>
            <w:tcW w:w="668" w:type="dxa"/>
            <w:noWrap/>
            <w:vAlign w:val="center"/>
          </w:tcPr>
          <w:p w14:paraId="0A6172AE">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单位</w:t>
            </w:r>
          </w:p>
        </w:tc>
        <w:tc>
          <w:tcPr>
            <w:tcW w:w="947" w:type="dxa"/>
            <w:noWrap/>
            <w:vAlign w:val="center"/>
          </w:tcPr>
          <w:p w14:paraId="2FDDED05">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单  价</w:t>
            </w:r>
          </w:p>
          <w:p w14:paraId="5CA90D7E">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（元）</w:t>
            </w:r>
          </w:p>
        </w:tc>
        <w:tc>
          <w:tcPr>
            <w:tcW w:w="1189" w:type="dxa"/>
            <w:noWrap/>
            <w:vAlign w:val="center"/>
          </w:tcPr>
          <w:p w14:paraId="784EDCC1">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金  额</w:t>
            </w:r>
          </w:p>
          <w:p w14:paraId="38563709">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（元）</w:t>
            </w:r>
          </w:p>
        </w:tc>
      </w:tr>
      <w:tr w14:paraId="4215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ign w:val="center"/>
          </w:tcPr>
          <w:p w14:paraId="671C13DA">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1233" w:type="dxa"/>
            <w:noWrap/>
            <w:vAlign w:val="center"/>
          </w:tcPr>
          <w:p w14:paraId="17CBEC00">
            <w:pPr>
              <w:snapToGrid w:val="0"/>
              <w:spacing w:line="360" w:lineRule="auto"/>
              <w:jc w:val="center"/>
              <w:rPr>
                <w:rFonts w:ascii="宋体" w:hAnsi="宋体"/>
                <w:color w:val="auto"/>
                <w:szCs w:val="21"/>
                <w:highlight w:val="none"/>
              </w:rPr>
            </w:pPr>
          </w:p>
        </w:tc>
        <w:tc>
          <w:tcPr>
            <w:tcW w:w="1059" w:type="dxa"/>
            <w:noWrap/>
            <w:vAlign w:val="center"/>
          </w:tcPr>
          <w:p w14:paraId="2ABBE8F3">
            <w:pPr>
              <w:snapToGrid w:val="0"/>
              <w:spacing w:line="360" w:lineRule="auto"/>
              <w:jc w:val="center"/>
              <w:rPr>
                <w:rFonts w:ascii="宋体" w:hAnsi="宋体"/>
                <w:color w:val="auto"/>
                <w:szCs w:val="21"/>
                <w:highlight w:val="none"/>
              </w:rPr>
            </w:pPr>
          </w:p>
        </w:tc>
        <w:tc>
          <w:tcPr>
            <w:tcW w:w="1233" w:type="dxa"/>
            <w:noWrap/>
            <w:vAlign w:val="center"/>
          </w:tcPr>
          <w:p w14:paraId="268B092C">
            <w:pPr>
              <w:snapToGrid w:val="0"/>
              <w:spacing w:line="360" w:lineRule="auto"/>
              <w:jc w:val="center"/>
              <w:rPr>
                <w:rFonts w:ascii="宋体" w:hAnsi="宋体"/>
                <w:color w:val="auto"/>
                <w:szCs w:val="21"/>
                <w:highlight w:val="none"/>
              </w:rPr>
            </w:pPr>
          </w:p>
        </w:tc>
        <w:tc>
          <w:tcPr>
            <w:tcW w:w="1210" w:type="dxa"/>
            <w:noWrap/>
          </w:tcPr>
          <w:p w14:paraId="7D87A475">
            <w:pPr>
              <w:snapToGrid w:val="0"/>
              <w:spacing w:line="360" w:lineRule="auto"/>
              <w:jc w:val="center"/>
              <w:rPr>
                <w:rFonts w:ascii="宋体" w:hAnsi="宋体"/>
                <w:color w:val="auto"/>
                <w:szCs w:val="21"/>
                <w:highlight w:val="none"/>
              </w:rPr>
            </w:pPr>
          </w:p>
        </w:tc>
        <w:tc>
          <w:tcPr>
            <w:tcW w:w="908" w:type="dxa"/>
            <w:noWrap/>
          </w:tcPr>
          <w:p w14:paraId="14678152">
            <w:pPr>
              <w:snapToGrid w:val="0"/>
              <w:spacing w:line="360" w:lineRule="auto"/>
              <w:jc w:val="center"/>
              <w:rPr>
                <w:rFonts w:ascii="宋体" w:hAnsi="宋体"/>
                <w:color w:val="auto"/>
                <w:szCs w:val="21"/>
                <w:highlight w:val="none"/>
              </w:rPr>
            </w:pPr>
          </w:p>
        </w:tc>
        <w:tc>
          <w:tcPr>
            <w:tcW w:w="668" w:type="dxa"/>
            <w:noWrap/>
          </w:tcPr>
          <w:p w14:paraId="30D6D968">
            <w:pPr>
              <w:snapToGrid w:val="0"/>
              <w:spacing w:line="360" w:lineRule="auto"/>
              <w:jc w:val="center"/>
              <w:rPr>
                <w:rFonts w:ascii="宋体" w:hAnsi="宋体"/>
                <w:color w:val="auto"/>
                <w:szCs w:val="21"/>
                <w:highlight w:val="none"/>
              </w:rPr>
            </w:pPr>
          </w:p>
        </w:tc>
        <w:tc>
          <w:tcPr>
            <w:tcW w:w="947" w:type="dxa"/>
            <w:noWrap/>
            <w:vAlign w:val="center"/>
          </w:tcPr>
          <w:p w14:paraId="3C62CADA">
            <w:pPr>
              <w:snapToGrid w:val="0"/>
              <w:spacing w:line="360" w:lineRule="auto"/>
              <w:jc w:val="center"/>
              <w:rPr>
                <w:rFonts w:ascii="宋体" w:hAnsi="宋体"/>
                <w:color w:val="auto"/>
                <w:szCs w:val="21"/>
                <w:highlight w:val="none"/>
              </w:rPr>
            </w:pPr>
          </w:p>
        </w:tc>
        <w:tc>
          <w:tcPr>
            <w:tcW w:w="1189" w:type="dxa"/>
            <w:noWrap/>
            <w:vAlign w:val="center"/>
          </w:tcPr>
          <w:p w14:paraId="235949A2">
            <w:pPr>
              <w:snapToGrid w:val="0"/>
              <w:spacing w:line="360" w:lineRule="auto"/>
              <w:jc w:val="center"/>
              <w:rPr>
                <w:rFonts w:ascii="宋体" w:hAnsi="宋体"/>
                <w:color w:val="auto"/>
                <w:szCs w:val="21"/>
                <w:highlight w:val="none"/>
              </w:rPr>
            </w:pPr>
          </w:p>
        </w:tc>
      </w:tr>
      <w:tr w14:paraId="78F4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5" w:hRule="atLeast"/>
          <w:jc w:val="center"/>
        </w:trPr>
        <w:tc>
          <w:tcPr>
            <w:tcW w:w="709" w:type="dxa"/>
            <w:noWrap/>
            <w:vAlign w:val="center"/>
          </w:tcPr>
          <w:p w14:paraId="74D5F2C9">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1233" w:type="dxa"/>
            <w:noWrap/>
            <w:vAlign w:val="center"/>
          </w:tcPr>
          <w:p w14:paraId="7D0E7667">
            <w:pPr>
              <w:snapToGrid w:val="0"/>
              <w:spacing w:line="360" w:lineRule="auto"/>
              <w:jc w:val="center"/>
              <w:rPr>
                <w:rFonts w:ascii="宋体" w:hAnsi="宋体"/>
                <w:color w:val="auto"/>
                <w:szCs w:val="21"/>
                <w:highlight w:val="none"/>
              </w:rPr>
            </w:pPr>
          </w:p>
        </w:tc>
        <w:tc>
          <w:tcPr>
            <w:tcW w:w="1059" w:type="dxa"/>
            <w:noWrap/>
            <w:vAlign w:val="center"/>
          </w:tcPr>
          <w:p w14:paraId="321C064C">
            <w:pPr>
              <w:snapToGrid w:val="0"/>
              <w:spacing w:line="360" w:lineRule="auto"/>
              <w:jc w:val="center"/>
              <w:rPr>
                <w:rFonts w:ascii="宋体" w:hAnsi="宋体"/>
                <w:color w:val="auto"/>
                <w:szCs w:val="21"/>
                <w:highlight w:val="none"/>
              </w:rPr>
            </w:pPr>
          </w:p>
        </w:tc>
        <w:tc>
          <w:tcPr>
            <w:tcW w:w="1233" w:type="dxa"/>
            <w:noWrap/>
            <w:vAlign w:val="center"/>
          </w:tcPr>
          <w:p w14:paraId="6D128A3F">
            <w:pPr>
              <w:snapToGrid w:val="0"/>
              <w:spacing w:line="360" w:lineRule="auto"/>
              <w:jc w:val="center"/>
              <w:rPr>
                <w:rFonts w:ascii="宋体" w:hAnsi="宋体"/>
                <w:color w:val="auto"/>
                <w:szCs w:val="21"/>
                <w:highlight w:val="none"/>
              </w:rPr>
            </w:pPr>
          </w:p>
        </w:tc>
        <w:tc>
          <w:tcPr>
            <w:tcW w:w="1210" w:type="dxa"/>
            <w:noWrap/>
          </w:tcPr>
          <w:p w14:paraId="6F3119BF">
            <w:pPr>
              <w:snapToGrid w:val="0"/>
              <w:spacing w:line="360" w:lineRule="auto"/>
              <w:jc w:val="center"/>
              <w:rPr>
                <w:rFonts w:ascii="宋体" w:hAnsi="宋体"/>
                <w:color w:val="auto"/>
                <w:szCs w:val="21"/>
                <w:highlight w:val="none"/>
              </w:rPr>
            </w:pPr>
          </w:p>
        </w:tc>
        <w:tc>
          <w:tcPr>
            <w:tcW w:w="908" w:type="dxa"/>
            <w:noWrap/>
          </w:tcPr>
          <w:p w14:paraId="0D0C2D63">
            <w:pPr>
              <w:snapToGrid w:val="0"/>
              <w:spacing w:line="360" w:lineRule="auto"/>
              <w:jc w:val="center"/>
              <w:rPr>
                <w:rFonts w:ascii="宋体" w:hAnsi="宋体"/>
                <w:color w:val="auto"/>
                <w:szCs w:val="21"/>
                <w:highlight w:val="none"/>
              </w:rPr>
            </w:pPr>
          </w:p>
        </w:tc>
        <w:tc>
          <w:tcPr>
            <w:tcW w:w="668" w:type="dxa"/>
            <w:noWrap/>
          </w:tcPr>
          <w:p w14:paraId="3F88AF5A">
            <w:pPr>
              <w:snapToGrid w:val="0"/>
              <w:spacing w:line="360" w:lineRule="auto"/>
              <w:jc w:val="center"/>
              <w:rPr>
                <w:rFonts w:ascii="宋体" w:hAnsi="宋体"/>
                <w:color w:val="auto"/>
                <w:szCs w:val="21"/>
                <w:highlight w:val="none"/>
              </w:rPr>
            </w:pPr>
          </w:p>
        </w:tc>
        <w:tc>
          <w:tcPr>
            <w:tcW w:w="947" w:type="dxa"/>
            <w:noWrap/>
            <w:vAlign w:val="center"/>
          </w:tcPr>
          <w:p w14:paraId="01704ECD">
            <w:pPr>
              <w:snapToGrid w:val="0"/>
              <w:spacing w:line="360" w:lineRule="auto"/>
              <w:jc w:val="center"/>
              <w:rPr>
                <w:rFonts w:ascii="宋体" w:hAnsi="宋体"/>
                <w:color w:val="auto"/>
                <w:szCs w:val="21"/>
                <w:highlight w:val="none"/>
              </w:rPr>
            </w:pPr>
          </w:p>
        </w:tc>
        <w:tc>
          <w:tcPr>
            <w:tcW w:w="1189" w:type="dxa"/>
            <w:noWrap/>
            <w:vAlign w:val="center"/>
          </w:tcPr>
          <w:p w14:paraId="50371D11">
            <w:pPr>
              <w:snapToGrid w:val="0"/>
              <w:spacing w:line="360" w:lineRule="auto"/>
              <w:jc w:val="center"/>
              <w:rPr>
                <w:rFonts w:ascii="宋体" w:hAnsi="宋体"/>
                <w:color w:val="auto"/>
                <w:szCs w:val="21"/>
                <w:highlight w:val="none"/>
              </w:rPr>
            </w:pPr>
          </w:p>
        </w:tc>
      </w:tr>
      <w:tr w14:paraId="5CC5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ign w:val="center"/>
          </w:tcPr>
          <w:p w14:paraId="6C485073">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3</w:t>
            </w:r>
          </w:p>
        </w:tc>
        <w:tc>
          <w:tcPr>
            <w:tcW w:w="1233" w:type="dxa"/>
            <w:noWrap/>
            <w:vAlign w:val="center"/>
          </w:tcPr>
          <w:p w14:paraId="1A8D539A">
            <w:pPr>
              <w:snapToGrid w:val="0"/>
              <w:spacing w:line="360" w:lineRule="auto"/>
              <w:jc w:val="center"/>
              <w:rPr>
                <w:rFonts w:ascii="宋体" w:hAnsi="宋体"/>
                <w:color w:val="auto"/>
                <w:szCs w:val="21"/>
                <w:highlight w:val="none"/>
              </w:rPr>
            </w:pPr>
          </w:p>
        </w:tc>
        <w:tc>
          <w:tcPr>
            <w:tcW w:w="1059" w:type="dxa"/>
            <w:noWrap/>
            <w:vAlign w:val="center"/>
          </w:tcPr>
          <w:p w14:paraId="562AB885">
            <w:pPr>
              <w:snapToGrid w:val="0"/>
              <w:spacing w:line="360" w:lineRule="auto"/>
              <w:jc w:val="center"/>
              <w:rPr>
                <w:rFonts w:ascii="宋体" w:hAnsi="宋体"/>
                <w:color w:val="auto"/>
                <w:szCs w:val="21"/>
                <w:highlight w:val="none"/>
              </w:rPr>
            </w:pPr>
          </w:p>
        </w:tc>
        <w:tc>
          <w:tcPr>
            <w:tcW w:w="1233" w:type="dxa"/>
            <w:noWrap/>
            <w:vAlign w:val="center"/>
          </w:tcPr>
          <w:p w14:paraId="1B115C35">
            <w:pPr>
              <w:snapToGrid w:val="0"/>
              <w:spacing w:line="360" w:lineRule="auto"/>
              <w:jc w:val="center"/>
              <w:rPr>
                <w:rFonts w:ascii="宋体" w:hAnsi="宋体"/>
                <w:color w:val="auto"/>
                <w:szCs w:val="21"/>
                <w:highlight w:val="none"/>
              </w:rPr>
            </w:pPr>
          </w:p>
        </w:tc>
        <w:tc>
          <w:tcPr>
            <w:tcW w:w="1210" w:type="dxa"/>
            <w:noWrap/>
          </w:tcPr>
          <w:p w14:paraId="102FD993">
            <w:pPr>
              <w:snapToGrid w:val="0"/>
              <w:spacing w:line="360" w:lineRule="auto"/>
              <w:jc w:val="center"/>
              <w:rPr>
                <w:rFonts w:ascii="宋体" w:hAnsi="宋体"/>
                <w:color w:val="auto"/>
                <w:szCs w:val="21"/>
                <w:highlight w:val="none"/>
              </w:rPr>
            </w:pPr>
          </w:p>
        </w:tc>
        <w:tc>
          <w:tcPr>
            <w:tcW w:w="908" w:type="dxa"/>
            <w:noWrap/>
          </w:tcPr>
          <w:p w14:paraId="0C70BD95">
            <w:pPr>
              <w:snapToGrid w:val="0"/>
              <w:spacing w:line="360" w:lineRule="auto"/>
              <w:jc w:val="center"/>
              <w:rPr>
                <w:rFonts w:ascii="宋体" w:hAnsi="宋体"/>
                <w:color w:val="auto"/>
                <w:szCs w:val="21"/>
                <w:highlight w:val="none"/>
              </w:rPr>
            </w:pPr>
          </w:p>
        </w:tc>
        <w:tc>
          <w:tcPr>
            <w:tcW w:w="668" w:type="dxa"/>
            <w:noWrap/>
          </w:tcPr>
          <w:p w14:paraId="1D26267D">
            <w:pPr>
              <w:snapToGrid w:val="0"/>
              <w:spacing w:line="360" w:lineRule="auto"/>
              <w:jc w:val="center"/>
              <w:rPr>
                <w:rFonts w:ascii="宋体" w:hAnsi="宋体"/>
                <w:color w:val="auto"/>
                <w:szCs w:val="21"/>
                <w:highlight w:val="none"/>
              </w:rPr>
            </w:pPr>
          </w:p>
        </w:tc>
        <w:tc>
          <w:tcPr>
            <w:tcW w:w="947" w:type="dxa"/>
            <w:noWrap/>
            <w:vAlign w:val="center"/>
          </w:tcPr>
          <w:p w14:paraId="696318F4">
            <w:pPr>
              <w:snapToGrid w:val="0"/>
              <w:spacing w:line="360" w:lineRule="auto"/>
              <w:jc w:val="center"/>
              <w:rPr>
                <w:rFonts w:ascii="宋体" w:hAnsi="宋体"/>
                <w:color w:val="auto"/>
                <w:szCs w:val="21"/>
                <w:highlight w:val="none"/>
              </w:rPr>
            </w:pPr>
          </w:p>
        </w:tc>
        <w:tc>
          <w:tcPr>
            <w:tcW w:w="1189" w:type="dxa"/>
            <w:noWrap/>
            <w:vAlign w:val="center"/>
          </w:tcPr>
          <w:p w14:paraId="199A6451">
            <w:pPr>
              <w:snapToGrid w:val="0"/>
              <w:spacing w:line="360" w:lineRule="auto"/>
              <w:jc w:val="center"/>
              <w:rPr>
                <w:rFonts w:ascii="宋体" w:hAnsi="宋体"/>
                <w:color w:val="auto"/>
                <w:szCs w:val="21"/>
                <w:highlight w:val="none"/>
              </w:rPr>
            </w:pPr>
          </w:p>
        </w:tc>
      </w:tr>
      <w:tr w14:paraId="4806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156" w:type="dxa"/>
            <w:gridSpan w:val="9"/>
            <w:noWrap/>
            <w:vAlign w:val="center"/>
          </w:tcPr>
          <w:p w14:paraId="5F048850">
            <w:pPr>
              <w:snapToGrid w:val="0"/>
              <w:spacing w:line="360" w:lineRule="auto"/>
              <w:rPr>
                <w:rFonts w:ascii="宋体" w:hAnsi="宋体"/>
                <w:color w:val="auto"/>
                <w:szCs w:val="21"/>
                <w:highlight w:val="none"/>
              </w:rPr>
            </w:pPr>
            <w:r>
              <w:rPr>
                <w:rFonts w:hint="eastAsia" w:ascii="宋体" w:hAnsi="宋体"/>
                <w:color w:val="auto"/>
                <w:szCs w:val="21"/>
                <w:highlight w:val="none"/>
              </w:rPr>
              <w:t xml:space="preserve">人民币合计金额（大写）                          （小写）                 </w:t>
            </w:r>
          </w:p>
        </w:tc>
      </w:tr>
    </w:tbl>
    <w:p w14:paraId="21DA7FEC">
      <w:pPr>
        <w:snapToGrid w:val="0"/>
        <w:spacing w:line="360" w:lineRule="auto"/>
        <w:ind w:right="420" w:firstLine="420" w:firstLineChars="200"/>
        <w:rPr>
          <w:rFonts w:ascii="宋体" w:hAnsi="宋体"/>
          <w:color w:val="auto"/>
          <w:szCs w:val="21"/>
          <w:highlight w:val="none"/>
        </w:rPr>
      </w:pPr>
      <w:r>
        <w:rPr>
          <w:rFonts w:hint="eastAsia" w:ascii="宋体" w:hAnsi="宋体"/>
          <w:color w:val="auto"/>
          <w:szCs w:val="21"/>
          <w:highlight w:val="none"/>
        </w:rPr>
        <w:t>2.合同合计金额</w:t>
      </w:r>
      <w:r>
        <w:rPr>
          <w:rFonts w:hint="eastAsia" w:ascii="宋体" w:hAnsi="宋体" w:cs="宋体"/>
          <w:color w:val="auto"/>
          <w:szCs w:val="21"/>
          <w:highlight w:val="none"/>
        </w:rPr>
        <w:t>包括货物的所有费用，包括采购、运输、劳务、管理、利润、税金、保险、协调、培训、售后服务、配送产品以及所有的不定因素的风险等</w:t>
      </w:r>
      <w:r>
        <w:rPr>
          <w:rFonts w:hint="eastAsia" w:ascii="宋体" w:hAnsi="宋体"/>
          <w:color w:val="auto"/>
          <w:szCs w:val="21"/>
          <w:highlight w:val="none"/>
        </w:rPr>
        <w:t>。</w:t>
      </w:r>
    </w:p>
    <w:p w14:paraId="5E27575F">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第二条　质量要求</w:t>
      </w:r>
    </w:p>
    <w:p w14:paraId="591B2A2D">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1.乙方所提供的产品名称、商标品牌、生产厂家、规格型号、技术参数等质量必须与招标文件规定及投标文件承诺相一致。乙方提供的节能和环保产品必须是列入政府采购品目清单的产品。</w:t>
      </w:r>
    </w:p>
    <w:p w14:paraId="73E14173">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2.乙方所提供的货物必须是全新、未使用的原装产品，且在正常安装、使用和保养条件下，其使用寿命期内各项指标均达到招标文件规定或者投标文件承诺的质量要求。</w:t>
      </w:r>
    </w:p>
    <w:p w14:paraId="11A6B71C">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3.如国家对产品实行注册证登记管理制度的，则乙方应在响应文件中提供产品的注册证复印件等证明文件。</w:t>
      </w:r>
    </w:p>
    <w:p w14:paraId="5FE4CBC2">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第三条　权利保证</w:t>
      </w:r>
    </w:p>
    <w:p w14:paraId="719BEBD9">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1.乙方应保证所提供货物在使用时不会侵犯任何第三方的专利权、商标权、工业设计权或者其他权利。</w:t>
      </w:r>
    </w:p>
    <w:p w14:paraId="0C423186">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2.乙方应按招标文件规定或者投标文件承诺的时间向甲方提供使用货物的有关技术资料。</w:t>
      </w:r>
    </w:p>
    <w:p w14:paraId="17C34D36">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6BF65DA7">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4.乙方保证将要交付的货物的所有权完全属于乙方且无任何抵押、质押、查封等产权瑕疵。</w:t>
      </w:r>
    </w:p>
    <w:p w14:paraId="0148B1C7">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第四条　包装和运输</w:t>
      </w:r>
    </w:p>
    <w:p w14:paraId="49409846">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1.乙方提供的货物均应按招标文件规定或者投标文件承诺的要求的包装材料、包装标准、包装方式进行包装，每一包装单元内应附详细的装箱单和质量合格证。</w:t>
      </w:r>
    </w:p>
    <w:p w14:paraId="7785FE40">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2.货物的运输方式：</w:t>
      </w:r>
      <w:r>
        <w:rPr>
          <w:rFonts w:hint="eastAsia" w:ascii="宋体" w:hAnsi="宋体"/>
          <w:color w:val="auto"/>
          <w:szCs w:val="21"/>
          <w:highlight w:val="none"/>
          <w:u w:val="single"/>
        </w:rPr>
        <w:t xml:space="preserve">             。</w:t>
      </w:r>
    </w:p>
    <w:p w14:paraId="2958BDC3">
      <w:pPr>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3.乙方负责货物运输，货物运输合理损耗及计算方法：</w:t>
      </w:r>
      <w:r>
        <w:rPr>
          <w:rFonts w:hint="eastAsia" w:ascii="宋体" w:hAnsi="宋体"/>
          <w:color w:val="auto"/>
          <w:szCs w:val="21"/>
          <w:highlight w:val="none"/>
          <w:u w:val="single"/>
        </w:rPr>
        <w:t xml:space="preserve">                 。</w:t>
      </w:r>
    </w:p>
    <w:p w14:paraId="433B25F8">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第五条　交付和验收</w:t>
      </w:r>
    </w:p>
    <w:p w14:paraId="2DA72995">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1.交付时间： 按采购人提供的供货计划分批供货，接到配送计划后由供应商在10个工作日内配送到交货地点</w:t>
      </w:r>
      <w:r>
        <w:rPr>
          <w:rFonts w:hint="eastAsia" w:ascii="宋体" w:hAnsi="宋体" w:cs="宋体"/>
          <w:color w:val="auto"/>
          <w:spacing w:val="9"/>
          <w:szCs w:val="21"/>
          <w:highlight w:val="none"/>
        </w:rPr>
        <w:t>。</w:t>
      </w:r>
    </w:p>
    <w:p w14:paraId="0405E376">
      <w:pPr>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t>交付地点：</w:t>
      </w:r>
      <w:r>
        <w:rPr>
          <w:rFonts w:hint="eastAsia" w:ascii="宋体" w:hAnsi="宋体" w:cs="宋体"/>
          <w:color w:val="auto"/>
          <w:kern w:val="0"/>
          <w:szCs w:val="21"/>
          <w:highlight w:val="none"/>
          <w:lang w:val="zh-CN"/>
        </w:rPr>
        <w:t>广西防城港市内（采购单位指定地点）。</w:t>
      </w:r>
    </w:p>
    <w:p w14:paraId="2D245826">
      <w:pPr>
        <w:spacing w:line="360" w:lineRule="exact"/>
        <w:ind w:left="2" w:firstLine="464" w:firstLineChars="200"/>
        <w:rPr>
          <w:rFonts w:ascii="宋体" w:hAnsi="宋体" w:cs="宋体"/>
          <w:color w:val="auto"/>
          <w:szCs w:val="21"/>
          <w:highlight w:val="none"/>
        </w:rPr>
      </w:pPr>
      <w:r>
        <w:rPr>
          <w:rFonts w:hint="eastAsia" w:ascii="宋体" w:hAnsi="宋体" w:cs="宋体"/>
          <w:color w:val="auto"/>
          <w:spacing w:val="11"/>
          <w:szCs w:val="21"/>
          <w:highlight w:val="none"/>
        </w:rPr>
        <w:t>2.乙方提供的货物必须符合国家标准、行业标准及产品生产厂家的出厂质量标准；乙方提供的货物必</w:t>
      </w:r>
      <w:r>
        <w:rPr>
          <w:rFonts w:hint="eastAsia" w:ascii="宋体" w:hAnsi="宋体" w:cs="宋体"/>
          <w:color w:val="auto"/>
          <w:spacing w:val="13"/>
          <w:szCs w:val="21"/>
          <w:highlight w:val="none"/>
        </w:rPr>
        <w:t>须原装、全新的、最新生产批号、出具出厂合格证，序列号、包装箱号与出厂批号一致并可</w:t>
      </w:r>
      <w:r>
        <w:rPr>
          <w:rFonts w:hint="eastAsia" w:ascii="宋体" w:hAnsi="宋体" w:cs="宋体"/>
          <w:color w:val="auto"/>
          <w:spacing w:val="10"/>
          <w:szCs w:val="21"/>
          <w:highlight w:val="none"/>
        </w:rPr>
        <w:t>追索查阅、满足国家及行业强制性标准及规</w:t>
      </w:r>
      <w:r>
        <w:rPr>
          <w:rFonts w:hint="eastAsia" w:ascii="宋体" w:hAnsi="宋体" w:cs="宋体"/>
          <w:color w:val="auto"/>
          <w:spacing w:val="9"/>
          <w:szCs w:val="21"/>
          <w:highlight w:val="none"/>
        </w:rPr>
        <w:t>范，并符合采购人提出的有关质量标准的产品。</w:t>
      </w:r>
    </w:p>
    <w:p w14:paraId="453F10DC">
      <w:pPr>
        <w:spacing w:before="1" w:line="226" w:lineRule="auto"/>
        <w:ind w:firstLine="456" w:firstLineChars="200"/>
        <w:jc w:val="left"/>
        <w:rPr>
          <w:rFonts w:ascii="宋体" w:hAnsi="宋体" w:cs="宋体"/>
          <w:color w:val="auto"/>
          <w:spacing w:val="9"/>
          <w:szCs w:val="21"/>
          <w:highlight w:val="none"/>
        </w:rPr>
      </w:pPr>
      <w:r>
        <w:rPr>
          <w:rFonts w:hint="eastAsia" w:ascii="宋体" w:hAnsi="宋体" w:cs="宋体"/>
          <w:color w:val="auto"/>
          <w:spacing w:val="9"/>
          <w:szCs w:val="21"/>
          <w:highlight w:val="none"/>
        </w:rPr>
        <w:t>3.验收过程中所产生的一切费用均由成交供应商承担。报价时应考虑相关费用。</w:t>
      </w:r>
    </w:p>
    <w:p w14:paraId="1157EE24">
      <w:pPr>
        <w:spacing w:before="1" w:line="226" w:lineRule="auto"/>
        <w:ind w:firstLine="472" w:firstLineChars="200"/>
        <w:jc w:val="left"/>
        <w:rPr>
          <w:rFonts w:ascii="宋体" w:hAnsi="宋体" w:cs="宋体"/>
          <w:color w:val="auto"/>
          <w:szCs w:val="21"/>
          <w:highlight w:val="none"/>
        </w:rPr>
      </w:pPr>
      <w:r>
        <w:rPr>
          <w:rFonts w:hint="eastAsia" w:ascii="宋体" w:hAnsi="宋体" w:cs="宋体"/>
          <w:color w:val="auto"/>
          <w:spacing w:val="13"/>
          <w:szCs w:val="21"/>
          <w:highlight w:val="none"/>
        </w:rPr>
        <w:t>4.成交供应商在货物验收时由采购人对照招标文件的功能目标及技术指</w:t>
      </w:r>
      <w:r>
        <w:rPr>
          <w:rFonts w:hint="eastAsia" w:ascii="宋体" w:hAnsi="宋体" w:cs="宋体"/>
          <w:color w:val="auto"/>
          <w:spacing w:val="12"/>
          <w:szCs w:val="21"/>
          <w:highlight w:val="none"/>
        </w:rPr>
        <w:t>标全面核对检验，如</w:t>
      </w:r>
      <w:r>
        <w:rPr>
          <w:rFonts w:hint="eastAsia" w:ascii="宋体" w:hAnsi="宋体" w:cs="宋体"/>
          <w:color w:val="auto"/>
          <w:spacing w:val="18"/>
          <w:szCs w:val="21"/>
          <w:highlight w:val="none"/>
        </w:rPr>
        <w:t>不符合招标文件的技术需求及要求以及提供虚假承诺的，按相关规定作退货处理及违约处</w:t>
      </w:r>
      <w:r>
        <w:rPr>
          <w:rFonts w:hint="eastAsia" w:ascii="宋体" w:hAnsi="宋体" w:cs="宋体"/>
          <w:color w:val="auto"/>
          <w:spacing w:val="9"/>
          <w:szCs w:val="21"/>
          <w:highlight w:val="none"/>
        </w:rPr>
        <w:t>理，成交供应商承担所有责任和费用，采购人保留进一步追究责任的权利。</w:t>
      </w:r>
    </w:p>
    <w:p w14:paraId="4CFFC614">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5.甲方应当在到货（安装、调试完）后七个工作日内进行验收，逾期不验收的，乙方可视同验收合格。验收合格后由甲乙双方签署货物验收单并加盖采购人公章，甲乙双方各执一份。</w:t>
      </w:r>
    </w:p>
    <w:p w14:paraId="41AD27F7">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55EA534E">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7.甲方对验收有异议的，在验收后五个工作日内以书面形式向乙方提出，乙方应自收到甲方书面异议后日内及时予以解决。</w:t>
      </w:r>
    </w:p>
    <w:p w14:paraId="03AC38DF">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第六条  售后服务、质保期</w:t>
      </w:r>
    </w:p>
    <w:p w14:paraId="45F73F39">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1.乙方应按照国家有关法律法规和“三包”规定以及本合同所附的《服务承诺》，为甲方提供售后服务。</w:t>
      </w:r>
    </w:p>
    <w:p w14:paraId="0743463D">
      <w:pPr>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2.货物质保期：</w:t>
      </w:r>
      <w:r>
        <w:rPr>
          <w:rFonts w:hint="eastAsia" w:ascii="宋体" w:hAnsi="宋体" w:cs="宋体"/>
          <w:color w:val="auto"/>
          <w:szCs w:val="21"/>
          <w:highlight w:val="none"/>
          <w:lang w:val="zh-CN"/>
        </w:rPr>
        <w:t>自交货验收合格之日起有效期≥10个月。</w:t>
      </w:r>
      <w:r>
        <w:rPr>
          <w:rFonts w:hint="eastAsia" w:ascii="宋体" w:hAnsi="宋体" w:cs="宋体"/>
          <w:color w:val="auto"/>
          <w:szCs w:val="21"/>
          <w:highlight w:val="none"/>
        </w:rPr>
        <w:t>（各分项有特殊要求的按各分项要求执行）</w:t>
      </w:r>
      <w:r>
        <w:rPr>
          <w:rFonts w:hint="eastAsia" w:ascii="宋体" w:hAnsi="宋体"/>
          <w:color w:val="auto"/>
          <w:szCs w:val="21"/>
          <w:highlight w:val="none"/>
          <w:u w:val="single"/>
        </w:rPr>
        <w:t xml:space="preserve"> 。</w:t>
      </w:r>
    </w:p>
    <w:p w14:paraId="0AEF1489">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3.乙方提供的服务承诺和售后服务及质保期责任等其它具体约定事项。（见合同附件）</w:t>
      </w:r>
    </w:p>
    <w:p w14:paraId="63196FB3">
      <w:pPr>
        <w:pStyle w:val="31"/>
        <w:rPr>
          <w:rFonts w:ascii="宋体" w:hAnsi="宋体"/>
          <w:color w:val="auto"/>
          <w:sz w:val="21"/>
          <w:szCs w:val="21"/>
          <w:highlight w:val="none"/>
        </w:rPr>
      </w:pPr>
      <w:r>
        <w:rPr>
          <w:rFonts w:ascii="宋体" w:hAnsi="宋体"/>
          <w:color w:val="auto"/>
          <w:sz w:val="21"/>
          <w:szCs w:val="21"/>
          <w:highlight w:val="none"/>
        </w:rPr>
        <w:t>1、送货上门</w:t>
      </w:r>
      <w:r>
        <w:rPr>
          <w:rFonts w:hint="eastAsia" w:ascii="宋体" w:hAnsi="宋体"/>
          <w:color w:val="auto"/>
          <w:sz w:val="21"/>
          <w:szCs w:val="21"/>
          <w:highlight w:val="none"/>
        </w:rPr>
        <w:t>及</w:t>
      </w:r>
      <w:r>
        <w:rPr>
          <w:rFonts w:ascii="宋体" w:hAnsi="宋体"/>
          <w:color w:val="auto"/>
          <w:sz w:val="21"/>
          <w:szCs w:val="21"/>
          <w:highlight w:val="none"/>
        </w:rPr>
        <w:t>培训；</w:t>
      </w:r>
    </w:p>
    <w:p w14:paraId="74E5ADF3">
      <w:pPr>
        <w:pStyle w:val="31"/>
        <w:rPr>
          <w:rFonts w:ascii="宋体" w:hAnsi="宋体"/>
          <w:color w:val="auto"/>
          <w:sz w:val="21"/>
          <w:szCs w:val="21"/>
          <w:highlight w:val="none"/>
        </w:rPr>
      </w:pPr>
      <w:r>
        <w:rPr>
          <w:rFonts w:ascii="宋体" w:hAnsi="宋体"/>
          <w:color w:val="auto"/>
          <w:sz w:val="21"/>
          <w:szCs w:val="21"/>
          <w:highlight w:val="none"/>
        </w:rPr>
        <w:t>2、竞标人应提出可行的售后服务承诺书；</w:t>
      </w:r>
    </w:p>
    <w:p w14:paraId="43BDFD34">
      <w:pPr>
        <w:pStyle w:val="31"/>
        <w:rPr>
          <w:rFonts w:ascii="宋体" w:hAnsi="宋体"/>
          <w:color w:val="auto"/>
          <w:sz w:val="21"/>
          <w:szCs w:val="21"/>
          <w:highlight w:val="none"/>
        </w:rPr>
      </w:pPr>
      <w:r>
        <w:rPr>
          <w:rFonts w:ascii="宋体" w:hAnsi="宋体"/>
          <w:color w:val="auto"/>
          <w:sz w:val="21"/>
          <w:szCs w:val="21"/>
          <w:highlight w:val="none"/>
        </w:rPr>
        <w:t>3、按厂家承诺实行“三包”；</w:t>
      </w:r>
    </w:p>
    <w:p w14:paraId="7EED2061">
      <w:pPr>
        <w:pStyle w:val="31"/>
        <w:rPr>
          <w:rFonts w:ascii="宋体" w:hAnsi="宋体"/>
          <w:color w:val="auto"/>
          <w:sz w:val="21"/>
          <w:szCs w:val="21"/>
          <w:highlight w:val="none"/>
        </w:rPr>
      </w:pPr>
      <w:r>
        <w:rPr>
          <w:rFonts w:ascii="宋体" w:hAnsi="宋体"/>
          <w:color w:val="auto"/>
          <w:sz w:val="21"/>
          <w:szCs w:val="21"/>
          <w:highlight w:val="none"/>
        </w:rPr>
        <w:t>4、如确定有质量问题，按照正常程序退货；</w:t>
      </w:r>
    </w:p>
    <w:p w14:paraId="3F08EACA">
      <w:pPr>
        <w:pStyle w:val="31"/>
        <w:rPr>
          <w:rFonts w:ascii="宋体" w:hAnsi="宋体"/>
          <w:color w:val="auto"/>
          <w:sz w:val="21"/>
          <w:szCs w:val="21"/>
          <w:highlight w:val="none"/>
        </w:rPr>
      </w:pPr>
      <w:r>
        <w:rPr>
          <w:rFonts w:ascii="宋体" w:hAnsi="宋体"/>
          <w:color w:val="auto"/>
          <w:sz w:val="21"/>
          <w:szCs w:val="21"/>
          <w:highlight w:val="none"/>
        </w:rPr>
        <w:t>5、试剂在使用过程中，如有任何质量问题，竞标人承诺于3小时内答复，12小时内到达采购人现场，排除故障直至保证试剂能够正常使用（各分项有特殊要求的按各分项要求执行）。</w:t>
      </w:r>
    </w:p>
    <w:p w14:paraId="2885B0BE">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第七条　付款方式</w:t>
      </w:r>
    </w:p>
    <w:p w14:paraId="70E8306A">
      <w:pPr>
        <w:snapToGrid w:val="0"/>
        <w:spacing w:line="360" w:lineRule="auto"/>
        <w:ind w:firstLine="420" w:firstLineChars="200"/>
        <w:rPr>
          <w:rFonts w:ascii="宋体" w:hAnsi="宋体"/>
          <w:color w:val="auto"/>
          <w:kern w:val="0"/>
          <w:szCs w:val="21"/>
          <w:highlight w:val="none"/>
        </w:rPr>
      </w:pPr>
      <w:r>
        <w:rPr>
          <w:rFonts w:hint="eastAsia" w:ascii="宋体" w:hAnsi="宋体" w:cs="宋体"/>
          <w:color w:val="auto"/>
          <w:kern w:val="0"/>
          <w:szCs w:val="21"/>
          <w:highlight w:val="none"/>
          <w:u w:val="single"/>
          <w:lang w:val="zh-CN"/>
        </w:rPr>
        <w:t>每批货验收合格</w:t>
      </w:r>
      <w:r>
        <w:rPr>
          <w:rFonts w:hint="eastAsia" w:ascii="宋体" w:hAnsi="宋体" w:cs="宋体"/>
          <w:color w:val="auto"/>
          <w:kern w:val="0"/>
          <w:szCs w:val="21"/>
          <w:highlight w:val="none"/>
          <w:u w:val="single"/>
        </w:rPr>
        <w:t>后</w:t>
      </w:r>
      <w:r>
        <w:rPr>
          <w:rFonts w:hint="eastAsia" w:ascii="宋体" w:hAnsi="宋体" w:cs="宋体"/>
          <w:color w:val="auto"/>
          <w:kern w:val="0"/>
          <w:szCs w:val="21"/>
          <w:highlight w:val="none"/>
          <w:u w:val="single"/>
          <w:lang w:val="zh-CN"/>
        </w:rPr>
        <w:t>，乙方开具请款函及发票给采购人，甲方在</w:t>
      </w:r>
      <w:r>
        <w:rPr>
          <w:rFonts w:hint="eastAsia" w:ascii="宋体" w:hAnsi="宋体" w:cs="宋体"/>
          <w:bCs/>
          <w:color w:val="auto"/>
          <w:szCs w:val="21"/>
          <w:highlight w:val="none"/>
          <w:u w:val="single"/>
        </w:rPr>
        <w:t>该</w:t>
      </w:r>
      <w:r>
        <w:rPr>
          <w:rFonts w:hint="eastAsia" w:ascii="宋体" w:hAnsi="宋体" w:cs="宋体"/>
          <w:bCs/>
          <w:color w:val="auto"/>
          <w:szCs w:val="21"/>
          <w:highlight w:val="none"/>
          <w:u w:val="single"/>
          <w:lang w:val="zh-CN"/>
        </w:rPr>
        <w:t>项目具备支付条件</w:t>
      </w:r>
      <w:r>
        <w:rPr>
          <w:rFonts w:hint="eastAsia" w:ascii="宋体" w:hAnsi="宋体" w:cs="宋体"/>
          <w:bCs/>
          <w:color w:val="auto"/>
          <w:szCs w:val="21"/>
          <w:highlight w:val="none"/>
          <w:u w:val="single"/>
        </w:rPr>
        <w:t>后</w:t>
      </w:r>
      <w:r>
        <w:rPr>
          <w:rFonts w:hint="eastAsia" w:ascii="宋体" w:hAnsi="宋体" w:cs="宋体"/>
          <w:color w:val="auto"/>
          <w:kern w:val="0"/>
          <w:szCs w:val="21"/>
          <w:highlight w:val="none"/>
          <w:u w:val="single"/>
        </w:rPr>
        <w:t>15</w:t>
      </w:r>
      <w:r>
        <w:rPr>
          <w:rFonts w:hint="eastAsia" w:ascii="宋体" w:hAnsi="宋体" w:cs="宋体"/>
          <w:color w:val="auto"/>
          <w:kern w:val="0"/>
          <w:szCs w:val="21"/>
          <w:highlight w:val="none"/>
          <w:u w:val="single"/>
          <w:lang w:val="zh-CN"/>
        </w:rPr>
        <w:t>个工作日内，支付该批货物全部合同款给乙方。</w:t>
      </w:r>
    </w:p>
    <w:p w14:paraId="4366D337">
      <w:pPr>
        <w:snapToGrid w:val="0"/>
        <w:spacing w:line="360" w:lineRule="auto"/>
        <w:ind w:left="-61" w:leftChars="-29" w:firstLine="517" w:firstLineChars="245"/>
        <w:rPr>
          <w:rFonts w:ascii="宋体" w:hAnsi="宋体"/>
          <w:b/>
          <w:color w:val="auto"/>
          <w:szCs w:val="21"/>
          <w:highlight w:val="none"/>
        </w:rPr>
      </w:pPr>
      <w:r>
        <w:rPr>
          <w:rFonts w:hint="eastAsia" w:ascii="宋体" w:hAnsi="宋体"/>
          <w:b/>
          <w:color w:val="auto"/>
          <w:szCs w:val="21"/>
          <w:highlight w:val="none"/>
        </w:rPr>
        <w:t>第八条　履约保证金</w:t>
      </w:r>
    </w:p>
    <w:p w14:paraId="20E9C628">
      <w:pPr>
        <w:autoSpaceDE w:val="0"/>
        <w:autoSpaceDN w:val="0"/>
        <w:snapToGrid w:val="0"/>
        <w:spacing w:line="360" w:lineRule="auto"/>
        <w:ind w:firstLine="424" w:firstLineChars="202"/>
        <w:textAlignment w:val="bottom"/>
        <w:rPr>
          <w:rFonts w:ascii="宋体" w:hAnsi="宋体" w:cs="宋体"/>
          <w:color w:val="auto"/>
          <w:szCs w:val="21"/>
          <w:highlight w:val="none"/>
        </w:rPr>
      </w:pPr>
      <w:r>
        <w:rPr>
          <w:rFonts w:hint="eastAsia" w:ascii="宋体" w:hAnsi="宋体" w:cs="宋体"/>
          <w:color w:val="auto"/>
          <w:szCs w:val="21"/>
          <w:highlight w:val="none"/>
        </w:rPr>
        <w:t>履约保证金金额：按</w:t>
      </w:r>
      <w:r>
        <w:rPr>
          <w:rFonts w:ascii="宋体" w:hAnsi="宋体"/>
          <w:color w:val="auto"/>
          <w:spacing w:val="-6"/>
          <w:szCs w:val="21"/>
          <w:highlight w:val="none"/>
        </w:rPr>
        <w:t>合同金额的</w:t>
      </w:r>
      <w:r>
        <w:rPr>
          <w:rFonts w:hint="eastAsia" w:ascii="宋体" w:hAnsi="宋体"/>
          <w:color w:val="auto"/>
          <w:spacing w:val="-6"/>
          <w:szCs w:val="21"/>
          <w:highlight w:val="none"/>
        </w:rPr>
        <w:t>1</w:t>
      </w:r>
      <w:r>
        <w:rPr>
          <w:rFonts w:ascii="宋体" w:hAnsi="宋体"/>
          <w:color w:val="auto"/>
          <w:spacing w:val="-1"/>
          <w:szCs w:val="21"/>
          <w:highlight w:val="none"/>
        </w:rPr>
        <w:t>%</w:t>
      </w:r>
      <w:r>
        <w:rPr>
          <w:rFonts w:hint="eastAsia" w:ascii="宋体" w:hAnsi="宋体" w:cs="宋体"/>
          <w:color w:val="auto"/>
          <w:szCs w:val="21"/>
          <w:highlight w:val="none"/>
        </w:rPr>
        <w:t>。</w:t>
      </w:r>
    </w:p>
    <w:p w14:paraId="5DA7FFF4">
      <w:pPr>
        <w:autoSpaceDE w:val="0"/>
        <w:autoSpaceDN w:val="0"/>
        <w:snapToGrid w:val="0"/>
        <w:spacing w:line="360" w:lineRule="auto"/>
        <w:ind w:firstLine="424" w:firstLineChars="202"/>
        <w:textAlignment w:val="bottom"/>
        <w:rPr>
          <w:rFonts w:ascii="宋体" w:hAnsi="宋体" w:cs="宋体"/>
          <w:color w:val="auto"/>
          <w:szCs w:val="21"/>
          <w:highlight w:val="none"/>
        </w:rPr>
      </w:pPr>
      <w:r>
        <w:rPr>
          <w:rFonts w:hint="eastAsia" w:ascii="宋体" w:hAnsi="宋体" w:cs="宋体"/>
          <w:color w:val="auto"/>
          <w:szCs w:val="21"/>
          <w:highlight w:val="none"/>
        </w:rPr>
        <w:t>履约保证金递交方式：银行转账、支票、汇票、本票或者金融、担保机构出具的保函等非现金方式。</w:t>
      </w:r>
    </w:p>
    <w:p w14:paraId="294A29E4">
      <w:pPr>
        <w:autoSpaceDE w:val="0"/>
        <w:autoSpaceDN w:val="0"/>
        <w:snapToGrid w:val="0"/>
        <w:spacing w:line="360" w:lineRule="auto"/>
        <w:ind w:firstLine="424" w:firstLineChars="202"/>
        <w:textAlignment w:val="bottom"/>
        <w:rPr>
          <w:rFonts w:ascii="宋体" w:hAnsi="宋体" w:cs="宋体"/>
          <w:color w:val="auto"/>
          <w:szCs w:val="21"/>
          <w:highlight w:val="none"/>
          <w:u w:val="single"/>
        </w:rPr>
      </w:pPr>
      <w:r>
        <w:rPr>
          <w:rFonts w:hint="eastAsia" w:ascii="宋体" w:hAnsi="宋体" w:cs="宋体"/>
          <w:color w:val="auto"/>
          <w:szCs w:val="21"/>
          <w:highlight w:val="none"/>
        </w:rPr>
        <w:t>履约保证金退付方式、时间及条件：</w:t>
      </w:r>
      <w:r>
        <w:rPr>
          <w:rFonts w:hint="eastAsia" w:ascii="宋体" w:hAnsi="宋体" w:cs="宋体"/>
          <w:color w:val="auto"/>
          <w:szCs w:val="21"/>
          <w:highlight w:val="none"/>
          <w:u w:val="single"/>
        </w:rPr>
        <w:t>货物全部验收合格后，货物在质保期内若无质量问题，质保期满后，凭成交供应商申请书退还履约保证金，</w:t>
      </w:r>
      <w:r>
        <w:rPr>
          <w:rFonts w:hint="eastAsia" w:ascii="宋体" w:hAnsi="宋体"/>
          <w:color w:val="auto"/>
          <w:szCs w:val="21"/>
          <w:highlight w:val="none"/>
          <w:u w:val="single"/>
        </w:rPr>
        <w:t>甲方在5个工作日内办理退还手续</w:t>
      </w:r>
      <w:r>
        <w:rPr>
          <w:rFonts w:hint="eastAsia" w:ascii="宋体" w:hAnsi="宋体" w:cs="宋体"/>
          <w:color w:val="auto"/>
          <w:szCs w:val="21"/>
          <w:highlight w:val="none"/>
          <w:u w:val="single"/>
        </w:rPr>
        <w:t>（不计利息）。</w:t>
      </w:r>
    </w:p>
    <w:p w14:paraId="372F6372">
      <w:pPr>
        <w:autoSpaceDE w:val="0"/>
        <w:autoSpaceDN w:val="0"/>
        <w:snapToGrid w:val="0"/>
        <w:spacing w:line="360" w:lineRule="auto"/>
        <w:ind w:firstLine="424" w:firstLineChars="202"/>
        <w:textAlignment w:val="bottom"/>
        <w:rPr>
          <w:rFonts w:ascii="宋体" w:hAnsi="宋体" w:cs="宋体"/>
          <w:color w:val="auto"/>
          <w:szCs w:val="21"/>
          <w:highlight w:val="none"/>
        </w:rPr>
      </w:pPr>
      <w:r>
        <w:rPr>
          <w:rFonts w:hint="eastAsia" w:ascii="宋体" w:hAnsi="宋体" w:cs="宋体"/>
          <w:color w:val="auto"/>
          <w:szCs w:val="21"/>
          <w:highlight w:val="none"/>
        </w:rPr>
        <w:t>签订合同后，如成交供应商不按双方签订的合同规定履约，则没收其全部履约保证金，履约保证金不足以赔偿损失的，按实际损失赔偿。</w:t>
      </w:r>
    </w:p>
    <w:p w14:paraId="14895CCA">
      <w:pPr>
        <w:snapToGrid w:val="0"/>
        <w:spacing w:line="360" w:lineRule="auto"/>
        <w:ind w:left="-61" w:firstLine="514"/>
        <w:rPr>
          <w:rFonts w:ascii="宋体" w:hAnsi="宋体"/>
          <w:b/>
          <w:color w:val="auto"/>
          <w:szCs w:val="21"/>
          <w:highlight w:val="none"/>
        </w:rPr>
      </w:pPr>
      <w:r>
        <w:rPr>
          <w:rFonts w:hint="eastAsia" w:ascii="宋体" w:hAnsi="宋体"/>
          <w:b/>
          <w:color w:val="auto"/>
          <w:szCs w:val="21"/>
          <w:highlight w:val="none"/>
        </w:rPr>
        <w:t>第九条  税费</w:t>
      </w:r>
    </w:p>
    <w:p w14:paraId="4DE0F613">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本合同执行中相关的一切税费均由乙方负担，合同另有约定的除外。</w:t>
      </w:r>
    </w:p>
    <w:p w14:paraId="092CED77">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第十条　违约责任</w:t>
      </w:r>
    </w:p>
    <w:p w14:paraId="5454826A">
      <w:pPr>
        <w:snapToGrid w:val="0"/>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1.技术参数不符合的</w:t>
      </w:r>
    </w:p>
    <w:p w14:paraId="5A9436BD">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签订合同后，如中标的产品经中心对试剂进行全面性能评估对产品做性能验证，经评估产品的真实性能与采购投标文件的技术参数不相符的，采购人可认定成交供应商违约，并可要求：</w:t>
      </w:r>
    </w:p>
    <w:p w14:paraId="32B5E848">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（1）要求成交供应商提供符合合同要求的新批次产品或更换采购人指定的符合合同技术参数要求的品牌（按原中标产品的中标单价采购），并承担由此产生的额外费用</w:t>
      </w:r>
    </w:p>
    <w:p w14:paraId="1B6A03A7">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（2）根据合同中约定的违约金或损害赔偿条款，要求成交供应商支付相应的经济补偿，以弥补因产品不合格给采购人造成的直接经济损失和其他合理支出。</w:t>
      </w:r>
    </w:p>
    <w:p w14:paraId="3D0BDF17">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（3）若成交供应商无法提供合格产品或拒绝履行整改义务，采购人有权依法终止合同，并保留追究法律责任的权利。</w:t>
      </w:r>
    </w:p>
    <w:p w14:paraId="76548EEA">
      <w:pPr>
        <w:snapToGrid w:val="0"/>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2.退换货处理</w:t>
      </w:r>
    </w:p>
    <w:p w14:paraId="468B13F7">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（1）批次差异：不同批次之间的试剂质量不稳定或存在显著差异。</w:t>
      </w:r>
    </w:p>
    <w:p w14:paraId="0EC7CC0E">
      <w:pPr>
        <w:snapToGrid w:val="0"/>
        <w:spacing w:line="360" w:lineRule="exact"/>
        <w:jc w:val="left"/>
        <w:rPr>
          <w:rFonts w:ascii="宋体" w:hAnsi="宋体" w:cs="宋体"/>
          <w:color w:val="auto"/>
          <w:szCs w:val="21"/>
          <w:highlight w:val="none"/>
        </w:rPr>
      </w:pPr>
      <w:r>
        <w:rPr>
          <w:rFonts w:hint="eastAsia" w:ascii="宋体" w:hAnsi="宋体" w:cs="宋体"/>
          <w:color w:val="auto"/>
          <w:szCs w:val="21"/>
          <w:highlight w:val="none"/>
        </w:rPr>
        <w:t>（2）包装破损或标识不清：外包装损坏、密封不良或标签信息错误、模糊不清</w:t>
      </w:r>
    </w:p>
    <w:p w14:paraId="5AE11C2A">
      <w:pPr>
        <w:snapToGrid w:val="0"/>
        <w:spacing w:line="360" w:lineRule="auto"/>
        <w:rPr>
          <w:rFonts w:ascii="宋体" w:hAnsi="宋体"/>
          <w:color w:val="auto"/>
          <w:kern w:val="0"/>
          <w:szCs w:val="21"/>
          <w:highlight w:val="none"/>
        </w:rPr>
      </w:pPr>
      <w:r>
        <w:rPr>
          <w:rFonts w:hint="eastAsia" w:ascii="宋体" w:hAnsi="宋体" w:cs="宋体"/>
          <w:color w:val="auto"/>
          <w:szCs w:val="21"/>
          <w:highlight w:val="none"/>
        </w:rPr>
        <w:t>（3）配送温度达不到要求：有低温配送要求没有按照规定要求配送，全程温度记录不符合要求的，没有提供配送温度记录的出现以上问题之一采购人有权退换货，并产生的退换货费用由成交供应商承担。</w:t>
      </w:r>
    </w:p>
    <w:p w14:paraId="0F7A094F">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 xml:space="preserve">3.乙方所提供的产品名称、商标品牌、生产厂家、规格型号、技术参数等质量不合格的，应及时更换，更换不及时的按逾期交货处罚；因质量问题甲方不同意接收的或者特殊情况甲方同意接收的，乙方应向甲方支付违约货款额 5%违约金并赔偿甲方经济损失。                                       </w:t>
      </w:r>
    </w:p>
    <w:p w14:paraId="1E8C6398">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4.乙方提供的货物如侵犯了第三方合法权益而引发的任何纠纷或者诉讼，均由乙方负责交涉并承担全部责任。</w:t>
      </w:r>
    </w:p>
    <w:p w14:paraId="622C26FA">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5.因包装、运输引起的货物损坏，按质量不合格处罚。</w:t>
      </w:r>
    </w:p>
    <w:p w14:paraId="5222BB50">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6.甲方无故延期接收货物、乙方逾期交货的，每天向对方偿付违约货款额3‰违约金，但违约金累计不得超过违约货款额5%，超过天对方有权解除合同，违约方承担因此给对方造成经济损失；甲方延期付货款的，每天向乙方偿付延期货款额3‰滞纳金，但滞纳金累计不得超过延期货款额5%。甲方无故延期退付履约保证金的，每天向对方偿付未退付履约保证金3‰的违约金。</w:t>
      </w:r>
    </w:p>
    <w:p w14:paraId="498C4954">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7. 乙方未按本合同和投标文件中规定的服务承诺提供售后服务的，乙方应按本合同合计金额 5%向甲方支付违约金。</w:t>
      </w:r>
    </w:p>
    <w:p w14:paraId="314A4152">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8. 乙方提供的货物在质量保证期内，因设计、工艺或者材料的缺陷和其它质量原因造成的问题，由乙方负责，费用从余款或者履约保证金中扣除，不足另补。</w:t>
      </w:r>
    </w:p>
    <w:p w14:paraId="62EBD10A">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9. 甲乙双方有其它违约行为的，由违约方向对方支付违约内容涉及货款额的5%，违约内容涉及货款额的5%不足以赔偿经济损失的按实际赔偿。</w:t>
      </w:r>
    </w:p>
    <w:p w14:paraId="05044AE3">
      <w:pPr>
        <w:snapToGrid w:val="0"/>
        <w:spacing w:line="360" w:lineRule="auto"/>
        <w:ind w:firstLine="413" w:firstLineChars="196"/>
        <w:rPr>
          <w:rFonts w:ascii="宋体" w:hAnsi="宋体"/>
          <w:b/>
          <w:color w:val="auto"/>
          <w:kern w:val="0"/>
          <w:szCs w:val="21"/>
          <w:highlight w:val="none"/>
        </w:rPr>
      </w:pPr>
      <w:r>
        <w:rPr>
          <w:rFonts w:hint="eastAsia" w:ascii="宋体" w:hAnsi="宋体"/>
          <w:b/>
          <w:color w:val="auto"/>
          <w:kern w:val="0"/>
          <w:szCs w:val="21"/>
          <w:highlight w:val="none"/>
        </w:rPr>
        <w:t>第十一条  不可抗力事件处理</w:t>
      </w:r>
    </w:p>
    <w:p w14:paraId="4886C5CB">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1.在合同有效期内，任何一方因不可抗力事件导致不能履行合同，则合同履行期可延长，其延长期与不可抗力影响期相同。</w:t>
      </w:r>
    </w:p>
    <w:p w14:paraId="1A6EB6ED">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2.不可抗力事件发生后，应立即通知对方，并寄送有关权威机构出具的证明。</w:t>
      </w:r>
    </w:p>
    <w:p w14:paraId="4DCA4300">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3.不可抗力事件延续一百二十天以上，双方应通过友好协商，确定是否继续履行合同。</w:t>
      </w:r>
    </w:p>
    <w:p w14:paraId="75210486">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第十二条  合同争议解决</w:t>
      </w:r>
    </w:p>
    <w:p w14:paraId="671BACAC">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1.因货物质量问题发生争议的，应邀请国家认可的质量检测机构对货物质量进行鉴定。货物符合标准的，鉴定费由甲方承担；货物不符合标准的，鉴定费由乙方承担。</w:t>
      </w:r>
    </w:p>
    <w:p w14:paraId="68CDA31E">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2.因履行本合同引起的或者与本合同有关的争议，甲乙双方应首先通过友好协商解决，如果协商不能解决，可向甲方所在地</w:t>
      </w:r>
      <w:r>
        <w:rPr>
          <w:rFonts w:hint="eastAsia" w:ascii="宋体" w:hAnsi="宋体" w:cs="宋体"/>
          <w:color w:val="auto"/>
          <w:szCs w:val="21"/>
          <w:highlight w:val="none"/>
        </w:rPr>
        <w:t>有管辖权的</w:t>
      </w:r>
      <w:r>
        <w:rPr>
          <w:rFonts w:hint="eastAsia" w:ascii="宋体" w:hAnsi="宋体"/>
          <w:color w:val="auto"/>
          <w:szCs w:val="21"/>
          <w:highlight w:val="none"/>
        </w:rPr>
        <w:t>人民法院提起诉讼。</w:t>
      </w:r>
    </w:p>
    <w:p w14:paraId="6AC3637A">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3.诉讼期间，本合同继续履行。</w:t>
      </w:r>
    </w:p>
    <w:p w14:paraId="39686293">
      <w:pPr>
        <w:snapToGrid w:val="0"/>
        <w:spacing w:line="360" w:lineRule="auto"/>
        <w:ind w:firstLine="413" w:firstLineChars="196"/>
        <w:rPr>
          <w:rFonts w:ascii="宋体" w:hAnsi="宋体"/>
          <w:b/>
          <w:color w:val="auto"/>
          <w:kern w:val="0"/>
          <w:szCs w:val="21"/>
          <w:highlight w:val="none"/>
        </w:rPr>
      </w:pPr>
      <w:r>
        <w:rPr>
          <w:rFonts w:hint="eastAsia" w:ascii="宋体" w:hAnsi="宋体"/>
          <w:b/>
          <w:color w:val="auto"/>
          <w:kern w:val="0"/>
          <w:szCs w:val="21"/>
          <w:highlight w:val="none"/>
        </w:rPr>
        <w:t>第十三条  合同生效及其它</w:t>
      </w:r>
    </w:p>
    <w:p w14:paraId="34EDAE91">
      <w:pPr>
        <w:snapToGrid w:val="0"/>
        <w:spacing w:line="360" w:lineRule="auto"/>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1.合同经双方法定代表人或者委托代理人签字并加盖单位公章后生效。</w:t>
      </w:r>
    </w:p>
    <w:p w14:paraId="5ACE4C6C">
      <w:pPr>
        <w:snapToGrid w:val="0"/>
        <w:spacing w:line="360" w:lineRule="auto"/>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2.合同执行中涉及采购资金和采购内容修改或者补充的，须经财政部门审批，并签书面补充协议报财政部门备案，方可作为主合同不可分割的一部分。</w:t>
      </w:r>
    </w:p>
    <w:p w14:paraId="4BE92288">
      <w:pPr>
        <w:snapToGrid w:val="0"/>
        <w:spacing w:line="360" w:lineRule="auto"/>
        <w:ind w:left="420" w:leftChars="200"/>
        <w:rPr>
          <w:rFonts w:ascii="宋体" w:hAnsi="宋体"/>
          <w:bCs/>
          <w:color w:val="auto"/>
          <w:kern w:val="0"/>
          <w:szCs w:val="21"/>
          <w:highlight w:val="none"/>
        </w:rPr>
      </w:pPr>
      <w:r>
        <w:rPr>
          <w:rFonts w:hint="eastAsia" w:ascii="宋体" w:hAnsi="宋体"/>
          <w:bCs/>
          <w:color w:val="auto"/>
          <w:kern w:val="0"/>
          <w:szCs w:val="21"/>
          <w:highlight w:val="none"/>
        </w:rPr>
        <w:t>3.本合同未尽事宜，遵照《中华人民共和国民法典》有关条文执行。</w:t>
      </w:r>
    </w:p>
    <w:p w14:paraId="3EA78354">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第十四条　合同的变更、终止与转让</w:t>
      </w:r>
    </w:p>
    <w:p w14:paraId="124538D1">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 除《中华人民共和国政府采购法》第五十条规定的情形外，本合同一经签订，甲乙双方不得擅自变更、中止或者终止。</w:t>
      </w:r>
    </w:p>
    <w:p w14:paraId="11D94CBB">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2. 乙方不得擅自转让（无进口资格的供应商委托进口货物除外）其应履行的合同义务。</w:t>
      </w:r>
    </w:p>
    <w:p w14:paraId="42AEAB49">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第十五条　</w:t>
      </w:r>
      <w:r>
        <w:rPr>
          <w:rFonts w:hint="eastAsia" w:ascii="宋体" w:hAnsi="宋体" w:cs="微软雅黑"/>
          <w:color w:val="auto"/>
          <w:spacing w:val="-2"/>
          <w:kern w:val="0"/>
          <w:szCs w:val="21"/>
          <w:highlight w:val="none"/>
        </w:rPr>
        <w:t>本</w:t>
      </w:r>
      <w:r>
        <w:rPr>
          <w:rFonts w:hint="eastAsia" w:ascii="宋体" w:hAnsi="宋体" w:cs="微软雅黑"/>
          <w:color w:val="auto"/>
          <w:kern w:val="0"/>
          <w:szCs w:val="21"/>
          <w:highlight w:val="none"/>
        </w:rPr>
        <w:t>合同书</w:t>
      </w:r>
      <w:r>
        <w:rPr>
          <w:rFonts w:hint="eastAsia" w:ascii="宋体" w:hAnsi="宋体" w:cs="微软雅黑"/>
          <w:color w:val="auto"/>
          <w:spacing w:val="-2"/>
          <w:kern w:val="0"/>
          <w:szCs w:val="21"/>
          <w:highlight w:val="none"/>
        </w:rPr>
        <w:t>与</w:t>
      </w:r>
      <w:r>
        <w:rPr>
          <w:rFonts w:hint="eastAsia" w:ascii="宋体" w:hAnsi="宋体" w:cs="微软雅黑"/>
          <w:color w:val="auto"/>
          <w:kern w:val="0"/>
          <w:szCs w:val="21"/>
          <w:highlight w:val="none"/>
        </w:rPr>
        <w:t>下</w:t>
      </w:r>
      <w:r>
        <w:rPr>
          <w:rFonts w:hint="eastAsia" w:ascii="宋体" w:hAnsi="宋体" w:cs="微软雅黑"/>
          <w:color w:val="auto"/>
          <w:spacing w:val="-2"/>
          <w:kern w:val="0"/>
          <w:szCs w:val="21"/>
          <w:highlight w:val="none"/>
        </w:rPr>
        <w:t>列</w:t>
      </w:r>
      <w:r>
        <w:rPr>
          <w:rFonts w:hint="eastAsia" w:ascii="宋体" w:hAnsi="宋体" w:cs="微软雅黑"/>
          <w:color w:val="auto"/>
          <w:kern w:val="0"/>
          <w:szCs w:val="21"/>
          <w:highlight w:val="none"/>
        </w:rPr>
        <w:t>文</w:t>
      </w:r>
      <w:r>
        <w:rPr>
          <w:rFonts w:hint="eastAsia" w:ascii="宋体" w:hAnsi="宋体" w:cs="微软雅黑"/>
          <w:color w:val="auto"/>
          <w:spacing w:val="-2"/>
          <w:kern w:val="0"/>
          <w:szCs w:val="21"/>
          <w:highlight w:val="none"/>
        </w:rPr>
        <w:t>件一</w:t>
      </w:r>
      <w:r>
        <w:rPr>
          <w:rFonts w:hint="eastAsia" w:ascii="宋体" w:hAnsi="宋体" w:cs="微软雅黑"/>
          <w:color w:val="auto"/>
          <w:kern w:val="0"/>
          <w:szCs w:val="21"/>
          <w:highlight w:val="none"/>
        </w:rPr>
        <w:t>起构</w:t>
      </w:r>
      <w:r>
        <w:rPr>
          <w:rFonts w:hint="eastAsia" w:ascii="宋体" w:hAnsi="宋体" w:cs="微软雅黑"/>
          <w:color w:val="auto"/>
          <w:spacing w:val="-2"/>
          <w:kern w:val="0"/>
          <w:szCs w:val="21"/>
          <w:highlight w:val="none"/>
        </w:rPr>
        <w:t>成</w:t>
      </w:r>
      <w:r>
        <w:rPr>
          <w:rFonts w:hint="eastAsia" w:ascii="宋体" w:hAnsi="宋体" w:cs="微软雅黑"/>
          <w:color w:val="auto"/>
          <w:kern w:val="0"/>
          <w:szCs w:val="21"/>
          <w:highlight w:val="none"/>
        </w:rPr>
        <w:t>合</w:t>
      </w:r>
      <w:r>
        <w:rPr>
          <w:rFonts w:hint="eastAsia" w:ascii="宋体" w:hAnsi="宋体" w:cs="微软雅黑"/>
          <w:color w:val="auto"/>
          <w:spacing w:val="-2"/>
          <w:kern w:val="0"/>
          <w:szCs w:val="21"/>
          <w:highlight w:val="none"/>
        </w:rPr>
        <w:t>同</w:t>
      </w:r>
      <w:r>
        <w:rPr>
          <w:rFonts w:hint="eastAsia" w:ascii="宋体" w:hAnsi="宋体" w:cs="微软雅黑"/>
          <w:color w:val="auto"/>
          <w:kern w:val="0"/>
          <w:szCs w:val="21"/>
          <w:highlight w:val="none"/>
        </w:rPr>
        <w:t>文</w:t>
      </w:r>
      <w:r>
        <w:rPr>
          <w:rFonts w:hint="eastAsia" w:ascii="宋体" w:hAnsi="宋体" w:cs="微软雅黑"/>
          <w:color w:val="auto"/>
          <w:spacing w:val="-2"/>
          <w:kern w:val="0"/>
          <w:szCs w:val="21"/>
          <w:highlight w:val="none"/>
        </w:rPr>
        <w:t>件</w:t>
      </w:r>
    </w:p>
    <w:p w14:paraId="32184932">
      <w:pPr>
        <w:snapToGrid w:val="0"/>
        <w:spacing w:line="360" w:lineRule="auto"/>
        <w:ind w:left="420" w:leftChars="200"/>
        <w:rPr>
          <w:rFonts w:ascii="宋体" w:hAnsi="宋体"/>
          <w:color w:val="auto"/>
          <w:kern w:val="0"/>
          <w:szCs w:val="21"/>
          <w:highlight w:val="none"/>
        </w:rPr>
      </w:pPr>
      <w:r>
        <w:rPr>
          <w:rFonts w:hint="eastAsia" w:ascii="宋体" w:hAnsi="宋体"/>
          <w:color w:val="auto"/>
          <w:kern w:val="0"/>
          <w:szCs w:val="21"/>
          <w:highlight w:val="none"/>
        </w:rPr>
        <w:t>1.成交通知书；</w:t>
      </w:r>
    </w:p>
    <w:p w14:paraId="47D49D78">
      <w:pPr>
        <w:snapToGrid w:val="0"/>
        <w:spacing w:line="360" w:lineRule="auto"/>
        <w:ind w:left="420" w:leftChars="200"/>
        <w:rPr>
          <w:rFonts w:ascii="宋体" w:hAnsi="宋体"/>
          <w:color w:val="auto"/>
          <w:kern w:val="0"/>
          <w:szCs w:val="21"/>
          <w:highlight w:val="none"/>
        </w:rPr>
      </w:pPr>
      <w:r>
        <w:rPr>
          <w:rFonts w:hint="eastAsia" w:ascii="宋体" w:hAnsi="宋体"/>
          <w:color w:val="auto"/>
          <w:kern w:val="0"/>
          <w:szCs w:val="21"/>
          <w:highlight w:val="none"/>
        </w:rPr>
        <w:t>2.竞标声明函；</w:t>
      </w:r>
    </w:p>
    <w:p w14:paraId="7DA1193F">
      <w:pPr>
        <w:snapToGrid w:val="0"/>
        <w:spacing w:line="360" w:lineRule="auto"/>
        <w:ind w:left="420" w:leftChars="200"/>
        <w:rPr>
          <w:rFonts w:ascii="宋体" w:hAnsi="宋体"/>
          <w:color w:val="auto"/>
          <w:kern w:val="0"/>
          <w:szCs w:val="21"/>
          <w:highlight w:val="none"/>
        </w:rPr>
      </w:pPr>
      <w:r>
        <w:rPr>
          <w:rFonts w:hint="eastAsia" w:ascii="宋体" w:hAnsi="宋体"/>
          <w:color w:val="auto"/>
          <w:kern w:val="0"/>
          <w:szCs w:val="21"/>
          <w:highlight w:val="none"/>
        </w:rPr>
        <w:t>3.商务要求偏离表；</w:t>
      </w:r>
    </w:p>
    <w:p w14:paraId="5F8341CF">
      <w:pPr>
        <w:snapToGrid w:val="0"/>
        <w:spacing w:line="360" w:lineRule="auto"/>
        <w:ind w:left="420" w:leftChars="200"/>
        <w:rPr>
          <w:rFonts w:ascii="宋体" w:hAnsi="宋体"/>
          <w:color w:val="auto"/>
          <w:kern w:val="0"/>
          <w:szCs w:val="21"/>
          <w:highlight w:val="none"/>
        </w:rPr>
      </w:pPr>
      <w:r>
        <w:rPr>
          <w:rFonts w:hint="eastAsia" w:ascii="宋体" w:hAnsi="宋体"/>
          <w:color w:val="auto"/>
          <w:kern w:val="0"/>
          <w:szCs w:val="21"/>
          <w:highlight w:val="none"/>
        </w:rPr>
        <w:t>4.技术要求偏离表；</w:t>
      </w:r>
    </w:p>
    <w:p w14:paraId="767ABE69">
      <w:pPr>
        <w:snapToGrid w:val="0"/>
        <w:spacing w:line="360" w:lineRule="auto"/>
        <w:ind w:left="420" w:leftChars="200"/>
        <w:rPr>
          <w:rFonts w:ascii="宋体" w:hAnsi="宋体"/>
          <w:color w:val="auto"/>
          <w:kern w:val="0"/>
          <w:szCs w:val="21"/>
          <w:highlight w:val="none"/>
        </w:rPr>
      </w:pPr>
      <w:r>
        <w:rPr>
          <w:rFonts w:hint="eastAsia" w:ascii="宋体" w:hAnsi="宋体"/>
          <w:color w:val="auto"/>
          <w:kern w:val="0"/>
          <w:szCs w:val="21"/>
          <w:highlight w:val="none"/>
        </w:rPr>
        <w:t>5.采购需求；</w:t>
      </w:r>
    </w:p>
    <w:p w14:paraId="1581FE35">
      <w:pPr>
        <w:snapToGrid w:val="0"/>
        <w:spacing w:line="360" w:lineRule="auto"/>
        <w:ind w:left="420" w:leftChars="200"/>
        <w:rPr>
          <w:rFonts w:ascii="宋体" w:hAnsi="宋体"/>
          <w:color w:val="auto"/>
          <w:kern w:val="0"/>
          <w:szCs w:val="21"/>
          <w:highlight w:val="none"/>
        </w:rPr>
      </w:pPr>
      <w:r>
        <w:rPr>
          <w:rFonts w:hint="eastAsia" w:ascii="宋体" w:hAnsi="宋体"/>
          <w:color w:val="auto"/>
          <w:kern w:val="0"/>
          <w:szCs w:val="21"/>
          <w:highlight w:val="none"/>
        </w:rPr>
        <w:t>6.其他合同文件。</w:t>
      </w:r>
    </w:p>
    <w:p w14:paraId="1EDE3691">
      <w:pPr>
        <w:snapToGrid w:val="0"/>
        <w:spacing w:line="360" w:lineRule="auto"/>
        <w:ind w:left="-61" w:firstLine="514"/>
        <w:rPr>
          <w:rFonts w:ascii="宋体" w:hAnsi="宋体"/>
          <w:b/>
          <w:color w:val="auto"/>
          <w:kern w:val="0"/>
          <w:szCs w:val="21"/>
          <w:highlight w:val="none"/>
        </w:rPr>
      </w:pPr>
      <w:r>
        <w:rPr>
          <w:rFonts w:hint="eastAsia" w:ascii="宋体" w:hAnsi="宋体"/>
          <w:color w:val="auto"/>
          <w:kern w:val="0"/>
          <w:szCs w:val="21"/>
          <w:highlight w:val="none"/>
        </w:rPr>
        <w:t>7.上述合同文件互相补充和解释。如果合同文件之间存在矛盾或者不一致之处，以上述文件 的排列顺序在先者为准。</w:t>
      </w:r>
    </w:p>
    <w:p w14:paraId="7516D518">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第十六条　</w:t>
      </w:r>
      <w:r>
        <w:rPr>
          <w:rFonts w:hint="eastAsia" w:ascii="宋体" w:hAnsi="宋体"/>
          <w:color w:val="auto"/>
          <w:szCs w:val="21"/>
          <w:highlight w:val="none"/>
        </w:rPr>
        <w:t>本合同一式四份，具有同等法律效力，财政部门（政府采购监管部门）、采购代理机构各一份，甲乙双方各一份（可根据需要另增加）。</w:t>
      </w:r>
    </w:p>
    <w:p w14:paraId="0A7DE8E9">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本合同甲乙双方签字盖章后生效，自签订之日起七个工作日内，甲方应当将合同副本报同级财政部门备案。</w:t>
      </w:r>
    </w:p>
    <w:p w14:paraId="6102782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本合同自签订之日起2个工作日内，甲方应当将采购合同在广西壮族自治区财政厅指定的媒体上公告。</w:t>
      </w:r>
    </w:p>
    <w:p w14:paraId="50650D31">
      <w:pPr>
        <w:snapToGrid w:val="0"/>
        <w:spacing w:line="360" w:lineRule="auto"/>
        <w:rPr>
          <w:rFonts w:ascii="宋体" w:hAnsi="宋体"/>
          <w:color w:val="auto"/>
          <w:szCs w:val="21"/>
          <w:highlight w:val="none"/>
        </w:rPr>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4C72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516" w:type="dxa"/>
            <w:noWrap/>
            <w:vAlign w:val="center"/>
          </w:tcPr>
          <w:p w14:paraId="7075E1F6">
            <w:pPr>
              <w:snapToGrid w:val="0"/>
              <w:spacing w:line="360" w:lineRule="auto"/>
              <w:rPr>
                <w:rFonts w:ascii="宋体" w:hAnsi="宋体"/>
                <w:color w:val="auto"/>
                <w:szCs w:val="21"/>
                <w:highlight w:val="none"/>
              </w:rPr>
            </w:pPr>
            <w:r>
              <w:rPr>
                <w:rFonts w:hint="eastAsia" w:ascii="宋体" w:hAnsi="宋体"/>
                <w:color w:val="auto"/>
                <w:szCs w:val="21"/>
                <w:highlight w:val="none"/>
              </w:rPr>
              <w:t xml:space="preserve">甲方（章）           </w:t>
            </w:r>
          </w:p>
          <w:p w14:paraId="46D3A3A5">
            <w:pPr>
              <w:snapToGrid w:val="0"/>
              <w:spacing w:line="360" w:lineRule="auto"/>
              <w:rPr>
                <w:rFonts w:ascii="宋体" w:hAnsi="宋体"/>
                <w:color w:val="auto"/>
                <w:szCs w:val="21"/>
                <w:highlight w:val="none"/>
              </w:rPr>
            </w:pPr>
          </w:p>
          <w:p w14:paraId="515C32B5">
            <w:pPr>
              <w:snapToGrid w:val="0"/>
              <w:spacing w:line="360" w:lineRule="auto"/>
              <w:ind w:firstLine="945" w:firstLineChars="450"/>
              <w:jc w:val="right"/>
              <w:rPr>
                <w:rFonts w:ascii="宋体" w:hAnsi="宋体"/>
                <w:color w:val="auto"/>
                <w:szCs w:val="21"/>
                <w:highlight w:val="none"/>
              </w:rPr>
            </w:pPr>
            <w:r>
              <w:rPr>
                <w:rFonts w:hint="eastAsia" w:ascii="宋体" w:hAnsi="宋体"/>
                <w:color w:val="auto"/>
                <w:szCs w:val="21"/>
                <w:highlight w:val="none"/>
              </w:rPr>
              <w:t>年   月   日</w:t>
            </w:r>
          </w:p>
        </w:tc>
        <w:tc>
          <w:tcPr>
            <w:tcW w:w="4517" w:type="dxa"/>
            <w:noWrap/>
            <w:vAlign w:val="center"/>
          </w:tcPr>
          <w:p w14:paraId="107B7A86">
            <w:pPr>
              <w:snapToGrid w:val="0"/>
              <w:spacing w:line="360" w:lineRule="auto"/>
              <w:rPr>
                <w:rFonts w:ascii="宋体" w:hAnsi="宋体"/>
                <w:color w:val="auto"/>
                <w:szCs w:val="21"/>
                <w:highlight w:val="none"/>
              </w:rPr>
            </w:pPr>
            <w:r>
              <w:rPr>
                <w:rFonts w:hint="eastAsia" w:ascii="宋体" w:hAnsi="宋体"/>
                <w:color w:val="auto"/>
                <w:szCs w:val="21"/>
                <w:highlight w:val="none"/>
              </w:rPr>
              <w:t xml:space="preserve">乙方（章）              </w:t>
            </w:r>
          </w:p>
          <w:p w14:paraId="79255407">
            <w:pPr>
              <w:snapToGrid w:val="0"/>
              <w:spacing w:line="360" w:lineRule="auto"/>
              <w:rPr>
                <w:rFonts w:ascii="宋体" w:hAnsi="宋体"/>
                <w:color w:val="auto"/>
                <w:szCs w:val="21"/>
                <w:highlight w:val="none"/>
              </w:rPr>
            </w:pPr>
          </w:p>
          <w:p w14:paraId="64C5B1FE">
            <w:pPr>
              <w:snapToGrid w:val="0"/>
              <w:spacing w:line="360" w:lineRule="auto"/>
              <w:jc w:val="right"/>
              <w:rPr>
                <w:rFonts w:ascii="宋体" w:hAnsi="宋体"/>
                <w:color w:val="auto"/>
                <w:szCs w:val="21"/>
                <w:highlight w:val="none"/>
              </w:rPr>
            </w:pPr>
            <w:r>
              <w:rPr>
                <w:rFonts w:hint="eastAsia" w:ascii="宋体" w:hAnsi="宋体"/>
                <w:color w:val="auto"/>
                <w:szCs w:val="21"/>
                <w:highlight w:val="none"/>
              </w:rPr>
              <w:t xml:space="preserve"> 年   月   日</w:t>
            </w:r>
          </w:p>
        </w:tc>
      </w:tr>
      <w:tr w14:paraId="4A9C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516" w:type="dxa"/>
            <w:noWrap/>
            <w:vAlign w:val="center"/>
          </w:tcPr>
          <w:p w14:paraId="2268F2BF">
            <w:pPr>
              <w:snapToGrid w:val="0"/>
              <w:spacing w:line="360" w:lineRule="auto"/>
              <w:rPr>
                <w:rFonts w:ascii="宋体" w:hAnsi="宋体"/>
                <w:color w:val="auto"/>
                <w:szCs w:val="21"/>
                <w:highlight w:val="none"/>
              </w:rPr>
            </w:pPr>
            <w:r>
              <w:rPr>
                <w:rFonts w:hint="eastAsia" w:ascii="宋体" w:hAnsi="宋体"/>
                <w:color w:val="auto"/>
                <w:szCs w:val="21"/>
                <w:highlight w:val="none"/>
              </w:rPr>
              <w:t>单位地址：</w:t>
            </w:r>
          </w:p>
        </w:tc>
        <w:tc>
          <w:tcPr>
            <w:tcW w:w="4517" w:type="dxa"/>
            <w:noWrap/>
            <w:vAlign w:val="center"/>
          </w:tcPr>
          <w:p w14:paraId="089E8D17">
            <w:pPr>
              <w:snapToGrid w:val="0"/>
              <w:spacing w:line="360" w:lineRule="auto"/>
              <w:rPr>
                <w:rFonts w:ascii="宋体" w:hAnsi="宋体"/>
                <w:color w:val="auto"/>
                <w:szCs w:val="21"/>
                <w:highlight w:val="none"/>
              </w:rPr>
            </w:pPr>
            <w:r>
              <w:rPr>
                <w:rFonts w:hint="eastAsia" w:ascii="宋体" w:hAnsi="宋体"/>
                <w:color w:val="auto"/>
                <w:szCs w:val="21"/>
                <w:highlight w:val="none"/>
              </w:rPr>
              <w:t>单位地址：</w:t>
            </w:r>
          </w:p>
        </w:tc>
      </w:tr>
      <w:tr w14:paraId="2B87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4516" w:type="dxa"/>
            <w:noWrap/>
          </w:tcPr>
          <w:p w14:paraId="6696C6FA">
            <w:pPr>
              <w:snapToGrid w:val="0"/>
              <w:spacing w:line="360" w:lineRule="auto"/>
              <w:rPr>
                <w:rFonts w:ascii="宋体" w:hAnsi="宋体"/>
                <w:color w:val="auto"/>
                <w:szCs w:val="21"/>
                <w:highlight w:val="none"/>
              </w:rPr>
            </w:pPr>
            <w:r>
              <w:rPr>
                <w:rFonts w:hint="eastAsia" w:ascii="宋体" w:hAnsi="宋体"/>
                <w:color w:val="auto"/>
                <w:szCs w:val="21"/>
                <w:highlight w:val="none"/>
              </w:rPr>
              <w:t>法定代表人或者委托代理人：</w:t>
            </w:r>
          </w:p>
        </w:tc>
        <w:tc>
          <w:tcPr>
            <w:tcW w:w="4517" w:type="dxa"/>
            <w:noWrap/>
          </w:tcPr>
          <w:p w14:paraId="1947955A">
            <w:pPr>
              <w:snapToGrid w:val="0"/>
              <w:spacing w:line="360" w:lineRule="auto"/>
              <w:rPr>
                <w:rFonts w:ascii="宋体" w:hAnsi="宋体"/>
                <w:color w:val="auto"/>
                <w:szCs w:val="21"/>
                <w:highlight w:val="none"/>
              </w:rPr>
            </w:pPr>
            <w:r>
              <w:rPr>
                <w:rFonts w:hint="eastAsia" w:ascii="宋体" w:hAnsi="宋体"/>
                <w:color w:val="auto"/>
                <w:szCs w:val="21"/>
                <w:highlight w:val="none"/>
              </w:rPr>
              <w:t>法定代表人或者委托代理人：</w:t>
            </w:r>
          </w:p>
        </w:tc>
      </w:tr>
      <w:tr w14:paraId="6A5A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noWrap/>
            <w:vAlign w:val="center"/>
          </w:tcPr>
          <w:p w14:paraId="1B318C9C">
            <w:pPr>
              <w:snapToGrid w:val="0"/>
              <w:spacing w:line="360" w:lineRule="auto"/>
              <w:rPr>
                <w:rFonts w:ascii="宋体" w:hAnsi="宋体"/>
                <w:color w:val="auto"/>
                <w:szCs w:val="21"/>
                <w:highlight w:val="none"/>
              </w:rPr>
            </w:pPr>
            <w:r>
              <w:rPr>
                <w:rFonts w:hint="eastAsia" w:ascii="宋体" w:hAnsi="宋体"/>
                <w:color w:val="auto"/>
                <w:szCs w:val="21"/>
                <w:highlight w:val="none"/>
              </w:rPr>
              <w:t>电话：</w:t>
            </w:r>
          </w:p>
        </w:tc>
        <w:tc>
          <w:tcPr>
            <w:tcW w:w="4517" w:type="dxa"/>
            <w:noWrap/>
            <w:vAlign w:val="center"/>
          </w:tcPr>
          <w:p w14:paraId="186E031A">
            <w:pPr>
              <w:snapToGrid w:val="0"/>
              <w:spacing w:line="360" w:lineRule="auto"/>
              <w:rPr>
                <w:rFonts w:ascii="宋体" w:hAnsi="宋体"/>
                <w:color w:val="auto"/>
                <w:szCs w:val="21"/>
                <w:highlight w:val="none"/>
              </w:rPr>
            </w:pPr>
            <w:r>
              <w:rPr>
                <w:rFonts w:hint="eastAsia" w:ascii="宋体" w:hAnsi="宋体"/>
                <w:color w:val="auto"/>
                <w:szCs w:val="21"/>
                <w:highlight w:val="none"/>
              </w:rPr>
              <w:t>电话：</w:t>
            </w:r>
          </w:p>
        </w:tc>
      </w:tr>
      <w:tr w14:paraId="10546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noWrap/>
            <w:vAlign w:val="center"/>
          </w:tcPr>
          <w:p w14:paraId="00BDD2FA">
            <w:pPr>
              <w:snapToGrid w:val="0"/>
              <w:spacing w:line="360" w:lineRule="auto"/>
              <w:rPr>
                <w:rFonts w:ascii="宋体" w:hAnsi="宋体"/>
                <w:color w:val="auto"/>
                <w:szCs w:val="21"/>
                <w:highlight w:val="none"/>
              </w:rPr>
            </w:pPr>
            <w:r>
              <w:rPr>
                <w:rFonts w:hint="eastAsia" w:ascii="宋体" w:hAnsi="宋体"/>
                <w:color w:val="auto"/>
                <w:szCs w:val="21"/>
                <w:highlight w:val="none"/>
              </w:rPr>
              <w:t>电子邮箱：</w:t>
            </w:r>
          </w:p>
        </w:tc>
        <w:tc>
          <w:tcPr>
            <w:tcW w:w="4517" w:type="dxa"/>
            <w:noWrap/>
            <w:vAlign w:val="center"/>
          </w:tcPr>
          <w:p w14:paraId="38546C06">
            <w:pPr>
              <w:snapToGrid w:val="0"/>
              <w:spacing w:line="360" w:lineRule="auto"/>
              <w:rPr>
                <w:rFonts w:ascii="宋体" w:hAnsi="宋体"/>
                <w:color w:val="auto"/>
                <w:szCs w:val="21"/>
                <w:highlight w:val="none"/>
              </w:rPr>
            </w:pPr>
            <w:r>
              <w:rPr>
                <w:rFonts w:hint="eastAsia" w:ascii="宋体" w:hAnsi="宋体"/>
                <w:color w:val="auto"/>
                <w:szCs w:val="21"/>
                <w:highlight w:val="none"/>
              </w:rPr>
              <w:t>电子邮箱：</w:t>
            </w:r>
          </w:p>
        </w:tc>
      </w:tr>
      <w:tr w14:paraId="34BF0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noWrap/>
            <w:vAlign w:val="center"/>
          </w:tcPr>
          <w:p w14:paraId="4629C5B3">
            <w:pPr>
              <w:snapToGrid w:val="0"/>
              <w:spacing w:line="360" w:lineRule="auto"/>
              <w:rPr>
                <w:rFonts w:ascii="宋体" w:hAnsi="宋体"/>
                <w:color w:val="auto"/>
                <w:szCs w:val="21"/>
                <w:highlight w:val="none"/>
              </w:rPr>
            </w:pPr>
            <w:r>
              <w:rPr>
                <w:rFonts w:hint="eastAsia" w:ascii="宋体" w:hAnsi="宋体"/>
                <w:color w:val="auto"/>
                <w:szCs w:val="21"/>
                <w:highlight w:val="none"/>
              </w:rPr>
              <w:t>开户银行：中国银行防城港市防东路支行</w:t>
            </w:r>
          </w:p>
        </w:tc>
        <w:tc>
          <w:tcPr>
            <w:tcW w:w="4517" w:type="dxa"/>
            <w:noWrap/>
            <w:vAlign w:val="center"/>
          </w:tcPr>
          <w:p w14:paraId="6BD1EDD9">
            <w:pPr>
              <w:snapToGrid w:val="0"/>
              <w:spacing w:line="360" w:lineRule="auto"/>
              <w:rPr>
                <w:rFonts w:ascii="宋体" w:hAnsi="宋体"/>
                <w:color w:val="auto"/>
                <w:szCs w:val="21"/>
                <w:highlight w:val="none"/>
              </w:rPr>
            </w:pPr>
            <w:r>
              <w:rPr>
                <w:rFonts w:hint="eastAsia" w:ascii="宋体" w:hAnsi="宋体"/>
                <w:color w:val="auto"/>
                <w:szCs w:val="21"/>
                <w:highlight w:val="none"/>
              </w:rPr>
              <w:t>开户银行：</w:t>
            </w:r>
          </w:p>
        </w:tc>
      </w:tr>
      <w:tr w14:paraId="63FA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noWrap/>
            <w:vAlign w:val="center"/>
          </w:tcPr>
          <w:p w14:paraId="12F78BEE">
            <w:pPr>
              <w:snapToGrid w:val="0"/>
              <w:spacing w:line="360" w:lineRule="auto"/>
              <w:rPr>
                <w:rFonts w:ascii="宋体" w:hAnsi="宋体"/>
                <w:color w:val="auto"/>
                <w:szCs w:val="21"/>
                <w:highlight w:val="none"/>
              </w:rPr>
            </w:pPr>
            <w:r>
              <w:rPr>
                <w:rFonts w:hint="eastAsia" w:ascii="宋体" w:hAnsi="宋体"/>
                <w:color w:val="auto"/>
                <w:szCs w:val="21"/>
                <w:highlight w:val="none"/>
              </w:rPr>
              <w:t>账号：617  157  494  854</w:t>
            </w:r>
          </w:p>
        </w:tc>
        <w:tc>
          <w:tcPr>
            <w:tcW w:w="4517" w:type="dxa"/>
            <w:noWrap/>
            <w:vAlign w:val="center"/>
          </w:tcPr>
          <w:p w14:paraId="78AFD3E5">
            <w:pPr>
              <w:snapToGrid w:val="0"/>
              <w:spacing w:line="360" w:lineRule="auto"/>
              <w:rPr>
                <w:rFonts w:ascii="宋体" w:hAnsi="宋体"/>
                <w:color w:val="auto"/>
                <w:szCs w:val="21"/>
                <w:highlight w:val="none"/>
              </w:rPr>
            </w:pPr>
            <w:r>
              <w:rPr>
                <w:rFonts w:hint="eastAsia" w:ascii="宋体" w:hAnsi="宋体"/>
                <w:color w:val="auto"/>
                <w:szCs w:val="21"/>
                <w:highlight w:val="none"/>
              </w:rPr>
              <w:t>账号：</w:t>
            </w:r>
          </w:p>
        </w:tc>
      </w:tr>
      <w:tr w14:paraId="7817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noWrap/>
            <w:vAlign w:val="center"/>
          </w:tcPr>
          <w:p w14:paraId="7488EC50">
            <w:pPr>
              <w:snapToGrid w:val="0"/>
              <w:spacing w:line="360" w:lineRule="auto"/>
              <w:rPr>
                <w:rFonts w:ascii="宋体" w:hAnsi="宋体"/>
                <w:color w:val="auto"/>
                <w:szCs w:val="21"/>
                <w:highlight w:val="none"/>
              </w:rPr>
            </w:pPr>
            <w:r>
              <w:rPr>
                <w:rFonts w:hint="eastAsia" w:ascii="宋体" w:hAnsi="宋体"/>
                <w:color w:val="auto"/>
                <w:szCs w:val="21"/>
                <w:highlight w:val="none"/>
              </w:rPr>
              <w:t>邮政编码：538021</w:t>
            </w:r>
          </w:p>
        </w:tc>
        <w:tc>
          <w:tcPr>
            <w:tcW w:w="4517" w:type="dxa"/>
            <w:noWrap/>
            <w:vAlign w:val="center"/>
          </w:tcPr>
          <w:p w14:paraId="4732C41A">
            <w:pPr>
              <w:snapToGrid w:val="0"/>
              <w:spacing w:line="360" w:lineRule="auto"/>
              <w:rPr>
                <w:rFonts w:ascii="宋体" w:hAnsi="宋体"/>
                <w:color w:val="auto"/>
                <w:szCs w:val="21"/>
                <w:highlight w:val="none"/>
              </w:rPr>
            </w:pPr>
            <w:r>
              <w:rPr>
                <w:rFonts w:hint="eastAsia" w:ascii="宋体" w:hAnsi="宋体"/>
                <w:color w:val="auto"/>
                <w:szCs w:val="21"/>
                <w:highlight w:val="none"/>
              </w:rPr>
              <w:t>邮政编码：</w:t>
            </w:r>
          </w:p>
        </w:tc>
      </w:tr>
    </w:tbl>
    <w:p w14:paraId="14535062">
      <w:pPr>
        <w:spacing w:line="360" w:lineRule="auto"/>
        <w:rPr>
          <w:rFonts w:ascii="宋体" w:hAnsi="宋体"/>
          <w:color w:val="auto"/>
          <w:sz w:val="24"/>
          <w:highlight w:val="none"/>
        </w:rPr>
      </w:pPr>
    </w:p>
    <w:p w14:paraId="195C45B8">
      <w:pPr>
        <w:rPr>
          <w:rFonts w:ascii="宋体" w:hAnsi="宋体" w:cs="宋体"/>
          <w:b/>
          <w:bCs/>
          <w:color w:val="auto"/>
          <w:spacing w:val="-20"/>
          <w:kern w:val="44"/>
          <w:sz w:val="48"/>
          <w:szCs w:val="48"/>
          <w:highlight w:val="none"/>
        </w:rPr>
      </w:pPr>
      <w:r>
        <w:rPr>
          <w:rFonts w:ascii="宋体" w:hAnsi="宋体" w:cs="宋体"/>
          <w:b/>
          <w:bCs/>
          <w:color w:val="auto"/>
          <w:spacing w:val="-20"/>
          <w:kern w:val="44"/>
          <w:sz w:val="48"/>
          <w:szCs w:val="48"/>
          <w:highlight w:val="none"/>
        </w:rPr>
        <w:br w:type="page"/>
      </w:r>
    </w:p>
    <w:p w14:paraId="10191C39">
      <w:pPr>
        <w:pStyle w:val="19"/>
        <w:ind w:left="1764" w:hanging="924"/>
        <w:jc w:val="center"/>
        <w:rPr>
          <w:rFonts w:ascii="宋体" w:hAnsi="宋体" w:cs="宋体"/>
          <w:b/>
          <w:bCs/>
          <w:color w:val="auto"/>
          <w:spacing w:val="-20"/>
          <w:kern w:val="44"/>
          <w:sz w:val="48"/>
          <w:szCs w:val="48"/>
          <w:highlight w:val="none"/>
        </w:rPr>
      </w:pPr>
    </w:p>
    <w:p w14:paraId="77A30A12">
      <w:pPr>
        <w:pStyle w:val="19"/>
        <w:rPr>
          <w:color w:val="auto"/>
          <w:sz w:val="32"/>
          <w:szCs w:val="32"/>
          <w:highlight w:val="none"/>
        </w:rPr>
      </w:pPr>
    </w:p>
    <w:bookmarkEnd w:id="0"/>
    <w:bookmarkEnd w:id="1"/>
    <w:p w14:paraId="5344494A">
      <w:pPr>
        <w:widowControl/>
        <w:jc w:val="center"/>
        <w:outlineLvl w:val="0"/>
        <w:rPr>
          <w:color w:val="auto"/>
          <w:sz w:val="32"/>
          <w:szCs w:val="32"/>
          <w:highlight w:val="none"/>
        </w:rPr>
      </w:pPr>
      <w:bookmarkStart w:id="87" w:name="_Toc489863689"/>
      <w:r>
        <w:rPr>
          <w:color w:val="auto"/>
          <w:sz w:val="32"/>
          <w:szCs w:val="32"/>
          <w:highlight w:val="none"/>
        </w:rPr>
        <w:t>第六章  响应文件格式</w:t>
      </w:r>
      <w:bookmarkEnd w:id="87"/>
    </w:p>
    <w:p w14:paraId="58C0A6D8">
      <w:pPr>
        <w:rPr>
          <w:color w:val="auto"/>
          <w:sz w:val="28"/>
          <w:szCs w:val="28"/>
          <w:highlight w:val="none"/>
        </w:rPr>
      </w:pPr>
      <w:bookmarkStart w:id="88" w:name="_Toc254970556"/>
      <w:bookmarkStart w:id="89" w:name="_Toc254970697"/>
    </w:p>
    <w:p w14:paraId="5271E5E4">
      <w:pPr>
        <w:rPr>
          <w:color w:val="auto"/>
          <w:sz w:val="28"/>
          <w:szCs w:val="28"/>
          <w:highlight w:val="none"/>
        </w:rPr>
      </w:pPr>
    </w:p>
    <w:p w14:paraId="7293D6CF">
      <w:pPr>
        <w:spacing w:line="500" w:lineRule="exact"/>
        <w:ind w:firstLine="560" w:firstLineChars="200"/>
        <w:rPr>
          <w:color w:val="auto"/>
          <w:sz w:val="28"/>
          <w:szCs w:val="28"/>
          <w:highlight w:val="none"/>
        </w:rPr>
      </w:pPr>
      <w:bookmarkStart w:id="90" w:name="_Hlk89181132"/>
      <w:r>
        <w:rPr>
          <w:rFonts w:hint="eastAsia"/>
          <w:color w:val="auto"/>
          <w:sz w:val="28"/>
          <w:szCs w:val="28"/>
          <w:highlight w:val="none"/>
        </w:rPr>
        <w:t>注：有签字、盖章要求的应按要求签字（签章）、盖章（签章）</w:t>
      </w:r>
      <w:bookmarkEnd w:id="88"/>
      <w:bookmarkEnd w:id="89"/>
      <w:bookmarkEnd w:id="90"/>
    </w:p>
    <w:p w14:paraId="6B307627">
      <w:pPr>
        <w:snapToGrid w:val="0"/>
        <w:spacing w:beforeLines="50" w:after="50" w:line="440" w:lineRule="exact"/>
        <w:jc w:val="left"/>
        <w:outlineLvl w:val="1"/>
        <w:rPr>
          <w:b/>
          <w:color w:val="auto"/>
          <w:sz w:val="24"/>
          <w:highlight w:val="none"/>
        </w:rPr>
      </w:pPr>
      <w:r>
        <w:rPr>
          <w:color w:val="auto"/>
          <w:sz w:val="24"/>
          <w:highlight w:val="none"/>
        </w:rPr>
        <w:br w:type="page"/>
      </w:r>
      <w:r>
        <w:rPr>
          <w:rFonts w:hint="eastAsia"/>
          <w:color w:val="auto"/>
          <w:sz w:val="24"/>
          <w:highlight w:val="none"/>
        </w:rPr>
        <w:t>1.</w:t>
      </w:r>
      <w:r>
        <w:rPr>
          <w:color w:val="auto"/>
          <w:sz w:val="24"/>
          <w:highlight w:val="none"/>
        </w:rPr>
        <w:t>响应文件封面</w:t>
      </w:r>
      <w:r>
        <w:rPr>
          <w:rFonts w:hint="eastAsia"/>
          <w:color w:val="auto"/>
          <w:sz w:val="24"/>
          <w:highlight w:val="none"/>
        </w:rPr>
        <w:t>参考</w:t>
      </w:r>
      <w:r>
        <w:rPr>
          <w:color w:val="auto"/>
          <w:sz w:val="24"/>
          <w:highlight w:val="none"/>
        </w:rPr>
        <w:t>格式</w:t>
      </w:r>
      <w:bookmarkStart w:id="91" w:name="_Hlk92966991"/>
      <w:r>
        <w:rPr>
          <w:rFonts w:hint="eastAsia"/>
          <w:color w:val="auto"/>
          <w:sz w:val="24"/>
          <w:highlight w:val="none"/>
        </w:rPr>
        <w:t>（资格证明文件）</w:t>
      </w:r>
      <w:bookmarkEnd w:id="91"/>
      <w:r>
        <w:rPr>
          <w:color w:val="auto"/>
          <w:sz w:val="24"/>
          <w:highlight w:val="none"/>
        </w:rPr>
        <w:t>：</w:t>
      </w:r>
    </w:p>
    <w:p w14:paraId="299343B5">
      <w:pPr>
        <w:snapToGrid w:val="0"/>
        <w:spacing w:beforeLines="50" w:after="50" w:line="360" w:lineRule="exact"/>
        <w:rPr>
          <w:color w:val="auto"/>
          <w:sz w:val="24"/>
          <w:highlight w:val="none"/>
        </w:rPr>
      </w:pPr>
    </w:p>
    <w:p w14:paraId="017B51D6">
      <w:pPr>
        <w:snapToGrid w:val="0"/>
        <w:spacing w:beforeLines="50" w:after="50" w:line="360" w:lineRule="exact"/>
        <w:jc w:val="right"/>
        <w:rPr>
          <w:bCs/>
          <w:color w:val="auto"/>
          <w:sz w:val="24"/>
          <w:highlight w:val="none"/>
        </w:rPr>
      </w:pPr>
    </w:p>
    <w:p w14:paraId="799497C8">
      <w:pPr>
        <w:snapToGrid w:val="0"/>
        <w:spacing w:beforeLines="50" w:after="50" w:line="360" w:lineRule="exact"/>
        <w:jc w:val="center"/>
        <w:rPr>
          <w:bCs/>
          <w:color w:val="auto"/>
          <w:sz w:val="24"/>
          <w:highlight w:val="none"/>
        </w:rPr>
      </w:pPr>
      <w:r>
        <w:rPr>
          <w:rFonts w:hint="eastAsia" w:ascii="宋体" w:hAnsi="宋体"/>
          <w:b/>
          <w:color w:val="auto"/>
          <w:sz w:val="44"/>
          <w:highlight w:val="none"/>
        </w:rPr>
        <w:t>电子响应文件</w:t>
      </w:r>
    </w:p>
    <w:p w14:paraId="665BCBC8">
      <w:pPr>
        <w:snapToGrid w:val="0"/>
        <w:spacing w:beforeLines="50" w:after="50" w:line="360" w:lineRule="exact"/>
        <w:jc w:val="center"/>
        <w:rPr>
          <w:b/>
          <w:bCs/>
          <w:color w:val="auto"/>
          <w:sz w:val="44"/>
          <w:szCs w:val="44"/>
          <w:highlight w:val="none"/>
        </w:rPr>
      </w:pPr>
    </w:p>
    <w:p w14:paraId="163A7F11">
      <w:pPr>
        <w:snapToGrid w:val="0"/>
        <w:spacing w:beforeLines="50" w:after="50" w:line="360" w:lineRule="exact"/>
        <w:jc w:val="center"/>
        <w:rPr>
          <w:b/>
          <w:bCs/>
          <w:color w:val="auto"/>
          <w:sz w:val="44"/>
          <w:szCs w:val="44"/>
          <w:highlight w:val="none"/>
        </w:rPr>
      </w:pPr>
    </w:p>
    <w:p w14:paraId="06341DDA">
      <w:pPr>
        <w:snapToGrid w:val="0"/>
        <w:spacing w:beforeLines="50" w:after="50" w:line="360" w:lineRule="exact"/>
        <w:jc w:val="center"/>
        <w:rPr>
          <w:b/>
          <w:bCs/>
          <w:color w:val="auto"/>
          <w:sz w:val="44"/>
          <w:szCs w:val="44"/>
          <w:highlight w:val="none"/>
        </w:rPr>
      </w:pPr>
      <w:bookmarkStart w:id="92" w:name="_Hlk92967018"/>
      <w:r>
        <w:rPr>
          <w:b/>
          <w:bCs/>
          <w:color w:val="auto"/>
          <w:sz w:val="44"/>
          <w:szCs w:val="44"/>
          <w:highlight w:val="none"/>
        </w:rPr>
        <w:t>资格</w:t>
      </w:r>
      <w:r>
        <w:rPr>
          <w:rFonts w:hint="eastAsia"/>
          <w:b/>
          <w:bCs/>
          <w:color w:val="auto"/>
          <w:sz w:val="44"/>
          <w:szCs w:val="44"/>
          <w:highlight w:val="none"/>
        </w:rPr>
        <w:t>证明文件</w:t>
      </w:r>
    </w:p>
    <w:bookmarkEnd w:id="92"/>
    <w:p w14:paraId="01DAE5E1">
      <w:pPr>
        <w:snapToGrid w:val="0"/>
        <w:spacing w:beforeLines="50" w:after="50" w:line="360" w:lineRule="exact"/>
        <w:jc w:val="center"/>
        <w:rPr>
          <w:b/>
          <w:bCs/>
          <w:color w:val="auto"/>
          <w:sz w:val="44"/>
          <w:szCs w:val="44"/>
          <w:highlight w:val="none"/>
        </w:rPr>
      </w:pPr>
    </w:p>
    <w:p w14:paraId="10EF1601">
      <w:pPr>
        <w:snapToGrid w:val="0"/>
        <w:spacing w:beforeLines="50" w:after="50" w:line="360" w:lineRule="exact"/>
        <w:rPr>
          <w:bCs/>
          <w:color w:val="auto"/>
          <w:sz w:val="24"/>
          <w:highlight w:val="none"/>
        </w:rPr>
      </w:pPr>
    </w:p>
    <w:p w14:paraId="79CCF426">
      <w:pPr>
        <w:snapToGrid w:val="0"/>
        <w:spacing w:beforeLines="50" w:after="50" w:line="360" w:lineRule="exact"/>
        <w:ind w:firstLine="720" w:firstLineChars="300"/>
        <w:rPr>
          <w:bCs/>
          <w:color w:val="auto"/>
          <w:sz w:val="24"/>
          <w:highlight w:val="none"/>
        </w:rPr>
      </w:pPr>
      <w:r>
        <w:rPr>
          <w:bCs/>
          <w:color w:val="auto"/>
          <w:sz w:val="24"/>
          <w:highlight w:val="none"/>
        </w:rPr>
        <w:t xml:space="preserve">项目名称： </w:t>
      </w:r>
    </w:p>
    <w:p w14:paraId="71AF8AD1">
      <w:pPr>
        <w:snapToGrid w:val="0"/>
        <w:spacing w:beforeLines="50" w:after="50" w:line="360" w:lineRule="exact"/>
        <w:ind w:firstLine="720" w:firstLineChars="300"/>
        <w:rPr>
          <w:bCs/>
          <w:color w:val="auto"/>
          <w:sz w:val="24"/>
          <w:highlight w:val="none"/>
        </w:rPr>
      </w:pPr>
      <w:r>
        <w:rPr>
          <w:bCs/>
          <w:color w:val="auto"/>
          <w:sz w:val="24"/>
          <w:highlight w:val="none"/>
        </w:rPr>
        <w:t>项目编号：</w:t>
      </w:r>
    </w:p>
    <w:p w14:paraId="20E321E5">
      <w:pPr>
        <w:snapToGrid w:val="0"/>
        <w:spacing w:beforeLines="50" w:after="50" w:line="440" w:lineRule="exact"/>
        <w:ind w:firstLine="720" w:firstLineChars="300"/>
        <w:rPr>
          <w:bCs/>
          <w:color w:val="auto"/>
          <w:sz w:val="24"/>
          <w:highlight w:val="none"/>
        </w:rPr>
      </w:pPr>
      <w:r>
        <w:rPr>
          <w:bCs/>
          <w:color w:val="auto"/>
          <w:sz w:val="24"/>
          <w:highlight w:val="none"/>
        </w:rPr>
        <w:t>分标号：（若无</w:t>
      </w:r>
      <w:r>
        <w:rPr>
          <w:rFonts w:hint="eastAsia"/>
          <w:bCs/>
          <w:color w:val="auto"/>
          <w:sz w:val="24"/>
          <w:highlight w:val="none"/>
        </w:rPr>
        <w:t>留空或写</w:t>
      </w:r>
      <w:r>
        <w:rPr>
          <w:bCs/>
          <w:color w:val="auto"/>
          <w:sz w:val="24"/>
          <w:highlight w:val="none"/>
        </w:rPr>
        <w:t>“/”）</w:t>
      </w:r>
    </w:p>
    <w:p w14:paraId="48138C24">
      <w:pPr>
        <w:snapToGrid w:val="0"/>
        <w:spacing w:beforeLines="50" w:after="50" w:line="360" w:lineRule="exact"/>
        <w:ind w:firstLine="720" w:firstLineChars="300"/>
        <w:rPr>
          <w:bCs/>
          <w:color w:val="auto"/>
          <w:sz w:val="24"/>
          <w:highlight w:val="none"/>
        </w:rPr>
      </w:pPr>
      <w:r>
        <w:rPr>
          <w:bCs/>
          <w:color w:val="auto"/>
          <w:sz w:val="24"/>
          <w:highlight w:val="none"/>
        </w:rPr>
        <w:t>供应商名称：</w:t>
      </w:r>
    </w:p>
    <w:p w14:paraId="2825E4FB">
      <w:pPr>
        <w:snapToGrid w:val="0"/>
        <w:spacing w:beforeLines="50" w:after="50" w:line="360" w:lineRule="exact"/>
        <w:ind w:firstLine="720" w:firstLineChars="300"/>
        <w:rPr>
          <w:bCs/>
          <w:color w:val="auto"/>
          <w:sz w:val="24"/>
          <w:highlight w:val="none"/>
        </w:rPr>
      </w:pPr>
      <w:r>
        <w:rPr>
          <w:bCs/>
          <w:color w:val="auto"/>
          <w:sz w:val="24"/>
          <w:highlight w:val="none"/>
        </w:rPr>
        <w:t>供应商地址：</w:t>
      </w:r>
    </w:p>
    <w:p w14:paraId="19FD4B43">
      <w:pPr>
        <w:pStyle w:val="7"/>
        <w:snapToGrid w:val="0"/>
        <w:spacing w:before="50" w:after="50" w:line="360" w:lineRule="exact"/>
        <w:ind w:firstLine="960" w:firstLineChars="400"/>
        <w:rPr>
          <w:bCs/>
          <w:color w:val="auto"/>
          <w:sz w:val="24"/>
          <w:szCs w:val="24"/>
          <w:highlight w:val="none"/>
        </w:rPr>
      </w:pPr>
    </w:p>
    <w:p w14:paraId="2FE1DCFC">
      <w:pPr>
        <w:snapToGrid w:val="0"/>
        <w:spacing w:beforeLines="50" w:after="50" w:line="360" w:lineRule="exact"/>
        <w:jc w:val="center"/>
        <w:rPr>
          <w:color w:val="auto"/>
          <w:sz w:val="24"/>
          <w:highlight w:val="none"/>
        </w:rPr>
      </w:pPr>
      <w:r>
        <w:rPr>
          <w:color w:val="auto"/>
          <w:sz w:val="24"/>
          <w:highlight w:val="none"/>
        </w:rPr>
        <w:t xml:space="preserve">                        年  月  日</w:t>
      </w:r>
    </w:p>
    <w:p w14:paraId="6FCAAC84">
      <w:pPr>
        <w:snapToGrid w:val="0"/>
        <w:spacing w:before="50" w:after="50" w:line="440" w:lineRule="exact"/>
        <w:rPr>
          <w:b/>
          <w:color w:val="auto"/>
          <w:sz w:val="24"/>
          <w:highlight w:val="none"/>
        </w:rPr>
      </w:pPr>
    </w:p>
    <w:p w14:paraId="1671E4EE">
      <w:pPr>
        <w:rPr>
          <w:color w:val="auto"/>
          <w:highlight w:val="none"/>
        </w:rPr>
      </w:pPr>
    </w:p>
    <w:p w14:paraId="33B8E084">
      <w:pPr>
        <w:snapToGrid w:val="0"/>
        <w:spacing w:beforeLines="50" w:after="50" w:line="440" w:lineRule="exact"/>
        <w:jc w:val="center"/>
        <w:rPr>
          <w:b/>
          <w:bCs/>
          <w:color w:val="auto"/>
          <w:sz w:val="24"/>
          <w:highlight w:val="none"/>
        </w:rPr>
      </w:pPr>
      <w:bookmarkStart w:id="93" w:name="_Toc254970557"/>
      <w:bookmarkStart w:id="94" w:name="_Toc254970698"/>
      <w:r>
        <w:rPr>
          <w:color w:val="auto"/>
          <w:sz w:val="24"/>
          <w:highlight w:val="none"/>
        </w:rPr>
        <w:br w:type="page"/>
      </w:r>
      <w:bookmarkEnd w:id="93"/>
      <w:bookmarkEnd w:id="94"/>
    </w:p>
    <w:p w14:paraId="666377A7">
      <w:pPr>
        <w:snapToGrid w:val="0"/>
        <w:spacing w:beforeLines="50" w:after="50" w:line="440" w:lineRule="exact"/>
        <w:jc w:val="center"/>
        <w:rPr>
          <w:color w:val="auto"/>
          <w:sz w:val="24"/>
          <w:highlight w:val="none"/>
        </w:rPr>
      </w:pPr>
    </w:p>
    <w:p w14:paraId="09952FDC">
      <w:pPr>
        <w:snapToGrid w:val="0"/>
        <w:spacing w:before="50" w:after="50" w:line="440" w:lineRule="exact"/>
        <w:ind w:firstLine="138" w:firstLineChars="49"/>
        <w:jc w:val="center"/>
        <w:rPr>
          <w:b/>
          <w:color w:val="auto"/>
          <w:sz w:val="28"/>
          <w:szCs w:val="28"/>
          <w:highlight w:val="none"/>
        </w:rPr>
      </w:pPr>
      <w:r>
        <w:rPr>
          <w:b/>
          <w:color w:val="auto"/>
          <w:sz w:val="28"/>
          <w:szCs w:val="28"/>
          <w:highlight w:val="none"/>
        </w:rPr>
        <w:t>目录</w:t>
      </w:r>
    </w:p>
    <w:p w14:paraId="704FBF44">
      <w:pPr>
        <w:snapToGrid w:val="0"/>
        <w:spacing w:before="50" w:after="50" w:line="440" w:lineRule="exact"/>
        <w:ind w:firstLine="118" w:firstLineChars="49"/>
        <w:jc w:val="center"/>
        <w:rPr>
          <w:b/>
          <w:color w:val="auto"/>
          <w:sz w:val="24"/>
          <w:highlight w:val="none"/>
        </w:rPr>
      </w:pPr>
      <w:r>
        <w:rPr>
          <w:b/>
          <w:color w:val="auto"/>
          <w:sz w:val="24"/>
          <w:highlight w:val="none"/>
        </w:rPr>
        <w:t>（需有页码）</w:t>
      </w:r>
    </w:p>
    <w:p w14:paraId="730E6480">
      <w:pPr>
        <w:snapToGrid w:val="0"/>
        <w:spacing w:beforeLines="50" w:after="50" w:line="440" w:lineRule="exact"/>
        <w:jc w:val="center"/>
        <w:rPr>
          <w:rStyle w:val="60"/>
          <w:rFonts w:ascii="Times New Roman" w:hAnsi="Times New Roman" w:eastAsia="宋体"/>
          <w:color w:val="auto"/>
          <w:highlight w:val="none"/>
        </w:rPr>
      </w:pPr>
      <w:r>
        <w:rPr>
          <w:b/>
          <w:color w:val="auto"/>
          <w:sz w:val="24"/>
          <w:highlight w:val="none"/>
        </w:rPr>
        <w:br w:type="page"/>
      </w:r>
      <w:r>
        <w:rPr>
          <w:b/>
          <w:color w:val="auto"/>
          <w:sz w:val="24"/>
          <w:highlight w:val="none"/>
        </w:rPr>
        <w:t>第</w:t>
      </w:r>
      <w:r>
        <w:rPr>
          <w:rFonts w:hint="eastAsia"/>
          <w:b/>
          <w:color w:val="auto"/>
          <w:sz w:val="24"/>
          <w:highlight w:val="none"/>
        </w:rPr>
        <w:t>一</w:t>
      </w:r>
      <w:r>
        <w:rPr>
          <w:b/>
          <w:color w:val="auto"/>
          <w:sz w:val="24"/>
          <w:highlight w:val="none"/>
        </w:rPr>
        <w:t xml:space="preserve">部分 </w:t>
      </w:r>
      <w:r>
        <w:rPr>
          <w:rFonts w:hint="eastAsia"/>
          <w:b/>
          <w:color w:val="auto"/>
          <w:sz w:val="24"/>
          <w:highlight w:val="none"/>
        </w:rPr>
        <w:t>资格证明</w:t>
      </w:r>
      <w:r>
        <w:rPr>
          <w:b/>
          <w:color w:val="auto"/>
          <w:sz w:val="24"/>
          <w:highlight w:val="none"/>
        </w:rPr>
        <w:t>文件</w:t>
      </w:r>
    </w:p>
    <w:p w14:paraId="25A3CE3A">
      <w:pPr>
        <w:snapToGrid w:val="0"/>
        <w:spacing w:before="50" w:afterLines="50" w:line="400" w:lineRule="exact"/>
        <w:jc w:val="left"/>
        <w:rPr>
          <w:b/>
          <w:color w:val="auto"/>
          <w:szCs w:val="21"/>
          <w:highlight w:val="none"/>
        </w:rPr>
      </w:pPr>
      <w:r>
        <w:rPr>
          <w:b/>
          <w:color w:val="auto"/>
          <w:szCs w:val="21"/>
          <w:highlight w:val="none"/>
        </w:rPr>
        <w:t>1．响应声明书格式：</w:t>
      </w:r>
    </w:p>
    <w:p w14:paraId="3B109952">
      <w:pPr>
        <w:snapToGrid w:val="0"/>
        <w:spacing w:beforeLines="50" w:after="50" w:line="360" w:lineRule="exact"/>
        <w:jc w:val="center"/>
        <w:rPr>
          <w:b/>
          <w:color w:val="auto"/>
          <w:szCs w:val="21"/>
          <w:highlight w:val="none"/>
        </w:rPr>
      </w:pPr>
    </w:p>
    <w:p w14:paraId="47685E32">
      <w:pPr>
        <w:snapToGrid w:val="0"/>
        <w:spacing w:beforeLines="50" w:after="50" w:line="360" w:lineRule="exact"/>
        <w:jc w:val="center"/>
        <w:rPr>
          <w:b/>
          <w:color w:val="auto"/>
          <w:szCs w:val="21"/>
          <w:highlight w:val="none"/>
        </w:rPr>
      </w:pPr>
      <w:r>
        <w:rPr>
          <w:b/>
          <w:color w:val="auto"/>
          <w:szCs w:val="21"/>
          <w:highlight w:val="none"/>
        </w:rPr>
        <w:t>响应声明书</w:t>
      </w:r>
    </w:p>
    <w:p w14:paraId="6094B86E">
      <w:pPr>
        <w:snapToGrid w:val="0"/>
        <w:spacing w:beforeLines="50" w:after="50" w:line="360" w:lineRule="exact"/>
        <w:rPr>
          <w:color w:val="auto"/>
          <w:szCs w:val="21"/>
          <w:highlight w:val="none"/>
        </w:rPr>
      </w:pPr>
      <w:r>
        <w:rPr>
          <w:color w:val="auto"/>
          <w:szCs w:val="21"/>
          <w:highlight w:val="none"/>
        </w:rPr>
        <w:t>致：</w:t>
      </w:r>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r>
        <w:rPr>
          <w:color w:val="auto"/>
          <w:szCs w:val="21"/>
          <w:highlight w:val="none"/>
        </w:rPr>
        <w:t>：</w:t>
      </w:r>
    </w:p>
    <w:p w14:paraId="10104B47">
      <w:pPr>
        <w:snapToGrid w:val="0"/>
        <w:spacing w:beforeLines="50" w:after="50" w:line="360" w:lineRule="exact"/>
        <w:ind w:firstLine="630" w:firstLineChars="300"/>
        <w:rPr>
          <w:color w:val="auto"/>
          <w:szCs w:val="21"/>
          <w:highlight w:val="none"/>
        </w:rPr>
      </w:pPr>
      <w:r>
        <w:rPr>
          <w:i/>
          <w:iCs/>
          <w:color w:val="auto"/>
          <w:szCs w:val="21"/>
          <w:highlight w:val="none"/>
          <w:u w:val="single"/>
        </w:rPr>
        <w:t>（供应商名称）</w:t>
      </w:r>
      <w:r>
        <w:rPr>
          <w:color w:val="auto"/>
          <w:szCs w:val="21"/>
          <w:highlight w:val="none"/>
        </w:rPr>
        <w:t>系中华人民共和国合法企业，</w:t>
      </w:r>
      <w:r>
        <w:rPr>
          <w:rFonts w:hint="eastAsia"/>
          <w:i/>
          <w:iCs/>
          <w:color w:val="auto"/>
          <w:szCs w:val="21"/>
          <w:highlight w:val="none"/>
          <w:u w:val="single"/>
        </w:rPr>
        <w:t>（</w:t>
      </w:r>
      <w:r>
        <w:rPr>
          <w:i/>
          <w:iCs/>
          <w:color w:val="auto"/>
          <w:szCs w:val="21"/>
          <w:highlight w:val="none"/>
          <w:u w:val="single"/>
        </w:rPr>
        <w:t>经营地址</w:t>
      </w:r>
      <w:r>
        <w:rPr>
          <w:rFonts w:hint="eastAsia"/>
          <w:i/>
          <w:iCs/>
          <w:color w:val="auto"/>
          <w:szCs w:val="21"/>
          <w:highlight w:val="none"/>
          <w:u w:val="single"/>
        </w:rPr>
        <w:t xml:space="preserve">） </w:t>
      </w:r>
      <w:r>
        <w:rPr>
          <w:color w:val="auto"/>
          <w:szCs w:val="21"/>
          <w:highlight w:val="none"/>
        </w:rPr>
        <w:t>。</w:t>
      </w:r>
    </w:p>
    <w:p w14:paraId="4C83947B">
      <w:pPr>
        <w:snapToGrid w:val="0"/>
        <w:spacing w:beforeLines="50" w:after="50" w:line="360" w:lineRule="exact"/>
        <w:ind w:firstLine="645"/>
        <w:rPr>
          <w:color w:val="auto"/>
          <w:szCs w:val="21"/>
          <w:highlight w:val="none"/>
        </w:rPr>
      </w:pPr>
      <w:r>
        <w:rPr>
          <w:color w:val="auto"/>
          <w:szCs w:val="21"/>
          <w:highlight w:val="none"/>
        </w:rPr>
        <w:t>我</w:t>
      </w:r>
      <w:r>
        <w:rPr>
          <w:i/>
          <w:iCs/>
          <w:color w:val="auto"/>
          <w:szCs w:val="21"/>
          <w:highlight w:val="none"/>
          <w:u w:val="single"/>
        </w:rPr>
        <w:t>（姓名）</w:t>
      </w:r>
      <w:r>
        <w:rPr>
          <w:color w:val="auto"/>
          <w:szCs w:val="21"/>
          <w:highlight w:val="none"/>
        </w:rPr>
        <w:t>系</w:t>
      </w:r>
      <w:r>
        <w:rPr>
          <w:i/>
          <w:iCs/>
          <w:color w:val="auto"/>
          <w:szCs w:val="21"/>
          <w:highlight w:val="none"/>
          <w:u w:val="single"/>
        </w:rPr>
        <w:t>（供应商名称）</w:t>
      </w:r>
      <w:r>
        <w:rPr>
          <w:color w:val="auto"/>
          <w:szCs w:val="21"/>
          <w:highlight w:val="none"/>
        </w:rPr>
        <w:t>的法定代表人，我方愿意参加贵方组织的</w:t>
      </w:r>
      <w:r>
        <w:rPr>
          <w:rFonts w:hint="eastAsia"/>
          <w:i/>
          <w:iCs/>
          <w:color w:val="auto"/>
          <w:szCs w:val="21"/>
          <w:highlight w:val="none"/>
          <w:u w:val="single"/>
        </w:rPr>
        <w:t>（项目名称）</w:t>
      </w:r>
      <w:r>
        <w:rPr>
          <w:color w:val="auto"/>
          <w:szCs w:val="21"/>
          <w:highlight w:val="none"/>
        </w:rPr>
        <w:t>项目的</w:t>
      </w:r>
      <w:r>
        <w:rPr>
          <w:rFonts w:hint="eastAsia"/>
          <w:color w:val="auto"/>
          <w:szCs w:val="21"/>
          <w:highlight w:val="none"/>
        </w:rPr>
        <w:t>谈判</w:t>
      </w:r>
      <w:r>
        <w:rPr>
          <w:color w:val="auto"/>
          <w:szCs w:val="21"/>
          <w:highlight w:val="none"/>
        </w:rPr>
        <w:t>，为便于贵方公正、择优地确定成交供应商及其响应产品和服务，我方就本次</w:t>
      </w:r>
      <w:r>
        <w:rPr>
          <w:rFonts w:hint="eastAsia"/>
          <w:color w:val="auto"/>
          <w:szCs w:val="21"/>
          <w:highlight w:val="none"/>
        </w:rPr>
        <w:t>谈判</w:t>
      </w:r>
      <w:r>
        <w:rPr>
          <w:color w:val="auto"/>
          <w:szCs w:val="21"/>
          <w:highlight w:val="none"/>
        </w:rPr>
        <w:t>有关事项郑重声明如下：</w:t>
      </w:r>
    </w:p>
    <w:p w14:paraId="36D9DC37">
      <w:pPr>
        <w:snapToGrid w:val="0"/>
        <w:spacing w:beforeLines="50" w:line="360" w:lineRule="exact"/>
        <w:ind w:firstLine="420" w:firstLineChars="200"/>
        <w:rPr>
          <w:color w:val="auto"/>
          <w:szCs w:val="21"/>
          <w:highlight w:val="none"/>
        </w:rPr>
      </w:pPr>
      <w:r>
        <w:rPr>
          <w:color w:val="auto"/>
          <w:szCs w:val="21"/>
          <w:highlight w:val="none"/>
        </w:rPr>
        <w:t>（1）我方向贵方提交的所有响应文件、资料都是准确的和真实的。</w:t>
      </w:r>
    </w:p>
    <w:p w14:paraId="44772B6C">
      <w:pPr>
        <w:snapToGrid w:val="0"/>
        <w:spacing w:beforeLines="50" w:line="360" w:lineRule="exact"/>
        <w:ind w:firstLine="420" w:firstLineChars="200"/>
        <w:rPr>
          <w:color w:val="auto"/>
          <w:szCs w:val="21"/>
          <w:highlight w:val="none"/>
        </w:rPr>
      </w:pPr>
      <w:r>
        <w:rPr>
          <w:color w:val="auto"/>
          <w:szCs w:val="21"/>
          <w:highlight w:val="none"/>
        </w:rPr>
        <w:t>（2）我方不是采购人的附属机构；也不是为本项目提供整体设计、规范编制或者项目管理、监理、检测等服务的供应商或其附属机构。</w:t>
      </w:r>
    </w:p>
    <w:p w14:paraId="4DA465EC">
      <w:pPr>
        <w:snapToGrid w:val="0"/>
        <w:spacing w:beforeLines="50" w:line="360" w:lineRule="exact"/>
        <w:ind w:firstLine="420" w:firstLineChars="200"/>
        <w:rPr>
          <w:color w:val="auto"/>
          <w:szCs w:val="21"/>
          <w:highlight w:val="none"/>
        </w:rPr>
      </w:pPr>
      <w:r>
        <w:rPr>
          <w:color w:val="auto"/>
          <w:szCs w:val="21"/>
          <w:highlight w:val="none"/>
        </w:rPr>
        <w:t>（3） 我方承诺在参加本政府采购项目活动前，没有被纳入政府部门或银行认定的失信名单，我方具有良好的商业信誉。</w:t>
      </w:r>
    </w:p>
    <w:p w14:paraId="3BEB16D1">
      <w:pPr>
        <w:snapToGrid w:val="0"/>
        <w:spacing w:beforeLines="50" w:line="360" w:lineRule="exact"/>
        <w:ind w:firstLine="420" w:firstLineChars="200"/>
        <w:rPr>
          <w:color w:val="auto"/>
          <w:szCs w:val="21"/>
          <w:highlight w:val="none"/>
        </w:rPr>
      </w:pPr>
      <w:r>
        <w:rPr>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745F81CE">
      <w:pPr>
        <w:snapToGrid w:val="0"/>
        <w:spacing w:beforeLines="50" w:line="360" w:lineRule="exact"/>
        <w:ind w:firstLine="420" w:firstLineChars="200"/>
        <w:rPr>
          <w:color w:val="auto"/>
          <w:szCs w:val="21"/>
          <w:highlight w:val="none"/>
          <w:lang w:val="zh-CN"/>
        </w:rPr>
      </w:pPr>
      <w:r>
        <w:rPr>
          <w:color w:val="auto"/>
          <w:szCs w:val="21"/>
          <w:highlight w:val="none"/>
        </w:rPr>
        <w:t>（5）</w:t>
      </w:r>
      <w:r>
        <w:rPr>
          <w:color w:val="auto"/>
          <w:szCs w:val="21"/>
          <w:highlight w:val="none"/>
          <w:lang w:val="zh-CN"/>
        </w:rPr>
        <w:t>我方</w:t>
      </w:r>
      <w:r>
        <w:rPr>
          <w:color w:val="auto"/>
          <w:szCs w:val="21"/>
          <w:highlight w:val="none"/>
        </w:rPr>
        <w:t>承诺</w:t>
      </w:r>
      <w:r>
        <w:rPr>
          <w:color w:val="auto"/>
          <w:szCs w:val="21"/>
          <w:highlight w:val="none"/>
          <w:lang w:val="zh-CN"/>
        </w:rPr>
        <w:t>具有履行本项目合同所必需的设备和专业技术能力。</w:t>
      </w:r>
    </w:p>
    <w:p w14:paraId="181491B8">
      <w:pPr>
        <w:snapToGrid w:val="0"/>
        <w:spacing w:beforeLines="50" w:line="360" w:lineRule="exact"/>
        <w:ind w:firstLine="420" w:firstLineChars="200"/>
        <w:rPr>
          <w:color w:val="auto"/>
          <w:szCs w:val="21"/>
          <w:highlight w:val="none"/>
        </w:rPr>
      </w:pPr>
      <w:r>
        <w:rPr>
          <w:rFonts w:hint="eastAsia"/>
          <w:color w:val="auto"/>
          <w:szCs w:val="21"/>
          <w:highlight w:val="none"/>
        </w:rPr>
        <w:t>（6）我方承诺</w:t>
      </w:r>
      <w:r>
        <w:rPr>
          <w:color w:val="auto"/>
          <w:szCs w:val="21"/>
          <w:highlight w:val="none"/>
        </w:rPr>
        <w:t>未被列入失信被执行人、重大税收违法失信主体、政府采购严重违法失信行为记录名单</w:t>
      </w:r>
      <w:r>
        <w:rPr>
          <w:rFonts w:hint="eastAsia"/>
          <w:color w:val="auto"/>
          <w:szCs w:val="21"/>
          <w:highlight w:val="none"/>
        </w:rPr>
        <w:t>，如我方提供的声明不实，则接受本次响应作为否决响应的处理，</w:t>
      </w:r>
      <w:r>
        <w:rPr>
          <w:color w:val="auto"/>
          <w:szCs w:val="21"/>
          <w:highlight w:val="none"/>
        </w:rPr>
        <w:t>并根据财库〔2016〕125号《财政部关于在政府采购活动中查询及使用信用记录有关问题的通知》规定接受失信联合惩戒。</w:t>
      </w:r>
    </w:p>
    <w:p w14:paraId="4E7E739C">
      <w:pPr>
        <w:snapToGrid w:val="0"/>
        <w:spacing w:beforeLines="50" w:line="360" w:lineRule="exact"/>
        <w:ind w:firstLine="420" w:firstLineChars="200"/>
        <w:rPr>
          <w:color w:val="auto"/>
          <w:szCs w:val="21"/>
          <w:highlight w:val="none"/>
        </w:rPr>
      </w:pPr>
      <w:r>
        <w:rPr>
          <w:rFonts w:hint="eastAsia"/>
          <w:color w:val="auto"/>
          <w:szCs w:val="21"/>
          <w:highlight w:val="none"/>
        </w:rPr>
        <w:t>（7）我方承诺成交后按</w:t>
      </w:r>
      <w:r>
        <w:rPr>
          <w:color w:val="auto"/>
          <w:szCs w:val="21"/>
          <w:highlight w:val="none"/>
        </w:rPr>
        <w:t>规定缴纳代理服务费</w:t>
      </w:r>
      <w:r>
        <w:rPr>
          <w:rFonts w:hint="eastAsia"/>
          <w:color w:val="auto"/>
          <w:szCs w:val="21"/>
          <w:highlight w:val="none"/>
        </w:rPr>
        <w:t>。如未按时缴纳，</w:t>
      </w:r>
      <w:r>
        <w:rPr>
          <w:color w:val="auto"/>
          <w:szCs w:val="21"/>
          <w:highlight w:val="none"/>
        </w:rPr>
        <w:t>贵方可</w:t>
      </w:r>
      <w:r>
        <w:rPr>
          <w:rFonts w:hint="eastAsia"/>
          <w:color w:val="auto"/>
          <w:szCs w:val="21"/>
          <w:highlight w:val="none"/>
        </w:rPr>
        <w:t>不退还</w:t>
      </w:r>
      <w:r>
        <w:rPr>
          <w:color w:val="auto"/>
          <w:szCs w:val="21"/>
          <w:highlight w:val="none"/>
        </w:rPr>
        <w:t>我</w:t>
      </w:r>
      <w:r>
        <w:rPr>
          <w:rFonts w:hint="eastAsia"/>
          <w:color w:val="auto"/>
          <w:szCs w:val="21"/>
          <w:highlight w:val="none"/>
        </w:rPr>
        <w:t>方</w:t>
      </w:r>
      <w:r>
        <w:rPr>
          <w:color w:val="auto"/>
          <w:szCs w:val="21"/>
          <w:highlight w:val="none"/>
        </w:rPr>
        <w:t>提交的谈判保证金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p>
    <w:p w14:paraId="77074B59">
      <w:pPr>
        <w:snapToGrid w:val="0"/>
        <w:spacing w:beforeLines="50" w:line="360" w:lineRule="exact"/>
        <w:ind w:firstLine="420" w:firstLineChars="200"/>
        <w:rPr>
          <w:color w:val="auto"/>
          <w:szCs w:val="21"/>
          <w:highlight w:val="none"/>
        </w:rPr>
      </w:pPr>
      <w:r>
        <w:rPr>
          <w:color w:val="auto"/>
          <w:szCs w:val="21"/>
          <w:highlight w:val="none"/>
        </w:rPr>
        <w:t>我方对以上声明负全部法律责任。如有虚假或隐瞒，我方愿意承担一切后果，并不再寻求任何旨在减轻或免除法律责任的辩解。</w:t>
      </w:r>
    </w:p>
    <w:p w14:paraId="48D3648B">
      <w:pPr>
        <w:snapToGrid w:val="0"/>
        <w:spacing w:beforeLines="50" w:line="360" w:lineRule="exact"/>
        <w:ind w:firstLine="420" w:firstLineChars="200"/>
        <w:rPr>
          <w:color w:val="auto"/>
          <w:szCs w:val="21"/>
          <w:highlight w:val="none"/>
        </w:rPr>
      </w:pPr>
    </w:p>
    <w:p w14:paraId="508A93B5">
      <w:pPr>
        <w:snapToGrid w:val="0"/>
        <w:spacing w:beforeLines="50" w:after="50" w:line="360" w:lineRule="exact"/>
        <w:ind w:firstLine="3570" w:firstLineChars="1700"/>
        <w:rPr>
          <w:color w:val="auto"/>
          <w:szCs w:val="21"/>
          <w:highlight w:val="none"/>
        </w:rPr>
      </w:pPr>
      <w:bookmarkStart w:id="95" w:name="_Hlk89181199"/>
      <w:r>
        <w:rPr>
          <w:color w:val="auto"/>
          <w:szCs w:val="21"/>
          <w:highlight w:val="none"/>
        </w:rPr>
        <w:t>供应商</w:t>
      </w:r>
      <w:r>
        <w:rPr>
          <w:rFonts w:hint="eastAsia"/>
          <w:color w:val="auto"/>
          <w:szCs w:val="21"/>
          <w:highlight w:val="none"/>
        </w:rPr>
        <w:t>名称（电子签章）</w:t>
      </w:r>
      <w:r>
        <w:rPr>
          <w:color w:val="auto"/>
          <w:szCs w:val="21"/>
          <w:highlight w:val="none"/>
        </w:rPr>
        <w:t>：</w:t>
      </w:r>
    </w:p>
    <w:p w14:paraId="165C2721">
      <w:pPr>
        <w:snapToGrid w:val="0"/>
        <w:spacing w:beforeLines="50" w:after="50" w:line="360" w:lineRule="exact"/>
        <w:ind w:firstLine="210" w:firstLineChars="100"/>
        <w:rPr>
          <w:color w:val="auto"/>
          <w:szCs w:val="21"/>
          <w:highlight w:val="none"/>
        </w:rPr>
      </w:pPr>
      <w:r>
        <w:rPr>
          <w:color w:val="auto"/>
          <w:szCs w:val="21"/>
          <w:highlight w:val="none"/>
        </w:rPr>
        <w:t xml:space="preserve">                                          年    月    日</w:t>
      </w:r>
    </w:p>
    <w:bookmarkEnd w:id="95"/>
    <w:p w14:paraId="78442854">
      <w:pPr>
        <w:snapToGrid w:val="0"/>
        <w:spacing w:beforeLines="50" w:after="50" w:line="360" w:lineRule="exact"/>
        <w:ind w:firstLine="210" w:firstLineChars="100"/>
        <w:rPr>
          <w:color w:val="auto"/>
          <w:szCs w:val="21"/>
          <w:highlight w:val="none"/>
        </w:rPr>
      </w:pPr>
    </w:p>
    <w:p w14:paraId="28EFF441">
      <w:pPr>
        <w:spacing w:line="360" w:lineRule="auto"/>
        <w:rPr>
          <w:color w:val="auto"/>
          <w:highlight w:val="none"/>
        </w:rPr>
      </w:pPr>
      <w:bookmarkStart w:id="96" w:name="_Hlk21623528"/>
    </w:p>
    <w:bookmarkEnd w:id="96"/>
    <w:p w14:paraId="64E26EDC">
      <w:pPr>
        <w:snapToGrid w:val="0"/>
        <w:spacing w:beforeLines="50" w:after="50" w:line="440" w:lineRule="exact"/>
        <w:rPr>
          <w:color w:val="auto"/>
          <w:szCs w:val="21"/>
          <w:highlight w:val="none"/>
        </w:rPr>
      </w:pPr>
      <w:r>
        <w:rPr>
          <w:color w:val="auto"/>
          <w:szCs w:val="21"/>
          <w:highlight w:val="none"/>
        </w:rPr>
        <w:br w:type="page"/>
      </w:r>
      <w:r>
        <w:rPr>
          <w:rFonts w:hint="eastAsia"/>
          <w:color w:val="auto"/>
          <w:szCs w:val="21"/>
          <w:highlight w:val="none"/>
        </w:rPr>
        <w:t>2</w:t>
      </w:r>
      <w:r>
        <w:rPr>
          <w:color w:val="auto"/>
          <w:szCs w:val="21"/>
          <w:highlight w:val="none"/>
        </w:rPr>
        <w:t>．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w:t>
      </w:r>
      <w:bookmarkStart w:id="97" w:name="_Hlk89181279"/>
      <w:r>
        <w:rPr>
          <w:color w:val="auto"/>
          <w:szCs w:val="21"/>
          <w:highlight w:val="none"/>
        </w:rPr>
        <w:t>供应商</w:t>
      </w:r>
      <w:r>
        <w:rPr>
          <w:rFonts w:hint="eastAsia"/>
          <w:color w:val="auto"/>
          <w:szCs w:val="21"/>
          <w:highlight w:val="none"/>
        </w:rPr>
        <w:t>电子签章</w:t>
      </w:r>
      <w:bookmarkEnd w:id="97"/>
      <w:r>
        <w:rPr>
          <w:color w:val="auto"/>
          <w:szCs w:val="21"/>
          <w:highlight w:val="none"/>
        </w:rPr>
        <w:t>）</w:t>
      </w:r>
      <w:r>
        <w:rPr>
          <w:rFonts w:hint="eastAsia"/>
          <w:color w:val="auto"/>
          <w:szCs w:val="21"/>
          <w:highlight w:val="none"/>
        </w:rPr>
        <w:t>。</w:t>
      </w:r>
    </w:p>
    <w:p w14:paraId="325CD13A">
      <w:pPr>
        <w:snapToGrid w:val="0"/>
        <w:spacing w:beforeLines="50" w:after="50" w:line="440" w:lineRule="exact"/>
        <w:rPr>
          <w:color w:val="auto"/>
          <w:szCs w:val="21"/>
          <w:highlight w:val="none"/>
        </w:rPr>
      </w:pPr>
      <w:bookmarkStart w:id="98" w:name="_Hlk21623558"/>
    </w:p>
    <w:p w14:paraId="306B1A46">
      <w:pPr>
        <w:snapToGrid w:val="0"/>
        <w:spacing w:beforeLines="50" w:after="50" w:line="440" w:lineRule="exact"/>
        <w:rPr>
          <w:b/>
          <w:color w:val="auto"/>
          <w:szCs w:val="21"/>
          <w:highlight w:val="none"/>
        </w:rPr>
      </w:pPr>
      <w:r>
        <w:rPr>
          <w:rFonts w:hint="eastAsia"/>
          <w:color w:val="auto"/>
          <w:szCs w:val="21"/>
          <w:highlight w:val="none"/>
        </w:rPr>
        <w:t>3</w:t>
      </w:r>
      <w:r>
        <w:rPr>
          <w:color w:val="auto"/>
          <w:szCs w:val="21"/>
          <w:highlight w:val="none"/>
        </w:rPr>
        <w:t>．财务状况报告（表）复印件或银行出具的资信证明复印件。</w:t>
      </w:r>
      <w:r>
        <w:rPr>
          <w:color w:val="auto"/>
          <w:highlight w:val="none"/>
        </w:rPr>
        <w:t>对于从取得营业执照时间起到截标时间为止不足1年的供应商，只需提交</w:t>
      </w:r>
      <w:r>
        <w:rPr>
          <w:color w:val="auto"/>
          <w:szCs w:val="21"/>
          <w:highlight w:val="none"/>
        </w:rPr>
        <w:t>截标时间前一个月的财务状况报告（表）复印件。（按“评审方法及标准” “资格审查表”规定提供）。（加盖供应商</w:t>
      </w:r>
      <w:r>
        <w:rPr>
          <w:rFonts w:hint="eastAsia"/>
          <w:color w:val="auto"/>
          <w:szCs w:val="21"/>
          <w:highlight w:val="none"/>
        </w:rPr>
        <w:t>电子签章</w:t>
      </w:r>
      <w:r>
        <w:rPr>
          <w:color w:val="auto"/>
          <w:szCs w:val="21"/>
          <w:highlight w:val="none"/>
        </w:rPr>
        <w:t>）</w:t>
      </w:r>
      <w:r>
        <w:rPr>
          <w:rFonts w:hint="eastAsia"/>
          <w:color w:val="auto"/>
          <w:szCs w:val="21"/>
          <w:highlight w:val="none"/>
        </w:rPr>
        <w:t>。</w:t>
      </w:r>
    </w:p>
    <w:bookmarkEnd w:id="98"/>
    <w:p w14:paraId="6BDD7BFC">
      <w:pPr>
        <w:snapToGrid w:val="0"/>
        <w:spacing w:beforeLines="50" w:after="50" w:line="440" w:lineRule="exact"/>
        <w:rPr>
          <w:color w:val="auto"/>
          <w:szCs w:val="21"/>
          <w:highlight w:val="none"/>
        </w:rPr>
      </w:pPr>
    </w:p>
    <w:p w14:paraId="72FBD812">
      <w:pPr>
        <w:snapToGrid w:val="0"/>
        <w:spacing w:before="50" w:afterLines="50" w:line="440" w:lineRule="exact"/>
        <w:jc w:val="left"/>
        <w:rPr>
          <w:b/>
          <w:color w:val="auto"/>
          <w:szCs w:val="21"/>
          <w:highlight w:val="none"/>
        </w:rPr>
      </w:pPr>
      <w:r>
        <w:rPr>
          <w:rFonts w:hint="eastAsia"/>
          <w:color w:val="auto"/>
          <w:szCs w:val="21"/>
          <w:highlight w:val="none"/>
        </w:rPr>
        <w:t>4</w:t>
      </w:r>
      <w:r>
        <w:rPr>
          <w:color w:val="auto"/>
          <w:szCs w:val="21"/>
          <w:highlight w:val="none"/>
        </w:rPr>
        <w:t>．</w:t>
      </w:r>
      <w:r>
        <w:rPr>
          <w:color w:val="auto"/>
          <w:highlight w:val="none"/>
        </w:rPr>
        <w:t>依法缴纳税费证明和社会保险缴纳证明材料</w:t>
      </w:r>
      <w:r>
        <w:rPr>
          <w:rFonts w:hint="eastAsia"/>
          <w:color w:val="auto"/>
          <w:highlight w:val="none"/>
        </w:rPr>
        <w:t>。</w:t>
      </w:r>
      <w:r>
        <w:rPr>
          <w:color w:val="auto"/>
          <w:highlight w:val="none"/>
        </w:rPr>
        <w:t>供应商成立不足</w:t>
      </w:r>
      <w:r>
        <w:rPr>
          <w:rFonts w:hint="eastAsia"/>
          <w:color w:val="auto"/>
          <w:highlight w:val="none"/>
        </w:rPr>
        <w:t>1个月的，无须提供</w:t>
      </w:r>
      <w:r>
        <w:rPr>
          <w:color w:val="auto"/>
          <w:highlight w:val="none"/>
        </w:rPr>
        <w:t>缴纳税费证明及社保缴费证明</w:t>
      </w:r>
      <w:r>
        <w:rPr>
          <w:rFonts w:hint="eastAsia"/>
          <w:color w:val="auto"/>
          <w:highlight w:val="none"/>
        </w:rPr>
        <w:t>。</w:t>
      </w:r>
      <w:r>
        <w:rPr>
          <w:color w:val="auto"/>
          <w:highlight w:val="none"/>
        </w:rPr>
        <w:t>依法免税或不需要缴纳社会保障资金的供应商，须提供相应文件证明其依法免税或不需要缴纳社会保障资金。</w:t>
      </w:r>
      <w:r>
        <w:rPr>
          <w:color w:val="auto"/>
          <w:szCs w:val="21"/>
          <w:highlight w:val="none"/>
        </w:rPr>
        <w:t>（按“评审方法及标准” “资格性检查表”规定提供）（加盖供应商</w:t>
      </w:r>
      <w:r>
        <w:rPr>
          <w:rFonts w:hint="eastAsia"/>
          <w:color w:val="auto"/>
          <w:szCs w:val="21"/>
          <w:highlight w:val="none"/>
        </w:rPr>
        <w:t>电子签章</w:t>
      </w:r>
      <w:r>
        <w:rPr>
          <w:color w:val="auto"/>
          <w:szCs w:val="21"/>
          <w:highlight w:val="none"/>
        </w:rPr>
        <w:t>）</w:t>
      </w:r>
      <w:r>
        <w:rPr>
          <w:rFonts w:hint="eastAsia"/>
          <w:color w:val="auto"/>
          <w:szCs w:val="21"/>
          <w:highlight w:val="none"/>
        </w:rPr>
        <w:t>。</w:t>
      </w:r>
    </w:p>
    <w:p w14:paraId="4CB94EBE">
      <w:pPr>
        <w:snapToGrid w:val="0"/>
        <w:spacing w:before="50" w:afterLines="50" w:line="440" w:lineRule="exact"/>
        <w:jc w:val="left"/>
        <w:rPr>
          <w:color w:val="auto"/>
          <w:highlight w:val="none"/>
        </w:rPr>
      </w:pPr>
    </w:p>
    <w:p w14:paraId="02872197">
      <w:pPr>
        <w:pStyle w:val="26"/>
        <w:tabs>
          <w:tab w:val="left" w:pos="2127"/>
        </w:tabs>
        <w:spacing w:line="340" w:lineRule="exact"/>
        <w:rPr>
          <w:b/>
          <w:color w:val="auto"/>
          <w:highlight w:val="none"/>
        </w:rPr>
      </w:pPr>
      <w:r>
        <w:rPr>
          <w:rFonts w:hint="eastAsia" w:ascii="Times New Roman" w:hAnsi="Times New Roman" w:cs="Times New Roman"/>
          <w:color w:val="auto"/>
          <w:highlight w:val="none"/>
        </w:rPr>
        <w:t>5</w:t>
      </w:r>
      <w:r>
        <w:rPr>
          <w:rFonts w:ascii="Times New Roman" w:hAnsi="Times New Roman" w:cs="Times New Roman"/>
          <w:color w:val="auto"/>
          <w:highlight w:val="none"/>
        </w:rPr>
        <w:t>．具备法律、行政法规规定的其他要求的证明材料（按“评审方法及标准” “资格性检查表”规定提供）。</w:t>
      </w:r>
      <w:r>
        <w:rPr>
          <w:rFonts w:hint="eastAsia"/>
          <w:b/>
          <w:color w:val="auto"/>
          <w:highlight w:val="none"/>
        </w:rPr>
        <w:t>（如采购文件有要求时提供）</w:t>
      </w:r>
    </w:p>
    <w:p w14:paraId="32282FB6">
      <w:pPr>
        <w:pStyle w:val="26"/>
        <w:tabs>
          <w:tab w:val="left" w:pos="2127"/>
        </w:tabs>
        <w:spacing w:line="340" w:lineRule="exact"/>
        <w:rPr>
          <w:b/>
          <w:color w:val="auto"/>
          <w:highlight w:val="none"/>
        </w:rPr>
      </w:pPr>
    </w:p>
    <w:p w14:paraId="66FFB6C1">
      <w:pPr>
        <w:snapToGrid w:val="0"/>
        <w:spacing w:before="50" w:afterLines="50" w:line="440" w:lineRule="exact"/>
        <w:jc w:val="left"/>
        <w:rPr>
          <w:b/>
          <w:color w:val="auto"/>
          <w:szCs w:val="21"/>
          <w:highlight w:val="none"/>
        </w:rPr>
      </w:pPr>
      <w:bookmarkStart w:id="99" w:name="_Hlk132792497"/>
      <w:r>
        <w:rPr>
          <w:rFonts w:hint="eastAsia"/>
          <w:color w:val="auto"/>
          <w:szCs w:val="21"/>
          <w:highlight w:val="none"/>
        </w:rPr>
        <w:t>6</w:t>
      </w:r>
      <w:r>
        <w:rPr>
          <w:color w:val="auto"/>
          <w:szCs w:val="21"/>
          <w:highlight w:val="none"/>
        </w:rPr>
        <w:t>．</w:t>
      </w:r>
      <w:r>
        <w:rPr>
          <w:rFonts w:hint="eastAsia"/>
          <w:color w:val="auto"/>
          <w:highlight w:val="none"/>
        </w:rPr>
        <w:t>落实政府采购政策需满足的资格要求</w:t>
      </w:r>
      <w:r>
        <w:rPr>
          <w:color w:val="auto"/>
          <w:highlight w:val="none"/>
        </w:rPr>
        <w:t>（</w:t>
      </w:r>
      <w:r>
        <w:rPr>
          <w:color w:val="auto"/>
          <w:szCs w:val="21"/>
          <w:highlight w:val="none"/>
        </w:rPr>
        <w:t>按“评审方法及标准” “资格审查表”规定提供</w:t>
      </w:r>
      <w:r>
        <w:rPr>
          <w:color w:val="auto"/>
          <w:highlight w:val="none"/>
        </w:rPr>
        <w:t>）。</w:t>
      </w:r>
      <w:r>
        <w:rPr>
          <w:rFonts w:hint="eastAsia"/>
          <w:b/>
          <w:color w:val="auto"/>
          <w:szCs w:val="21"/>
          <w:highlight w:val="none"/>
        </w:rPr>
        <w:t>（如采购文件有要求时提供）</w:t>
      </w:r>
    </w:p>
    <w:bookmarkEnd w:id="99"/>
    <w:p w14:paraId="28F197BC">
      <w:pPr>
        <w:pStyle w:val="7"/>
        <w:overflowPunct w:val="0"/>
        <w:ind w:firstLine="369" w:firstLineChars="175"/>
        <w:rPr>
          <w:color w:val="auto"/>
          <w:szCs w:val="21"/>
          <w:highlight w:val="none"/>
        </w:rPr>
      </w:pPr>
      <w:r>
        <w:rPr>
          <w:b/>
          <w:color w:val="auto"/>
          <w:highlight w:val="none"/>
        </w:rPr>
        <w:br w:type="page"/>
      </w:r>
    </w:p>
    <w:p w14:paraId="69F06BD2">
      <w:pPr>
        <w:pStyle w:val="26"/>
        <w:tabs>
          <w:tab w:val="left" w:pos="2127"/>
        </w:tabs>
        <w:spacing w:line="340" w:lineRule="exact"/>
        <w:rPr>
          <w:b/>
          <w:color w:val="auto"/>
          <w:highlight w:val="none"/>
        </w:rPr>
      </w:pPr>
      <w:r>
        <w:rPr>
          <w:rFonts w:hint="eastAsia" w:ascii="Times New Roman" w:hAnsi="Times New Roman" w:cs="Times New Roman"/>
          <w:color w:val="auto"/>
          <w:highlight w:val="none"/>
        </w:rPr>
        <w:t>7</w:t>
      </w:r>
      <w:r>
        <w:rPr>
          <w:rFonts w:ascii="Times New Roman" w:hAnsi="Times New Roman" w:cs="Times New Roman"/>
          <w:color w:val="auto"/>
          <w:highlight w:val="none"/>
        </w:rPr>
        <w:t>．满足供应商特定资格条件的其他证明材料加盖供应商</w:t>
      </w:r>
      <w:r>
        <w:rPr>
          <w:rFonts w:hint="eastAsia" w:ascii="Times New Roman" w:hAnsi="Times New Roman" w:cs="Times New Roman"/>
          <w:color w:val="auto"/>
          <w:highlight w:val="none"/>
        </w:rPr>
        <w:t>电子签章</w:t>
      </w:r>
      <w:r>
        <w:rPr>
          <w:rFonts w:ascii="Times New Roman" w:hAnsi="Times New Roman" w:cs="Times New Roman"/>
          <w:color w:val="auto"/>
          <w:highlight w:val="none"/>
        </w:rPr>
        <w:t>（按“评审方法及标准” “资格性检查表”规定提供）。</w:t>
      </w:r>
      <w:r>
        <w:rPr>
          <w:rFonts w:hint="eastAsia"/>
          <w:b/>
          <w:color w:val="auto"/>
          <w:highlight w:val="none"/>
        </w:rPr>
        <w:t>（如采购文件有要求时提供）</w:t>
      </w:r>
    </w:p>
    <w:p w14:paraId="0412E56E">
      <w:pPr>
        <w:snapToGrid w:val="0"/>
        <w:spacing w:before="50" w:afterLines="50" w:line="360" w:lineRule="auto"/>
        <w:jc w:val="left"/>
        <w:rPr>
          <w:color w:val="auto"/>
          <w:szCs w:val="21"/>
          <w:highlight w:val="none"/>
        </w:rPr>
      </w:pPr>
      <w:r>
        <w:rPr>
          <w:color w:val="auto"/>
          <w:highlight w:val="none"/>
        </w:rPr>
        <w:br w:type="page"/>
      </w:r>
      <w:r>
        <w:rPr>
          <w:rFonts w:hint="eastAsia"/>
          <w:color w:val="auto"/>
          <w:szCs w:val="21"/>
          <w:highlight w:val="none"/>
        </w:rPr>
        <w:t>7</w:t>
      </w:r>
      <w:r>
        <w:rPr>
          <w:color w:val="auto"/>
          <w:szCs w:val="21"/>
          <w:highlight w:val="none"/>
        </w:rPr>
        <w:t>.1</w:t>
      </w:r>
      <w:r>
        <w:rPr>
          <w:rFonts w:hint="eastAsia"/>
          <w:color w:val="auto"/>
          <w:szCs w:val="21"/>
          <w:highlight w:val="none"/>
        </w:rPr>
        <w:t>供应商直接控股股东信息表</w:t>
      </w:r>
    </w:p>
    <w:tbl>
      <w:tblPr>
        <w:tblStyle w:val="51"/>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3F2BF187">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3D6406C0">
            <w:pPr>
              <w:spacing w:line="360" w:lineRule="auto"/>
              <w:jc w:val="center"/>
              <w:rPr>
                <w:color w:val="auto"/>
                <w:szCs w:val="21"/>
                <w:highlight w:val="none"/>
              </w:rPr>
            </w:pPr>
            <w:r>
              <w:rPr>
                <w:rFonts w:hint="eastAsia"/>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2EB6A1DB">
            <w:pPr>
              <w:spacing w:line="360" w:lineRule="auto"/>
              <w:jc w:val="center"/>
              <w:rPr>
                <w:color w:val="auto"/>
                <w:szCs w:val="21"/>
                <w:highlight w:val="none"/>
              </w:rPr>
            </w:pPr>
            <w:r>
              <w:rPr>
                <w:rFonts w:hint="eastAsia"/>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514974FE">
            <w:pPr>
              <w:spacing w:line="360" w:lineRule="auto"/>
              <w:jc w:val="center"/>
              <w:rPr>
                <w:color w:val="auto"/>
                <w:szCs w:val="21"/>
                <w:highlight w:val="none"/>
              </w:rPr>
            </w:pPr>
            <w:r>
              <w:rPr>
                <w:rFonts w:hint="eastAsia"/>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66372AC5">
            <w:pPr>
              <w:spacing w:line="360" w:lineRule="auto"/>
              <w:jc w:val="center"/>
              <w:rPr>
                <w:color w:val="auto"/>
                <w:szCs w:val="21"/>
                <w:highlight w:val="none"/>
              </w:rPr>
            </w:pPr>
            <w:r>
              <w:rPr>
                <w:rFonts w:hint="eastAsia"/>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0F0E75D3">
            <w:pPr>
              <w:spacing w:line="360" w:lineRule="auto"/>
              <w:jc w:val="center"/>
              <w:rPr>
                <w:color w:val="auto"/>
                <w:szCs w:val="21"/>
                <w:highlight w:val="none"/>
              </w:rPr>
            </w:pPr>
            <w:r>
              <w:rPr>
                <w:rFonts w:hint="eastAsia"/>
                <w:color w:val="auto"/>
                <w:szCs w:val="21"/>
                <w:highlight w:val="none"/>
              </w:rPr>
              <w:t>备注</w:t>
            </w:r>
          </w:p>
        </w:tc>
      </w:tr>
      <w:tr w14:paraId="0D89836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3241E1A9">
            <w:pPr>
              <w:spacing w:line="360" w:lineRule="auto"/>
              <w:jc w:val="center"/>
              <w:rPr>
                <w:color w:val="auto"/>
                <w:szCs w:val="21"/>
                <w:highlight w:val="none"/>
              </w:rPr>
            </w:pPr>
            <w:r>
              <w:rPr>
                <w:rFonts w:hint="eastAsia"/>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0C28CEAA">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4FDE3525">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5E38F4CB">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045F21D9">
            <w:pPr>
              <w:spacing w:line="360" w:lineRule="auto"/>
              <w:jc w:val="center"/>
              <w:rPr>
                <w:color w:val="auto"/>
                <w:szCs w:val="21"/>
                <w:highlight w:val="none"/>
              </w:rPr>
            </w:pPr>
          </w:p>
        </w:tc>
      </w:tr>
      <w:tr w14:paraId="68D0BFDA">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244415B6">
            <w:pPr>
              <w:spacing w:line="360" w:lineRule="auto"/>
              <w:jc w:val="center"/>
              <w:rPr>
                <w:color w:val="auto"/>
                <w:szCs w:val="21"/>
                <w:highlight w:val="none"/>
              </w:rPr>
            </w:pPr>
            <w:r>
              <w:rPr>
                <w:rFonts w:hint="eastAsia"/>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52F5939F">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32E9EC2E">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5B7229C9">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6DC848EA">
            <w:pPr>
              <w:spacing w:line="360" w:lineRule="auto"/>
              <w:jc w:val="center"/>
              <w:rPr>
                <w:color w:val="auto"/>
                <w:szCs w:val="21"/>
                <w:highlight w:val="none"/>
              </w:rPr>
            </w:pPr>
          </w:p>
        </w:tc>
      </w:tr>
      <w:tr w14:paraId="0A0AA6A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62619A27">
            <w:pPr>
              <w:spacing w:line="360" w:lineRule="auto"/>
              <w:jc w:val="center"/>
              <w:rPr>
                <w:color w:val="auto"/>
                <w:szCs w:val="21"/>
                <w:highlight w:val="none"/>
              </w:rPr>
            </w:pPr>
            <w:r>
              <w:rPr>
                <w:rFonts w:hint="eastAsia"/>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6B3CB919">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5FECC661">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60DAA2B2">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640A72D2">
            <w:pPr>
              <w:spacing w:line="360" w:lineRule="auto"/>
              <w:jc w:val="center"/>
              <w:rPr>
                <w:color w:val="auto"/>
                <w:szCs w:val="21"/>
                <w:highlight w:val="none"/>
              </w:rPr>
            </w:pPr>
          </w:p>
        </w:tc>
      </w:tr>
      <w:tr w14:paraId="1800109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0F54AC10">
            <w:pPr>
              <w:spacing w:line="360" w:lineRule="auto"/>
              <w:jc w:val="center"/>
              <w:rPr>
                <w:color w:val="auto"/>
                <w:szCs w:val="21"/>
                <w:highlight w:val="none"/>
              </w:rPr>
            </w:pPr>
            <w:r>
              <w:rPr>
                <w:rFonts w:hint="eastAsia"/>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515C4D69">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425D7D8B">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4F780682">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tcMar>
              <w:top w:w="120" w:type="dxa"/>
              <w:left w:w="120" w:type="dxa"/>
              <w:bottom w:w="120" w:type="dxa"/>
              <w:right w:w="120" w:type="dxa"/>
            </w:tcMar>
            <w:vAlign w:val="center"/>
          </w:tcPr>
          <w:p w14:paraId="167FD460">
            <w:pPr>
              <w:spacing w:line="360" w:lineRule="auto"/>
              <w:jc w:val="center"/>
              <w:rPr>
                <w:color w:val="auto"/>
                <w:szCs w:val="21"/>
                <w:highlight w:val="none"/>
              </w:rPr>
            </w:pPr>
          </w:p>
        </w:tc>
      </w:tr>
    </w:tbl>
    <w:p w14:paraId="218BCD51">
      <w:pPr>
        <w:snapToGrid w:val="0"/>
        <w:spacing w:line="360" w:lineRule="auto"/>
        <w:jc w:val="left"/>
        <w:rPr>
          <w:color w:val="auto"/>
          <w:szCs w:val="21"/>
          <w:highlight w:val="none"/>
        </w:rPr>
      </w:pPr>
      <w:r>
        <w:rPr>
          <w:rFonts w:hint="eastAsia"/>
          <w:color w:val="auto"/>
          <w:szCs w:val="21"/>
          <w:highlight w:val="none"/>
        </w:rPr>
        <w:t>注：</w:t>
      </w:r>
    </w:p>
    <w:p w14:paraId="6BEA8872">
      <w:pPr>
        <w:snapToGrid w:val="0"/>
        <w:spacing w:line="360" w:lineRule="auto"/>
        <w:jc w:val="left"/>
        <w:rPr>
          <w:color w:val="auto"/>
          <w:szCs w:val="21"/>
          <w:highlight w:val="none"/>
        </w:rPr>
      </w:pPr>
      <w:r>
        <w:rPr>
          <w:rFonts w:hint="eastAsia"/>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51E1146">
      <w:pPr>
        <w:snapToGrid w:val="0"/>
        <w:spacing w:line="360" w:lineRule="auto"/>
        <w:jc w:val="left"/>
        <w:rPr>
          <w:color w:val="auto"/>
          <w:szCs w:val="21"/>
          <w:highlight w:val="none"/>
        </w:rPr>
      </w:pPr>
      <w:r>
        <w:rPr>
          <w:rFonts w:hint="eastAsia"/>
          <w:color w:val="auto"/>
          <w:szCs w:val="21"/>
          <w:highlight w:val="none"/>
        </w:rPr>
        <w:t>2.本表所指的控股关系仅限于直接控股关系，不包括间接的控股关系。公司实际控制人与公司之间的关系不属于本表所指的直接控股关系。</w:t>
      </w:r>
    </w:p>
    <w:p w14:paraId="6C219BC8">
      <w:pPr>
        <w:snapToGrid w:val="0"/>
        <w:spacing w:line="360" w:lineRule="auto"/>
        <w:jc w:val="left"/>
        <w:rPr>
          <w:color w:val="auto"/>
          <w:szCs w:val="21"/>
          <w:highlight w:val="none"/>
        </w:rPr>
      </w:pPr>
      <w:r>
        <w:rPr>
          <w:rFonts w:hint="eastAsia"/>
          <w:color w:val="auto"/>
          <w:szCs w:val="21"/>
          <w:highlight w:val="none"/>
        </w:rPr>
        <w:t>3.供应商不存在直接控股股东的，则填“无”。</w:t>
      </w:r>
    </w:p>
    <w:p w14:paraId="4A738CA7">
      <w:pPr>
        <w:snapToGrid w:val="0"/>
        <w:spacing w:line="360" w:lineRule="auto"/>
        <w:jc w:val="left"/>
        <w:rPr>
          <w:color w:val="auto"/>
          <w:szCs w:val="21"/>
          <w:highlight w:val="none"/>
        </w:rPr>
      </w:pPr>
    </w:p>
    <w:p w14:paraId="5EDAE6EF">
      <w:pPr>
        <w:snapToGrid w:val="0"/>
        <w:spacing w:line="360" w:lineRule="auto"/>
        <w:jc w:val="left"/>
        <w:rPr>
          <w:color w:val="auto"/>
          <w:szCs w:val="21"/>
          <w:highlight w:val="none"/>
        </w:rPr>
      </w:pPr>
    </w:p>
    <w:p w14:paraId="7DDA7CC8">
      <w:pPr>
        <w:snapToGrid w:val="0"/>
        <w:spacing w:line="360" w:lineRule="auto"/>
        <w:jc w:val="left"/>
        <w:rPr>
          <w:color w:val="auto"/>
          <w:szCs w:val="21"/>
          <w:highlight w:val="none"/>
        </w:rPr>
      </w:pPr>
    </w:p>
    <w:p w14:paraId="63787032">
      <w:pPr>
        <w:snapToGrid w:val="0"/>
        <w:spacing w:line="360" w:lineRule="auto"/>
        <w:jc w:val="left"/>
        <w:rPr>
          <w:color w:val="auto"/>
          <w:szCs w:val="21"/>
          <w:highlight w:val="none"/>
        </w:rPr>
      </w:pPr>
    </w:p>
    <w:p w14:paraId="18CE5D8C">
      <w:pPr>
        <w:snapToGrid w:val="0"/>
        <w:spacing w:line="360" w:lineRule="auto"/>
        <w:jc w:val="left"/>
        <w:rPr>
          <w:color w:val="auto"/>
          <w:szCs w:val="21"/>
          <w:highlight w:val="none"/>
        </w:rPr>
      </w:pPr>
    </w:p>
    <w:p w14:paraId="4A1D4558">
      <w:pP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7E57DB92">
      <w:pP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26F006E9">
      <w:pPr>
        <w:snapToGrid w:val="0"/>
        <w:rPr>
          <w:rFonts w:ascii="宋体" w:hAnsi="宋体"/>
          <w:b/>
          <w:color w:val="auto"/>
          <w:sz w:val="28"/>
          <w:szCs w:val="28"/>
          <w:highlight w:val="none"/>
        </w:rPr>
      </w:pPr>
      <w:r>
        <w:rPr>
          <w:rFonts w:ascii="宋体" w:hAnsi="宋体"/>
          <w:b/>
          <w:color w:val="auto"/>
          <w:sz w:val="28"/>
          <w:szCs w:val="28"/>
          <w:highlight w:val="none"/>
        </w:rPr>
        <w:br w:type="page"/>
      </w:r>
      <w:r>
        <w:rPr>
          <w:rFonts w:hint="eastAsia"/>
          <w:color w:val="auto"/>
          <w:szCs w:val="21"/>
          <w:highlight w:val="none"/>
        </w:rPr>
        <w:t>7</w:t>
      </w:r>
      <w:r>
        <w:rPr>
          <w:color w:val="auto"/>
          <w:szCs w:val="21"/>
          <w:highlight w:val="none"/>
        </w:rPr>
        <w:t>.2</w:t>
      </w:r>
      <w:r>
        <w:rPr>
          <w:rFonts w:hint="eastAsia"/>
          <w:color w:val="auto"/>
          <w:szCs w:val="21"/>
          <w:highlight w:val="none"/>
        </w:rPr>
        <w:t>供应商直接管理关系信息表</w:t>
      </w:r>
    </w:p>
    <w:tbl>
      <w:tblPr>
        <w:tblStyle w:val="51"/>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2C50B2F5">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BC42A98">
            <w:pPr>
              <w:spacing w:line="360" w:lineRule="auto"/>
              <w:jc w:val="center"/>
              <w:rPr>
                <w:color w:val="auto"/>
                <w:szCs w:val="21"/>
                <w:highlight w:val="none"/>
              </w:rPr>
            </w:pPr>
            <w:r>
              <w:rPr>
                <w:rFonts w:hint="eastAsia"/>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D130257">
            <w:pPr>
              <w:spacing w:line="360" w:lineRule="auto"/>
              <w:jc w:val="center"/>
              <w:rPr>
                <w:color w:val="auto"/>
                <w:szCs w:val="21"/>
                <w:highlight w:val="none"/>
              </w:rPr>
            </w:pPr>
            <w:r>
              <w:rPr>
                <w:rFonts w:hint="eastAsia"/>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CC2FCC0">
            <w:pPr>
              <w:spacing w:line="360" w:lineRule="auto"/>
              <w:jc w:val="center"/>
              <w:rPr>
                <w:color w:val="auto"/>
                <w:szCs w:val="21"/>
                <w:highlight w:val="none"/>
              </w:rPr>
            </w:pPr>
            <w:r>
              <w:rPr>
                <w:rFonts w:hint="eastAsia"/>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B5B2A49">
            <w:pPr>
              <w:spacing w:line="360" w:lineRule="auto"/>
              <w:jc w:val="center"/>
              <w:rPr>
                <w:color w:val="auto"/>
                <w:szCs w:val="21"/>
                <w:highlight w:val="none"/>
              </w:rPr>
            </w:pPr>
            <w:r>
              <w:rPr>
                <w:rFonts w:hint="eastAsia"/>
                <w:color w:val="auto"/>
                <w:szCs w:val="21"/>
                <w:highlight w:val="none"/>
              </w:rPr>
              <w:t>备注</w:t>
            </w:r>
          </w:p>
        </w:tc>
      </w:tr>
      <w:tr w14:paraId="7D3C072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A31C84D">
            <w:pPr>
              <w:spacing w:line="360" w:lineRule="auto"/>
              <w:jc w:val="center"/>
              <w:rPr>
                <w:color w:val="auto"/>
                <w:szCs w:val="21"/>
                <w:highlight w:val="none"/>
              </w:rPr>
            </w:pPr>
            <w:r>
              <w:rPr>
                <w:rFonts w:hint="eastAsia"/>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CC156EA">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BFA3D91">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FFCBB1C">
            <w:pPr>
              <w:spacing w:line="360" w:lineRule="auto"/>
              <w:jc w:val="center"/>
              <w:rPr>
                <w:color w:val="auto"/>
                <w:szCs w:val="21"/>
                <w:highlight w:val="none"/>
              </w:rPr>
            </w:pPr>
          </w:p>
        </w:tc>
      </w:tr>
      <w:tr w14:paraId="32B68FB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245FF78">
            <w:pPr>
              <w:spacing w:line="360" w:lineRule="auto"/>
              <w:jc w:val="center"/>
              <w:rPr>
                <w:color w:val="auto"/>
                <w:szCs w:val="21"/>
                <w:highlight w:val="none"/>
              </w:rPr>
            </w:pPr>
            <w:r>
              <w:rPr>
                <w:rFonts w:hint="eastAsia"/>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E224245">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C93F44C">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CF06D88">
            <w:pPr>
              <w:spacing w:line="360" w:lineRule="auto"/>
              <w:jc w:val="center"/>
              <w:rPr>
                <w:color w:val="auto"/>
                <w:szCs w:val="21"/>
                <w:highlight w:val="none"/>
              </w:rPr>
            </w:pPr>
          </w:p>
        </w:tc>
      </w:tr>
      <w:tr w14:paraId="15C2946C">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6E73A2D">
            <w:pPr>
              <w:spacing w:line="360" w:lineRule="auto"/>
              <w:jc w:val="center"/>
              <w:rPr>
                <w:color w:val="auto"/>
                <w:szCs w:val="21"/>
                <w:highlight w:val="none"/>
              </w:rPr>
            </w:pPr>
            <w:r>
              <w:rPr>
                <w:rFonts w:hint="eastAsia"/>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1761663">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F93F06A">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3D961A9">
            <w:pPr>
              <w:spacing w:line="360" w:lineRule="auto"/>
              <w:jc w:val="center"/>
              <w:rPr>
                <w:color w:val="auto"/>
                <w:szCs w:val="21"/>
                <w:highlight w:val="none"/>
              </w:rPr>
            </w:pPr>
          </w:p>
        </w:tc>
      </w:tr>
      <w:tr w14:paraId="0D0399F5">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DBC73CA">
            <w:pPr>
              <w:spacing w:line="360" w:lineRule="auto"/>
              <w:jc w:val="center"/>
              <w:rPr>
                <w:color w:val="auto"/>
                <w:szCs w:val="21"/>
                <w:highlight w:val="none"/>
              </w:rPr>
            </w:pPr>
            <w:r>
              <w:rPr>
                <w:rFonts w:hint="eastAsia"/>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4834EE0">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AB03F6C">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F4D7B30">
            <w:pPr>
              <w:spacing w:line="360" w:lineRule="auto"/>
              <w:jc w:val="center"/>
              <w:rPr>
                <w:color w:val="auto"/>
                <w:szCs w:val="21"/>
                <w:highlight w:val="none"/>
              </w:rPr>
            </w:pPr>
          </w:p>
        </w:tc>
      </w:tr>
    </w:tbl>
    <w:p w14:paraId="13B2F8DC">
      <w:pPr>
        <w:snapToGrid w:val="0"/>
        <w:spacing w:line="360" w:lineRule="auto"/>
        <w:jc w:val="left"/>
        <w:rPr>
          <w:color w:val="auto"/>
          <w:szCs w:val="21"/>
          <w:highlight w:val="none"/>
        </w:rPr>
      </w:pPr>
      <w:r>
        <w:rPr>
          <w:rFonts w:hint="eastAsia"/>
          <w:color w:val="auto"/>
          <w:szCs w:val="21"/>
          <w:highlight w:val="none"/>
        </w:rPr>
        <w:t>注：</w:t>
      </w:r>
    </w:p>
    <w:p w14:paraId="04602346">
      <w:pPr>
        <w:snapToGrid w:val="0"/>
        <w:spacing w:line="360" w:lineRule="auto"/>
        <w:ind w:firstLine="420" w:firstLineChars="200"/>
        <w:jc w:val="left"/>
        <w:rPr>
          <w:color w:val="auto"/>
          <w:szCs w:val="21"/>
          <w:highlight w:val="none"/>
        </w:rPr>
      </w:pPr>
      <w:r>
        <w:rPr>
          <w:rFonts w:hint="eastAsia"/>
          <w:color w:val="auto"/>
          <w:szCs w:val="21"/>
          <w:highlight w:val="none"/>
        </w:rPr>
        <w:t>1.管理关系：是指不具有出资持股关系的其他单位之间存在的管理与被管理关系，如一些上下级关系的事业单位和团体组织。</w:t>
      </w:r>
    </w:p>
    <w:p w14:paraId="405E22DE">
      <w:pPr>
        <w:snapToGrid w:val="0"/>
        <w:spacing w:line="360" w:lineRule="auto"/>
        <w:ind w:firstLine="420" w:firstLineChars="200"/>
        <w:jc w:val="left"/>
        <w:rPr>
          <w:color w:val="auto"/>
          <w:szCs w:val="21"/>
          <w:highlight w:val="none"/>
        </w:rPr>
      </w:pPr>
      <w:r>
        <w:rPr>
          <w:rFonts w:hint="eastAsia"/>
          <w:color w:val="auto"/>
          <w:szCs w:val="21"/>
          <w:highlight w:val="none"/>
        </w:rPr>
        <w:t>2.本表所指的管理关系仅限于直接管理关系，不包括间接的管理关系。</w:t>
      </w:r>
    </w:p>
    <w:p w14:paraId="6FB39614">
      <w:pPr>
        <w:snapToGrid w:val="0"/>
        <w:spacing w:line="360" w:lineRule="auto"/>
        <w:ind w:firstLine="420" w:firstLineChars="200"/>
        <w:jc w:val="left"/>
        <w:rPr>
          <w:color w:val="auto"/>
          <w:szCs w:val="21"/>
          <w:highlight w:val="none"/>
        </w:rPr>
      </w:pPr>
      <w:r>
        <w:rPr>
          <w:rFonts w:hint="eastAsia"/>
          <w:color w:val="auto"/>
          <w:szCs w:val="21"/>
          <w:highlight w:val="none"/>
        </w:rPr>
        <w:t>3.供应商不存在直接管理关系的，则填“无”。</w:t>
      </w:r>
    </w:p>
    <w:p w14:paraId="572F0DEF">
      <w:pPr>
        <w:snapToGrid w:val="0"/>
        <w:spacing w:line="360" w:lineRule="auto"/>
        <w:jc w:val="left"/>
        <w:rPr>
          <w:color w:val="auto"/>
          <w:szCs w:val="21"/>
          <w:highlight w:val="none"/>
        </w:rPr>
      </w:pPr>
    </w:p>
    <w:p w14:paraId="01A51BAA">
      <w:pPr>
        <w:snapToGrid w:val="0"/>
        <w:spacing w:line="360" w:lineRule="auto"/>
        <w:jc w:val="left"/>
        <w:rPr>
          <w:color w:val="auto"/>
          <w:szCs w:val="21"/>
          <w:highlight w:val="none"/>
        </w:rPr>
      </w:pPr>
    </w:p>
    <w:p w14:paraId="379C125B">
      <w:pPr>
        <w:snapToGrid w:val="0"/>
        <w:spacing w:line="360" w:lineRule="auto"/>
        <w:jc w:val="left"/>
        <w:rPr>
          <w:color w:val="auto"/>
          <w:szCs w:val="21"/>
          <w:highlight w:val="none"/>
        </w:rPr>
      </w:pPr>
    </w:p>
    <w:p w14:paraId="79A87B78">
      <w:pPr>
        <w:snapToGrid w:val="0"/>
        <w:spacing w:line="360" w:lineRule="auto"/>
        <w:jc w:val="left"/>
        <w:rPr>
          <w:color w:val="auto"/>
          <w:szCs w:val="21"/>
          <w:highlight w:val="none"/>
        </w:rPr>
      </w:pPr>
    </w:p>
    <w:p w14:paraId="508C82D3">
      <w:pPr>
        <w:snapToGrid w:val="0"/>
        <w:spacing w:line="360" w:lineRule="auto"/>
        <w:jc w:val="left"/>
        <w:rPr>
          <w:color w:val="auto"/>
          <w:szCs w:val="21"/>
          <w:highlight w:val="none"/>
        </w:rPr>
      </w:pPr>
    </w:p>
    <w:p w14:paraId="769F2ABF">
      <w:pPr>
        <w:snapToGrid w:val="0"/>
        <w:spacing w:line="360" w:lineRule="auto"/>
        <w:jc w:val="left"/>
        <w:rPr>
          <w:color w:val="auto"/>
          <w:szCs w:val="21"/>
          <w:highlight w:val="none"/>
        </w:rPr>
      </w:pPr>
    </w:p>
    <w:p w14:paraId="1D8A017F">
      <w:pPr>
        <w:snapToGrid w:val="0"/>
        <w:spacing w:line="360" w:lineRule="auto"/>
        <w:jc w:val="left"/>
        <w:rPr>
          <w:color w:val="auto"/>
          <w:szCs w:val="21"/>
          <w:highlight w:val="none"/>
        </w:rPr>
      </w:pPr>
    </w:p>
    <w:p w14:paraId="75C062B1">
      <w:pPr>
        <w:snapToGrid w:val="0"/>
        <w:spacing w:line="360" w:lineRule="auto"/>
        <w:jc w:val="left"/>
        <w:rPr>
          <w:color w:val="auto"/>
          <w:szCs w:val="21"/>
          <w:highlight w:val="none"/>
        </w:rPr>
      </w:pPr>
    </w:p>
    <w:p w14:paraId="1C6DFF3E">
      <w:pP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0590CCB4">
      <w:pP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0EEAFF9F">
      <w:pPr>
        <w:spacing w:line="520" w:lineRule="exact"/>
        <w:jc w:val="center"/>
        <w:rPr>
          <w:rFonts w:ascii="方正小标宋简体" w:hAnsi="仿宋" w:eastAsia="方正小标宋简体"/>
          <w:color w:val="auto"/>
          <w:sz w:val="36"/>
          <w:szCs w:val="36"/>
          <w:highlight w:val="none"/>
        </w:rPr>
      </w:pPr>
      <w:r>
        <w:rPr>
          <w:color w:val="auto"/>
          <w:highlight w:val="none"/>
        </w:rPr>
        <w:br w:type="page"/>
      </w:r>
      <w:bookmarkStart w:id="100" w:name="_Hlk21623591"/>
      <w:r>
        <w:rPr>
          <w:rFonts w:hint="eastAsia"/>
          <w:color w:val="auto"/>
          <w:highlight w:val="none"/>
        </w:rPr>
        <w:t>8</w:t>
      </w:r>
      <w:r>
        <w:rPr>
          <w:color w:val="auto"/>
          <w:highlight w:val="none"/>
        </w:rPr>
        <w:t>．</w:t>
      </w:r>
      <w:bookmarkEnd w:id="100"/>
      <w:bookmarkStart w:id="101" w:name="_Hlk21623617"/>
      <w:r>
        <w:rPr>
          <w:rFonts w:hint="eastAsia"/>
          <w:color w:val="auto"/>
          <w:highlight w:val="none"/>
        </w:rPr>
        <w:t>防城港市政府采购供应商信用承诺函</w:t>
      </w:r>
    </w:p>
    <w:p w14:paraId="18AED7E8">
      <w:pPr>
        <w:spacing w:line="520" w:lineRule="exact"/>
        <w:ind w:firstLine="640" w:firstLineChars="200"/>
        <w:rPr>
          <w:rFonts w:ascii="仿宋_GB2312" w:hAnsi="黑体" w:eastAsia="仿宋_GB2312"/>
          <w:color w:val="auto"/>
          <w:sz w:val="32"/>
          <w:szCs w:val="32"/>
          <w:highlight w:val="none"/>
        </w:rPr>
      </w:pPr>
    </w:p>
    <w:p w14:paraId="6FC5F904">
      <w:pPr>
        <w:spacing w:line="520" w:lineRule="exact"/>
        <w:rPr>
          <w:rFonts w:ascii="宋体" w:hAnsi="宋体" w:cs="宋体"/>
          <w:color w:val="auto"/>
          <w:sz w:val="24"/>
          <w:highlight w:val="none"/>
        </w:rPr>
      </w:pPr>
      <w:r>
        <w:rPr>
          <w:rFonts w:hint="eastAsia" w:ascii="宋体" w:hAnsi="宋体" w:cs="宋体"/>
          <w:color w:val="auto"/>
          <w:sz w:val="24"/>
          <w:highlight w:val="none"/>
        </w:rPr>
        <w:t>致（采购人名称） ：</w:t>
      </w:r>
    </w:p>
    <w:p w14:paraId="5D6D5F28">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我方自愿参加</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项目（</w:t>
      </w:r>
      <w:r>
        <w:rPr>
          <w:rFonts w:hint="eastAsia" w:ascii="宋体" w:hAnsi="宋体" w:cs="宋体"/>
          <w:color w:val="auto"/>
          <w:sz w:val="24"/>
          <w:highlight w:val="none"/>
          <w:u w:val="single"/>
        </w:rPr>
        <w:t xml:space="preserve">项目编号：         </w:t>
      </w:r>
      <w:r>
        <w:rPr>
          <w:rFonts w:hint="eastAsia" w:ascii="宋体" w:hAnsi="宋体" w:cs="宋体"/>
          <w:color w:val="auto"/>
          <w:sz w:val="24"/>
          <w:highlight w:val="none"/>
        </w:rPr>
        <w:t xml:space="preserve">）的政府采购活动，严格遵守《中华人民共和国政府采购法》及相关法律法规，依法诚信经营，无条件遵守本次政府采购活动的各项规定，并郑重承诺： </w:t>
      </w:r>
    </w:p>
    <w:p w14:paraId="768AF270">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1.我方具有符合采购文件资格要求的财务状况报告。 </w:t>
      </w:r>
    </w:p>
    <w:p w14:paraId="6E4B1B38">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2.我方具有符合采购文件资格要求的依法缴纳税收和社会保障资金的良好记录。 </w:t>
      </w:r>
    </w:p>
    <w:p w14:paraId="7E5C3643">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3.我方参加政府采购活动前三年内在经营活动中没有重大违法记录。 </w:t>
      </w:r>
    </w:p>
    <w:p w14:paraId="44C5AA87">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我方对以上承诺内容的真实性负责。如有虚假，将依法承担相应责任。</w:t>
      </w:r>
    </w:p>
    <w:p w14:paraId="42F85136">
      <w:pPr>
        <w:spacing w:line="520" w:lineRule="exact"/>
        <w:ind w:firstLine="2760" w:firstLineChars="1150"/>
        <w:rPr>
          <w:rFonts w:ascii="宋体" w:hAnsi="宋体" w:cs="宋体"/>
          <w:color w:val="auto"/>
          <w:sz w:val="24"/>
          <w:highlight w:val="none"/>
        </w:rPr>
      </w:pPr>
    </w:p>
    <w:p w14:paraId="740A7B64">
      <w:pPr>
        <w:spacing w:line="520" w:lineRule="exact"/>
        <w:ind w:firstLine="2760" w:firstLineChars="1150"/>
        <w:rPr>
          <w:rFonts w:ascii="宋体" w:hAnsi="宋体" w:cs="宋体"/>
          <w:color w:val="auto"/>
          <w:sz w:val="24"/>
          <w:highlight w:val="none"/>
        </w:rPr>
      </w:pPr>
    </w:p>
    <w:p w14:paraId="054F1155">
      <w:pPr>
        <w:spacing w:line="520" w:lineRule="exact"/>
        <w:ind w:firstLine="4680" w:firstLineChars="1950"/>
        <w:rPr>
          <w:rFonts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olor w:val="auto"/>
          <w:sz w:val="24"/>
          <w:highlight w:val="none"/>
        </w:rPr>
        <w:t>电子签章</w:t>
      </w:r>
      <w:r>
        <w:rPr>
          <w:rFonts w:hint="eastAsia" w:ascii="宋体" w:hAnsi="宋体" w:cs="宋体"/>
          <w:color w:val="auto"/>
          <w:sz w:val="24"/>
          <w:highlight w:val="none"/>
        </w:rPr>
        <w:t>）：</w:t>
      </w:r>
    </w:p>
    <w:p w14:paraId="65731E17">
      <w:pPr>
        <w:spacing w:line="520" w:lineRule="exact"/>
        <w:ind w:firstLine="5400" w:firstLineChars="2250"/>
        <w:rPr>
          <w:rFonts w:ascii="宋体" w:hAnsi="宋体" w:cs="宋体"/>
          <w:color w:val="auto"/>
          <w:sz w:val="24"/>
          <w:highlight w:val="none"/>
        </w:rPr>
      </w:pPr>
      <w:r>
        <w:rPr>
          <w:rFonts w:hint="eastAsia" w:ascii="宋体" w:hAnsi="宋体" w:cs="宋体"/>
          <w:color w:val="auto"/>
          <w:sz w:val="24"/>
          <w:highlight w:val="none"/>
        </w:rPr>
        <w:t>统一社会信用代码：</w:t>
      </w:r>
    </w:p>
    <w:p w14:paraId="1ED7D678">
      <w:pPr>
        <w:spacing w:line="520" w:lineRule="exact"/>
        <w:ind w:firstLine="2880" w:firstLineChars="1200"/>
        <w:rPr>
          <w:rFonts w:ascii="宋体" w:hAnsi="宋体" w:cs="宋体"/>
          <w:color w:val="auto"/>
          <w:sz w:val="24"/>
          <w:highlight w:val="none"/>
        </w:rPr>
      </w:pPr>
      <w:r>
        <w:rPr>
          <w:rFonts w:hint="eastAsia" w:ascii="宋体" w:hAnsi="宋体" w:cs="宋体"/>
          <w:color w:val="auto"/>
          <w:sz w:val="24"/>
          <w:highlight w:val="none"/>
        </w:rPr>
        <w:t>法定代表人或授权代表(签字或者电子签名)：</w:t>
      </w:r>
    </w:p>
    <w:p w14:paraId="190CCBBE">
      <w:pPr>
        <w:spacing w:line="360" w:lineRule="auto"/>
        <w:ind w:right="480" w:firstLine="240" w:firstLineChars="100"/>
        <w:contextualSpacing/>
        <w:jc w:val="center"/>
        <w:rPr>
          <w:rFonts w:ascii="宋体" w:hAnsi="宋体" w:cs="宋体"/>
          <w:color w:val="auto"/>
          <w:sz w:val="24"/>
          <w:highlight w:val="none"/>
        </w:rPr>
      </w:pPr>
      <w:r>
        <w:rPr>
          <w:rFonts w:hint="eastAsia" w:ascii="宋体" w:hAnsi="宋体" w:cs="宋体"/>
          <w:color w:val="auto"/>
          <w:sz w:val="24"/>
          <w:highlight w:val="none"/>
        </w:rPr>
        <w:t>日期： 年 月 日</w:t>
      </w:r>
    </w:p>
    <w:p w14:paraId="284B4DC6">
      <w:pPr>
        <w:pStyle w:val="256"/>
        <w:rPr>
          <w:rFonts w:ascii="宋体" w:hAnsi="宋体" w:cs="宋体"/>
          <w:color w:val="auto"/>
          <w:highlight w:val="none"/>
        </w:rPr>
      </w:pPr>
    </w:p>
    <w:p w14:paraId="5EE4D710">
      <w:pPr>
        <w:pStyle w:val="256"/>
        <w:rPr>
          <w:rFonts w:ascii="宋体" w:hAnsi="宋体" w:cs="宋体"/>
          <w:color w:val="auto"/>
          <w:highlight w:val="none"/>
        </w:rPr>
      </w:pPr>
    </w:p>
    <w:p w14:paraId="4839E9F9">
      <w:pPr>
        <w:pStyle w:val="256"/>
        <w:rPr>
          <w:rFonts w:ascii="宋体" w:hAnsi="宋体" w:cs="宋体"/>
          <w:color w:val="auto"/>
          <w:highlight w:val="none"/>
        </w:rPr>
      </w:pPr>
    </w:p>
    <w:p w14:paraId="102AF374">
      <w:pPr>
        <w:pStyle w:val="256"/>
        <w:rPr>
          <w:rFonts w:ascii="宋体" w:hAnsi="宋体" w:cs="宋体"/>
          <w:color w:val="auto"/>
          <w:highlight w:val="none"/>
        </w:rPr>
      </w:pPr>
    </w:p>
    <w:p w14:paraId="14EA0B11">
      <w:pPr>
        <w:pStyle w:val="256"/>
        <w:rPr>
          <w:rFonts w:ascii="宋体" w:hAnsi="宋体" w:cs="宋体"/>
          <w:color w:val="auto"/>
          <w:highlight w:val="none"/>
        </w:rPr>
      </w:pPr>
    </w:p>
    <w:p w14:paraId="031853AC">
      <w:pPr>
        <w:pStyle w:val="133"/>
        <w:rPr>
          <w:color w:val="auto"/>
          <w:sz w:val="21"/>
          <w:szCs w:val="21"/>
          <w:highlight w:val="none"/>
        </w:rPr>
      </w:pPr>
      <w:r>
        <w:rPr>
          <w:rFonts w:hint="eastAsia"/>
          <w:color w:val="auto"/>
          <w:sz w:val="21"/>
          <w:szCs w:val="21"/>
          <w:highlight w:val="none"/>
        </w:rPr>
        <w:t>注：1.供应商须在投标（响应）文件中按此模板提供承诺函，未提供视为未实质性响应招标（采购）文件要求，按无效投标（响应）处理。</w:t>
      </w:r>
    </w:p>
    <w:p w14:paraId="58B2685E">
      <w:pPr>
        <w:pStyle w:val="133"/>
        <w:rPr>
          <w:color w:val="auto"/>
          <w:highlight w:val="none"/>
        </w:rPr>
      </w:pPr>
      <w:r>
        <w:rPr>
          <w:rFonts w:hint="eastAsia"/>
          <w:color w:val="auto"/>
          <w:sz w:val="21"/>
          <w:szCs w:val="21"/>
          <w:highlight w:val="none"/>
        </w:rPr>
        <w:t>2.供应商的法定代表人（其他组织的为负责人）或者授权代表的签名或盖章应真实、有效，如由授权代表签名或盖章的，应提供“法定代表人授权书”。</w:t>
      </w:r>
    </w:p>
    <w:p w14:paraId="3152B32D">
      <w:pPr>
        <w:snapToGrid w:val="0"/>
        <w:spacing w:before="50" w:afterLines="50" w:line="276" w:lineRule="auto"/>
        <w:jc w:val="left"/>
        <w:rPr>
          <w:color w:val="auto"/>
          <w:highlight w:val="none"/>
        </w:rPr>
      </w:pPr>
    </w:p>
    <w:p w14:paraId="05C7129D">
      <w:pPr>
        <w:snapToGrid w:val="0"/>
        <w:spacing w:before="50" w:afterLines="50" w:line="440" w:lineRule="exact"/>
        <w:jc w:val="left"/>
        <w:rPr>
          <w:b/>
          <w:color w:val="auto"/>
          <w:szCs w:val="21"/>
          <w:highlight w:val="none"/>
        </w:rPr>
      </w:pPr>
      <w:r>
        <w:rPr>
          <w:b/>
          <w:color w:val="auto"/>
          <w:szCs w:val="21"/>
          <w:highlight w:val="none"/>
        </w:rPr>
        <w:br w:type="page"/>
      </w:r>
      <w:r>
        <w:rPr>
          <w:rFonts w:hint="eastAsia"/>
          <w:color w:val="auto"/>
          <w:szCs w:val="21"/>
          <w:highlight w:val="none"/>
        </w:rPr>
        <w:t>9</w:t>
      </w:r>
      <w:r>
        <w:rPr>
          <w:color w:val="auto"/>
          <w:szCs w:val="21"/>
          <w:highlight w:val="none"/>
        </w:rPr>
        <w:t>．供应商认为应当要提交的资格证明材料。</w:t>
      </w:r>
    </w:p>
    <w:bookmarkEnd w:id="101"/>
    <w:p w14:paraId="1913EB26">
      <w:pPr>
        <w:spacing w:line="276" w:lineRule="auto"/>
        <w:rPr>
          <w:color w:val="auto"/>
          <w:szCs w:val="21"/>
          <w:highlight w:val="none"/>
        </w:rPr>
      </w:pPr>
      <w:bookmarkStart w:id="102" w:name="_Hlk60649396"/>
    </w:p>
    <w:p w14:paraId="4BCD1D5B">
      <w:pPr>
        <w:pStyle w:val="7"/>
        <w:overflowPunct w:val="0"/>
        <w:ind w:firstLine="0"/>
        <w:rPr>
          <w:color w:val="auto"/>
          <w:highlight w:val="none"/>
        </w:rPr>
      </w:pPr>
    </w:p>
    <w:p w14:paraId="054D3098">
      <w:pPr>
        <w:widowControl/>
        <w:jc w:val="left"/>
        <w:rPr>
          <w:bCs/>
          <w:color w:val="auto"/>
          <w:sz w:val="24"/>
          <w:highlight w:val="none"/>
        </w:rPr>
      </w:pPr>
    </w:p>
    <w:bookmarkEnd w:id="102"/>
    <w:p w14:paraId="467B0148">
      <w:pPr>
        <w:snapToGrid w:val="0"/>
        <w:spacing w:beforeLines="50" w:line="440" w:lineRule="exact"/>
        <w:jc w:val="left"/>
        <w:outlineLvl w:val="1"/>
        <w:rPr>
          <w:b/>
          <w:color w:val="auto"/>
          <w:sz w:val="24"/>
          <w:highlight w:val="none"/>
        </w:rPr>
      </w:pPr>
      <w:r>
        <w:rPr>
          <w:bCs/>
          <w:color w:val="auto"/>
          <w:sz w:val="24"/>
          <w:highlight w:val="none"/>
        </w:rPr>
        <w:br w:type="page"/>
      </w:r>
      <w:r>
        <w:rPr>
          <w:rFonts w:hint="eastAsia"/>
          <w:color w:val="auto"/>
          <w:sz w:val="24"/>
          <w:highlight w:val="none"/>
        </w:rPr>
        <w:t>2</w:t>
      </w:r>
      <w:r>
        <w:rPr>
          <w:color w:val="auto"/>
          <w:sz w:val="24"/>
          <w:highlight w:val="none"/>
        </w:rPr>
        <w:t>.</w:t>
      </w:r>
      <w:r>
        <w:rPr>
          <w:rFonts w:hint="eastAsia" w:ascii="宋体" w:hAnsi="宋体"/>
          <w:color w:val="auto"/>
          <w:sz w:val="24"/>
          <w:highlight w:val="none"/>
        </w:rPr>
        <w:t xml:space="preserve">响应文件封面参考格式（商务技术文件）： </w:t>
      </w:r>
    </w:p>
    <w:p w14:paraId="1976F063">
      <w:pPr>
        <w:snapToGrid w:val="0"/>
        <w:spacing w:beforeLines="50" w:line="360" w:lineRule="exact"/>
        <w:rPr>
          <w:color w:val="auto"/>
          <w:sz w:val="24"/>
          <w:highlight w:val="none"/>
        </w:rPr>
      </w:pPr>
    </w:p>
    <w:p w14:paraId="77AFC92E">
      <w:pPr>
        <w:snapToGrid w:val="0"/>
        <w:spacing w:beforeLines="50" w:line="360" w:lineRule="exact"/>
        <w:jc w:val="right"/>
        <w:rPr>
          <w:color w:val="auto"/>
          <w:sz w:val="24"/>
          <w:highlight w:val="none"/>
        </w:rPr>
      </w:pPr>
    </w:p>
    <w:p w14:paraId="0187F37B">
      <w:pPr>
        <w:snapToGrid w:val="0"/>
        <w:spacing w:beforeLines="50" w:line="360" w:lineRule="exact"/>
        <w:jc w:val="center"/>
        <w:rPr>
          <w:color w:val="auto"/>
          <w:sz w:val="24"/>
          <w:highlight w:val="none"/>
        </w:rPr>
      </w:pPr>
      <w:r>
        <w:rPr>
          <w:rFonts w:hint="eastAsia" w:ascii="宋体" w:hAnsi="宋体"/>
          <w:b/>
          <w:color w:val="auto"/>
          <w:sz w:val="44"/>
          <w:highlight w:val="none"/>
        </w:rPr>
        <w:t>电子响应文件</w:t>
      </w:r>
    </w:p>
    <w:p w14:paraId="2B459D0D">
      <w:pPr>
        <w:snapToGrid w:val="0"/>
        <w:spacing w:beforeLines="50" w:line="360" w:lineRule="exact"/>
        <w:jc w:val="center"/>
        <w:rPr>
          <w:b/>
          <w:color w:val="auto"/>
          <w:sz w:val="44"/>
          <w:highlight w:val="none"/>
        </w:rPr>
      </w:pPr>
    </w:p>
    <w:p w14:paraId="34BB9522">
      <w:pPr>
        <w:snapToGrid w:val="0"/>
        <w:spacing w:beforeLines="50" w:line="360" w:lineRule="exact"/>
        <w:jc w:val="center"/>
        <w:rPr>
          <w:b/>
          <w:color w:val="auto"/>
          <w:sz w:val="44"/>
          <w:highlight w:val="none"/>
        </w:rPr>
      </w:pPr>
    </w:p>
    <w:p w14:paraId="5F3B0017">
      <w:pPr>
        <w:snapToGrid w:val="0"/>
        <w:spacing w:beforeLines="50" w:line="360" w:lineRule="exact"/>
        <w:jc w:val="center"/>
        <w:rPr>
          <w:b/>
          <w:color w:val="auto"/>
          <w:sz w:val="44"/>
          <w:highlight w:val="none"/>
        </w:rPr>
      </w:pPr>
      <w:r>
        <w:rPr>
          <w:rFonts w:hint="eastAsia"/>
          <w:b/>
          <w:color w:val="auto"/>
          <w:sz w:val="44"/>
          <w:highlight w:val="none"/>
        </w:rPr>
        <w:t>商务技术文件</w:t>
      </w:r>
    </w:p>
    <w:p w14:paraId="5063F349">
      <w:pPr>
        <w:snapToGrid w:val="0"/>
        <w:spacing w:beforeLines="50" w:line="360" w:lineRule="exact"/>
        <w:jc w:val="center"/>
        <w:rPr>
          <w:b/>
          <w:color w:val="auto"/>
          <w:sz w:val="44"/>
          <w:highlight w:val="none"/>
        </w:rPr>
      </w:pPr>
    </w:p>
    <w:p w14:paraId="2864BA41">
      <w:pPr>
        <w:snapToGrid w:val="0"/>
        <w:spacing w:beforeLines="50" w:line="360" w:lineRule="exact"/>
        <w:rPr>
          <w:color w:val="auto"/>
          <w:sz w:val="24"/>
          <w:highlight w:val="none"/>
        </w:rPr>
      </w:pPr>
    </w:p>
    <w:p w14:paraId="65993E7E">
      <w:pPr>
        <w:snapToGrid w:val="0"/>
        <w:spacing w:beforeLines="50" w:line="360" w:lineRule="exact"/>
        <w:ind w:firstLine="720" w:firstLineChars="300"/>
        <w:rPr>
          <w:color w:val="auto"/>
          <w:sz w:val="24"/>
          <w:highlight w:val="none"/>
        </w:rPr>
      </w:pPr>
      <w:r>
        <w:rPr>
          <w:rFonts w:hint="eastAsia"/>
          <w:color w:val="auto"/>
          <w:sz w:val="24"/>
          <w:highlight w:val="none"/>
        </w:rPr>
        <w:t xml:space="preserve">项目名称： </w:t>
      </w:r>
    </w:p>
    <w:p w14:paraId="5FB6D0BA">
      <w:pPr>
        <w:snapToGrid w:val="0"/>
        <w:spacing w:beforeLines="50" w:line="360" w:lineRule="exact"/>
        <w:ind w:firstLine="720" w:firstLineChars="300"/>
        <w:rPr>
          <w:color w:val="auto"/>
          <w:sz w:val="24"/>
          <w:highlight w:val="none"/>
        </w:rPr>
      </w:pPr>
      <w:r>
        <w:rPr>
          <w:rFonts w:hint="eastAsia"/>
          <w:color w:val="auto"/>
          <w:sz w:val="24"/>
          <w:highlight w:val="none"/>
        </w:rPr>
        <w:t>项目编号：</w:t>
      </w:r>
    </w:p>
    <w:p w14:paraId="57045B9B">
      <w:pPr>
        <w:snapToGrid w:val="0"/>
        <w:spacing w:beforeLines="50" w:line="440" w:lineRule="exact"/>
        <w:ind w:firstLine="720" w:firstLineChars="300"/>
        <w:rPr>
          <w:color w:val="auto"/>
          <w:sz w:val="24"/>
          <w:highlight w:val="none"/>
        </w:rPr>
      </w:pPr>
      <w:r>
        <w:rPr>
          <w:rFonts w:hint="eastAsia"/>
          <w:color w:val="auto"/>
          <w:sz w:val="24"/>
          <w:highlight w:val="none"/>
        </w:rPr>
        <w:t>分标号：（若无留空或写</w:t>
      </w:r>
      <w:r>
        <w:rPr>
          <w:color w:val="auto"/>
          <w:sz w:val="24"/>
          <w:highlight w:val="none"/>
        </w:rPr>
        <w:t>“/”</w:t>
      </w:r>
      <w:r>
        <w:rPr>
          <w:rFonts w:hint="eastAsia"/>
          <w:color w:val="auto"/>
          <w:sz w:val="24"/>
          <w:highlight w:val="none"/>
        </w:rPr>
        <w:t>）</w:t>
      </w:r>
    </w:p>
    <w:p w14:paraId="15780609">
      <w:pPr>
        <w:snapToGrid w:val="0"/>
        <w:spacing w:beforeLines="50" w:line="360" w:lineRule="exact"/>
        <w:ind w:firstLine="720" w:firstLineChars="300"/>
        <w:rPr>
          <w:color w:val="auto"/>
          <w:sz w:val="24"/>
          <w:highlight w:val="none"/>
        </w:rPr>
      </w:pPr>
      <w:r>
        <w:rPr>
          <w:rFonts w:hint="eastAsia"/>
          <w:color w:val="auto"/>
          <w:sz w:val="24"/>
          <w:highlight w:val="none"/>
        </w:rPr>
        <w:t>供应商名称：</w:t>
      </w:r>
    </w:p>
    <w:p w14:paraId="16B8C859">
      <w:pPr>
        <w:snapToGrid w:val="0"/>
        <w:spacing w:beforeLines="50" w:line="360" w:lineRule="exact"/>
        <w:ind w:firstLine="720" w:firstLineChars="300"/>
        <w:rPr>
          <w:color w:val="auto"/>
          <w:sz w:val="24"/>
          <w:highlight w:val="none"/>
        </w:rPr>
      </w:pPr>
      <w:r>
        <w:rPr>
          <w:rFonts w:hint="eastAsia"/>
          <w:color w:val="auto"/>
          <w:sz w:val="24"/>
          <w:highlight w:val="none"/>
        </w:rPr>
        <w:t>供应商地址：</w:t>
      </w:r>
    </w:p>
    <w:p w14:paraId="4B599FA5">
      <w:pPr>
        <w:pStyle w:val="7"/>
        <w:snapToGrid w:val="0"/>
        <w:spacing w:line="360" w:lineRule="exact"/>
        <w:ind w:firstLine="960" w:firstLineChars="400"/>
        <w:rPr>
          <w:color w:val="auto"/>
          <w:sz w:val="24"/>
          <w:szCs w:val="24"/>
          <w:highlight w:val="none"/>
        </w:rPr>
      </w:pPr>
    </w:p>
    <w:p w14:paraId="24E1589B">
      <w:pPr>
        <w:snapToGrid w:val="0"/>
        <w:spacing w:beforeLines="50" w:line="360" w:lineRule="exact"/>
        <w:jc w:val="center"/>
        <w:rPr>
          <w:color w:val="auto"/>
          <w:sz w:val="24"/>
          <w:highlight w:val="none"/>
        </w:rPr>
      </w:pPr>
      <w:r>
        <w:rPr>
          <w:rFonts w:hint="eastAsia"/>
          <w:color w:val="auto"/>
          <w:sz w:val="24"/>
          <w:highlight w:val="none"/>
        </w:rPr>
        <w:t>年  月  日</w:t>
      </w:r>
    </w:p>
    <w:p w14:paraId="1A7E3E85">
      <w:pPr>
        <w:snapToGrid w:val="0"/>
        <w:spacing w:beforeLines="50" w:after="50" w:line="440" w:lineRule="exact"/>
        <w:jc w:val="center"/>
        <w:outlineLvl w:val="1"/>
        <w:rPr>
          <w:bCs/>
          <w:color w:val="auto"/>
          <w:sz w:val="24"/>
          <w:highlight w:val="none"/>
        </w:rPr>
        <w:sectPr>
          <w:headerReference r:id="rId20" w:type="default"/>
          <w:footerReference r:id="rId21" w:type="default"/>
          <w:pgSz w:w="11906" w:h="16838"/>
          <w:pgMar w:top="1418" w:right="1274" w:bottom="1418" w:left="1418" w:header="851" w:footer="992" w:gutter="0"/>
          <w:cols w:space="720" w:num="1"/>
          <w:docGrid w:linePitch="312" w:charSpace="0"/>
        </w:sectPr>
      </w:pPr>
    </w:p>
    <w:p w14:paraId="2B079CAB">
      <w:pPr>
        <w:snapToGrid w:val="0"/>
        <w:spacing w:beforeLines="50" w:after="50" w:line="440" w:lineRule="exact"/>
        <w:jc w:val="center"/>
        <w:rPr>
          <w:b/>
          <w:bCs/>
          <w:color w:val="auto"/>
          <w:sz w:val="24"/>
          <w:highlight w:val="none"/>
        </w:rPr>
      </w:pPr>
    </w:p>
    <w:p w14:paraId="0CA115C8">
      <w:pPr>
        <w:snapToGrid w:val="0"/>
        <w:spacing w:beforeLines="50" w:after="50" w:line="440" w:lineRule="exact"/>
        <w:jc w:val="center"/>
        <w:rPr>
          <w:color w:val="auto"/>
          <w:sz w:val="24"/>
          <w:highlight w:val="none"/>
        </w:rPr>
      </w:pPr>
    </w:p>
    <w:p w14:paraId="01BF0A82">
      <w:pPr>
        <w:snapToGrid w:val="0"/>
        <w:spacing w:before="50" w:after="50" w:line="440" w:lineRule="exact"/>
        <w:ind w:firstLine="138" w:firstLineChars="49"/>
        <w:jc w:val="center"/>
        <w:rPr>
          <w:b/>
          <w:color w:val="auto"/>
          <w:sz w:val="28"/>
          <w:szCs w:val="28"/>
          <w:highlight w:val="none"/>
        </w:rPr>
      </w:pPr>
      <w:r>
        <w:rPr>
          <w:b/>
          <w:color w:val="auto"/>
          <w:sz w:val="28"/>
          <w:szCs w:val="28"/>
          <w:highlight w:val="none"/>
        </w:rPr>
        <w:t>目录</w:t>
      </w:r>
    </w:p>
    <w:p w14:paraId="615B91D8">
      <w:pPr>
        <w:snapToGrid w:val="0"/>
        <w:spacing w:beforeLines="50" w:after="50" w:line="440" w:lineRule="exact"/>
        <w:jc w:val="center"/>
        <w:rPr>
          <w:bCs/>
          <w:color w:val="auto"/>
          <w:sz w:val="24"/>
          <w:highlight w:val="none"/>
        </w:rPr>
        <w:sectPr>
          <w:pgSz w:w="11906" w:h="16838"/>
          <w:pgMar w:top="1418" w:right="1274" w:bottom="1418" w:left="1418" w:header="851" w:footer="992" w:gutter="0"/>
          <w:cols w:space="720" w:num="1"/>
          <w:docGrid w:linePitch="312" w:charSpace="0"/>
        </w:sectPr>
      </w:pPr>
      <w:r>
        <w:rPr>
          <w:b/>
          <w:color w:val="auto"/>
          <w:sz w:val="24"/>
          <w:highlight w:val="none"/>
        </w:rPr>
        <w:t>（需有页码）</w:t>
      </w:r>
    </w:p>
    <w:p w14:paraId="1BE30FCA">
      <w:pPr>
        <w:snapToGrid w:val="0"/>
        <w:spacing w:beforeLines="50" w:after="50" w:line="440" w:lineRule="exact"/>
        <w:jc w:val="center"/>
        <w:rPr>
          <w:bCs/>
          <w:color w:val="auto"/>
          <w:sz w:val="24"/>
          <w:highlight w:val="none"/>
        </w:rPr>
      </w:pPr>
      <w:r>
        <w:rPr>
          <w:bCs/>
          <w:color w:val="auto"/>
          <w:sz w:val="24"/>
          <w:highlight w:val="none"/>
        </w:rPr>
        <w:t>第二部分 商务技术文件</w:t>
      </w:r>
    </w:p>
    <w:p w14:paraId="1351349F">
      <w:pPr>
        <w:snapToGrid w:val="0"/>
        <w:spacing w:beforeLines="50" w:after="50" w:line="360" w:lineRule="exact"/>
        <w:rPr>
          <w:b/>
          <w:color w:val="auto"/>
          <w:szCs w:val="21"/>
          <w:highlight w:val="none"/>
        </w:rPr>
      </w:pPr>
      <w:bookmarkStart w:id="103" w:name="_Toc455309222"/>
      <w:bookmarkStart w:id="104" w:name="_Toc462223472"/>
      <w:bookmarkStart w:id="105" w:name="_Toc462320613"/>
      <w:r>
        <w:rPr>
          <w:rFonts w:hint="eastAsia"/>
          <w:b/>
          <w:color w:val="auto"/>
          <w:szCs w:val="21"/>
          <w:highlight w:val="none"/>
        </w:rPr>
        <w:t>1</w:t>
      </w:r>
      <w:r>
        <w:rPr>
          <w:b/>
          <w:color w:val="auto"/>
          <w:szCs w:val="21"/>
          <w:highlight w:val="none"/>
        </w:rPr>
        <w:t>．法定代表人身份证明</w:t>
      </w:r>
      <w:r>
        <w:rPr>
          <w:rFonts w:hint="eastAsia"/>
          <w:b/>
          <w:color w:val="auto"/>
          <w:szCs w:val="21"/>
          <w:highlight w:val="none"/>
        </w:rPr>
        <w:t>（无授权</w:t>
      </w:r>
      <w:r>
        <w:rPr>
          <w:b/>
          <w:color w:val="auto"/>
          <w:szCs w:val="21"/>
          <w:highlight w:val="none"/>
        </w:rPr>
        <w:t>代表</w:t>
      </w:r>
      <w:r>
        <w:rPr>
          <w:rFonts w:hint="eastAsia"/>
          <w:b/>
          <w:color w:val="auto"/>
          <w:szCs w:val="21"/>
          <w:highlight w:val="none"/>
        </w:rPr>
        <w:t>时必须提供）</w:t>
      </w:r>
      <w:r>
        <w:rPr>
          <w:b/>
          <w:color w:val="auto"/>
          <w:szCs w:val="21"/>
          <w:highlight w:val="none"/>
        </w:rPr>
        <w:t>：</w:t>
      </w:r>
    </w:p>
    <w:p w14:paraId="5B24C349">
      <w:pPr>
        <w:snapToGrid w:val="0"/>
        <w:spacing w:beforeLines="50" w:after="50" w:line="360" w:lineRule="exact"/>
        <w:rPr>
          <w:color w:val="auto"/>
          <w:highlight w:val="none"/>
        </w:rPr>
      </w:pPr>
    </w:p>
    <w:p w14:paraId="085DA7F2">
      <w:pPr>
        <w:snapToGrid w:val="0"/>
        <w:spacing w:beforeLines="50" w:after="50" w:line="440" w:lineRule="exact"/>
        <w:jc w:val="center"/>
        <w:rPr>
          <w:b/>
          <w:color w:val="auto"/>
          <w:szCs w:val="21"/>
          <w:highlight w:val="none"/>
        </w:rPr>
      </w:pPr>
      <w:r>
        <w:rPr>
          <w:b/>
          <w:color w:val="auto"/>
          <w:szCs w:val="21"/>
          <w:highlight w:val="none"/>
        </w:rPr>
        <w:t>法定代表人身份证明</w:t>
      </w:r>
      <w:bookmarkEnd w:id="103"/>
      <w:bookmarkEnd w:id="104"/>
      <w:bookmarkEnd w:id="105"/>
    </w:p>
    <w:p w14:paraId="7902628B">
      <w:pPr>
        <w:spacing w:line="360" w:lineRule="auto"/>
        <w:rPr>
          <w:color w:val="auto"/>
          <w:highlight w:val="none"/>
        </w:rPr>
      </w:pPr>
    </w:p>
    <w:p w14:paraId="418C9D87">
      <w:pPr>
        <w:spacing w:line="360" w:lineRule="auto"/>
        <w:rPr>
          <w:color w:val="auto"/>
          <w:highlight w:val="none"/>
        </w:rPr>
      </w:pPr>
    </w:p>
    <w:p w14:paraId="48462F22">
      <w:pPr>
        <w:spacing w:line="540" w:lineRule="exact"/>
        <w:rPr>
          <w:color w:val="auto"/>
          <w:szCs w:val="21"/>
          <w:highlight w:val="none"/>
        </w:rPr>
      </w:pPr>
      <w:r>
        <w:rPr>
          <w:color w:val="auto"/>
          <w:szCs w:val="21"/>
          <w:highlight w:val="none"/>
        </w:rPr>
        <w:t>供应商名称：</w:t>
      </w:r>
    </w:p>
    <w:p w14:paraId="15DFB3BA">
      <w:pPr>
        <w:spacing w:line="540" w:lineRule="exact"/>
        <w:rPr>
          <w:color w:val="auto"/>
          <w:szCs w:val="21"/>
          <w:highlight w:val="none"/>
        </w:rPr>
      </w:pPr>
      <w:r>
        <w:rPr>
          <w:color w:val="auto"/>
          <w:szCs w:val="21"/>
          <w:highlight w:val="none"/>
        </w:rPr>
        <w:t>单位性质：</w:t>
      </w:r>
    </w:p>
    <w:p w14:paraId="6F20A5C9">
      <w:pPr>
        <w:spacing w:line="540" w:lineRule="exact"/>
        <w:rPr>
          <w:color w:val="auto"/>
          <w:szCs w:val="21"/>
          <w:highlight w:val="none"/>
        </w:rPr>
      </w:pPr>
      <w:r>
        <w:rPr>
          <w:color w:val="auto"/>
          <w:szCs w:val="21"/>
          <w:highlight w:val="none"/>
        </w:rPr>
        <w:t>地址：</w:t>
      </w:r>
    </w:p>
    <w:p w14:paraId="71CEF741">
      <w:pPr>
        <w:spacing w:line="540" w:lineRule="exact"/>
        <w:rPr>
          <w:color w:val="auto"/>
          <w:szCs w:val="21"/>
          <w:highlight w:val="none"/>
          <w:u w:val="single"/>
        </w:rPr>
      </w:pPr>
      <w:r>
        <w:rPr>
          <w:color w:val="auto"/>
          <w:szCs w:val="21"/>
          <w:highlight w:val="none"/>
        </w:rPr>
        <w:t>成立时间：</w:t>
      </w:r>
      <w:r>
        <w:rPr>
          <w:color w:val="auto"/>
          <w:szCs w:val="21"/>
          <w:highlight w:val="none"/>
          <w:u w:val="single"/>
        </w:rPr>
        <w:t xml:space="preserve">          年        月        日</w:t>
      </w:r>
    </w:p>
    <w:p w14:paraId="66AA7808">
      <w:pPr>
        <w:spacing w:line="540" w:lineRule="exact"/>
        <w:rPr>
          <w:color w:val="auto"/>
          <w:szCs w:val="21"/>
          <w:highlight w:val="none"/>
        </w:rPr>
      </w:pPr>
      <w:r>
        <w:rPr>
          <w:color w:val="auto"/>
          <w:szCs w:val="21"/>
          <w:highlight w:val="none"/>
        </w:rPr>
        <w:t>经营期限：</w:t>
      </w:r>
    </w:p>
    <w:p w14:paraId="5C13E40D">
      <w:pPr>
        <w:spacing w:line="540" w:lineRule="exact"/>
        <w:rPr>
          <w:color w:val="auto"/>
          <w:szCs w:val="21"/>
          <w:highlight w:val="none"/>
        </w:rPr>
      </w:pPr>
      <w:r>
        <w:rPr>
          <w:color w:val="auto"/>
          <w:szCs w:val="21"/>
          <w:highlight w:val="none"/>
        </w:rPr>
        <w:t>姓名：；性别：</w:t>
      </w:r>
    </w:p>
    <w:p w14:paraId="412F6341">
      <w:pPr>
        <w:spacing w:line="540" w:lineRule="exact"/>
        <w:rPr>
          <w:color w:val="auto"/>
          <w:szCs w:val="21"/>
          <w:highlight w:val="none"/>
        </w:rPr>
      </w:pPr>
      <w:r>
        <w:rPr>
          <w:color w:val="auto"/>
          <w:szCs w:val="21"/>
          <w:highlight w:val="none"/>
        </w:rPr>
        <w:t>年龄：；职务：；身份证：</w:t>
      </w:r>
    </w:p>
    <w:p w14:paraId="273599F4">
      <w:pPr>
        <w:spacing w:line="540" w:lineRule="exact"/>
        <w:rPr>
          <w:color w:val="auto"/>
          <w:szCs w:val="21"/>
          <w:highlight w:val="none"/>
        </w:rPr>
      </w:pPr>
      <w:r>
        <w:rPr>
          <w:color w:val="auto"/>
          <w:szCs w:val="21"/>
          <w:highlight w:val="none"/>
        </w:rPr>
        <w:t>系</w:t>
      </w:r>
      <w:r>
        <w:rPr>
          <w:color w:val="auto"/>
          <w:szCs w:val="21"/>
          <w:highlight w:val="none"/>
          <w:u w:val="single"/>
        </w:rPr>
        <w:t xml:space="preserve">                                      （ 供应商名称）</w:t>
      </w:r>
      <w:r>
        <w:rPr>
          <w:color w:val="auto"/>
          <w:szCs w:val="21"/>
          <w:highlight w:val="none"/>
        </w:rPr>
        <w:t>的法定代表人。</w:t>
      </w:r>
    </w:p>
    <w:p w14:paraId="2A797CF1">
      <w:pPr>
        <w:spacing w:line="540" w:lineRule="exact"/>
        <w:rPr>
          <w:color w:val="auto"/>
          <w:szCs w:val="21"/>
          <w:highlight w:val="none"/>
        </w:rPr>
      </w:pPr>
    </w:p>
    <w:p w14:paraId="4BE4EDF2">
      <w:pPr>
        <w:spacing w:line="540" w:lineRule="exact"/>
        <w:ind w:firstLine="420" w:firstLineChars="200"/>
        <w:rPr>
          <w:color w:val="auto"/>
          <w:szCs w:val="21"/>
          <w:highlight w:val="none"/>
        </w:rPr>
      </w:pPr>
      <w:r>
        <w:rPr>
          <w:color w:val="auto"/>
          <w:szCs w:val="21"/>
          <w:highlight w:val="none"/>
        </w:rPr>
        <w:t>特此证明。</w:t>
      </w:r>
    </w:p>
    <w:p w14:paraId="7E94AF89">
      <w:pPr>
        <w:spacing w:line="360" w:lineRule="auto"/>
        <w:ind w:firstLine="420" w:firstLineChars="200"/>
        <w:rPr>
          <w:color w:val="auto"/>
          <w:szCs w:val="21"/>
          <w:highlight w:val="none"/>
        </w:rPr>
      </w:pPr>
    </w:p>
    <w:p w14:paraId="21407D68">
      <w:pPr>
        <w:spacing w:line="360" w:lineRule="auto"/>
        <w:ind w:firstLine="4830" w:firstLineChars="2300"/>
        <w:rPr>
          <w:color w:val="auto"/>
          <w:szCs w:val="21"/>
          <w:highlight w:val="none"/>
        </w:rPr>
      </w:pPr>
      <w:bookmarkStart w:id="106" w:name="_Hlk89181226"/>
      <w:r>
        <w:rPr>
          <w:color w:val="auto"/>
          <w:szCs w:val="21"/>
          <w:highlight w:val="none"/>
        </w:rPr>
        <w:t>供应商</w:t>
      </w:r>
      <w:r>
        <w:rPr>
          <w:rFonts w:hint="eastAsia"/>
          <w:color w:val="auto"/>
          <w:szCs w:val="21"/>
          <w:highlight w:val="none"/>
        </w:rPr>
        <w:t>名称（电子签章）</w:t>
      </w:r>
      <w:r>
        <w:rPr>
          <w:color w:val="auto"/>
          <w:szCs w:val="21"/>
          <w:highlight w:val="none"/>
        </w:rPr>
        <w:t>：</w:t>
      </w:r>
    </w:p>
    <w:p w14:paraId="788348AD">
      <w:pPr>
        <w:spacing w:line="360" w:lineRule="auto"/>
        <w:rPr>
          <w:color w:val="auto"/>
          <w:szCs w:val="21"/>
          <w:highlight w:val="none"/>
        </w:rPr>
      </w:pPr>
      <w:r>
        <w:rPr>
          <w:color w:val="auto"/>
          <w:szCs w:val="21"/>
          <w:highlight w:val="none"/>
        </w:rPr>
        <w:t xml:space="preserve">                                                   年       月       日 </w:t>
      </w:r>
    </w:p>
    <w:bookmarkEnd w:id="106"/>
    <w:p w14:paraId="3C93FDE9">
      <w:pPr>
        <w:spacing w:line="360" w:lineRule="auto"/>
        <w:ind w:firstLine="420" w:firstLineChars="200"/>
        <w:rPr>
          <w:color w:val="auto"/>
          <w:szCs w:val="21"/>
          <w:highlight w:val="none"/>
        </w:rPr>
      </w:pPr>
    </w:p>
    <w:p w14:paraId="3875D3FB">
      <w:pPr>
        <w:spacing w:line="360" w:lineRule="auto"/>
        <w:rPr>
          <w:color w:val="auto"/>
          <w:szCs w:val="21"/>
          <w:highlight w:val="none"/>
        </w:rPr>
      </w:pPr>
      <w:r>
        <w:rPr>
          <w:color w:val="auto"/>
          <w:szCs w:val="21"/>
          <w:highlight w:val="none"/>
        </w:rPr>
        <w:t>附件：法定代表人身份证复印件</w:t>
      </w:r>
    </w:p>
    <w:p w14:paraId="5083D096">
      <w:pPr>
        <w:spacing w:line="360" w:lineRule="auto"/>
        <w:rPr>
          <w:color w:val="auto"/>
          <w:szCs w:val="21"/>
          <w:highlight w:val="none"/>
        </w:rPr>
      </w:pPr>
    </w:p>
    <w:p w14:paraId="43646E41">
      <w:pPr>
        <w:snapToGrid w:val="0"/>
        <w:spacing w:beforeLines="50" w:after="50" w:line="360" w:lineRule="exact"/>
        <w:rPr>
          <w:b/>
          <w:color w:val="auto"/>
          <w:szCs w:val="21"/>
          <w:highlight w:val="none"/>
        </w:rPr>
      </w:pPr>
      <w:r>
        <w:rPr>
          <w:b/>
          <w:color w:val="auto"/>
          <w:szCs w:val="21"/>
          <w:highlight w:val="none"/>
        </w:rPr>
        <w:br w:type="page"/>
      </w:r>
      <w:r>
        <w:rPr>
          <w:rFonts w:hint="eastAsia"/>
          <w:b/>
          <w:color w:val="auto"/>
          <w:szCs w:val="21"/>
          <w:highlight w:val="none"/>
        </w:rPr>
        <w:t>1</w:t>
      </w:r>
      <w:r>
        <w:rPr>
          <w:b/>
          <w:color w:val="auto"/>
          <w:szCs w:val="21"/>
          <w:highlight w:val="none"/>
        </w:rPr>
        <w:t>．法定代表</w:t>
      </w:r>
      <w:r>
        <w:rPr>
          <w:rFonts w:hint="eastAsia"/>
          <w:b/>
          <w:color w:val="auto"/>
          <w:szCs w:val="21"/>
          <w:highlight w:val="none"/>
        </w:rPr>
        <w:t>授权</w:t>
      </w:r>
      <w:r>
        <w:rPr>
          <w:b/>
          <w:color w:val="auto"/>
          <w:szCs w:val="21"/>
          <w:highlight w:val="none"/>
        </w:rPr>
        <w:t>委托书</w:t>
      </w:r>
      <w:r>
        <w:rPr>
          <w:rFonts w:hint="eastAsia"/>
          <w:b/>
          <w:color w:val="auto"/>
          <w:szCs w:val="21"/>
          <w:highlight w:val="none"/>
        </w:rPr>
        <w:t>（有授权</w:t>
      </w:r>
      <w:r>
        <w:rPr>
          <w:b/>
          <w:color w:val="auto"/>
          <w:szCs w:val="21"/>
          <w:highlight w:val="none"/>
        </w:rPr>
        <w:t>代表</w:t>
      </w:r>
      <w:r>
        <w:rPr>
          <w:rFonts w:hint="eastAsia"/>
          <w:b/>
          <w:color w:val="auto"/>
          <w:szCs w:val="21"/>
          <w:highlight w:val="none"/>
        </w:rPr>
        <w:t>时提供）</w:t>
      </w:r>
      <w:r>
        <w:rPr>
          <w:b/>
          <w:color w:val="auto"/>
          <w:szCs w:val="21"/>
          <w:highlight w:val="none"/>
        </w:rPr>
        <w:t>：</w:t>
      </w:r>
    </w:p>
    <w:p w14:paraId="60DFF8C7">
      <w:pPr>
        <w:snapToGrid w:val="0"/>
        <w:spacing w:beforeLines="50" w:after="50" w:line="360" w:lineRule="exact"/>
        <w:rPr>
          <w:b/>
          <w:color w:val="auto"/>
          <w:szCs w:val="21"/>
          <w:highlight w:val="none"/>
        </w:rPr>
      </w:pPr>
    </w:p>
    <w:p w14:paraId="72AF450A">
      <w:pPr>
        <w:snapToGrid w:val="0"/>
        <w:spacing w:beforeLines="50" w:after="50" w:line="440" w:lineRule="exact"/>
        <w:jc w:val="center"/>
        <w:rPr>
          <w:b/>
          <w:color w:val="auto"/>
          <w:szCs w:val="21"/>
          <w:highlight w:val="none"/>
        </w:rPr>
      </w:pPr>
      <w:r>
        <w:rPr>
          <w:b/>
          <w:color w:val="auto"/>
          <w:szCs w:val="21"/>
          <w:highlight w:val="none"/>
        </w:rPr>
        <w:t>法定代表人授权委托书</w:t>
      </w:r>
    </w:p>
    <w:p w14:paraId="44BD73F7">
      <w:pPr>
        <w:snapToGrid w:val="0"/>
        <w:spacing w:beforeLines="50" w:after="50" w:line="440" w:lineRule="exact"/>
        <w:rPr>
          <w:bCs/>
          <w:color w:val="auto"/>
          <w:szCs w:val="21"/>
          <w:highlight w:val="none"/>
        </w:rPr>
      </w:pPr>
    </w:p>
    <w:p w14:paraId="40947821">
      <w:pPr>
        <w:snapToGrid w:val="0"/>
        <w:spacing w:beforeLines="50" w:after="50" w:line="440" w:lineRule="exact"/>
        <w:rPr>
          <w:b/>
          <w:bCs/>
          <w:color w:val="auto"/>
          <w:szCs w:val="21"/>
          <w:highlight w:val="none"/>
        </w:rPr>
      </w:pPr>
      <w:r>
        <w:rPr>
          <w:bCs/>
          <w:color w:val="auto"/>
          <w:szCs w:val="21"/>
          <w:highlight w:val="none"/>
        </w:rPr>
        <w:t>致：</w:t>
      </w:r>
      <w:r>
        <w:rPr>
          <w:i/>
          <w:iCs/>
          <w:color w:val="auto"/>
          <w:szCs w:val="21"/>
          <w:highlight w:val="none"/>
          <w:u w:val="single"/>
        </w:rPr>
        <w:t>（采购人名称）</w:t>
      </w:r>
    </w:p>
    <w:p w14:paraId="305EA5E3">
      <w:pPr>
        <w:snapToGrid w:val="0"/>
        <w:spacing w:beforeLines="50" w:after="50" w:line="440" w:lineRule="exact"/>
        <w:ind w:firstLine="420" w:firstLineChars="200"/>
        <w:rPr>
          <w:color w:val="auto"/>
          <w:szCs w:val="21"/>
          <w:highlight w:val="none"/>
        </w:rPr>
      </w:pPr>
      <w:r>
        <w:rPr>
          <w:color w:val="auto"/>
          <w:szCs w:val="21"/>
          <w:highlight w:val="none"/>
        </w:rPr>
        <w:t>我</w:t>
      </w:r>
      <w:r>
        <w:rPr>
          <w:i/>
          <w:iCs/>
          <w:color w:val="auto"/>
          <w:szCs w:val="21"/>
          <w:highlight w:val="none"/>
          <w:u w:val="single"/>
        </w:rPr>
        <w:t>（姓名）</w:t>
      </w:r>
      <w:r>
        <w:rPr>
          <w:color w:val="auto"/>
          <w:szCs w:val="21"/>
          <w:highlight w:val="none"/>
        </w:rPr>
        <w:t>系</w:t>
      </w:r>
      <w:r>
        <w:rPr>
          <w:i/>
          <w:iCs/>
          <w:color w:val="auto"/>
          <w:szCs w:val="21"/>
          <w:highlight w:val="none"/>
          <w:u w:val="single"/>
        </w:rPr>
        <w:t>（供应商名称）</w:t>
      </w:r>
      <w:r>
        <w:rPr>
          <w:color w:val="auto"/>
          <w:szCs w:val="21"/>
          <w:highlight w:val="none"/>
        </w:rPr>
        <w:t>的法定代表人，现授权委托本单位在职职工</w:t>
      </w:r>
      <w:r>
        <w:rPr>
          <w:i/>
          <w:iCs/>
          <w:color w:val="auto"/>
          <w:szCs w:val="21"/>
          <w:highlight w:val="none"/>
          <w:u w:val="single"/>
        </w:rPr>
        <w:t>（姓名）</w:t>
      </w:r>
      <w:r>
        <w:rPr>
          <w:color w:val="auto"/>
          <w:szCs w:val="21"/>
          <w:highlight w:val="none"/>
        </w:rPr>
        <w:t>以我方的名义参加</w:t>
      </w:r>
      <w:r>
        <w:rPr>
          <w:rFonts w:hint="eastAsia"/>
          <w:i/>
          <w:iCs/>
          <w:color w:val="auto"/>
          <w:szCs w:val="21"/>
          <w:highlight w:val="none"/>
          <w:u w:val="single"/>
        </w:rPr>
        <w:t>（项目名称 ）</w:t>
      </w:r>
      <w:r>
        <w:rPr>
          <w:color w:val="auto"/>
          <w:szCs w:val="21"/>
          <w:highlight w:val="none"/>
        </w:rPr>
        <w:t>项目的</w:t>
      </w:r>
      <w:r>
        <w:rPr>
          <w:rFonts w:hint="eastAsia"/>
          <w:color w:val="auto"/>
          <w:szCs w:val="21"/>
          <w:highlight w:val="none"/>
        </w:rPr>
        <w:t>谈判</w:t>
      </w:r>
      <w:r>
        <w:rPr>
          <w:color w:val="auto"/>
          <w:szCs w:val="21"/>
          <w:highlight w:val="none"/>
        </w:rPr>
        <w:t>活动，并代表我方全权办理针对上述项目的</w:t>
      </w:r>
      <w:r>
        <w:rPr>
          <w:rFonts w:hint="eastAsia"/>
          <w:color w:val="auto"/>
          <w:szCs w:val="21"/>
          <w:highlight w:val="none"/>
        </w:rPr>
        <w:t>谈判</w:t>
      </w:r>
      <w:r>
        <w:rPr>
          <w:color w:val="auto"/>
          <w:szCs w:val="21"/>
          <w:highlight w:val="none"/>
        </w:rPr>
        <w:t>、截标、评审、签约等具体事务和签署相关文件。</w:t>
      </w:r>
    </w:p>
    <w:p w14:paraId="0E34550A">
      <w:pPr>
        <w:snapToGrid w:val="0"/>
        <w:spacing w:beforeLines="50" w:after="50" w:line="440" w:lineRule="exact"/>
        <w:rPr>
          <w:color w:val="auto"/>
          <w:szCs w:val="21"/>
          <w:highlight w:val="none"/>
        </w:rPr>
      </w:pPr>
      <w:r>
        <w:rPr>
          <w:color w:val="auto"/>
          <w:szCs w:val="21"/>
          <w:highlight w:val="none"/>
        </w:rPr>
        <w:t xml:space="preserve">    我方对被授权人的签名事项负全部责任。</w:t>
      </w:r>
    </w:p>
    <w:p w14:paraId="04AA30E7">
      <w:pPr>
        <w:snapToGrid w:val="0"/>
        <w:spacing w:beforeLines="50" w:after="50" w:line="440" w:lineRule="exact"/>
        <w:ind w:firstLine="480"/>
        <w:rPr>
          <w:color w:val="auto"/>
          <w:szCs w:val="21"/>
          <w:highlight w:val="none"/>
        </w:rPr>
      </w:pPr>
      <w:r>
        <w:rPr>
          <w:color w:val="auto"/>
          <w:szCs w:val="21"/>
          <w:highlight w:val="none"/>
        </w:rPr>
        <w:t>在撤销授权的书面通知以前，本授权书一直有效。被授权人在授权书有效期内签署的所有文件不因授权的撤销而失效。</w:t>
      </w:r>
    </w:p>
    <w:p w14:paraId="5F9BB8DD">
      <w:pPr>
        <w:snapToGrid w:val="0"/>
        <w:spacing w:beforeLines="50" w:after="50" w:line="440" w:lineRule="exact"/>
        <w:ind w:firstLine="480"/>
        <w:rPr>
          <w:color w:val="auto"/>
          <w:szCs w:val="21"/>
          <w:highlight w:val="none"/>
        </w:rPr>
      </w:pPr>
      <w:r>
        <w:rPr>
          <w:color w:val="auto"/>
          <w:szCs w:val="21"/>
          <w:highlight w:val="none"/>
        </w:rPr>
        <w:t>被授权人无转委托权，特此委托。</w:t>
      </w:r>
    </w:p>
    <w:p w14:paraId="79140797">
      <w:pPr>
        <w:snapToGrid w:val="0"/>
        <w:spacing w:beforeLines="50" w:after="50" w:line="440" w:lineRule="exact"/>
        <w:rPr>
          <w:color w:val="auto"/>
          <w:szCs w:val="21"/>
          <w:highlight w:val="none"/>
          <w:u w:val="single"/>
        </w:rPr>
      </w:pPr>
      <w:r>
        <w:rPr>
          <w:color w:val="auto"/>
          <w:szCs w:val="21"/>
          <w:highlight w:val="none"/>
        </w:rPr>
        <w:t>被授权人签名或</w:t>
      </w:r>
      <w:r>
        <w:rPr>
          <w:rFonts w:hint="eastAsia"/>
          <w:color w:val="auto"/>
          <w:szCs w:val="21"/>
          <w:highlight w:val="none"/>
        </w:rPr>
        <w:t>签</w:t>
      </w:r>
      <w:r>
        <w:rPr>
          <w:color w:val="auto"/>
          <w:szCs w:val="21"/>
          <w:highlight w:val="none"/>
        </w:rPr>
        <w:t>章：                           法定代表人签名或</w:t>
      </w:r>
      <w:r>
        <w:rPr>
          <w:rFonts w:hint="eastAsia"/>
          <w:color w:val="auto"/>
          <w:szCs w:val="21"/>
          <w:highlight w:val="none"/>
        </w:rPr>
        <w:t>签</w:t>
      </w:r>
      <w:r>
        <w:rPr>
          <w:color w:val="auto"/>
          <w:szCs w:val="21"/>
          <w:highlight w:val="none"/>
        </w:rPr>
        <w:t>章：</w:t>
      </w:r>
    </w:p>
    <w:p w14:paraId="752AA14D">
      <w:pPr>
        <w:snapToGrid w:val="0"/>
        <w:spacing w:beforeLines="50" w:after="50" w:line="440" w:lineRule="exact"/>
        <w:rPr>
          <w:color w:val="auto"/>
          <w:szCs w:val="21"/>
          <w:highlight w:val="none"/>
        </w:rPr>
      </w:pPr>
      <w:r>
        <w:rPr>
          <w:color w:val="auto"/>
          <w:szCs w:val="21"/>
          <w:highlight w:val="none"/>
        </w:rPr>
        <w:t>职务：                                  职务：</w:t>
      </w:r>
    </w:p>
    <w:p w14:paraId="348EF735">
      <w:pPr>
        <w:snapToGrid w:val="0"/>
        <w:spacing w:beforeLines="50" w:after="50" w:line="440" w:lineRule="exact"/>
        <w:rPr>
          <w:color w:val="auto"/>
          <w:szCs w:val="21"/>
          <w:highlight w:val="none"/>
        </w:rPr>
      </w:pPr>
      <w:r>
        <w:rPr>
          <w:color w:val="auto"/>
          <w:szCs w:val="21"/>
          <w:highlight w:val="none"/>
        </w:rPr>
        <w:t>被授权人身份证号码：            授权人身份证号码：</w:t>
      </w:r>
    </w:p>
    <w:p w14:paraId="3E181A07">
      <w:pPr>
        <w:snapToGrid w:val="0"/>
        <w:spacing w:beforeLines="50" w:after="50" w:line="440" w:lineRule="exact"/>
        <w:rPr>
          <w:color w:val="auto"/>
          <w:szCs w:val="21"/>
          <w:highlight w:val="none"/>
        </w:rPr>
      </w:pPr>
      <w:r>
        <w:rPr>
          <w:rFonts w:hint="eastAsia"/>
          <w:color w:val="auto"/>
          <w:szCs w:val="21"/>
          <w:highlight w:val="none"/>
        </w:rPr>
        <w:t>被授权人手机号码及邮箱：</w:t>
      </w:r>
    </w:p>
    <w:p w14:paraId="735F088A">
      <w:pPr>
        <w:snapToGrid w:val="0"/>
        <w:spacing w:beforeLines="50" w:after="50" w:line="440" w:lineRule="exact"/>
        <w:rPr>
          <w:color w:val="auto"/>
          <w:szCs w:val="21"/>
          <w:highlight w:val="none"/>
        </w:rPr>
      </w:pPr>
    </w:p>
    <w:p w14:paraId="7FDE6E82">
      <w:pPr>
        <w:snapToGrid w:val="0"/>
        <w:spacing w:beforeLines="50" w:after="50" w:line="440" w:lineRule="exact"/>
        <w:ind w:firstLine="5670" w:firstLineChars="2700"/>
        <w:rPr>
          <w:color w:val="auto"/>
          <w:szCs w:val="21"/>
          <w:highlight w:val="none"/>
        </w:rPr>
      </w:pPr>
      <w:bookmarkStart w:id="107" w:name="_Hlk89181256"/>
      <w:r>
        <w:rPr>
          <w:color w:val="auto"/>
          <w:szCs w:val="21"/>
          <w:highlight w:val="none"/>
        </w:rPr>
        <w:t>供应商</w:t>
      </w:r>
      <w:r>
        <w:rPr>
          <w:rFonts w:hint="eastAsia"/>
          <w:color w:val="auto"/>
          <w:szCs w:val="21"/>
          <w:highlight w:val="none"/>
        </w:rPr>
        <w:t>名称（电子签章）</w:t>
      </w:r>
      <w:r>
        <w:rPr>
          <w:color w:val="auto"/>
          <w:szCs w:val="21"/>
          <w:highlight w:val="none"/>
        </w:rPr>
        <w:t>：</w:t>
      </w:r>
    </w:p>
    <w:p w14:paraId="299076BD">
      <w:pPr>
        <w:snapToGrid w:val="0"/>
        <w:spacing w:beforeLines="50" w:after="50" w:line="440" w:lineRule="exact"/>
        <w:jc w:val="center"/>
        <w:rPr>
          <w:color w:val="auto"/>
          <w:szCs w:val="21"/>
          <w:highlight w:val="none"/>
        </w:rPr>
      </w:pPr>
      <w:r>
        <w:rPr>
          <w:color w:val="auto"/>
          <w:szCs w:val="21"/>
          <w:highlight w:val="none"/>
        </w:rPr>
        <w:t xml:space="preserve">                                        年    月    日</w:t>
      </w:r>
    </w:p>
    <w:bookmarkEnd w:id="107"/>
    <w:p w14:paraId="5578813D">
      <w:pPr>
        <w:spacing w:line="360" w:lineRule="auto"/>
        <w:rPr>
          <w:color w:val="auto"/>
          <w:szCs w:val="21"/>
          <w:highlight w:val="none"/>
        </w:rPr>
      </w:pPr>
    </w:p>
    <w:p w14:paraId="19F4534B">
      <w:pPr>
        <w:spacing w:line="360" w:lineRule="auto"/>
        <w:rPr>
          <w:color w:val="auto"/>
          <w:szCs w:val="21"/>
          <w:highlight w:val="none"/>
        </w:rPr>
      </w:pPr>
    </w:p>
    <w:p w14:paraId="643AB040">
      <w:pPr>
        <w:spacing w:line="360" w:lineRule="auto"/>
        <w:rPr>
          <w:color w:val="auto"/>
          <w:szCs w:val="21"/>
          <w:highlight w:val="none"/>
        </w:rPr>
      </w:pPr>
    </w:p>
    <w:p w14:paraId="1B85A905">
      <w:pPr>
        <w:spacing w:line="360" w:lineRule="auto"/>
        <w:rPr>
          <w:color w:val="auto"/>
          <w:szCs w:val="21"/>
          <w:highlight w:val="none"/>
        </w:rPr>
      </w:pPr>
      <w:r>
        <w:rPr>
          <w:color w:val="auto"/>
          <w:szCs w:val="21"/>
          <w:highlight w:val="none"/>
        </w:rPr>
        <w:t>附件：法定代表人身份证复印件及授权代表身份证复印件</w:t>
      </w:r>
    </w:p>
    <w:p w14:paraId="1BC7DFD6">
      <w:pPr>
        <w:snapToGrid w:val="0"/>
        <w:spacing w:beforeLines="50" w:after="50" w:line="440" w:lineRule="exact"/>
        <w:jc w:val="center"/>
        <w:rPr>
          <w:bCs/>
          <w:color w:val="auto"/>
          <w:sz w:val="24"/>
          <w:highlight w:val="none"/>
        </w:rPr>
      </w:pPr>
      <w:r>
        <w:rPr>
          <w:bCs/>
          <w:color w:val="auto"/>
          <w:sz w:val="24"/>
          <w:highlight w:val="none"/>
        </w:rPr>
        <w:br w:type="page"/>
      </w:r>
      <w:r>
        <w:rPr>
          <w:bCs/>
          <w:color w:val="auto"/>
          <w:sz w:val="24"/>
          <w:highlight w:val="none"/>
        </w:rPr>
        <w:t>第</w:t>
      </w:r>
      <w:r>
        <w:rPr>
          <w:rFonts w:hint="eastAsia"/>
          <w:bCs/>
          <w:color w:val="auto"/>
          <w:sz w:val="24"/>
          <w:highlight w:val="none"/>
        </w:rPr>
        <w:t>二</w:t>
      </w:r>
      <w:r>
        <w:rPr>
          <w:bCs/>
          <w:color w:val="auto"/>
          <w:sz w:val="24"/>
          <w:highlight w:val="none"/>
        </w:rPr>
        <w:t xml:space="preserve">部分 </w:t>
      </w:r>
      <w:r>
        <w:rPr>
          <w:rFonts w:hint="eastAsia"/>
          <w:bCs/>
          <w:color w:val="auto"/>
          <w:sz w:val="24"/>
          <w:highlight w:val="none"/>
        </w:rPr>
        <w:t>技</w:t>
      </w:r>
      <w:bookmarkStart w:id="108" w:name="OLE_LINK1"/>
      <w:bookmarkStart w:id="109" w:name="OLE_LINK2"/>
      <w:r>
        <w:rPr>
          <w:rFonts w:hint="eastAsia"/>
          <w:bCs/>
          <w:color w:val="auto"/>
          <w:sz w:val="24"/>
          <w:highlight w:val="none"/>
        </w:rPr>
        <w:t>术商务</w:t>
      </w:r>
      <w:r>
        <w:rPr>
          <w:bCs/>
          <w:color w:val="auto"/>
          <w:sz w:val="24"/>
          <w:highlight w:val="none"/>
        </w:rPr>
        <w:t>文件</w:t>
      </w:r>
      <w:bookmarkEnd w:id="108"/>
      <w:bookmarkEnd w:id="109"/>
    </w:p>
    <w:p w14:paraId="5DB8C089">
      <w:pPr>
        <w:snapToGrid w:val="0"/>
        <w:spacing w:before="50" w:afterLines="50" w:line="440" w:lineRule="exact"/>
        <w:jc w:val="center"/>
        <w:rPr>
          <w:color w:val="auto"/>
          <w:highlight w:val="none"/>
        </w:rPr>
      </w:pPr>
      <w:r>
        <w:rPr>
          <w:color w:val="auto"/>
          <w:highlight w:val="none"/>
        </w:rPr>
        <w:t>（本商务</w:t>
      </w:r>
      <w:r>
        <w:rPr>
          <w:rFonts w:hint="eastAsia"/>
          <w:color w:val="auto"/>
          <w:highlight w:val="none"/>
        </w:rPr>
        <w:t>技术</w:t>
      </w:r>
      <w:r>
        <w:rPr>
          <w:color w:val="auto"/>
          <w:highlight w:val="none"/>
        </w:rPr>
        <w:t>文件供应商可自行编写，也可参照下述提纲编写）</w:t>
      </w:r>
    </w:p>
    <w:p w14:paraId="04C42805">
      <w:pPr>
        <w:rPr>
          <w:color w:val="auto"/>
          <w:szCs w:val="21"/>
          <w:highlight w:val="none"/>
        </w:rPr>
      </w:pPr>
      <w:bookmarkStart w:id="110" w:name="_Hlk21623674"/>
      <w:r>
        <w:rPr>
          <w:rFonts w:hint="eastAsia"/>
          <w:color w:val="auto"/>
          <w:szCs w:val="21"/>
          <w:highlight w:val="none"/>
        </w:rPr>
        <w:t>1</w:t>
      </w:r>
      <w:r>
        <w:rPr>
          <w:color w:val="auto"/>
          <w:szCs w:val="21"/>
          <w:highlight w:val="none"/>
        </w:rPr>
        <w:t>．</w:t>
      </w:r>
      <w:r>
        <w:rPr>
          <w:rFonts w:hint="eastAsia"/>
          <w:color w:val="auto"/>
          <w:szCs w:val="21"/>
          <w:highlight w:val="none"/>
        </w:rPr>
        <w:t>对</w:t>
      </w:r>
      <w:r>
        <w:rPr>
          <w:color w:val="auto"/>
          <w:szCs w:val="21"/>
          <w:highlight w:val="none"/>
        </w:rPr>
        <w:t>本项目第</w:t>
      </w:r>
      <w:r>
        <w:rPr>
          <w:rFonts w:hint="eastAsia"/>
          <w:color w:val="auto"/>
          <w:szCs w:val="21"/>
          <w:highlight w:val="none"/>
        </w:rPr>
        <w:t>二</w:t>
      </w:r>
      <w:r>
        <w:rPr>
          <w:color w:val="auto"/>
          <w:szCs w:val="21"/>
          <w:highlight w:val="none"/>
        </w:rPr>
        <w:t>章</w:t>
      </w:r>
      <w:r>
        <w:rPr>
          <w:rFonts w:hint="eastAsia"/>
          <w:color w:val="auto"/>
          <w:szCs w:val="21"/>
          <w:highlight w:val="none"/>
        </w:rPr>
        <w:t>《</w:t>
      </w:r>
      <w:r>
        <w:rPr>
          <w:color w:val="auto"/>
          <w:szCs w:val="21"/>
          <w:highlight w:val="none"/>
        </w:rPr>
        <w:t>采购需求</w:t>
      </w:r>
      <w:r>
        <w:rPr>
          <w:rFonts w:hint="eastAsia"/>
          <w:color w:val="auto"/>
          <w:szCs w:val="21"/>
          <w:highlight w:val="none"/>
        </w:rPr>
        <w:t>》技术</w:t>
      </w:r>
      <w:r>
        <w:rPr>
          <w:color w:val="auto"/>
          <w:szCs w:val="21"/>
          <w:highlight w:val="none"/>
        </w:rPr>
        <w:t>要求的</w:t>
      </w:r>
      <w:r>
        <w:rPr>
          <w:rFonts w:hint="eastAsia"/>
          <w:color w:val="auto"/>
          <w:szCs w:val="21"/>
          <w:highlight w:val="none"/>
        </w:rPr>
        <w:t>响应表</w:t>
      </w:r>
      <w:r>
        <w:rPr>
          <w:color w:val="auto"/>
          <w:szCs w:val="21"/>
          <w:highlight w:val="none"/>
        </w:rPr>
        <w:t>：</w:t>
      </w:r>
    </w:p>
    <w:bookmarkEnd w:id="110"/>
    <w:p w14:paraId="5B47B12F">
      <w:pPr>
        <w:spacing w:line="360" w:lineRule="auto"/>
        <w:rPr>
          <w:rFonts w:ascii="宋体" w:hAnsi="宋体" w:cs="仿宋_GB2312"/>
          <w:color w:val="auto"/>
          <w:sz w:val="24"/>
          <w:highlight w:val="none"/>
          <w:u w:val="single"/>
        </w:rPr>
      </w:pPr>
    </w:p>
    <w:tbl>
      <w:tblPr>
        <w:tblStyle w:val="51"/>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49"/>
        <w:gridCol w:w="949"/>
        <w:gridCol w:w="3150"/>
        <w:gridCol w:w="2835"/>
        <w:gridCol w:w="1547"/>
      </w:tblGrid>
      <w:tr w14:paraId="0A890C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ign w:val="center"/>
          </w:tcPr>
          <w:p w14:paraId="78233AC2">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序号</w:t>
            </w:r>
          </w:p>
        </w:tc>
        <w:tc>
          <w:tcPr>
            <w:tcW w:w="503" w:type="pct"/>
            <w:tcBorders>
              <w:right w:val="single" w:color="auto" w:sz="4" w:space="0"/>
            </w:tcBorders>
            <w:noWrap/>
            <w:vAlign w:val="center"/>
          </w:tcPr>
          <w:p w14:paraId="18F3EE24">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名称</w:t>
            </w:r>
          </w:p>
        </w:tc>
        <w:tc>
          <w:tcPr>
            <w:tcW w:w="1670" w:type="pct"/>
            <w:tcBorders>
              <w:left w:val="single" w:color="auto" w:sz="4" w:space="0"/>
            </w:tcBorders>
            <w:noWrap/>
            <w:vAlign w:val="center"/>
          </w:tcPr>
          <w:p w14:paraId="36B14BAB">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谈判文件要求</w:t>
            </w:r>
          </w:p>
        </w:tc>
        <w:tc>
          <w:tcPr>
            <w:tcW w:w="1503" w:type="pct"/>
            <w:noWrap/>
            <w:vAlign w:val="center"/>
          </w:tcPr>
          <w:p w14:paraId="4EA0C8F2">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竞标响应</w:t>
            </w:r>
          </w:p>
        </w:tc>
        <w:tc>
          <w:tcPr>
            <w:tcW w:w="820" w:type="pct"/>
            <w:noWrap/>
            <w:vAlign w:val="center"/>
          </w:tcPr>
          <w:p w14:paraId="0D1682E3">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偏离说明</w:t>
            </w:r>
          </w:p>
        </w:tc>
      </w:tr>
      <w:tr w14:paraId="5EF9D9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ign w:val="center"/>
          </w:tcPr>
          <w:p w14:paraId="3C43ADBD">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w:t>
            </w:r>
          </w:p>
        </w:tc>
        <w:tc>
          <w:tcPr>
            <w:tcW w:w="503" w:type="pct"/>
            <w:tcBorders>
              <w:right w:val="single" w:color="auto" w:sz="4" w:space="0"/>
            </w:tcBorders>
            <w:noWrap/>
            <w:vAlign w:val="center"/>
          </w:tcPr>
          <w:p w14:paraId="2FB77FB3">
            <w:pPr>
              <w:pStyle w:val="20"/>
              <w:spacing w:line="360" w:lineRule="auto"/>
              <w:ind w:firstLine="0" w:firstLineChars="0"/>
              <w:jc w:val="center"/>
              <w:rPr>
                <w:rFonts w:ascii="宋体" w:hAnsi="宋体" w:eastAsia="宋体" w:cs="仿宋_GB2312"/>
                <w:color w:val="auto"/>
                <w:sz w:val="24"/>
                <w:szCs w:val="24"/>
                <w:highlight w:val="none"/>
              </w:rPr>
            </w:pPr>
          </w:p>
        </w:tc>
        <w:tc>
          <w:tcPr>
            <w:tcW w:w="1670" w:type="pct"/>
            <w:tcBorders>
              <w:left w:val="single" w:color="auto" w:sz="4" w:space="0"/>
            </w:tcBorders>
            <w:noWrap/>
            <w:vAlign w:val="center"/>
          </w:tcPr>
          <w:p w14:paraId="19C3AF52">
            <w:pPr>
              <w:pStyle w:val="20"/>
              <w:spacing w:line="360" w:lineRule="auto"/>
              <w:ind w:firstLine="0" w:firstLineChars="0"/>
              <w:jc w:val="center"/>
              <w:rPr>
                <w:rFonts w:ascii="宋体" w:hAnsi="宋体" w:eastAsia="宋体" w:cs="仿宋_GB2312"/>
                <w:color w:val="auto"/>
                <w:sz w:val="24"/>
                <w:szCs w:val="24"/>
                <w:highlight w:val="none"/>
              </w:rPr>
            </w:pPr>
          </w:p>
        </w:tc>
        <w:tc>
          <w:tcPr>
            <w:tcW w:w="1503" w:type="pct"/>
            <w:noWrap/>
            <w:vAlign w:val="center"/>
          </w:tcPr>
          <w:p w14:paraId="6A73D7ED">
            <w:pPr>
              <w:pStyle w:val="20"/>
              <w:spacing w:line="360" w:lineRule="auto"/>
              <w:ind w:firstLine="0" w:firstLineChars="0"/>
              <w:jc w:val="center"/>
              <w:rPr>
                <w:rFonts w:ascii="宋体" w:hAnsi="宋体" w:eastAsia="宋体" w:cs="仿宋_GB2312"/>
                <w:color w:val="auto"/>
                <w:sz w:val="24"/>
                <w:szCs w:val="24"/>
                <w:highlight w:val="none"/>
              </w:rPr>
            </w:pPr>
          </w:p>
        </w:tc>
        <w:tc>
          <w:tcPr>
            <w:tcW w:w="820" w:type="pct"/>
            <w:noWrap/>
            <w:vAlign w:val="center"/>
          </w:tcPr>
          <w:p w14:paraId="5D96CF6C">
            <w:pPr>
              <w:pStyle w:val="20"/>
              <w:spacing w:line="360" w:lineRule="auto"/>
              <w:ind w:firstLine="0" w:firstLineChars="0"/>
              <w:jc w:val="center"/>
              <w:rPr>
                <w:rFonts w:ascii="宋体" w:hAnsi="宋体" w:eastAsia="宋体" w:cs="仿宋_GB2312"/>
                <w:color w:val="auto"/>
                <w:sz w:val="24"/>
                <w:szCs w:val="24"/>
                <w:highlight w:val="none"/>
              </w:rPr>
            </w:pPr>
          </w:p>
        </w:tc>
      </w:tr>
      <w:tr w14:paraId="020A1F7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ign w:val="center"/>
          </w:tcPr>
          <w:p w14:paraId="5965DFAF">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w:t>
            </w:r>
          </w:p>
        </w:tc>
        <w:tc>
          <w:tcPr>
            <w:tcW w:w="503" w:type="pct"/>
            <w:tcBorders>
              <w:right w:val="single" w:color="auto" w:sz="4" w:space="0"/>
            </w:tcBorders>
            <w:noWrap/>
            <w:vAlign w:val="center"/>
          </w:tcPr>
          <w:p w14:paraId="64A31990">
            <w:pPr>
              <w:pStyle w:val="20"/>
              <w:spacing w:line="360" w:lineRule="auto"/>
              <w:ind w:firstLine="0" w:firstLineChars="0"/>
              <w:jc w:val="center"/>
              <w:rPr>
                <w:rFonts w:ascii="宋体" w:hAnsi="宋体" w:eastAsia="宋体" w:cs="仿宋_GB2312"/>
                <w:color w:val="auto"/>
                <w:sz w:val="24"/>
                <w:szCs w:val="24"/>
                <w:highlight w:val="none"/>
              </w:rPr>
            </w:pPr>
          </w:p>
        </w:tc>
        <w:tc>
          <w:tcPr>
            <w:tcW w:w="1670" w:type="pct"/>
            <w:tcBorders>
              <w:left w:val="single" w:color="auto" w:sz="4" w:space="0"/>
            </w:tcBorders>
            <w:noWrap/>
            <w:vAlign w:val="center"/>
          </w:tcPr>
          <w:p w14:paraId="30DDE895">
            <w:pPr>
              <w:pStyle w:val="20"/>
              <w:spacing w:line="360" w:lineRule="auto"/>
              <w:ind w:firstLine="0" w:firstLineChars="0"/>
              <w:jc w:val="center"/>
              <w:rPr>
                <w:rFonts w:ascii="宋体" w:hAnsi="宋体" w:eastAsia="宋体" w:cs="仿宋_GB2312"/>
                <w:color w:val="auto"/>
                <w:sz w:val="24"/>
                <w:szCs w:val="24"/>
                <w:highlight w:val="none"/>
              </w:rPr>
            </w:pPr>
          </w:p>
        </w:tc>
        <w:tc>
          <w:tcPr>
            <w:tcW w:w="1503" w:type="pct"/>
            <w:noWrap/>
            <w:vAlign w:val="center"/>
          </w:tcPr>
          <w:p w14:paraId="41E38C3E">
            <w:pPr>
              <w:pStyle w:val="20"/>
              <w:spacing w:line="360" w:lineRule="auto"/>
              <w:ind w:firstLine="0" w:firstLineChars="0"/>
              <w:jc w:val="center"/>
              <w:rPr>
                <w:rFonts w:ascii="宋体" w:hAnsi="宋体" w:eastAsia="宋体" w:cs="仿宋_GB2312"/>
                <w:color w:val="auto"/>
                <w:sz w:val="24"/>
                <w:szCs w:val="24"/>
                <w:highlight w:val="none"/>
              </w:rPr>
            </w:pPr>
          </w:p>
        </w:tc>
        <w:tc>
          <w:tcPr>
            <w:tcW w:w="820" w:type="pct"/>
            <w:noWrap/>
            <w:vAlign w:val="center"/>
          </w:tcPr>
          <w:p w14:paraId="4464A3D8">
            <w:pPr>
              <w:pStyle w:val="20"/>
              <w:spacing w:line="360" w:lineRule="auto"/>
              <w:ind w:firstLine="0" w:firstLineChars="0"/>
              <w:jc w:val="center"/>
              <w:rPr>
                <w:rFonts w:ascii="宋体" w:hAnsi="宋体" w:eastAsia="宋体" w:cs="仿宋_GB2312"/>
                <w:color w:val="auto"/>
                <w:sz w:val="24"/>
                <w:szCs w:val="24"/>
                <w:highlight w:val="none"/>
              </w:rPr>
            </w:pPr>
          </w:p>
        </w:tc>
      </w:tr>
      <w:tr w14:paraId="238C1A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ign w:val="center"/>
          </w:tcPr>
          <w:p w14:paraId="6B257CBA">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3</w:t>
            </w:r>
          </w:p>
        </w:tc>
        <w:tc>
          <w:tcPr>
            <w:tcW w:w="503" w:type="pct"/>
            <w:tcBorders>
              <w:right w:val="single" w:color="auto" w:sz="4" w:space="0"/>
            </w:tcBorders>
            <w:noWrap/>
            <w:vAlign w:val="center"/>
          </w:tcPr>
          <w:p w14:paraId="0D5CB742">
            <w:pPr>
              <w:pStyle w:val="20"/>
              <w:spacing w:line="360" w:lineRule="auto"/>
              <w:ind w:firstLine="0" w:firstLineChars="0"/>
              <w:jc w:val="center"/>
              <w:rPr>
                <w:rFonts w:ascii="宋体" w:hAnsi="宋体" w:eastAsia="宋体" w:cs="仿宋_GB2312"/>
                <w:color w:val="auto"/>
                <w:sz w:val="24"/>
                <w:szCs w:val="24"/>
                <w:highlight w:val="none"/>
              </w:rPr>
            </w:pPr>
          </w:p>
        </w:tc>
        <w:tc>
          <w:tcPr>
            <w:tcW w:w="1670" w:type="pct"/>
            <w:tcBorders>
              <w:left w:val="single" w:color="auto" w:sz="4" w:space="0"/>
            </w:tcBorders>
            <w:noWrap/>
            <w:vAlign w:val="center"/>
          </w:tcPr>
          <w:p w14:paraId="6764EED6">
            <w:pPr>
              <w:pStyle w:val="20"/>
              <w:spacing w:line="360" w:lineRule="auto"/>
              <w:ind w:firstLine="0" w:firstLineChars="0"/>
              <w:jc w:val="center"/>
              <w:rPr>
                <w:rFonts w:ascii="宋体" w:hAnsi="宋体" w:eastAsia="宋体" w:cs="仿宋_GB2312"/>
                <w:color w:val="auto"/>
                <w:sz w:val="24"/>
                <w:szCs w:val="24"/>
                <w:highlight w:val="none"/>
              </w:rPr>
            </w:pPr>
          </w:p>
        </w:tc>
        <w:tc>
          <w:tcPr>
            <w:tcW w:w="1503" w:type="pct"/>
            <w:noWrap/>
            <w:vAlign w:val="center"/>
          </w:tcPr>
          <w:p w14:paraId="4ACE1A93">
            <w:pPr>
              <w:pStyle w:val="20"/>
              <w:spacing w:line="360" w:lineRule="auto"/>
              <w:ind w:firstLine="0" w:firstLineChars="0"/>
              <w:jc w:val="center"/>
              <w:rPr>
                <w:rFonts w:ascii="宋体" w:hAnsi="宋体" w:eastAsia="宋体" w:cs="仿宋_GB2312"/>
                <w:color w:val="auto"/>
                <w:sz w:val="24"/>
                <w:szCs w:val="24"/>
                <w:highlight w:val="none"/>
              </w:rPr>
            </w:pPr>
          </w:p>
        </w:tc>
        <w:tc>
          <w:tcPr>
            <w:tcW w:w="820" w:type="pct"/>
            <w:noWrap/>
            <w:vAlign w:val="center"/>
          </w:tcPr>
          <w:p w14:paraId="064F0B7C">
            <w:pPr>
              <w:pStyle w:val="20"/>
              <w:spacing w:line="360" w:lineRule="auto"/>
              <w:ind w:firstLine="0" w:firstLineChars="0"/>
              <w:jc w:val="center"/>
              <w:rPr>
                <w:rFonts w:ascii="宋体" w:hAnsi="宋体" w:eastAsia="宋体" w:cs="仿宋_GB2312"/>
                <w:color w:val="auto"/>
                <w:sz w:val="24"/>
                <w:szCs w:val="24"/>
                <w:highlight w:val="none"/>
              </w:rPr>
            </w:pPr>
          </w:p>
        </w:tc>
      </w:tr>
      <w:tr w14:paraId="28E37E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ign w:val="center"/>
          </w:tcPr>
          <w:p w14:paraId="005296C2">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4</w:t>
            </w:r>
          </w:p>
        </w:tc>
        <w:tc>
          <w:tcPr>
            <w:tcW w:w="503" w:type="pct"/>
            <w:tcBorders>
              <w:right w:val="single" w:color="auto" w:sz="4" w:space="0"/>
            </w:tcBorders>
            <w:noWrap/>
            <w:vAlign w:val="center"/>
          </w:tcPr>
          <w:p w14:paraId="27DD3818">
            <w:pPr>
              <w:pStyle w:val="20"/>
              <w:spacing w:line="360" w:lineRule="auto"/>
              <w:ind w:firstLine="0" w:firstLineChars="0"/>
              <w:jc w:val="center"/>
              <w:rPr>
                <w:rFonts w:ascii="宋体" w:hAnsi="宋体" w:eastAsia="宋体" w:cs="仿宋_GB2312"/>
                <w:color w:val="auto"/>
                <w:sz w:val="24"/>
                <w:szCs w:val="24"/>
                <w:highlight w:val="none"/>
              </w:rPr>
            </w:pPr>
          </w:p>
        </w:tc>
        <w:tc>
          <w:tcPr>
            <w:tcW w:w="1670" w:type="pct"/>
            <w:tcBorders>
              <w:left w:val="single" w:color="auto" w:sz="4" w:space="0"/>
            </w:tcBorders>
            <w:noWrap/>
            <w:vAlign w:val="center"/>
          </w:tcPr>
          <w:p w14:paraId="084CE635">
            <w:pPr>
              <w:pStyle w:val="20"/>
              <w:spacing w:line="360" w:lineRule="auto"/>
              <w:ind w:firstLine="0" w:firstLineChars="0"/>
              <w:jc w:val="center"/>
              <w:rPr>
                <w:rFonts w:ascii="宋体" w:hAnsi="宋体" w:eastAsia="宋体" w:cs="仿宋_GB2312"/>
                <w:color w:val="auto"/>
                <w:sz w:val="24"/>
                <w:szCs w:val="24"/>
                <w:highlight w:val="none"/>
              </w:rPr>
            </w:pPr>
          </w:p>
        </w:tc>
        <w:tc>
          <w:tcPr>
            <w:tcW w:w="1503" w:type="pct"/>
            <w:noWrap/>
            <w:vAlign w:val="center"/>
          </w:tcPr>
          <w:p w14:paraId="6364E404">
            <w:pPr>
              <w:pStyle w:val="20"/>
              <w:spacing w:line="360" w:lineRule="auto"/>
              <w:ind w:firstLine="0" w:firstLineChars="0"/>
              <w:jc w:val="center"/>
              <w:rPr>
                <w:rFonts w:ascii="宋体" w:hAnsi="宋体" w:eastAsia="宋体" w:cs="仿宋_GB2312"/>
                <w:color w:val="auto"/>
                <w:sz w:val="24"/>
                <w:szCs w:val="24"/>
                <w:highlight w:val="none"/>
              </w:rPr>
            </w:pPr>
          </w:p>
        </w:tc>
        <w:tc>
          <w:tcPr>
            <w:tcW w:w="820" w:type="pct"/>
            <w:noWrap/>
            <w:vAlign w:val="center"/>
          </w:tcPr>
          <w:p w14:paraId="02793105">
            <w:pPr>
              <w:pStyle w:val="20"/>
              <w:spacing w:line="360" w:lineRule="auto"/>
              <w:ind w:firstLine="0" w:firstLineChars="0"/>
              <w:jc w:val="center"/>
              <w:rPr>
                <w:rFonts w:ascii="宋体" w:hAnsi="宋体" w:eastAsia="宋体" w:cs="仿宋_GB2312"/>
                <w:color w:val="auto"/>
                <w:sz w:val="24"/>
                <w:szCs w:val="24"/>
                <w:highlight w:val="none"/>
              </w:rPr>
            </w:pPr>
          </w:p>
        </w:tc>
      </w:tr>
      <w:tr w14:paraId="2C4295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ign w:val="center"/>
          </w:tcPr>
          <w:p w14:paraId="10FE675E">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5</w:t>
            </w:r>
          </w:p>
        </w:tc>
        <w:tc>
          <w:tcPr>
            <w:tcW w:w="503" w:type="pct"/>
            <w:tcBorders>
              <w:right w:val="single" w:color="auto" w:sz="4" w:space="0"/>
            </w:tcBorders>
            <w:noWrap/>
            <w:vAlign w:val="center"/>
          </w:tcPr>
          <w:p w14:paraId="1A455B0D">
            <w:pPr>
              <w:pStyle w:val="20"/>
              <w:spacing w:line="360" w:lineRule="auto"/>
              <w:ind w:firstLine="0" w:firstLineChars="0"/>
              <w:jc w:val="center"/>
              <w:rPr>
                <w:rFonts w:ascii="宋体" w:hAnsi="宋体" w:eastAsia="宋体" w:cs="仿宋_GB2312"/>
                <w:color w:val="auto"/>
                <w:sz w:val="24"/>
                <w:szCs w:val="24"/>
                <w:highlight w:val="none"/>
              </w:rPr>
            </w:pPr>
          </w:p>
        </w:tc>
        <w:tc>
          <w:tcPr>
            <w:tcW w:w="1670" w:type="pct"/>
            <w:tcBorders>
              <w:left w:val="single" w:color="auto" w:sz="4" w:space="0"/>
            </w:tcBorders>
            <w:noWrap/>
            <w:vAlign w:val="center"/>
          </w:tcPr>
          <w:p w14:paraId="48B8F982">
            <w:pPr>
              <w:pStyle w:val="20"/>
              <w:spacing w:line="360" w:lineRule="auto"/>
              <w:ind w:firstLine="0" w:firstLineChars="0"/>
              <w:jc w:val="center"/>
              <w:rPr>
                <w:rFonts w:ascii="宋体" w:hAnsi="宋体" w:eastAsia="宋体" w:cs="仿宋_GB2312"/>
                <w:color w:val="auto"/>
                <w:sz w:val="24"/>
                <w:szCs w:val="24"/>
                <w:highlight w:val="none"/>
              </w:rPr>
            </w:pPr>
          </w:p>
        </w:tc>
        <w:tc>
          <w:tcPr>
            <w:tcW w:w="1503" w:type="pct"/>
            <w:noWrap/>
            <w:vAlign w:val="center"/>
          </w:tcPr>
          <w:p w14:paraId="73F40556">
            <w:pPr>
              <w:pStyle w:val="20"/>
              <w:spacing w:line="360" w:lineRule="auto"/>
              <w:ind w:firstLine="0" w:firstLineChars="0"/>
              <w:jc w:val="center"/>
              <w:rPr>
                <w:rFonts w:ascii="宋体" w:hAnsi="宋体" w:eastAsia="宋体" w:cs="仿宋_GB2312"/>
                <w:color w:val="auto"/>
                <w:sz w:val="24"/>
                <w:szCs w:val="24"/>
                <w:highlight w:val="none"/>
              </w:rPr>
            </w:pPr>
          </w:p>
        </w:tc>
        <w:tc>
          <w:tcPr>
            <w:tcW w:w="820" w:type="pct"/>
            <w:noWrap/>
            <w:vAlign w:val="center"/>
          </w:tcPr>
          <w:p w14:paraId="181C2AB4">
            <w:pPr>
              <w:pStyle w:val="20"/>
              <w:spacing w:line="360" w:lineRule="auto"/>
              <w:ind w:firstLine="0" w:firstLineChars="0"/>
              <w:jc w:val="center"/>
              <w:rPr>
                <w:rFonts w:ascii="宋体" w:hAnsi="宋体" w:eastAsia="宋体" w:cs="仿宋_GB2312"/>
                <w:color w:val="auto"/>
                <w:sz w:val="24"/>
                <w:szCs w:val="24"/>
                <w:highlight w:val="none"/>
              </w:rPr>
            </w:pPr>
          </w:p>
        </w:tc>
      </w:tr>
      <w:tr w14:paraId="14CD1C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03" w:type="pct"/>
            <w:noWrap/>
            <w:vAlign w:val="center"/>
          </w:tcPr>
          <w:p w14:paraId="1FB1F2A1">
            <w:pPr>
              <w:pStyle w:val="20"/>
              <w:spacing w:line="360" w:lineRule="auto"/>
              <w:ind w:firstLine="0" w:firstLineChars="0"/>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w:t>
            </w:r>
          </w:p>
        </w:tc>
        <w:tc>
          <w:tcPr>
            <w:tcW w:w="503" w:type="pct"/>
            <w:tcBorders>
              <w:right w:val="single" w:color="auto" w:sz="4" w:space="0"/>
            </w:tcBorders>
            <w:noWrap/>
            <w:vAlign w:val="center"/>
          </w:tcPr>
          <w:p w14:paraId="32BA0CE0">
            <w:pPr>
              <w:pStyle w:val="20"/>
              <w:spacing w:line="360" w:lineRule="auto"/>
              <w:ind w:firstLine="0" w:firstLineChars="0"/>
              <w:jc w:val="center"/>
              <w:rPr>
                <w:rFonts w:ascii="宋体" w:hAnsi="宋体" w:eastAsia="宋体" w:cs="仿宋_GB2312"/>
                <w:color w:val="auto"/>
                <w:sz w:val="24"/>
                <w:szCs w:val="24"/>
                <w:highlight w:val="none"/>
              </w:rPr>
            </w:pPr>
          </w:p>
        </w:tc>
        <w:tc>
          <w:tcPr>
            <w:tcW w:w="1670" w:type="pct"/>
            <w:tcBorders>
              <w:left w:val="single" w:color="auto" w:sz="4" w:space="0"/>
            </w:tcBorders>
            <w:noWrap/>
            <w:vAlign w:val="center"/>
          </w:tcPr>
          <w:p w14:paraId="769C33A5">
            <w:pPr>
              <w:pStyle w:val="20"/>
              <w:spacing w:line="360" w:lineRule="auto"/>
              <w:ind w:firstLine="0" w:firstLineChars="0"/>
              <w:jc w:val="center"/>
              <w:rPr>
                <w:rFonts w:ascii="宋体" w:hAnsi="宋体" w:eastAsia="宋体" w:cs="仿宋_GB2312"/>
                <w:color w:val="auto"/>
                <w:sz w:val="24"/>
                <w:szCs w:val="24"/>
                <w:highlight w:val="none"/>
              </w:rPr>
            </w:pPr>
          </w:p>
        </w:tc>
        <w:tc>
          <w:tcPr>
            <w:tcW w:w="1503" w:type="pct"/>
            <w:noWrap/>
            <w:vAlign w:val="center"/>
          </w:tcPr>
          <w:p w14:paraId="63CC2ED3">
            <w:pPr>
              <w:pStyle w:val="20"/>
              <w:spacing w:line="360" w:lineRule="auto"/>
              <w:ind w:firstLine="0" w:firstLineChars="0"/>
              <w:jc w:val="center"/>
              <w:rPr>
                <w:rFonts w:ascii="宋体" w:hAnsi="宋体" w:eastAsia="宋体" w:cs="仿宋_GB2312"/>
                <w:color w:val="auto"/>
                <w:sz w:val="24"/>
                <w:szCs w:val="24"/>
                <w:highlight w:val="none"/>
              </w:rPr>
            </w:pPr>
          </w:p>
        </w:tc>
        <w:tc>
          <w:tcPr>
            <w:tcW w:w="820" w:type="pct"/>
            <w:tcBorders>
              <w:right w:val="single" w:color="auto" w:sz="4" w:space="0"/>
            </w:tcBorders>
            <w:noWrap/>
            <w:vAlign w:val="center"/>
          </w:tcPr>
          <w:p w14:paraId="03D292F5">
            <w:pPr>
              <w:pStyle w:val="20"/>
              <w:spacing w:line="360" w:lineRule="auto"/>
              <w:ind w:firstLine="0" w:firstLineChars="0"/>
              <w:jc w:val="center"/>
              <w:rPr>
                <w:rFonts w:ascii="宋体" w:hAnsi="宋体" w:eastAsia="宋体" w:cs="仿宋_GB2312"/>
                <w:color w:val="auto"/>
                <w:sz w:val="24"/>
                <w:szCs w:val="24"/>
                <w:highlight w:val="none"/>
              </w:rPr>
            </w:pPr>
          </w:p>
        </w:tc>
      </w:tr>
    </w:tbl>
    <w:p w14:paraId="09254F37">
      <w:pPr>
        <w:pStyle w:val="20"/>
        <w:spacing w:line="360" w:lineRule="auto"/>
        <w:ind w:firstLine="0" w:firstLineChars="0"/>
        <w:contextualSpacing/>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注：</w:t>
      </w:r>
    </w:p>
    <w:p w14:paraId="02CF6ADF">
      <w:pPr>
        <w:pStyle w:val="20"/>
        <w:spacing w:line="360" w:lineRule="auto"/>
        <w:ind w:firstLine="0" w:firstLineChars="0"/>
        <w:contextualSpacing/>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 说明：应对照谈判文件“第二章 采购需求”中的</w:t>
      </w:r>
      <w:r>
        <w:rPr>
          <w:rFonts w:hint="eastAsia" w:ascii="宋体" w:hAnsi="宋体" w:eastAsia="宋体" w:cs="仿宋_GB2312"/>
          <w:color w:val="auto"/>
          <w:sz w:val="24"/>
          <w:szCs w:val="24"/>
          <w:highlight w:val="none"/>
          <w:lang w:val="en-US" w:eastAsia="zh-CN"/>
        </w:rPr>
        <w:t>项目要求及技术</w:t>
      </w:r>
      <w:r>
        <w:rPr>
          <w:rFonts w:hint="eastAsia" w:ascii="宋体" w:hAnsi="宋体" w:eastAsia="宋体" w:cs="仿宋_GB2312"/>
          <w:color w:val="auto"/>
          <w:sz w:val="24"/>
          <w:szCs w:val="24"/>
          <w:highlight w:val="none"/>
        </w:rPr>
        <w:t>需求逐条实质性响应，并作出偏离说明。</w:t>
      </w:r>
    </w:p>
    <w:p w14:paraId="65A497C9">
      <w:pPr>
        <w:pStyle w:val="20"/>
        <w:spacing w:line="360" w:lineRule="auto"/>
        <w:ind w:firstLine="0" w:firstLineChars="0"/>
        <w:contextualSpacing/>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2.供应商应根据竞标设备的性能指标，对照谈判文件要求，在“偏离说明”中注明“正偏离”、“负偏离”或者“无偏离”。既不属于“正偏离”也不属于“负偏离”即为“无偏离”。</w:t>
      </w:r>
    </w:p>
    <w:p w14:paraId="33D24009">
      <w:pPr>
        <w:pStyle w:val="20"/>
        <w:spacing w:line="360" w:lineRule="auto"/>
        <w:ind w:firstLine="0" w:firstLineChars="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3.供应商认为其竞标响应有正偏离的，请在技术偏离表中列明，且在响应文件中提供竞标产品的彩页或</w:t>
      </w:r>
      <w:r>
        <w:rPr>
          <w:rFonts w:ascii="宋体" w:hAnsi="宋体" w:eastAsia="宋体"/>
          <w:color w:val="auto"/>
          <w:sz w:val="24"/>
          <w:szCs w:val="24"/>
          <w:highlight w:val="none"/>
        </w:rPr>
        <w:t>国家认可有资质的第三方检测机构出具的检测报告复印件</w:t>
      </w:r>
      <w:r>
        <w:rPr>
          <w:rFonts w:hint="eastAsia" w:ascii="宋体" w:hAnsi="宋体" w:eastAsia="宋体"/>
          <w:color w:val="auto"/>
          <w:sz w:val="24"/>
          <w:szCs w:val="24"/>
          <w:highlight w:val="none"/>
        </w:rPr>
        <w:t>或产品生产厂家出具的技术参数说明证明作为佐证，以上佐证材料均需加盖生产厂家或代理商（附生产厂家授权资料）公章。</w:t>
      </w:r>
    </w:p>
    <w:p w14:paraId="3C59030E">
      <w:pPr>
        <w:pStyle w:val="20"/>
        <w:spacing w:line="360" w:lineRule="auto"/>
        <w:ind w:firstLine="0" w:firstLineChars="0"/>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4</w:t>
      </w:r>
      <w:r>
        <w:rPr>
          <w:rFonts w:ascii="宋体" w:hAnsi="宋体" w:eastAsia="宋体"/>
          <w:color w:val="auto"/>
          <w:sz w:val="24"/>
          <w:szCs w:val="24"/>
          <w:highlight w:val="none"/>
        </w:rPr>
        <w:t>.</w:t>
      </w:r>
      <w:r>
        <w:rPr>
          <w:rFonts w:hint="eastAsia" w:ascii="宋体" w:hAnsi="宋体" w:eastAsia="宋体"/>
          <w:color w:val="auto"/>
          <w:sz w:val="24"/>
          <w:szCs w:val="24"/>
          <w:highlight w:val="none"/>
        </w:rPr>
        <w:t xml:space="preserve"> 如技术偏离表中的竞标响应与佐证材料不一致的，以佐证材料为准。</w:t>
      </w:r>
    </w:p>
    <w:p w14:paraId="42DC1DBE">
      <w:pPr>
        <w:pStyle w:val="20"/>
        <w:spacing w:line="360" w:lineRule="auto"/>
        <w:ind w:firstLine="0" w:firstLineChars="0"/>
        <w:contextualSpacing/>
        <w:rPr>
          <w:rFonts w:ascii="宋体" w:hAnsi="宋体" w:eastAsia="宋体" w:cs="仿宋_GB2312"/>
          <w:color w:val="auto"/>
          <w:sz w:val="24"/>
          <w:szCs w:val="24"/>
          <w:highlight w:val="none"/>
        </w:rPr>
      </w:pPr>
    </w:p>
    <w:p w14:paraId="52CDD935">
      <w:pPr>
        <w:spacing w:line="360" w:lineRule="auto"/>
        <w:ind w:right="-817" w:rightChars="-389"/>
        <w:contextualSpacing/>
        <w:rPr>
          <w:rFonts w:ascii="宋体" w:hAnsi="宋体" w:cs="仿宋_GB2312"/>
          <w:color w:val="auto"/>
          <w:sz w:val="24"/>
          <w:highlight w:val="none"/>
        </w:rPr>
      </w:pPr>
    </w:p>
    <w:p w14:paraId="46624B63">
      <w:pPr>
        <w:spacing w:line="360" w:lineRule="auto"/>
        <w:ind w:right="-817" w:rightChars="-389"/>
        <w:contextualSpacing/>
        <w:jc w:val="center"/>
        <w:rPr>
          <w:rFonts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5810CEEF">
      <w:pPr>
        <w:spacing w:line="360" w:lineRule="auto"/>
        <w:ind w:right="-817" w:rightChars="-389" w:firstLine="3120" w:firstLineChars="130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0BE3D752">
      <w:pPr>
        <w:spacing w:line="360" w:lineRule="auto"/>
        <w:ind w:right="-817" w:rightChars="-389" w:firstLine="3120" w:firstLineChars="1300"/>
        <w:contextualSpacing/>
        <w:rPr>
          <w:rFonts w:ascii="仿宋_GB2312" w:hAnsi="仿宋_GB2312" w:eastAsia="仿宋_GB2312" w:cs="仿宋_GB2312"/>
          <w:color w:val="auto"/>
          <w:sz w:val="32"/>
          <w:szCs w:val="32"/>
          <w:highlight w:val="none"/>
        </w:rPr>
      </w:pPr>
      <w:r>
        <w:rPr>
          <w:rFonts w:hint="eastAsia" w:ascii="宋体" w:hAnsi="宋体" w:cs="仿宋_GB2312"/>
          <w:color w:val="auto"/>
          <w:sz w:val="24"/>
          <w:highlight w:val="none"/>
        </w:rPr>
        <w:t>日期：   年   月   日</w:t>
      </w:r>
    </w:p>
    <w:p w14:paraId="175506E2">
      <w:pPr>
        <w:rPr>
          <w:color w:val="auto"/>
          <w:szCs w:val="21"/>
          <w:highlight w:val="none"/>
        </w:rPr>
      </w:pPr>
    </w:p>
    <w:p w14:paraId="402B98B4">
      <w:pPr>
        <w:rPr>
          <w:color w:val="auto"/>
          <w:szCs w:val="21"/>
          <w:highlight w:val="none"/>
        </w:rPr>
      </w:pPr>
    </w:p>
    <w:p w14:paraId="435C8C72">
      <w:pPr>
        <w:rPr>
          <w:color w:val="auto"/>
          <w:szCs w:val="21"/>
          <w:highlight w:val="none"/>
        </w:rPr>
      </w:pPr>
    </w:p>
    <w:p w14:paraId="3394892E">
      <w:pPr>
        <w:rPr>
          <w:bCs/>
          <w:color w:val="auto"/>
          <w:sz w:val="24"/>
          <w:highlight w:val="none"/>
        </w:rPr>
      </w:pPr>
    </w:p>
    <w:p w14:paraId="166618A6">
      <w:pPr>
        <w:rPr>
          <w:color w:val="auto"/>
          <w:sz w:val="32"/>
          <w:szCs w:val="32"/>
          <w:highlight w:val="none"/>
        </w:rPr>
      </w:pPr>
    </w:p>
    <w:p w14:paraId="4C840669">
      <w:pPr>
        <w:rPr>
          <w:color w:val="auto"/>
          <w:szCs w:val="21"/>
          <w:highlight w:val="none"/>
        </w:rPr>
      </w:pPr>
    </w:p>
    <w:p w14:paraId="6BEF95BC">
      <w:pPr>
        <w:rPr>
          <w:color w:val="auto"/>
          <w:szCs w:val="21"/>
          <w:highlight w:val="none"/>
        </w:rPr>
      </w:pPr>
    </w:p>
    <w:p w14:paraId="0B19D870">
      <w:pPr>
        <w:rPr>
          <w:color w:val="auto"/>
          <w:szCs w:val="21"/>
          <w:highlight w:val="none"/>
        </w:rPr>
      </w:pPr>
    </w:p>
    <w:p w14:paraId="09E018FC">
      <w:pPr>
        <w:snapToGrid w:val="0"/>
        <w:spacing w:before="50" w:afterLines="50"/>
        <w:jc w:val="left"/>
        <w:rPr>
          <w:color w:val="auto"/>
          <w:szCs w:val="21"/>
          <w:highlight w:val="none"/>
        </w:rPr>
      </w:pPr>
      <w:bookmarkStart w:id="111" w:name="_Hlk21623696"/>
      <w:r>
        <w:rPr>
          <w:color w:val="auto"/>
          <w:szCs w:val="21"/>
          <w:highlight w:val="none"/>
        </w:rPr>
        <w:t>2．</w:t>
      </w:r>
      <w:r>
        <w:rPr>
          <w:rFonts w:hint="eastAsia"/>
          <w:color w:val="auto"/>
          <w:szCs w:val="21"/>
          <w:highlight w:val="none"/>
        </w:rPr>
        <w:t>货物或产品</w:t>
      </w:r>
      <w:r>
        <w:rPr>
          <w:color w:val="auto"/>
          <w:szCs w:val="21"/>
          <w:highlight w:val="none"/>
        </w:rPr>
        <w:t>配置清单格式：</w:t>
      </w:r>
    </w:p>
    <w:p w14:paraId="2881B21E">
      <w:pPr>
        <w:spacing w:line="360" w:lineRule="auto"/>
        <w:rPr>
          <w:rFonts w:ascii="宋体" w:hAnsi="宋体" w:cs="仿宋_GB2312"/>
          <w:color w:val="auto"/>
          <w:sz w:val="24"/>
          <w:highlight w:val="none"/>
          <w:u w:val="single"/>
        </w:rPr>
      </w:pPr>
    </w:p>
    <w:tbl>
      <w:tblPr>
        <w:tblStyle w:val="51"/>
        <w:tblW w:w="479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84"/>
        <w:gridCol w:w="1152"/>
        <w:gridCol w:w="1386"/>
        <w:gridCol w:w="3726"/>
        <w:gridCol w:w="1854"/>
        <w:gridCol w:w="628"/>
      </w:tblGrid>
      <w:tr w14:paraId="111610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410" w:type="pct"/>
            <w:tcBorders>
              <w:top w:val="single" w:color="auto" w:sz="4" w:space="0"/>
              <w:left w:val="single" w:color="auto" w:sz="4" w:space="0"/>
              <w:bottom w:val="single" w:color="auto" w:sz="4" w:space="0"/>
              <w:right w:val="single" w:color="auto" w:sz="4" w:space="0"/>
            </w:tcBorders>
            <w:noWrap/>
            <w:vAlign w:val="center"/>
          </w:tcPr>
          <w:p w14:paraId="0F04FE90">
            <w:pPr>
              <w:snapToGrid w:val="0"/>
              <w:spacing w:before="50" w:after="50"/>
              <w:jc w:val="center"/>
              <w:rPr>
                <w:rFonts w:ascii="宋体" w:hAnsi="宋体"/>
                <w:color w:val="auto"/>
                <w:sz w:val="24"/>
                <w:highlight w:val="none"/>
              </w:rPr>
            </w:pPr>
            <w:r>
              <w:rPr>
                <w:rFonts w:hint="eastAsia" w:ascii="宋体" w:hAnsi="宋体"/>
                <w:color w:val="auto"/>
                <w:sz w:val="24"/>
                <w:highlight w:val="none"/>
              </w:rPr>
              <w:t>序号</w:t>
            </w:r>
          </w:p>
        </w:tc>
        <w:tc>
          <w:tcPr>
            <w:tcW w:w="675" w:type="pct"/>
            <w:tcBorders>
              <w:top w:val="single" w:color="auto" w:sz="4" w:space="0"/>
              <w:left w:val="single" w:color="auto" w:sz="4" w:space="0"/>
              <w:bottom w:val="single" w:color="auto" w:sz="4" w:space="0"/>
              <w:right w:val="single" w:color="auto" w:sz="4" w:space="0"/>
            </w:tcBorders>
            <w:noWrap/>
            <w:vAlign w:val="center"/>
          </w:tcPr>
          <w:p w14:paraId="1836077F">
            <w:pPr>
              <w:snapToGrid w:val="0"/>
              <w:spacing w:before="50" w:after="50"/>
              <w:jc w:val="center"/>
              <w:rPr>
                <w:rFonts w:ascii="宋体" w:hAnsi="宋体"/>
                <w:color w:val="auto"/>
                <w:sz w:val="24"/>
                <w:highlight w:val="none"/>
              </w:rPr>
            </w:pPr>
            <w:r>
              <w:rPr>
                <w:rFonts w:hint="eastAsia" w:ascii="宋体" w:hAnsi="宋体"/>
                <w:color w:val="auto"/>
                <w:sz w:val="24"/>
                <w:highlight w:val="none"/>
              </w:rPr>
              <w:t>货物名称</w:t>
            </w:r>
          </w:p>
        </w:tc>
        <w:tc>
          <w:tcPr>
            <w:tcW w:w="515" w:type="pct"/>
            <w:tcBorders>
              <w:top w:val="single" w:color="auto" w:sz="4" w:space="0"/>
              <w:left w:val="single" w:color="auto" w:sz="4" w:space="0"/>
              <w:bottom w:val="single" w:color="auto" w:sz="4" w:space="0"/>
              <w:right w:val="single" w:color="auto" w:sz="4" w:space="0"/>
            </w:tcBorders>
            <w:noWrap/>
            <w:vAlign w:val="center"/>
          </w:tcPr>
          <w:p w14:paraId="28F359CE">
            <w:pPr>
              <w:snapToGrid w:val="0"/>
              <w:spacing w:before="50" w:after="50"/>
              <w:jc w:val="center"/>
              <w:rPr>
                <w:rFonts w:ascii="宋体" w:hAnsi="宋体"/>
                <w:color w:val="auto"/>
                <w:sz w:val="24"/>
                <w:highlight w:val="none"/>
              </w:rPr>
            </w:pPr>
            <w:r>
              <w:rPr>
                <w:rFonts w:hint="eastAsia" w:ascii="宋体" w:hAnsi="宋体"/>
                <w:color w:val="auto"/>
                <w:sz w:val="24"/>
                <w:highlight w:val="none"/>
              </w:rPr>
              <w:t>数量及单位</w:t>
            </w:r>
          </w:p>
        </w:tc>
        <w:tc>
          <w:tcPr>
            <w:tcW w:w="1798" w:type="pct"/>
            <w:tcBorders>
              <w:top w:val="single" w:color="auto" w:sz="4" w:space="0"/>
              <w:left w:val="single" w:color="auto" w:sz="4" w:space="0"/>
              <w:bottom w:val="single" w:color="auto" w:sz="4" w:space="0"/>
              <w:right w:val="single" w:color="auto" w:sz="4" w:space="0"/>
            </w:tcBorders>
            <w:noWrap/>
            <w:vAlign w:val="center"/>
          </w:tcPr>
          <w:p w14:paraId="7DA1C244">
            <w:pPr>
              <w:snapToGrid w:val="0"/>
              <w:spacing w:before="50" w:after="50"/>
              <w:jc w:val="center"/>
              <w:rPr>
                <w:rFonts w:ascii="宋体" w:hAnsi="宋体"/>
                <w:color w:val="auto"/>
                <w:sz w:val="24"/>
                <w:highlight w:val="none"/>
              </w:rPr>
            </w:pPr>
            <w:r>
              <w:rPr>
                <w:rFonts w:hint="eastAsia" w:ascii="宋体" w:hAnsi="宋体"/>
                <w:color w:val="auto"/>
                <w:sz w:val="24"/>
                <w:highlight w:val="none"/>
              </w:rPr>
              <w:t>货物全称、品牌、生产厂家及国别</w:t>
            </w:r>
          </w:p>
        </w:tc>
        <w:tc>
          <w:tcPr>
            <w:tcW w:w="1200" w:type="pct"/>
            <w:tcBorders>
              <w:top w:val="single" w:color="auto" w:sz="4" w:space="0"/>
              <w:left w:val="single" w:color="auto" w:sz="4" w:space="0"/>
              <w:bottom w:val="single" w:color="auto" w:sz="4" w:space="0"/>
              <w:right w:val="single" w:color="auto" w:sz="4" w:space="0"/>
            </w:tcBorders>
            <w:noWrap/>
          </w:tcPr>
          <w:p w14:paraId="0DE6FFE7">
            <w:pPr>
              <w:snapToGrid w:val="0"/>
              <w:spacing w:before="50" w:after="50"/>
              <w:jc w:val="center"/>
              <w:rPr>
                <w:rFonts w:ascii="宋体" w:hAnsi="宋体"/>
                <w:color w:val="auto"/>
                <w:sz w:val="24"/>
                <w:highlight w:val="none"/>
              </w:rPr>
            </w:pPr>
          </w:p>
          <w:p w14:paraId="3E4519F4">
            <w:pPr>
              <w:snapToGrid w:val="0"/>
              <w:spacing w:before="50" w:after="50"/>
              <w:jc w:val="center"/>
              <w:rPr>
                <w:rFonts w:ascii="宋体" w:hAnsi="宋体"/>
                <w:color w:val="auto"/>
                <w:sz w:val="24"/>
                <w:highlight w:val="none"/>
              </w:rPr>
            </w:pPr>
            <w:r>
              <w:rPr>
                <w:rFonts w:hint="eastAsia" w:ascii="宋体" w:hAnsi="宋体"/>
                <w:color w:val="auto"/>
                <w:sz w:val="24"/>
                <w:highlight w:val="none"/>
              </w:rPr>
              <w:t>规格、技术参数</w:t>
            </w:r>
          </w:p>
        </w:tc>
        <w:tc>
          <w:tcPr>
            <w:tcW w:w="402" w:type="pct"/>
            <w:tcBorders>
              <w:top w:val="single" w:color="auto" w:sz="4" w:space="0"/>
              <w:left w:val="single" w:color="auto" w:sz="4" w:space="0"/>
              <w:bottom w:val="single" w:color="auto" w:sz="4" w:space="0"/>
              <w:right w:val="single" w:color="auto" w:sz="4" w:space="0"/>
            </w:tcBorders>
            <w:noWrap/>
            <w:vAlign w:val="center"/>
          </w:tcPr>
          <w:p w14:paraId="7A7F5D84">
            <w:pPr>
              <w:snapToGrid w:val="0"/>
              <w:spacing w:before="50" w:after="50"/>
              <w:jc w:val="center"/>
              <w:rPr>
                <w:rFonts w:ascii="宋体" w:hAnsi="宋体"/>
                <w:color w:val="auto"/>
                <w:sz w:val="24"/>
                <w:highlight w:val="none"/>
              </w:rPr>
            </w:pPr>
            <w:r>
              <w:rPr>
                <w:rFonts w:hint="eastAsia" w:ascii="宋体" w:hAnsi="宋体"/>
                <w:b/>
                <w:color w:val="auto"/>
                <w:szCs w:val="21"/>
                <w:highlight w:val="none"/>
              </w:rPr>
              <w:t>备注</w:t>
            </w:r>
          </w:p>
        </w:tc>
      </w:tr>
      <w:tr w14:paraId="5C47BD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410" w:type="pct"/>
            <w:tcBorders>
              <w:top w:val="single" w:color="auto" w:sz="4" w:space="0"/>
              <w:left w:val="single" w:color="auto" w:sz="4" w:space="0"/>
              <w:bottom w:val="single" w:color="auto" w:sz="4" w:space="0"/>
              <w:right w:val="single" w:color="auto" w:sz="4" w:space="0"/>
            </w:tcBorders>
            <w:noWrap/>
            <w:vAlign w:val="center"/>
          </w:tcPr>
          <w:p w14:paraId="747610B5">
            <w:pPr>
              <w:snapToGrid w:val="0"/>
              <w:spacing w:before="50" w:after="50"/>
              <w:jc w:val="center"/>
              <w:rPr>
                <w:rFonts w:ascii="宋体" w:hAnsi="宋体"/>
                <w:color w:val="auto"/>
                <w:sz w:val="24"/>
                <w:highlight w:val="none"/>
              </w:rPr>
            </w:pPr>
          </w:p>
        </w:tc>
        <w:tc>
          <w:tcPr>
            <w:tcW w:w="675" w:type="pct"/>
            <w:tcBorders>
              <w:top w:val="single" w:color="auto" w:sz="4" w:space="0"/>
              <w:left w:val="single" w:color="auto" w:sz="4" w:space="0"/>
              <w:bottom w:val="single" w:color="auto" w:sz="4" w:space="0"/>
              <w:right w:val="single" w:color="auto" w:sz="4" w:space="0"/>
            </w:tcBorders>
            <w:noWrap/>
            <w:vAlign w:val="center"/>
          </w:tcPr>
          <w:p w14:paraId="0B94B1EF">
            <w:pPr>
              <w:snapToGrid w:val="0"/>
              <w:spacing w:before="50" w:after="50"/>
              <w:jc w:val="center"/>
              <w:rPr>
                <w:rFonts w:ascii="宋体" w:hAnsi="宋体"/>
                <w:color w:val="auto"/>
                <w:sz w:val="24"/>
                <w:highlight w:val="none"/>
              </w:rPr>
            </w:pPr>
          </w:p>
        </w:tc>
        <w:tc>
          <w:tcPr>
            <w:tcW w:w="515" w:type="pct"/>
            <w:tcBorders>
              <w:top w:val="single" w:color="auto" w:sz="4" w:space="0"/>
              <w:left w:val="single" w:color="auto" w:sz="4" w:space="0"/>
              <w:bottom w:val="single" w:color="auto" w:sz="4" w:space="0"/>
              <w:right w:val="single" w:color="auto" w:sz="4" w:space="0"/>
            </w:tcBorders>
            <w:noWrap/>
            <w:vAlign w:val="center"/>
          </w:tcPr>
          <w:p w14:paraId="24E2A80F">
            <w:pPr>
              <w:snapToGrid w:val="0"/>
              <w:spacing w:before="50" w:after="50"/>
              <w:jc w:val="center"/>
              <w:rPr>
                <w:rFonts w:ascii="宋体" w:hAnsi="宋体"/>
                <w:color w:val="auto"/>
                <w:sz w:val="24"/>
                <w:highlight w:val="none"/>
              </w:rPr>
            </w:pPr>
          </w:p>
        </w:tc>
        <w:tc>
          <w:tcPr>
            <w:tcW w:w="1798" w:type="pct"/>
            <w:tcBorders>
              <w:top w:val="single" w:color="auto" w:sz="4" w:space="0"/>
              <w:left w:val="single" w:color="auto" w:sz="4" w:space="0"/>
              <w:bottom w:val="single" w:color="auto" w:sz="4" w:space="0"/>
              <w:right w:val="single" w:color="auto" w:sz="4" w:space="0"/>
            </w:tcBorders>
            <w:noWrap/>
            <w:vAlign w:val="center"/>
          </w:tcPr>
          <w:p w14:paraId="0A9BFC26">
            <w:pPr>
              <w:snapToGrid w:val="0"/>
              <w:spacing w:before="50" w:after="50"/>
              <w:jc w:val="center"/>
              <w:rPr>
                <w:rFonts w:ascii="宋体" w:hAnsi="宋体"/>
                <w:color w:val="auto"/>
                <w:sz w:val="24"/>
                <w:highlight w:val="none"/>
              </w:rPr>
            </w:pPr>
          </w:p>
        </w:tc>
        <w:tc>
          <w:tcPr>
            <w:tcW w:w="1200" w:type="pct"/>
            <w:tcBorders>
              <w:top w:val="single" w:color="auto" w:sz="4" w:space="0"/>
              <w:left w:val="single" w:color="auto" w:sz="4" w:space="0"/>
              <w:bottom w:val="single" w:color="auto" w:sz="4" w:space="0"/>
              <w:right w:val="single" w:color="auto" w:sz="4" w:space="0"/>
            </w:tcBorders>
            <w:noWrap/>
          </w:tcPr>
          <w:p w14:paraId="3AA21D0E">
            <w:pPr>
              <w:snapToGrid w:val="0"/>
              <w:spacing w:before="50" w:after="50"/>
              <w:jc w:val="center"/>
              <w:rPr>
                <w:rFonts w:ascii="宋体" w:hAnsi="宋体"/>
                <w:color w:val="auto"/>
                <w:sz w:val="24"/>
                <w:highlight w:val="none"/>
              </w:rPr>
            </w:pPr>
          </w:p>
        </w:tc>
        <w:tc>
          <w:tcPr>
            <w:tcW w:w="402" w:type="pct"/>
            <w:tcBorders>
              <w:top w:val="single" w:color="auto" w:sz="4" w:space="0"/>
              <w:left w:val="single" w:color="auto" w:sz="4" w:space="0"/>
              <w:bottom w:val="single" w:color="auto" w:sz="4" w:space="0"/>
              <w:right w:val="single" w:color="auto" w:sz="4" w:space="0"/>
            </w:tcBorders>
            <w:noWrap/>
            <w:vAlign w:val="center"/>
          </w:tcPr>
          <w:p w14:paraId="6612CAC1">
            <w:pPr>
              <w:snapToGrid w:val="0"/>
              <w:spacing w:before="50" w:after="50"/>
              <w:jc w:val="center"/>
              <w:rPr>
                <w:rFonts w:ascii="宋体" w:hAnsi="宋体"/>
                <w:color w:val="auto"/>
                <w:sz w:val="24"/>
                <w:highlight w:val="none"/>
              </w:rPr>
            </w:pPr>
          </w:p>
        </w:tc>
      </w:tr>
      <w:tr w14:paraId="084FB5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410" w:type="pct"/>
            <w:tcBorders>
              <w:top w:val="single" w:color="auto" w:sz="4" w:space="0"/>
              <w:left w:val="single" w:color="auto" w:sz="4" w:space="0"/>
              <w:bottom w:val="single" w:color="auto" w:sz="4" w:space="0"/>
              <w:right w:val="single" w:color="auto" w:sz="4" w:space="0"/>
            </w:tcBorders>
            <w:noWrap/>
            <w:vAlign w:val="center"/>
          </w:tcPr>
          <w:p w14:paraId="5604BA8E">
            <w:pPr>
              <w:snapToGrid w:val="0"/>
              <w:spacing w:before="50" w:after="50"/>
              <w:jc w:val="center"/>
              <w:rPr>
                <w:rFonts w:ascii="宋体" w:hAnsi="宋体"/>
                <w:color w:val="auto"/>
                <w:sz w:val="24"/>
                <w:highlight w:val="none"/>
              </w:rPr>
            </w:pPr>
          </w:p>
        </w:tc>
        <w:tc>
          <w:tcPr>
            <w:tcW w:w="675" w:type="pct"/>
            <w:tcBorders>
              <w:top w:val="single" w:color="auto" w:sz="4" w:space="0"/>
              <w:left w:val="single" w:color="auto" w:sz="4" w:space="0"/>
              <w:bottom w:val="single" w:color="auto" w:sz="4" w:space="0"/>
              <w:right w:val="single" w:color="auto" w:sz="4" w:space="0"/>
            </w:tcBorders>
            <w:noWrap/>
            <w:vAlign w:val="center"/>
          </w:tcPr>
          <w:p w14:paraId="78E1CFAB">
            <w:pPr>
              <w:snapToGrid w:val="0"/>
              <w:spacing w:before="50" w:after="50"/>
              <w:jc w:val="center"/>
              <w:rPr>
                <w:rFonts w:ascii="宋体" w:hAnsi="宋体"/>
                <w:color w:val="auto"/>
                <w:sz w:val="24"/>
                <w:highlight w:val="none"/>
              </w:rPr>
            </w:pPr>
          </w:p>
        </w:tc>
        <w:tc>
          <w:tcPr>
            <w:tcW w:w="515" w:type="pct"/>
            <w:tcBorders>
              <w:top w:val="single" w:color="auto" w:sz="4" w:space="0"/>
              <w:left w:val="single" w:color="auto" w:sz="4" w:space="0"/>
              <w:bottom w:val="single" w:color="auto" w:sz="4" w:space="0"/>
              <w:right w:val="single" w:color="auto" w:sz="4" w:space="0"/>
            </w:tcBorders>
            <w:noWrap/>
            <w:vAlign w:val="center"/>
          </w:tcPr>
          <w:p w14:paraId="7B0A8B14">
            <w:pPr>
              <w:snapToGrid w:val="0"/>
              <w:spacing w:before="50" w:after="50"/>
              <w:jc w:val="center"/>
              <w:rPr>
                <w:rFonts w:ascii="宋体" w:hAnsi="宋体"/>
                <w:color w:val="auto"/>
                <w:sz w:val="24"/>
                <w:highlight w:val="none"/>
              </w:rPr>
            </w:pPr>
          </w:p>
        </w:tc>
        <w:tc>
          <w:tcPr>
            <w:tcW w:w="1798" w:type="pct"/>
            <w:tcBorders>
              <w:top w:val="single" w:color="auto" w:sz="4" w:space="0"/>
              <w:left w:val="single" w:color="auto" w:sz="4" w:space="0"/>
              <w:bottom w:val="single" w:color="auto" w:sz="4" w:space="0"/>
              <w:right w:val="single" w:color="auto" w:sz="4" w:space="0"/>
            </w:tcBorders>
            <w:noWrap/>
            <w:vAlign w:val="center"/>
          </w:tcPr>
          <w:p w14:paraId="430A2ABF">
            <w:pPr>
              <w:snapToGrid w:val="0"/>
              <w:spacing w:before="50" w:after="50"/>
              <w:jc w:val="center"/>
              <w:rPr>
                <w:rFonts w:ascii="宋体" w:hAnsi="宋体"/>
                <w:color w:val="auto"/>
                <w:sz w:val="24"/>
                <w:highlight w:val="none"/>
              </w:rPr>
            </w:pPr>
          </w:p>
        </w:tc>
        <w:tc>
          <w:tcPr>
            <w:tcW w:w="1200" w:type="pct"/>
            <w:tcBorders>
              <w:top w:val="single" w:color="auto" w:sz="4" w:space="0"/>
              <w:left w:val="single" w:color="auto" w:sz="4" w:space="0"/>
              <w:bottom w:val="single" w:color="auto" w:sz="4" w:space="0"/>
              <w:right w:val="single" w:color="auto" w:sz="4" w:space="0"/>
            </w:tcBorders>
            <w:noWrap/>
          </w:tcPr>
          <w:p w14:paraId="63A0A3F4">
            <w:pPr>
              <w:snapToGrid w:val="0"/>
              <w:spacing w:before="50" w:after="50"/>
              <w:jc w:val="center"/>
              <w:rPr>
                <w:rFonts w:ascii="宋体" w:hAnsi="宋体"/>
                <w:color w:val="auto"/>
                <w:sz w:val="24"/>
                <w:highlight w:val="none"/>
              </w:rPr>
            </w:pPr>
          </w:p>
        </w:tc>
        <w:tc>
          <w:tcPr>
            <w:tcW w:w="402" w:type="pct"/>
            <w:tcBorders>
              <w:top w:val="single" w:color="auto" w:sz="4" w:space="0"/>
              <w:left w:val="single" w:color="auto" w:sz="4" w:space="0"/>
              <w:bottom w:val="single" w:color="auto" w:sz="4" w:space="0"/>
              <w:right w:val="single" w:color="auto" w:sz="4" w:space="0"/>
            </w:tcBorders>
            <w:noWrap/>
            <w:vAlign w:val="center"/>
          </w:tcPr>
          <w:p w14:paraId="41E242D8">
            <w:pPr>
              <w:snapToGrid w:val="0"/>
              <w:spacing w:before="50" w:after="50"/>
              <w:jc w:val="center"/>
              <w:rPr>
                <w:rFonts w:ascii="宋体" w:hAnsi="宋体"/>
                <w:color w:val="auto"/>
                <w:sz w:val="24"/>
                <w:highlight w:val="none"/>
              </w:rPr>
            </w:pPr>
          </w:p>
        </w:tc>
      </w:tr>
      <w:tr w14:paraId="25E0BB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410" w:type="pct"/>
            <w:tcBorders>
              <w:top w:val="single" w:color="auto" w:sz="4" w:space="0"/>
              <w:left w:val="single" w:color="auto" w:sz="4" w:space="0"/>
              <w:bottom w:val="single" w:color="auto" w:sz="4" w:space="0"/>
              <w:right w:val="single" w:color="auto" w:sz="4" w:space="0"/>
            </w:tcBorders>
            <w:noWrap/>
            <w:vAlign w:val="center"/>
          </w:tcPr>
          <w:p w14:paraId="636FBFD9">
            <w:pPr>
              <w:snapToGrid w:val="0"/>
              <w:spacing w:before="50" w:after="50"/>
              <w:jc w:val="center"/>
              <w:rPr>
                <w:rFonts w:ascii="宋体" w:hAnsi="宋体"/>
                <w:color w:val="auto"/>
                <w:sz w:val="24"/>
                <w:highlight w:val="none"/>
              </w:rPr>
            </w:pPr>
          </w:p>
        </w:tc>
        <w:tc>
          <w:tcPr>
            <w:tcW w:w="675" w:type="pct"/>
            <w:tcBorders>
              <w:top w:val="single" w:color="auto" w:sz="4" w:space="0"/>
              <w:left w:val="single" w:color="auto" w:sz="4" w:space="0"/>
              <w:bottom w:val="single" w:color="auto" w:sz="4" w:space="0"/>
              <w:right w:val="single" w:color="auto" w:sz="4" w:space="0"/>
            </w:tcBorders>
            <w:noWrap/>
            <w:vAlign w:val="center"/>
          </w:tcPr>
          <w:p w14:paraId="5389E3F5">
            <w:pPr>
              <w:snapToGrid w:val="0"/>
              <w:spacing w:before="50" w:after="50"/>
              <w:jc w:val="center"/>
              <w:rPr>
                <w:rFonts w:ascii="宋体" w:hAnsi="宋体"/>
                <w:color w:val="auto"/>
                <w:sz w:val="24"/>
                <w:highlight w:val="none"/>
              </w:rPr>
            </w:pPr>
          </w:p>
        </w:tc>
        <w:tc>
          <w:tcPr>
            <w:tcW w:w="515" w:type="pct"/>
            <w:tcBorders>
              <w:top w:val="single" w:color="auto" w:sz="4" w:space="0"/>
              <w:left w:val="single" w:color="auto" w:sz="4" w:space="0"/>
              <w:bottom w:val="single" w:color="auto" w:sz="4" w:space="0"/>
              <w:right w:val="single" w:color="auto" w:sz="4" w:space="0"/>
            </w:tcBorders>
            <w:noWrap/>
            <w:vAlign w:val="center"/>
          </w:tcPr>
          <w:p w14:paraId="4C11BB89">
            <w:pPr>
              <w:snapToGrid w:val="0"/>
              <w:spacing w:before="50" w:after="50"/>
              <w:jc w:val="center"/>
              <w:rPr>
                <w:rFonts w:ascii="宋体" w:hAnsi="宋体"/>
                <w:color w:val="auto"/>
                <w:sz w:val="24"/>
                <w:highlight w:val="none"/>
              </w:rPr>
            </w:pPr>
          </w:p>
        </w:tc>
        <w:tc>
          <w:tcPr>
            <w:tcW w:w="1798" w:type="pct"/>
            <w:tcBorders>
              <w:top w:val="single" w:color="auto" w:sz="4" w:space="0"/>
              <w:left w:val="single" w:color="auto" w:sz="4" w:space="0"/>
              <w:bottom w:val="single" w:color="auto" w:sz="4" w:space="0"/>
              <w:right w:val="single" w:color="auto" w:sz="4" w:space="0"/>
            </w:tcBorders>
            <w:noWrap/>
            <w:vAlign w:val="center"/>
          </w:tcPr>
          <w:p w14:paraId="2C644940">
            <w:pPr>
              <w:snapToGrid w:val="0"/>
              <w:spacing w:before="50" w:after="50"/>
              <w:jc w:val="center"/>
              <w:rPr>
                <w:rFonts w:ascii="宋体" w:hAnsi="宋体"/>
                <w:color w:val="auto"/>
                <w:sz w:val="24"/>
                <w:highlight w:val="none"/>
              </w:rPr>
            </w:pPr>
          </w:p>
        </w:tc>
        <w:tc>
          <w:tcPr>
            <w:tcW w:w="1200" w:type="pct"/>
            <w:tcBorders>
              <w:top w:val="single" w:color="auto" w:sz="4" w:space="0"/>
              <w:left w:val="single" w:color="auto" w:sz="4" w:space="0"/>
              <w:bottom w:val="single" w:color="auto" w:sz="4" w:space="0"/>
              <w:right w:val="single" w:color="auto" w:sz="4" w:space="0"/>
            </w:tcBorders>
            <w:noWrap/>
          </w:tcPr>
          <w:p w14:paraId="39FD4D3D">
            <w:pPr>
              <w:snapToGrid w:val="0"/>
              <w:spacing w:before="50" w:after="50"/>
              <w:jc w:val="center"/>
              <w:rPr>
                <w:rFonts w:ascii="宋体" w:hAnsi="宋体"/>
                <w:color w:val="auto"/>
                <w:sz w:val="24"/>
                <w:highlight w:val="none"/>
              </w:rPr>
            </w:pPr>
          </w:p>
        </w:tc>
        <w:tc>
          <w:tcPr>
            <w:tcW w:w="402" w:type="pct"/>
            <w:tcBorders>
              <w:top w:val="single" w:color="auto" w:sz="4" w:space="0"/>
              <w:left w:val="single" w:color="auto" w:sz="4" w:space="0"/>
              <w:bottom w:val="single" w:color="auto" w:sz="4" w:space="0"/>
              <w:right w:val="single" w:color="auto" w:sz="4" w:space="0"/>
            </w:tcBorders>
            <w:noWrap/>
            <w:vAlign w:val="center"/>
          </w:tcPr>
          <w:p w14:paraId="6608A7D7">
            <w:pPr>
              <w:snapToGrid w:val="0"/>
              <w:spacing w:before="50" w:after="50"/>
              <w:jc w:val="center"/>
              <w:rPr>
                <w:rFonts w:ascii="宋体" w:hAnsi="宋体"/>
                <w:color w:val="auto"/>
                <w:sz w:val="24"/>
                <w:highlight w:val="none"/>
              </w:rPr>
            </w:pPr>
          </w:p>
        </w:tc>
      </w:tr>
    </w:tbl>
    <w:p w14:paraId="02D20A1F">
      <w:pPr>
        <w:spacing w:line="360" w:lineRule="auto"/>
        <w:contextualSpacing/>
        <w:rPr>
          <w:rFonts w:ascii="宋体" w:hAnsi="宋体"/>
          <w:color w:val="auto"/>
          <w:sz w:val="24"/>
          <w:highlight w:val="none"/>
        </w:rPr>
      </w:pPr>
      <w:r>
        <w:rPr>
          <w:rFonts w:hint="eastAsia" w:ascii="宋体" w:hAnsi="宋体"/>
          <w:color w:val="auto"/>
          <w:sz w:val="24"/>
          <w:highlight w:val="none"/>
        </w:rPr>
        <w:t>备注：</w:t>
      </w:r>
    </w:p>
    <w:p w14:paraId="4F01A1C0">
      <w:pPr>
        <w:tabs>
          <w:tab w:val="left" w:pos="1065"/>
        </w:tabs>
        <w:adjustRightInd w:val="0"/>
        <w:spacing w:line="360" w:lineRule="auto"/>
        <w:contextualSpacing/>
        <w:rPr>
          <w:rFonts w:ascii="宋体" w:hAnsi="宋体" w:cs="仿宋_GB2312"/>
          <w:color w:val="auto"/>
          <w:sz w:val="24"/>
          <w:highlight w:val="none"/>
        </w:rPr>
      </w:pPr>
      <w:r>
        <w:rPr>
          <w:rFonts w:hint="eastAsia" w:ascii="宋体" w:hAnsi="宋体"/>
          <w:b/>
          <w:bCs/>
          <w:color w:val="auto"/>
          <w:sz w:val="24"/>
          <w:highlight w:val="none"/>
        </w:rPr>
        <w:t>以上货物配置清单中“货物名称、数量及单位、货物全称、品牌、生产厂家及国别、规格、技术参数”必须如实填写完整，品牌、规格没有则填无，填写有缺漏的，响应文件按无效响应处理</w:t>
      </w:r>
      <w:r>
        <w:rPr>
          <w:rFonts w:hint="eastAsia" w:ascii="宋体" w:hAnsi="宋体"/>
          <w:b/>
          <w:color w:val="auto"/>
          <w:sz w:val="24"/>
          <w:highlight w:val="none"/>
        </w:rPr>
        <w:t>。</w:t>
      </w:r>
      <w:r>
        <w:rPr>
          <w:rFonts w:hint="eastAsia" w:ascii="宋体" w:hAnsi="宋体"/>
          <w:color w:val="auto"/>
          <w:sz w:val="24"/>
          <w:highlight w:val="none"/>
        </w:rPr>
        <w:t>货物名称、数量及单位、品牌型号必须与“竞标报价表”一致，</w:t>
      </w:r>
      <w:r>
        <w:rPr>
          <w:rFonts w:hint="eastAsia" w:ascii="宋体" w:hAnsi="宋体"/>
          <w:bCs/>
          <w:color w:val="auto"/>
          <w:sz w:val="24"/>
          <w:highlight w:val="none"/>
        </w:rPr>
        <w:t>否则响应文件按无效响应处理</w:t>
      </w:r>
      <w:r>
        <w:rPr>
          <w:rFonts w:hint="eastAsia" w:ascii="宋体" w:hAnsi="宋体"/>
          <w:b/>
          <w:color w:val="auto"/>
          <w:sz w:val="24"/>
          <w:highlight w:val="none"/>
        </w:rPr>
        <w:t>。</w:t>
      </w:r>
      <w:r>
        <w:rPr>
          <w:rFonts w:hint="eastAsia" w:ascii="宋体" w:hAnsi="宋体" w:cs="仿宋_GB2312"/>
          <w:color w:val="auto"/>
          <w:sz w:val="24"/>
          <w:highlight w:val="none"/>
        </w:rPr>
        <w:tab/>
      </w:r>
    </w:p>
    <w:p w14:paraId="389BD458">
      <w:pPr>
        <w:adjustRightInd w:val="0"/>
        <w:spacing w:line="360" w:lineRule="auto"/>
        <w:contextualSpacing/>
        <w:jc w:val="left"/>
        <w:rPr>
          <w:rFonts w:ascii="宋体" w:hAnsi="宋体" w:cs="仿宋_GB2312"/>
          <w:color w:val="auto"/>
          <w:sz w:val="24"/>
          <w:highlight w:val="none"/>
        </w:rPr>
      </w:pPr>
    </w:p>
    <w:p w14:paraId="78EE3834">
      <w:pPr>
        <w:adjustRightInd w:val="0"/>
        <w:spacing w:line="360" w:lineRule="auto"/>
        <w:contextualSpacing/>
        <w:jc w:val="left"/>
        <w:rPr>
          <w:rFonts w:ascii="宋体" w:hAnsi="宋体" w:cs="仿宋_GB2312"/>
          <w:color w:val="auto"/>
          <w:sz w:val="24"/>
          <w:highlight w:val="none"/>
        </w:rPr>
      </w:pPr>
    </w:p>
    <w:p w14:paraId="188A69DC">
      <w:pPr>
        <w:adjustRightInd w:val="0"/>
        <w:spacing w:line="360" w:lineRule="auto"/>
        <w:contextualSpacing/>
        <w:jc w:val="left"/>
        <w:rPr>
          <w:rFonts w:ascii="宋体" w:hAnsi="宋体" w:cs="仿宋_GB2312"/>
          <w:color w:val="auto"/>
          <w:sz w:val="24"/>
          <w:highlight w:val="none"/>
        </w:rPr>
      </w:pPr>
    </w:p>
    <w:p w14:paraId="7281E840">
      <w:pPr>
        <w:spacing w:line="360" w:lineRule="auto"/>
        <w:ind w:right="-817" w:rightChars="-389"/>
        <w:contextualSpacing/>
        <w:jc w:val="center"/>
        <w:rPr>
          <w:rFonts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1B873F20">
      <w:pPr>
        <w:spacing w:line="360" w:lineRule="auto"/>
        <w:ind w:right="-817" w:rightChars="-389" w:firstLine="3240" w:firstLineChars="135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37134811">
      <w:pPr>
        <w:spacing w:line="360" w:lineRule="auto"/>
        <w:ind w:right="-817" w:rightChars="-389" w:firstLine="3240" w:firstLineChars="1350"/>
        <w:contextualSpacing/>
        <w:rPr>
          <w:rFonts w:ascii="仿宋_GB2312" w:hAnsi="仿宋_GB2312" w:eastAsia="仿宋_GB2312" w:cs="仿宋_GB2312"/>
          <w:b/>
          <w:color w:val="auto"/>
          <w:sz w:val="32"/>
          <w:szCs w:val="32"/>
          <w:highlight w:val="none"/>
        </w:rPr>
      </w:pPr>
      <w:r>
        <w:rPr>
          <w:rFonts w:hint="eastAsia" w:ascii="宋体" w:hAnsi="宋体" w:cs="仿宋_GB2312"/>
          <w:color w:val="auto"/>
          <w:sz w:val="24"/>
          <w:highlight w:val="none"/>
        </w:rPr>
        <w:t>日期：   年   月   日</w:t>
      </w:r>
    </w:p>
    <w:p w14:paraId="5254613D">
      <w:pPr>
        <w:rPr>
          <w:color w:val="auto"/>
          <w:szCs w:val="21"/>
          <w:highlight w:val="none"/>
        </w:rPr>
      </w:pPr>
    </w:p>
    <w:p w14:paraId="15CF3DAA">
      <w:pPr>
        <w:rPr>
          <w:color w:val="auto"/>
          <w:szCs w:val="21"/>
          <w:highlight w:val="none"/>
        </w:rPr>
      </w:pPr>
      <w:bookmarkStart w:id="112" w:name="_Hlk19115689"/>
      <w:r>
        <w:rPr>
          <w:color w:val="auto"/>
          <w:szCs w:val="21"/>
          <w:highlight w:val="none"/>
        </w:rPr>
        <w:t>3．</w:t>
      </w:r>
      <w:r>
        <w:rPr>
          <w:rFonts w:hint="eastAsia"/>
          <w:color w:val="auto"/>
          <w:szCs w:val="21"/>
          <w:highlight w:val="none"/>
        </w:rPr>
        <w:t>响应货物或产品的质量保证说明</w:t>
      </w:r>
    </w:p>
    <w:p w14:paraId="370EFE0E">
      <w:pPr>
        <w:rPr>
          <w:color w:val="auto"/>
          <w:szCs w:val="21"/>
          <w:highlight w:val="none"/>
        </w:rPr>
      </w:pPr>
    </w:p>
    <w:p w14:paraId="6DC037D9">
      <w:pPr>
        <w:rPr>
          <w:color w:val="auto"/>
          <w:szCs w:val="21"/>
          <w:highlight w:val="none"/>
        </w:rPr>
      </w:pPr>
    </w:p>
    <w:bookmarkEnd w:id="112"/>
    <w:p w14:paraId="2C74B3D2">
      <w:pPr>
        <w:snapToGrid w:val="0"/>
        <w:spacing w:before="50" w:afterLines="50" w:line="440" w:lineRule="exact"/>
        <w:jc w:val="left"/>
        <w:rPr>
          <w:color w:val="auto"/>
          <w:highlight w:val="none"/>
        </w:rPr>
      </w:pPr>
    </w:p>
    <w:p w14:paraId="226C42D1">
      <w:pPr>
        <w:snapToGrid w:val="0"/>
        <w:spacing w:before="50" w:afterLines="50" w:line="440" w:lineRule="exact"/>
        <w:jc w:val="left"/>
        <w:rPr>
          <w:color w:val="auto"/>
          <w:szCs w:val="21"/>
          <w:highlight w:val="none"/>
        </w:rPr>
      </w:pPr>
      <w:r>
        <w:rPr>
          <w:rFonts w:hint="eastAsia"/>
          <w:color w:val="auto"/>
          <w:szCs w:val="21"/>
          <w:highlight w:val="none"/>
        </w:rPr>
        <w:t>4</w:t>
      </w:r>
      <w:r>
        <w:rPr>
          <w:color w:val="auto"/>
          <w:szCs w:val="21"/>
          <w:highlight w:val="none"/>
        </w:rPr>
        <w:t>．</w:t>
      </w:r>
      <w:r>
        <w:rPr>
          <w:rFonts w:hint="eastAsia"/>
          <w:color w:val="auto"/>
          <w:szCs w:val="21"/>
          <w:highlight w:val="none"/>
        </w:rPr>
        <w:t>对</w:t>
      </w:r>
      <w:r>
        <w:rPr>
          <w:color w:val="auto"/>
          <w:szCs w:val="21"/>
          <w:highlight w:val="none"/>
        </w:rPr>
        <w:t>本项目第</w:t>
      </w:r>
      <w:r>
        <w:rPr>
          <w:rFonts w:hint="eastAsia"/>
          <w:color w:val="auto"/>
          <w:szCs w:val="21"/>
          <w:highlight w:val="none"/>
        </w:rPr>
        <w:t>二</w:t>
      </w:r>
      <w:r>
        <w:rPr>
          <w:color w:val="auto"/>
          <w:szCs w:val="21"/>
          <w:highlight w:val="none"/>
        </w:rPr>
        <w:t>章</w:t>
      </w:r>
      <w:r>
        <w:rPr>
          <w:rFonts w:hint="eastAsia"/>
          <w:color w:val="auto"/>
          <w:szCs w:val="21"/>
          <w:highlight w:val="none"/>
        </w:rPr>
        <w:t>《</w:t>
      </w:r>
      <w:r>
        <w:rPr>
          <w:color w:val="auto"/>
          <w:szCs w:val="21"/>
          <w:highlight w:val="none"/>
        </w:rPr>
        <w:t>采购需求</w:t>
      </w:r>
      <w:r>
        <w:rPr>
          <w:rFonts w:hint="eastAsia"/>
          <w:color w:val="auto"/>
          <w:szCs w:val="21"/>
          <w:highlight w:val="none"/>
        </w:rPr>
        <w:t>》</w:t>
      </w:r>
      <w:r>
        <w:rPr>
          <w:color w:val="auto"/>
          <w:szCs w:val="21"/>
          <w:highlight w:val="none"/>
        </w:rPr>
        <w:t>商务要求的</w:t>
      </w:r>
      <w:r>
        <w:rPr>
          <w:rFonts w:hint="eastAsia"/>
          <w:color w:val="auto"/>
          <w:szCs w:val="21"/>
          <w:highlight w:val="none"/>
        </w:rPr>
        <w:t>响应表</w:t>
      </w:r>
      <w:r>
        <w:rPr>
          <w:color w:val="auto"/>
          <w:szCs w:val="21"/>
          <w:highlight w:val="none"/>
        </w:rPr>
        <w:t>：</w:t>
      </w:r>
    </w:p>
    <w:bookmarkEnd w:id="111"/>
    <w:tbl>
      <w:tblPr>
        <w:tblStyle w:val="51"/>
        <w:tblpPr w:leftFromText="180" w:rightFromText="180" w:vertAnchor="text" w:horzAnchor="margin" w:tblpY="311"/>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633"/>
        <w:gridCol w:w="1829"/>
      </w:tblGrid>
      <w:tr w14:paraId="6AF68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59EC3F98">
            <w:pPr>
              <w:snapToGrid w:val="0"/>
              <w:spacing w:beforeLines="50" w:line="360" w:lineRule="auto"/>
              <w:jc w:val="center"/>
              <w:rPr>
                <w:rFonts w:ascii="宋体" w:hAnsi="宋体" w:cs="仿宋_GB2312"/>
                <w:color w:val="auto"/>
                <w:sz w:val="24"/>
                <w:highlight w:val="none"/>
              </w:rPr>
            </w:pPr>
            <w:bookmarkStart w:id="113" w:name="_Hlk48144603"/>
            <w:bookmarkStart w:id="114" w:name="_Hlk89181571"/>
            <w:r>
              <w:rPr>
                <w:rFonts w:hint="eastAsia" w:ascii="宋体" w:hAnsi="宋体" w:cs="仿宋_GB2312"/>
                <w:color w:val="auto"/>
                <w:sz w:val="24"/>
                <w:highlight w:val="none"/>
              </w:rPr>
              <w:t>商务要求</w:t>
            </w:r>
          </w:p>
        </w:tc>
        <w:tc>
          <w:tcPr>
            <w:tcW w:w="2668" w:type="dxa"/>
            <w:tcBorders>
              <w:top w:val="single" w:color="auto" w:sz="4" w:space="0"/>
              <w:left w:val="single" w:color="auto" w:sz="4" w:space="0"/>
              <w:bottom w:val="single" w:color="auto" w:sz="4" w:space="0"/>
              <w:right w:val="single" w:color="auto" w:sz="4" w:space="0"/>
            </w:tcBorders>
            <w:noWrap/>
            <w:vAlign w:val="center"/>
          </w:tcPr>
          <w:p w14:paraId="203E1103">
            <w:pPr>
              <w:snapToGrid w:val="0"/>
              <w:spacing w:beforeLines="50" w:line="360" w:lineRule="auto"/>
              <w:jc w:val="center"/>
              <w:rPr>
                <w:rFonts w:ascii="宋体" w:hAnsi="宋体" w:cs="仿宋_GB2312"/>
                <w:color w:val="auto"/>
                <w:sz w:val="24"/>
                <w:highlight w:val="none"/>
              </w:rPr>
            </w:pPr>
            <w:r>
              <w:rPr>
                <w:rFonts w:hint="eastAsia" w:ascii="宋体" w:hAnsi="宋体" w:cs="仿宋_GB2312"/>
                <w:color w:val="auto"/>
                <w:sz w:val="24"/>
                <w:highlight w:val="none"/>
              </w:rPr>
              <w:t>谈判文件商务要求</w:t>
            </w:r>
          </w:p>
        </w:tc>
        <w:tc>
          <w:tcPr>
            <w:tcW w:w="2633" w:type="dxa"/>
            <w:tcBorders>
              <w:top w:val="single" w:color="auto" w:sz="4" w:space="0"/>
              <w:left w:val="single" w:color="auto" w:sz="4" w:space="0"/>
              <w:bottom w:val="single" w:color="auto" w:sz="4" w:space="0"/>
              <w:right w:val="single" w:color="auto" w:sz="4" w:space="0"/>
            </w:tcBorders>
            <w:noWrap/>
            <w:vAlign w:val="center"/>
          </w:tcPr>
          <w:p w14:paraId="2C5834FC">
            <w:pPr>
              <w:snapToGrid w:val="0"/>
              <w:spacing w:beforeLines="50" w:line="360" w:lineRule="auto"/>
              <w:jc w:val="center"/>
              <w:rPr>
                <w:rFonts w:ascii="宋体" w:hAnsi="宋体" w:cs="仿宋_GB2312"/>
                <w:color w:val="auto"/>
                <w:sz w:val="24"/>
                <w:highlight w:val="none"/>
              </w:rPr>
            </w:pPr>
            <w:r>
              <w:rPr>
                <w:rFonts w:hint="eastAsia" w:ascii="宋体" w:hAnsi="宋体" w:cs="仿宋_GB2312"/>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noWrap/>
            <w:vAlign w:val="center"/>
          </w:tcPr>
          <w:p w14:paraId="1A454CA5">
            <w:pPr>
              <w:snapToGrid w:val="0"/>
              <w:spacing w:beforeLines="50" w:line="360" w:lineRule="auto"/>
              <w:jc w:val="center"/>
              <w:rPr>
                <w:rFonts w:ascii="宋体" w:hAnsi="宋体" w:cs="仿宋_GB2312"/>
                <w:color w:val="auto"/>
                <w:sz w:val="24"/>
                <w:highlight w:val="none"/>
              </w:rPr>
            </w:pPr>
            <w:r>
              <w:rPr>
                <w:rFonts w:hint="eastAsia" w:ascii="宋体" w:hAnsi="宋体" w:cs="仿宋_GB2312"/>
                <w:color w:val="auto"/>
                <w:sz w:val="24"/>
                <w:highlight w:val="none"/>
              </w:rPr>
              <w:t>偏离说明</w:t>
            </w:r>
          </w:p>
        </w:tc>
      </w:tr>
      <w:tr w14:paraId="40C233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002FCD7D">
            <w:pPr>
              <w:jc w:val="center"/>
              <w:rPr>
                <w:rFonts w:ascii="宋体" w:hAnsi="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noWrap/>
            <w:vAlign w:val="center"/>
          </w:tcPr>
          <w:p w14:paraId="1F0630A1">
            <w:pPr>
              <w:jc w:val="center"/>
              <w:rPr>
                <w:rFonts w:ascii="宋体" w:hAnsi="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ign w:val="center"/>
          </w:tcPr>
          <w:p w14:paraId="311676C4">
            <w:pPr>
              <w:keepNext w:val="0"/>
              <w:keepLines w:val="0"/>
              <w:snapToGrid w:val="0"/>
              <w:spacing w:beforeLines="50" w:line="360" w:lineRule="auto"/>
              <w:jc w:val="center"/>
              <w:outlineLvl w:val="9"/>
              <w:rPr>
                <w:rFonts w:ascii="宋体" w:hAnsi="宋体" w:cs="仿宋_GB2312"/>
                <w:b/>
                <w:bCs/>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ign w:val="center"/>
          </w:tcPr>
          <w:p w14:paraId="1742A8A8">
            <w:pPr>
              <w:keepNext w:val="0"/>
              <w:keepLines w:val="0"/>
              <w:snapToGrid w:val="0"/>
              <w:spacing w:beforeLines="50" w:line="360" w:lineRule="auto"/>
              <w:jc w:val="center"/>
              <w:outlineLvl w:val="9"/>
              <w:rPr>
                <w:rFonts w:ascii="宋体" w:hAnsi="宋体" w:cs="仿宋_GB2312"/>
                <w:b/>
                <w:bCs/>
                <w:color w:val="auto"/>
                <w:sz w:val="24"/>
                <w:highlight w:val="none"/>
              </w:rPr>
            </w:pPr>
          </w:p>
        </w:tc>
      </w:tr>
      <w:tr w14:paraId="09C499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038CEBB4">
            <w:pPr>
              <w:jc w:val="center"/>
              <w:rPr>
                <w:rFonts w:ascii="宋体" w:hAnsi="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noWrap/>
            <w:vAlign w:val="center"/>
          </w:tcPr>
          <w:p w14:paraId="73E2834B">
            <w:pPr>
              <w:jc w:val="center"/>
              <w:rPr>
                <w:rFonts w:ascii="宋体" w:hAnsi="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ign w:val="center"/>
          </w:tcPr>
          <w:p w14:paraId="39178244">
            <w:pPr>
              <w:keepNext w:val="0"/>
              <w:keepLines w:val="0"/>
              <w:snapToGrid w:val="0"/>
              <w:spacing w:beforeLines="50" w:line="360" w:lineRule="auto"/>
              <w:ind w:left="43"/>
              <w:jc w:val="center"/>
              <w:outlineLvl w:val="9"/>
              <w:rPr>
                <w:rFonts w:ascii="宋体" w:hAnsi="宋体" w:cs="仿宋_GB2312"/>
                <w:b/>
                <w:bCs/>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ign w:val="center"/>
          </w:tcPr>
          <w:p w14:paraId="531C7CE8">
            <w:pPr>
              <w:keepNext w:val="0"/>
              <w:keepLines w:val="0"/>
              <w:snapToGrid w:val="0"/>
              <w:spacing w:beforeLines="50" w:line="360" w:lineRule="auto"/>
              <w:ind w:left="43"/>
              <w:jc w:val="center"/>
              <w:outlineLvl w:val="9"/>
              <w:rPr>
                <w:rFonts w:ascii="宋体" w:hAnsi="宋体" w:cs="仿宋_GB2312"/>
                <w:b/>
                <w:bCs/>
                <w:color w:val="auto"/>
                <w:sz w:val="24"/>
                <w:highlight w:val="none"/>
              </w:rPr>
            </w:pPr>
          </w:p>
        </w:tc>
      </w:tr>
      <w:tr w14:paraId="03F1F6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ign w:val="center"/>
          </w:tcPr>
          <w:p w14:paraId="17C42CAC">
            <w:pPr>
              <w:keepNext w:val="0"/>
              <w:keepLines w:val="0"/>
              <w:snapToGrid w:val="0"/>
              <w:spacing w:beforeLines="50" w:line="360" w:lineRule="auto"/>
              <w:jc w:val="center"/>
              <w:outlineLvl w:val="9"/>
              <w:rPr>
                <w:rFonts w:ascii="宋体" w:hAnsi="宋体" w:cs="仿宋_GB2312"/>
                <w:b/>
                <w:bCs/>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noWrap/>
            <w:vAlign w:val="center"/>
          </w:tcPr>
          <w:p w14:paraId="698464E2">
            <w:pPr>
              <w:keepNext w:val="0"/>
              <w:keepLines w:val="0"/>
              <w:snapToGrid w:val="0"/>
              <w:spacing w:beforeLines="50" w:line="360" w:lineRule="auto"/>
              <w:jc w:val="center"/>
              <w:outlineLvl w:val="9"/>
              <w:rPr>
                <w:rFonts w:ascii="宋体" w:hAnsi="宋体" w:cs="仿宋_GB2312"/>
                <w:b/>
                <w:bCs/>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ign w:val="center"/>
          </w:tcPr>
          <w:p w14:paraId="2FB645E6">
            <w:pPr>
              <w:keepNext w:val="0"/>
              <w:keepLines w:val="0"/>
              <w:snapToGrid w:val="0"/>
              <w:spacing w:beforeLines="50" w:line="360" w:lineRule="auto"/>
              <w:jc w:val="center"/>
              <w:outlineLvl w:val="9"/>
              <w:rPr>
                <w:rFonts w:ascii="宋体" w:hAnsi="宋体" w:cs="仿宋_GB2312"/>
                <w:b/>
                <w:bCs/>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ign w:val="center"/>
          </w:tcPr>
          <w:p w14:paraId="795584A3">
            <w:pPr>
              <w:keepNext w:val="0"/>
              <w:keepLines w:val="0"/>
              <w:snapToGrid w:val="0"/>
              <w:spacing w:beforeLines="50" w:line="360" w:lineRule="auto"/>
              <w:jc w:val="center"/>
              <w:outlineLvl w:val="9"/>
              <w:rPr>
                <w:rFonts w:ascii="宋体" w:hAnsi="宋体" w:cs="仿宋_GB2312"/>
                <w:b/>
                <w:bCs/>
                <w:color w:val="auto"/>
                <w:sz w:val="24"/>
                <w:highlight w:val="none"/>
              </w:rPr>
            </w:pPr>
          </w:p>
        </w:tc>
      </w:tr>
    </w:tbl>
    <w:p w14:paraId="4CF395E9">
      <w:pPr>
        <w:pStyle w:val="18"/>
        <w:spacing w:line="360" w:lineRule="auto"/>
        <w:contextualSpacing/>
        <w:rPr>
          <w:rFonts w:ascii="宋体" w:hAnsi="宋体"/>
          <w:color w:val="auto"/>
          <w:kern w:val="0"/>
          <w:highlight w:val="none"/>
        </w:rPr>
      </w:pPr>
      <w:r>
        <w:rPr>
          <w:rFonts w:hint="eastAsia" w:ascii="宋体" w:hAnsi="宋体"/>
          <w:color w:val="auto"/>
          <w:kern w:val="0"/>
          <w:highlight w:val="none"/>
        </w:rPr>
        <w:t>注：</w:t>
      </w:r>
    </w:p>
    <w:p w14:paraId="08B870B1">
      <w:pPr>
        <w:pStyle w:val="18"/>
        <w:spacing w:line="360" w:lineRule="auto"/>
        <w:contextualSpacing/>
        <w:rPr>
          <w:rFonts w:ascii="宋体" w:hAnsi="宋体"/>
          <w:color w:val="auto"/>
          <w:kern w:val="0"/>
          <w:highlight w:val="none"/>
        </w:rPr>
      </w:pPr>
      <w:r>
        <w:rPr>
          <w:rFonts w:hint="eastAsia" w:ascii="宋体" w:hAnsi="宋体"/>
          <w:color w:val="auto"/>
          <w:kern w:val="0"/>
          <w:highlight w:val="none"/>
        </w:rPr>
        <w:t>1. 说明：应对照谈判文件“第二章 采购需求”中的商务要求逐条明确响应，并作出偏离说明。</w:t>
      </w:r>
    </w:p>
    <w:p w14:paraId="40A390A8">
      <w:pPr>
        <w:pStyle w:val="18"/>
        <w:spacing w:line="360" w:lineRule="auto"/>
        <w:contextualSpacing/>
        <w:rPr>
          <w:rFonts w:ascii="宋体" w:hAnsi="宋体"/>
          <w:color w:val="auto"/>
          <w:kern w:val="0"/>
          <w:highlight w:val="none"/>
        </w:rPr>
      </w:pPr>
      <w:r>
        <w:rPr>
          <w:rFonts w:hint="eastAsia" w:ascii="宋体" w:hAnsi="宋体"/>
          <w:color w:val="auto"/>
          <w:kern w:val="0"/>
          <w:highlight w:val="none"/>
        </w:rPr>
        <w:t>2.供应商应根据自身的承诺，对照谈判文件要求在“偏离说明”中注明“正偏离”、“负偏离”或者“无偏离”。既不属于“正偏离”也不属于“负偏离”即为“无偏离”。</w:t>
      </w:r>
    </w:p>
    <w:p w14:paraId="2CCA708D">
      <w:pPr>
        <w:spacing w:line="360" w:lineRule="auto"/>
        <w:contextualSpacing/>
        <w:jc w:val="left"/>
        <w:rPr>
          <w:rFonts w:ascii="宋体" w:hAnsi="宋体" w:cs="仿宋_GB2312"/>
          <w:color w:val="auto"/>
          <w:sz w:val="24"/>
          <w:highlight w:val="none"/>
          <w:u w:val="single"/>
        </w:rPr>
      </w:pPr>
    </w:p>
    <w:p w14:paraId="79841DE5">
      <w:pPr>
        <w:spacing w:line="360" w:lineRule="auto"/>
        <w:contextualSpacing/>
        <w:jc w:val="left"/>
        <w:rPr>
          <w:rFonts w:ascii="宋体" w:hAnsi="宋体" w:cs="仿宋_GB2312"/>
          <w:color w:val="auto"/>
          <w:sz w:val="24"/>
          <w:highlight w:val="none"/>
          <w:u w:val="single"/>
        </w:rPr>
      </w:pPr>
    </w:p>
    <w:p w14:paraId="01575D12">
      <w:pPr>
        <w:spacing w:line="360" w:lineRule="auto"/>
        <w:ind w:right="-817" w:rightChars="-389"/>
        <w:contextualSpacing/>
        <w:rPr>
          <w:rFonts w:ascii="宋体" w:hAnsi="宋体" w:cs="仿宋_GB2312"/>
          <w:color w:val="auto"/>
          <w:sz w:val="24"/>
          <w:highlight w:val="none"/>
        </w:rPr>
      </w:pPr>
    </w:p>
    <w:p w14:paraId="011AE4A0">
      <w:pPr>
        <w:spacing w:line="360" w:lineRule="auto"/>
        <w:ind w:right="-817" w:rightChars="-389"/>
        <w:contextualSpacing/>
        <w:jc w:val="center"/>
        <w:rPr>
          <w:rFonts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3D57CA31">
      <w:pPr>
        <w:spacing w:line="360" w:lineRule="auto"/>
        <w:ind w:right="-817" w:rightChars="-389" w:firstLine="3240" w:firstLineChars="135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645B2217">
      <w:pPr>
        <w:spacing w:line="360" w:lineRule="auto"/>
        <w:ind w:right="-817" w:rightChars="-389" w:firstLine="3240" w:firstLineChars="135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bookmarkEnd w:id="113"/>
    <w:bookmarkEnd w:id="114"/>
    <w:p w14:paraId="77934485">
      <w:pPr>
        <w:snapToGrid w:val="0"/>
        <w:spacing w:before="50" w:afterLines="50" w:line="440" w:lineRule="exact"/>
        <w:jc w:val="left"/>
        <w:rPr>
          <w:color w:val="auto"/>
          <w:spacing w:val="20"/>
          <w:szCs w:val="21"/>
          <w:highlight w:val="none"/>
          <w:u w:val="single"/>
        </w:rPr>
      </w:pPr>
    </w:p>
    <w:p w14:paraId="18920300">
      <w:pPr>
        <w:snapToGrid w:val="0"/>
        <w:spacing w:before="50" w:afterLines="50"/>
        <w:jc w:val="left"/>
        <w:rPr>
          <w:color w:val="auto"/>
          <w:spacing w:val="20"/>
          <w:szCs w:val="21"/>
          <w:highlight w:val="none"/>
          <w:u w:val="single"/>
        </w:rPr>
      </w:pPr>
    </w:p>
    <w:p w14:paraId="176894DF">
      <w:pPr>
        <w:snapToGrid w:val="0"/>
        <w:spacing w:before="50" w:afterLines="50" w:line="440" w:lineRule="exact"/>
        <w:jc w:val="left"/>
        <w:rPr>
          <w:color w:val="auto"/>
          <w:spacing w:val="20"/>
          <w:szCs w:val="21"/>
          <w:highlight w:val="none"/>
          <w:u w:val="single"/>
        </w:rPr>
      </w:pPr>
    </w:p>
    <w:p w14:paraId="3E62BFBB">
      <w:pPr>
        <w:snapToGrid w:val="0"/>
        <w:spacing w:before="50" w:afterLines="50" w:line="440" w:lineRule="exact"/>
        <w:jc w:val="left"/>
        <w:rPr>
          <w:color w:val="auto"/>
          <w:spacing w:val="20"/>
          <w:szCs w:val="21"/>
          <w:highlight w:val="none"/>
          <w:u w:val="single"/>
        </w:rPr>
      </w:pPr>
    </w:p>
    <w:p w14:paraId="2276ED4A">
      <w:pPr>
        <w:snapToGrid w:val="0"/>
        <w:spacing w:before="50" w:afterLines="50" w:line="440" w:lineRule="exact"/>
        <w:jc w:val="left"/>
        <w:rPr>
          <w:color w:val="auto"/>
          <w:spacing w:val="20"/>
          <w:szCs w:val="21"/>
          <w:highlight w:val="none"/>
          <w:u w:val="single"/>
        </w:rPr>
      </w:pPr>
    </w:p>
    <w:p w14:paraId="5E7D4D89">
      <w:pPr>
        <w:snapToGrid w:val="0"/>
        <w:spacing w:before="50" w:afterLines="50" w:line="440" w:lineRule="exact"/>
        <w:jc w:val="left"/>
        <w:rPr>
          <w:color w:val="auto"/>
          <w:spacing w:val="20"/>
          <w:szCs w:val="21"/>
          <w:highlight w:val="none"/>
          <w:u w:val="single"/>
        </w:rPr>
      </w:pPr>
    </w:p>
    <w:p w14:paraId="3F90474B">
      <w:pPr>
        <w:snapToGrid w:val="0"/>
        <w:spacing w:before="50" w:afterLines="50" w:line="440" w:lineRule="exact"/>
        <w:jc w:val="left"/>
        <w:rPr>
          <w:color w:val="auto"/>
          <w:spacing w:val="20"/>
          <w:szCs w:val="21"/>
          <w:highlight w:val="none"/>
          <w:u w:val="single"/>
        </w:rPr>
      </w:pPr>
    </w:p>
    <w:p w14:paraId="45F4A994">
      <w:pPr>
        <w:snapToGrid w:val="0"/>
        <w:spacing w:before="50" w:afterLines="50"/>
        <w:jc w:val="left"/>
        <w:rPr>
          <w:color w:val="auto"/>
          <w:szCs w:val="21"/>
          <w:highlight w:val="none"/>
        </w:rPr>
      </w:pPr>
      <w:r>
        <w:rPr>
          <w:rFonts w:hint="eastAsia"/>
          <w:color w:val="auto"/>
          <w:szCs w:val="21"/>
          <w:highlight w:val="none"/>
        </w:rPr>
        <w:t>5</w:t>
      </w:r>
      <w:r>
        <w:rPr>
          <w:color w:val="auto"/>
          <w:szCs w:val="21"/>
          <w:highlight w:val="none"/>
        </w:rPr>
        <w:t>．</w:t>
      </w:r>
      <w:r>
        <w:rPr>
          <w:rFonts w:hint="eastAsia"/>
          <w:color w:val="auto"/>
          <w:szCs w:val="21"/>
          <w:highlight w:val="none"/>
        </w:rPr>
        <w:t>实施</w:t>
      </w:r>
      <w:r>
        <w:rPr>
          <w:color w:val="auto"/>
          <w:szCs w:val="21"/>
          <w:highlight w:val="none"/>
        </w:rPr>
        <w:t>方案。（</w:t>
      </w:r>
      <w:r>
        <w:rPr>
          <w:rFonts w:hint="eastAsia"/>
          <w:color w:val="auto"/>
          <w:szCs w:val="21"/>
          <w:highlight w:val="none"/>
        </w:rPr>
        <w:t>如有，</w:t>
      </w:r>
      <w:r>
        <w:rPr>
          <w:color w:val="auto"/>
          <w:szCs w:val="21"/>
          <w:highlight w:val="none"/>
        </w:rPr>
        <w:t>自行编写）</w:t>
      </w:r>
    </w:p>
    <w:p w14:paraId="7DF859E2">
      <w:pPr>
        <w:snapToGrid w:val="0"/>
        <w:spacing w:before="50" w:afterLines="50"/>
        <w:jc w:val="left"/>
        <w:rPr>
          <w:color w:val="auto"/>
          <w:szCs w:val="21"/>
          <w:highlight w:val="none"/>
        </w:rPr>
      </w:pPr>
    </w:p>
    <w:p w14:paraId="3A0744A5">
      <w:pPr>
        <w:snapToGrid w:val="0"/>
        <w:spacing w:before="50" w:afterLines="50"/>
        <w:jc w:val="left"/>
        <w:rPr>
          <w:color w:val="auto"/>
          <w:szCs w:val="21"/>
          <w:highlight w:val="none"/>
        </w:rPr>
      </w:pPr>
    </w:p>
    <w:p w14:paraId="7A5D227A">
      <w:pPr>
        <w:snapToGrid w:val="0"/>
        <w:spacing w:before="50" w:afterLines="50"/>
        <w:jc w:val="left"/>
        <w:rPr>
          <w:color w:val="auto"/>
          <w:szCs w:val="21"/>
          <w:highlight w:val="none"/>
        </w:rPr>
      </w:pPr>
    </w:p>
    <w:p w14:paraId="74C3B2EC">
      <w:pPr>
        <w:snapToGrid w:val="0"/>
        <w:spacing w:before="50" w:afterLines="50"/>
        <w:jc w:val="left"/>
        <w:rPr>
          <w:color w:val="auto"/>
          <w:szCs w:val="21"/>
          <w:highlight w:val="none"/>
        </w:rPr>
      </w:pPr>
      <w:r>
        <w:rPr>
          <w:rFonts w:hint="eastAsia"/>
          <w:color w:val="auto"/>
          <w:szCs w:val="21"/>
          <w:highlight w:val="none"/>
        </w:rPr>
        <w:t>6</w:t>
      </w:r>
      <w:r>
        <w:rPr>
          <w:color w:val="auto"/>
          <w:szCs w:val="21"/>
          <w:highlight w:val="none"/>
        </w:rPr>
        <w:t>．供应商认为需提供的其他材料（根据采购文件要求编写）</w:t>
      </w:r>
    </w:p>
    <w:p w14:paraId="751407DA">
      <w:pPr>
        <w:snapToGrid w:val="0"/>
        <w:spacing w:before="50" w:afterLines="50" w:line="440" w:lineRule="exact"/>
        <w:jc w:val="left"/>
        <w:rPr>
          <w:color w:val="auto"/>
          <w:spacing w:val="20"/>
          <w:szCs w:val="21"/>
          <w:highlight w:val="none"/>
          <w:u w:val="single"/>
        </w:rPr>
      </w:pPr>
    </w:p>
    <w:p w14:paraId="39B9A787">
      <w:pPr>
        <w:snapToGrid w:val="0"/>
        <w:spacing w:before="50" w:afterLines="50"/>
        <w:jc w:val="left"/>
        <w:rPr>
          <w:color w:val="auto"/>
          <w:spacing w:val="20"/>
          <w:szCs w:val="21"/>
          <w:highlight w:val="none"/>
          <w:u w:val="single"/>
        </w:rPr>
      </w:pPr>
    </w:p>
    <w:p w14:paraId="7DE01ECB">
      <w:pPr>
        <w:rPr>
          <w:color w:val="auto"/>
          <w:spacing w:val="20"/>
          <w:szCs w:val="21"/>
          <w:highlight w:val="none"/>
          <w:u w:val="single"/>
        </w:rPr>
      </w:pPr>
    </w:p>
    <w:p w14:paraId="4AE4F636">
      <w:pPr>
        <w:rPr>
          <w:color w:val="auto"/>
          <w:szCs w:val="21"/>
          <w:highlight w:val="none"/>
        </w:rPr>
        <w:sectPr>
          <w:pgSz w:w="11906" w:h="16838"/>
          <w:pgMar w:top="1418" w:right="1274" w:bottom="1418" w:left="1418" w:header="851" w:footer="992" w:gutter="0"/>
          <w:cols w:space="720" w:num="1"/>
          <w:docGrid w:linePitch="312" w:charSpace="0"/>
        </w:sectPr>
      </w:pPr>
    </w:p>
    <w:p w14:paraId="5FC3590B">
      <w:pPr>
        <w:snapToGrid w:val="0"/>
        <w:spacing w:before="50" w:afterLines="50"/>
        <w:jc w:val="left"/>
        <w:rPr>
          <w:b/>
          <w:color w:val="auto"/>
          <w:szCs w:val="21"/>
          <w:highlight w:val="none"/>
        </w:rPr>
      </w:pPr>
      <w:bookmarkStart w:id="115" w:name="_Hlk21623752"/>
      <w:r>
        <w:rPr>
          <w:rFonts w:hint="eastAsia"/>
          <w:color w:val="auto"/>
          <w:szCs w:val="21"/>
          <w:highlight w:val="none"/>
        </w:rPr>
        <w:t>7</w:t>
      </w:r>
      <w:r>
        <w:rPr>
          <w:color w:val="auto"/>
          <w:szCs w:val="21"/>
          <w:highlight w:val="none"/>
        </w:rPr>
        <w:t>．近年供应商类似成功案例的业绩证明</w:t>
      </w:r>
    </w:p>
    <w:p w14:paraId="34639D0D">
      <w:pPr>
        <w:snapToGrid w:val="0"/>
        <w:spacing w:before="50" w:afterLines="50"/>
        <w:jc w:val="center"/>
        <w:rPr>
          <w:color w:val="auto"/>
          <w:szCs w:val="21"/>
          <w:highlight w:val="none"/>
        </w:rPr>
      </w:pPr>
      <w:r>
        <w:rPr>
          <w:b/>
          <w:color w:val="auto"/>
          <w:szCs w:val="21"/>
          <w:highlight w:val="none"/>
        </w:rPr>
        <w:t>类似成功案例业绩一览表</w:t>
      </w:r>
    </w:p>
    <w:tbl>
      <w:tblPr>
        <w:tblStyle w:val="5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62"/>
        <w:gridCol w:w="3737"/>
        <w:gridCol w:w="3123"/>
        <w:gridCol w:w="985"/>
        <w:gridCol w:w="985"/>
        <w:gridCol w:w="1314"/>
        <w:gridCol w:w="1971"/>
      </w:tblGrid>
      <w:tr w14:paraId="028AFA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67" w:hRule="atLeast"/>
        </w:trPr>
        <w:tc>
          <w:tcPr>
            <w:tcW w:w="1062" w:type="dxa"/>
            <w:tcBorders>
              <w:top w:val="single" w:color="auto" w:sz="4" w:space="0"/>
              <w:left w:val="single" w:color="auto" w:sz="4" w:space="0"/>
              <w:right w:val="single" w:color="auto" w:sz="4" w:space="0"/>
            </w:tcBorders>
            <w:noWrap/>
          </w:tcPr>
          <w:p w14:paraId="11F4B8CC">
            <w:pPr>
              <w:snapToGrid w:val="0"/>
              <w:spacing w:line="240" w:lineRule="exact"/>
              <w:jc w:val="center"/>
              <w:rPr>
                <w:color w:val="auto"/>
                <w:szCs w:val="21"/>
                <w:highlight w:val="none"/>
              </w:rPr>
            </w:pPr>
          </w:p>
          <w:p w14:paraId="3F7B423D">
            <w:pPr>
              <w:snapToGrid w:val="0"/>
              <w:spacing w:line="240" w:lineRule="exact"/>
              <w:jc w:val="center"/>
              <w:rPr>
                <w:color w:val="auto"/>
                <w:szCs w:val="21"/>
                <w:highlight w:val="none"/>
              </w:rPr>
            </w:pPr>
          </w:p>
          <w:p w14:paraId="2D21AD28">
            <w:pPr>
              <w:snapToGrid w:val="0"/>
              <w:spacing w:line="240" w:lineRule="exact"/>
              <w:jc w:val="center"/>
              <w:rPr>
                <w:color w:val="auto"/>
                <w:szCs w:val="21"/>
                <w:highlight w:val="none"/>
              </w:rPr>
            </w:pPr>
            <w:r>
              <w:rPr>
                <w:rFonts w:hint="eastAsia"/>
                <w:color w:val="auto"/>
                <w:szCs w:val="21"/>
                <w:highlight w:val="none"/>
              </w:rPr>
              <w:t>序号</w:t>
            </w:r>
          </w:p>
        </w:tc>
        <w:tc>
          <w:tcPr>
            <w:tcW w:w="3737" w:type="dxa"/>
            <w:tcBorders>
              <w:top w:val="single" w:color="auto" w:sz="4" w:space="0"/>
              <w:left w:val="single" w:color="auto" w:sz="4" w:space="0"/>
              <w:bottom w:val="single" w:color="auto" w:sz="4" w:space="0"/>
              <w:right w:val="single" w:color="auto" w:sz="4" w:space="0"/>
            </w:tcBorders>
            <w:noWrap/>
            <w:vAlign w:val="center"/>
          </w:tcPr>
          <w:p w14:paraId="3927E456">
            <w:pPr>
              <w:snapToGrid w:val="0"/>
              <w:spacing w:line="240" w:lineRule="exact"/>
              <w:jc w:val="center"/>
              <w:rPr>
                <w:color w:val="auto"/>
                <w:szCs w:val="21"/>
                <w:highlight w:val="none"/>
              </w:rPr>
            </w:pPr>
            <w:r>
              <w:rPr>
                <w:color w:val="auto"/>
                <w:szCs w:val="21"/>
                <w:highlight w:val="none"/>
              </w:rPr>
              <w:t>采购单位名称</w:t>
            </w:r>
          </w:p>
        </w:tc>
        <w:tc>
          <w:tcPr>
            <w:tcW w:w="3123" w:type="dxa"/>
            <w:tcBorders>
              <w:top w:val="single" w:color="auto" w:sz="4" w:space="0"/>
              <w:left w:val="single" w:color="auto" w:sz="4" w:space="0"/>
              <w:bottom w:val="single" w:color="auto" w:sz="4" w:space="0"/>
              <w:right w:val="single" w:color="auto" w:sz="4" w:space="0"/>
            </w:tcBorders>
            <w:noWrap/>
            <w:vAlign w:val="center"/>
          </w:tcPr>
          <w:p w14:paraId="3B6E0976">
            <w:pPr>
              <w:snapToGrid w:val="0"/>
              <w:spacing w:line="240" w:lineRule="exact"/>
              <w:jc w:val="center"/>
              <w:rPr>
                <w:color w:val="auto"/>
                <w:szCs w:val="21"/>
                <w:highlight w:val="none"/>
              </w:rPr>
            </w:pPr>
            <w:r>
              <w:rPr>
                <w:color w:val="auto"/>
                <w:szCs w:val="21"/>
                <w:highlight w:val="none"/>
              </w:rPr>
              <w:t>项目名称或服务内容</w:t>
            </w:r>
          </w:p>
        </w:tc>
        <w:tc>
          <w:tcPr>
            <w:tcW w:w="985" w:type="dxa"/>
            <w:tcBorders>
              <w:top w:val="single" w:color="auto" w:sz="4" w:space="0"/>
              <w:left w:val="single" w:color="auto" w:sz="4" w:space="0"/>
              <w:bottom w:val="single" w:color="auto" w:sz="4" w:space="0"/>
              <w:right w:val="single" w:color="auto" w:sz="4" w:space="0"/>
            </w:tcBorders>
            <w:noWrap/>
            <w:vAlign w:val="center"/>
          </w:tcPr>
          <w:p w14:paraId="21D7D732">
            <w:pPr>
              <w:snapToGrid w:val="0"/>
              <w:spacing w:line="240" w:lineRule="exact"/>
              <w:jc w:val="center"/>
              <w:rPr>
                <w:color w:val="auto"/>
                <w:szCs w:val="21"/>
                <w:highlight w:val="none"/>
              </w:rPr>
            </w:pPr>
            <w:r>
              <w:rPr>
                <w:color w:val="auto"/>
                <w:szCs w:val="21"/>
                <w:highlight w:val="none"/>
              </w:rPr>
              <w:t>服务</w:t>
            </w:r>
          </w:p>
          <w:p w14:paraId="26C0CDD7">
            <w:pPr>
              <w:snapToGrid w:val="0"/>
              <w:spacing w:line="240" w:lineRule="exact"/>
              <w:jc w:val="center"/>
              <w:rPr>
                <w:color w:val="auto"/>
                <w:szCs w:val="21"/>
                <w:highlight w:val="none"/>
              </w:rPr>
            </w:pPr>
            <w:r>
              <w:rPr>
                <w:color w:val="auto"/>
                <w:szCs w:val="21"/>
                <w:highlight w:val="none"/>
              </w:rPr>
              <w:t>数量或年限</w:t>
            </w:r>
          </w:p>
        </w:tc>
        <w:tc>
          <w:tcPr>
            <w:tcW w:w="985" w:type="dxa"/>
            <w:tcBorders>
              <w:top w:val="single" w:color="auto" w:sz="4" w:space="0"/>
              <w:left w:val="single" w:color="auto" w:sz="4" w:space="0"/>
              <w:bottom w:val="single" w:color="auto" w:sz="4" w:space="0"/>
              <w:right w:val="single" w:color="auto" w:sz="4" w:space="0"/>
            </w:tcBorders>
            <w:noWrap/>
            <w:vAlign w:val="center"/>
          </w:tcPr>
          <w:p w14:paraId="7AE2D691">
            <w:pPr>
              <w:snapToGrid w:val="0"/>
              <w:spacing w:line="240" w:lineRule="exact"/>
              <w:jc w:val="center"/>
              <w:rPr>
                <w:color w:val="auto"/>
                <w:szCs w:val="21"/>
                <w:highlight w:val="none"/>
              </w:rPr>
            </w:pPr>
            <w:r>
              <w:rPr>
                <w:color w:val="auto"/>
                <w:szCs w:val="21"/>
                <w:highlight w:val="none"/>
              </w:rPr>
              <w:t>单价</w:t>
            </w:r>
            <w:r>
              <w:rPr>
                <w:rFonts w:hint="eastAsia"/>
                <w:color w:val="auto"/>
                <w:szCs w:val="21"/>
                <w:highlight w:val="none"/>
              </w:rPr>
              <w:t>（元）</w:t>
            </w:r>
          </w:p>
        </w:tc>
        <w:tc>
          <w:tcPr>
            <w:tcW w:w="1314" w:type="dxa"/>
            <w:tcBorders>
              <w:top w:val="single" w:color="auto" w:sz="4" w:space="0"/>
              <w:left w:val="single" w:color="auto" w:sz="4" w:space="0"/>
              <w:bottom w:val="single" w:color="auto" w:sz="4" w:space="0"/>
              <w:right w:val="single" w:color="auto" w:sz="4" w:space="0"/>
            </w:tcBorders>
            <w:noWrap/>
            <w:vAlign w:val="center"/>
          </w:tcPr>
          <w:p w14:paraId="362931BC">
            <w:pPr>
              <w:snapToGrid w:val="0"/>
              <w:spacing w:line="240" w:lineRule="exact"/>
              <w:jc w:val="center"/>
              <w:rPr>
                <w:color w:val="auto"/>
                <w:szCs w:val="21"/>
                <w:highlight w:val="none"/>
              </w:rPr>
            </w:pPr>
            <w:r>
              <w:rPr>
                <w:color w:val="auto"/>
                <w:szCs w:val="21"/>
                <w:highlight w:val="none"/>
              </w:rPr>
              <w:t>合同</w:t>
            </w:r>
            <w:r>
              <w:rPr>
                <w:rFonts w:hint="eastAsia"/>
                <w:color w:val="auto"/>
                <w:szCs w:val="21"/>
                <w:highlight w:val="none"/>
              </w:rPr>
              <w:t>总价</w:t>
            </w:r>
          </w:p>
          <w:p w14:paraId="1CFCD791">
            <w:pPr>
              <w:snapToGrid w:val="0"/>
              <w:spacing w:line="240" w:lineRule="exact"/>
              <w:jc w:val="center"/>
              <w:rPr>
                <w:color w:val="auto"/>
                <w:szCs w:val="21"/>
                <w:highlight w:val="none"/>
              </w:rPr>
            </w:pPr>
            <w:r>
              <w:rPr>
                <w:color w:val="auto"/>
                <w:szCs w:val="21"/>
                <w:highlight w:val="none"/>
              </w:rPr>
              <w:t>（元）</w:t>
            </w:r>
          </w:p>
        </w:tc>
        <w:tc>
          <w:tcPr>
            <w:tcW w:w="1971" w:type="dxa"/>
            <w:tcBorders>
              <w:top w:val="single" w:color="auto" w:sz="4" w:space="0"/>
              <w:left w:val="single" w:color="auto" w:sz="4" w:space="0"/>
              <w:bottom w:val="single" w:color="auto" w:sz="4" w:space="0"/>
              <w:right w:val="single" w:color="auto" w:sz="4" w:space="0"/>
            </w:tcBorders>
            <w:noWrap/>
            <w:vAlign w:val="center"/>
          </w:tcPr>
          <w:p w14:paraId="59732051">
            <w:pPr>
              <w:jc w:val="center"/>
              <w:rPr>
                <w:color w:val="auto"/>
                <w:szCs w:val="21"/>
                <w:highlight w:val="none"/>
              </w:rPr>
            </w:pPr>
            <w:r>
              <w:rPr>
                <w:color w:val="auto"/>
                <w:szCs w:val="21"/>
                <w:highlight w:val="none"/>
              </w:rPr>
              <w:t>采购单位联系人及联系电话</w:t>
            </w:r>
          </w:p>
        </w:tc>
      </w:tr>
      <w:tr w14:paraId="6330C6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062" w:type="dxa"/>
            <w:tcBorders>
              <w:top w:val="single" w:color="auto" w:sz="4" w:space="0"/>
              <w:left w:val="single" w:color="auto" w:sz="4" w:space="0"/>
              <w:bottom w:val="single" w:color="auto" w:sz="4" w:space="0"/>
              <w:right w:val="single" w:color="auto" w:sz="4" w:space="0"/>
            </w:tcBorders>
            <w:noWrap/>
          </w:tcPr>
          <w:p w14:paraId="631021C4">
            <w:pPr>
              <w:snapToGrid w:val="0"/>
              <w:spacing w:line="240" w:lineRule="exact"/>
              <w:jc w:val="left"/>
              <w:rPr>
                <w:color w:val="auto"/>
                <w:szCs w:val="21"/>
                <w:highlight w:val="none"/>
              </w:rPr>
            </w:pPr>
          </w:p>
        </w:tc>
        <w:tc>
          <w:tcPr>
            <w:tcW w:w="3737" w:type="dxa"/>
            <w:tcBorders>
              <w:top w:val="single" w:color="auto" w:sz="4" w:space="0"/>
              <w:left w:val="single" w:color="auto" w:sz="4" w:space="0"/>
              <w:bottom w:val="single" w:color="auto" w:sz="4" w:space="0"/>
              <w:right w:val="single" w:color="auto" w:sz="4" w:space="0"/>
            </w:tcBorders>
            <w:noWrap/>
          </w:tcPr>
          <w:p w14:paraId="03D994B2">
            <w:pPr>
              <w:snapToGrid w:val="0"/>
              <w:spacing w:line="240" w:lineRule="exact"/>
              <w:jc w:val="left"/>
              <w:rPr>
                <w:color w:val="auto"/>
                <w:szCs w:val="21"/>
                <w:highlight w:val="none"/>
              </w:rPr>
            </w:pPr>
          </w:p>
        </w:tc>
        <w:tc>
          <w:tcPr>
            <w:tcW w:w="3123" w:type="dxa"/>
            <w:tcBorders>
              <w:top w:val="single" w:color="auto" w:sz="4" w:space="0"/>
              <w:left w:val="single" w:color="auto" w:sz="4" w:space="0"/>
              <w:bottom w:val="single" w:color="auto" w:sz="4" w:space="0"/>
              <w:right w:val="single" w:color="auto" w:sz="4" w:space="0"/>
            </w:tcBorders>
            <w:noWrap/>
          </w:tcPr>
          <w:p w14:paraId="2AA632E2">
            <w:pPr>
              <w:snapToGrid w:val="0"/>
              <w:spacing w:line="240" w:lineRule="exact"/>
              <w:jc w:val="left"/>
              <w:rPr>
                <w:color w:val="auto"/>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64D11F99">
            <w:pPr>
              <w:snapToGrid w:val="0"/>
              <w:spacing w:line="240" w:lineRule="exact"/>
              <w:jc w:val="left"/>
              <w:rPr>
                <w:color w:val="auto"/>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0A03B369">
            <w:pPr>
              <w:snapToGrid w:val="0"/>
              <w:spacing w:line="240" w:lineRule="exact"/>
              <w:jc w:val="left"/>
              <w:rPr>
                <w:color w:val="auto"/>
                <w:szCs w:val="21"/>
                <w:highlight w:val="none"/>
              </w:rPr>
            </w:pPr>
          </w:p>
        </w:tc>
        <w:tc>
          <w:tcPr>
            <w:tcW w:w="1314" w:type="dxa"/>
            <w:tcBorders>
              <w:top w:val="single" w:color="auto" w:sz="4" w:space="0"/>
              <w:left w:val="single" w:color="auto" w:sz="4" w:space="0"/>
              <w:bottom w:val="single" w:color="auto" w:sz="4" w:space="0"/>
              <w:right w:val="single" w:color="auto" w:sz="4" w:space="0"/>
            </w:tcBorders>
            <w:noWrap/>
          </w:tcPr>
          <w:p w14:paraId="2C813E06">
            <w:pPr>
              <w:snapToGrid w:val="0"/>
              <w:spacing w:line="240" w:lineRule="exact"/>
              <w:jc w:val="left"/>
              <w:rPr>
                <w:color w:val="auto"/>
                <w:szCs w:val="21"/>
                <w:highlight w:val="none"/>
              </w:rPr>
            </w:pPr>
          </w:p>
        </w:tc>
        <w:tc>
          <w:tcPr>
            <w:tcW w:w="1971" w:type="dxa"/>
            <w:tcBorders>
              <w:top w:val="single" w:color="auto" w:sz="4" w:space="0"/>
              <w:left w:val="single" w:color="auto" w:sz="4" w:space="0"/>
              <w:bottom w:val="single" w:color="auto" w:sz="4" w:space="0"/>
              <w:right w:val="single" w:color="auto" w:sz="4" w:space="0"/>
            </w:tcBorders>
            <w:noWrap/>
          </w:tcPr>
          <w:p w14:paraId="39416E27">
            <w:pPr>
              <w:snapToGrid w:val="0"/>
              <w:spacing w:line="240" w:lineRule="exact"/>
              <w:jc w:val="left"/>
              <w:rPr>
                <w:color w:val="auto"/>
                <w:szCs w:val="21"/>
                <w:highlight w:val="none"/>
              </w:rPr>
            </w:pPr>
          </w:p>
        </w:tc>
      </w:tr>
      <w:tr w14:paraId="06C760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62" w:type="dxa"/>
            <w:tcBorders>
              <w:top w:val="single" w:color="auto" w:sz="4" w:space="0"/>
              <w:left w:val="single" w:color="auto" w:sz="4" w:space="0"/>
              <w:bottom w:val="single" w:color="auto" w:sz="4" w:space="0"/>
              <w:right w:val="single" w:color="auto" w:sz="4" w:space="0"/>
            </w:tcBorders>
            <w:noWrap/>
          </w:tcPr>
          <w:p w14:paraId="011FDD86">
            <w:pPr>
              <w:snapToGrid w:val="0"/>
              <w:spacing w:before="50" w:afterLines="50" w:line="400" w:lineRule="exact"/>
              <w:jc w:val="left"/>
              <w:rPr>
                <w:color w:val="auto"/>
                <w:szCs w:val="21"/>
                <w:highlight w:val="none"/>
              </w:rPr>
            </w:pPr>
          </w:p>
        </w:tc>
        <w:tc>
          <w:tcPr>
            <w:tcW w:w="3737" w:type="dxa"/>
            <w:tcBorders>
              <w:top w:val="single" w:color="auto" w:sz="4" w:space="0"/>
              <w:left w:val="single" w:color="auto" w:sz="4" w:space="0"/>
              <w:bottom w:val="single" w:color="auto" w:sz="4" w:space="0"/>
              <w:right w:val="single" w:color="auto" w:sz="4" w:space="0"/>
            </w:tcBorders>
            <w:noWrap/>
          </w:tcPr>
          <w:p w14:paraId="4518B1C8">
            <w:pPr>
              <w:keepNext w:val="0"/>
              <w:keepLines w:val="0"/>
              <w:snapToGrid w:val="0"/>
              <w:spacing w:before="50" w:afterLines="50" w:line="400" w:lineRule="exact"/>
              <w:jc w:val="left"/>
              <w:outlineLvl w:val="9"/>
              <w:rPr>
                <w:b/>
                <w:bCs/>
                <w:color w:val="auto"/>
                <w:sz w:val="44"/>
                <w:szCs w:val="21"/>
                <w:highlight w:val="none"/>
              </w:rPr>
            </w:pPr>
          </w:p>
        </w:tc>
        <w:tc>
          <w:tcPr>
            <w:tcW w:w="3123" w:type="dxa"/>
            <w:tcBorders>
              <w:top w:val="single" w:color="auto" w:sz="4" w:space="0"/>
              <w:left w:val="single" w:color="auto" w:sz="4" w:space="0"/>
              <w:bottom w:val="single" w:color="auto" w:sz="4" w:space="0"/>
              <w:right w:val="single" w:color="auto" w:sz="4" w:space="0"/>
            </w:tcBorders>
            <w:noWrap/>
          </w:tcPr>
          <w:p w14:paraId="2A7E4B75">
            <w:pPr>
              <w:keepNext w:val="0"/>
              <w:keepLines w:val="0"/>
              <w:snapToGrid w:val="0"/>
              <w:spacing w:before="50" w:afterLines="50" w:line="400" w:lineRule="exact"/>
              <w:jc w:val="left"/>
              <w:outlineLvl w:val="9"/>
              <w:rPr>
                <w:b/>
                <w:bCs/>
                <w:color w:val="auto"/>
                <w:sz w:val="44"/>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20B492BC">
            <w:pPr>
              <w:keepNext w:val="0"/>
              <w:keepLines w:val="0"/>
              <w:snapToGrid w:val="0"/>
              <w:spacing w:before="50" w:afterLines="50" w:line="400" w:lineRule="exact"/>
              <w:jc w:val="left"/>
              <w:outlineLvl w:val="9"/>
              <w:rPr>
                <w:b/>
                <w:bCs/>
                <w:color w:val="auto"/>
                <w:sz w:val="44"/>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2110558B">
            <w:pPr>
              <w:keepNext w:val="0"/>
              <w:keepLines w:val="0"/>
              <w:snapToGrid w:val="0"/>
              <w:spacing w:before="50" w:afterLines="50" w:line="400" w:lineRule="exact"/>
              <w:jc w:val="left"/>
              <w:outlineLvl w:val="9"/>
              <w:rPr>
                <w:b/>
                <w:bCs/>
                <w:color w:val="auto"/>
                <w:sz w:val="44"/>
                <w:szCs w:val="21"/>
                <w:highlight w:val="none"/>
              </w:rPr>
            </w:pPr>
          </w:p>
        </w:tc>
        <w:tc>
          <w:tcPr>
            <w:tcW w:w="1314" w:type="dxa"/>
            <w:tcBorders>
              <w:top w:val="single" w:color="auto" w:sz="4" w:space="0"/>
              <w:left w:val="single" w:color="auto" w:sz="4" w:space="0"/>
              <w:bottom w:val="single" w:color="auto" w:sz="4" w:space="0"/>
              <w:right w:val="single" w:color="auto" w:sz="4" w:space="0"/>
            </w:tcBorders>
            <w:noWrap/>
          </w:tcPr>
          <w:p w14:paraId="1D8C15FE">
            <w:pPr>
              <w:keepNext w:val="0"/>
              <w:keepLines w:val="0"/>
              <w:snapToGrid w:val="0"/>
              <w:spacing w:before="50" w:afterLines="50" w:line="400" w:lineRule="exact"/>
              <w:jc w:val="left"/>
              <w:outlineLvl w:val="9"/>
              <w:rPr>
                <w:b/>
                <w:bCs/>
                <w:color w:val="auto"/>
                <w:sz w:val="44"/>
                <w:szCs w:val="21"/>
                <w:highlight w:val="none"/>
              </w:rPr>
            </w:pPr>
          </w:p>
        </w:tc>
        <w:tc>
          <w:tcPr>
            <w:tcW w:w="1971" w:type="dxa"/>
            <w:tcBorders>
              <w:top w:val="single" w:color="auto" w:sz="4" w:space="0"/>
              <w:left w:val="single" w:color="auto" w:sz="4" w:space="0"/>
              <w:bottom w:val="single" w:color="auto" w:sz="4" w:space="0"/>
              <w:right w:val="single" w:color="auto" w:sz="4" w:space="0"/>
            </w:tcBorders>
            <w:noWrap/>
          </w:tcPr>
          <w:p w14:paraId="333C12FA">
            <w:pPr>
              <w:keepNext w:val="0"/>
              <w:keepLines w:val="0"/>
              <w:snapToGrid w:val="0"/>
              <w:spacing w:before="50" w:afterLines="50" w:line="400" w:lineRule="exact"/>
              <w:jc w:val="left"/>
              <w:outlineLvl w:val="9"/>
              <w:rPr>
                <w:b/>
                <w:bCs/>
                <w:color w:val="auto"/>
                <w:sz w:val="44"/>
                <w:szCs w:val="21"/>
                <w:highlight w:val="none"/>
              </w:rPr>
            </w:pPr>
          </w:p>
        </w:tc>
      </w:tr>
      <w:tr w14:paraId="597E2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1062" w:type="dxa"/>
            <w:tcBorders>
              <w:top w:val="single" w:color="auto" w:sz="4" w:space="0"/>
              <w:left w:val="single" w:color="auto" w:sz="4" w:space="0"/>
              <w:bottom w:val="single" w:color="auto" w:sz="4" w:space="0"/>
              <w:right w:val="single" w:color="auto" w:sz="4" w:space="0"/>
            </w:tcBorders>
            <w:noWrap/>
          </w:tcPr>
          <w:p w14:paraId="4FE75A9E">
            <w:pPr>
              <w:snapToGrid w:val="0"/>
              <w:spacing w:before="50" w:afterLines="50" w:line="400" w:lineRule="exact"/>
              <w:jc w:val="left"/>
              <w:rPr>
                <w:color w:val="auto"/>
                <w:szCs w:val="21"/>
                <w:highlight w:val="none"/>
              </w:rPr>
            </w:pPr>
          </w:p>
        </w:tc>
        <w:tc>
          <w:tcPr>
            <w:tcW w:w="3737" w:type="dxa"/>
            <w:tcBorders>
              <w:top w:val="single" w:color="auto" w:sz="4" w:space="0"/>
              <w:left w:val="single" w:color="auto" w:sz="4" w:space="0"/>
              <w:bottom w:val="single" w:color="auto" w:sz="4" w:space="0"/>
              <w:right w:val="single" w:color="auto" w:sz="4" w:space="0"/>
            </w:tcBorders>
            <w:noWrap/>
          </w:tcPr>
          <w:p w14:paraId="1AA71E1B">
            <w:pPr>
              <w:keepNext w:val="0"/>
              <w:keepLines w:val="0"/>
              <w:snapToGrid w:val="0"/>
              <w:spacing w:before="50" w:afterLines="50" w:line="400" w:lineRule="exact"/>
              <w:jc w:val="left"/>
              <w:outlineLvl w:val="9"/>
              <w:rPr>
                <w:b/>
                <w:bCs/>
                <w:color w:val="auto"/>
                <w:sz w:val="44"/>
                <w:szCs w:val="21"/>
                <w:highlight w:val="none"/>
              </w:rPr>
            </w:pPr>
          </w:p>
        </w:tc>
        <w:tc>
          <w:tcPr>
            <w:tcW w:w="3123" w:type="dxa"/>
            <w:tcBorders>
              <w:top w:val="single" w:color="auto" w:sz="4" w:space="0"/>
              <w:left w:val="single" w:color="auto" w:sz="4" w:space="0"/>
              <w:bottom w:val="single" w:color="auto" w:sz="4" w:space="0"/>
              <w:right w:val="single" w:color="auto" w:sz="4" w:space="0"/>
            </w:tcBorders>
            <w:noWrap/>
          </w:tcPr>
          <w:p w14:paraId="063D27D2">
            <w:pPr>
              <w:keepNext w:val="0"/>
              <w:keepLines w:val="0"/>
              <w:snapToGrid w:val="0"/>
              <w:spacing w:before="50" w:afterLines="50" w:line="400" w:lineRule="exact"/>
              <w:jc w:val="left"/>
              <w:outlineLvl w:val="9"/>
              <w:rPr>
                <w:b/>
                <w:bCs/>
                <w:color w:val="auto"/>
                <w:sz w:val="44"/>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31CEBA83">
            <w:pPr>
              <w:keepNext w:val="0"/>
              <w:keepLines w:val="0"/>
              <w:snapToGrid w:val="0"/>
              <w:spacing w:before="50" w:afterLines="50" w:line="400" w:lineRule="exact"/>
              <w:jc w:val="left"/>
              <w:outlineLvl w:val="9"/>
              <w:rPr>
                <w:b/>
                <w:bCs/>
                <w:color w:val="auto"/>
                <w:sz w:val="44"/>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4DBD3678">
            <w:pPr>
              <w:keepNext w:val="0"/>
              <w:keepLines w:val="0"/>
              <w:snapToGrid w:val="0"/>
              <w:spacing w:before="50" w:afterLines="50" w:line="400" w:lineRule="exact"/>
              <w:jc w:val="left"/>
              <w:outlineLvl w:val="9"/>
              <w:rPr>
                <w:b/>
                <w:bCs/>
                <w:color w:val="auto"/>
                <w:sz w:val="44"/>
                <w:szCs w:val="21"/>
                <w:highlight w:val="none"/>
              </w:rPr>
            </w:pPr>
          </w:p>
        </w:tc>
        <w:tc>
          <w:tcPr>
            <w:tcW w:w="1314" w:type="dxa"/>
            <w:tcBorders>
              <w:top w:val="single" w:color="auto" w:sz="4" w:space="0"/>
              <w:left w:val="single" w:color="auto" w:sz="4" w:space="0"/>
              <w:bottom w:val="single" w:color="auto" w:sz="4" w:space="0"/>
              <w:right w:val="single" w:color="auto" w:sz="4" w:space="0"/>
            </w:tcBorders>
            <w:noWrap/>
          </w:tcPr>
          <w:p w14:paraId="1B34B389">
            <w:pPr>
              <w:keepNext w:val="0"/>
              <w:keepLines w:val="0"/>
              <w:snapToGrid w:val="0"/>
              <w:spacing w:before="50" w:afterLines="50" w:line="400" w:lineRule="exact"/>
              <w:jc w:val="left"/>
              <w:outlineLvl w:val="9"/>
              <w:rPr>
                <w:b/>
                <w:bCs/>
                <w:color w:val="auto"/>
                <w:sz w:val="44"/>
                <w:szCs w:val="21"/>
                <w:highlight w:val="none"/>
              </w:rPr>
            </w:pPr>
          </w:p>
        </w:tc>
        <w:tc>
          <w:tcPr>
            <w:tcW w:w="1971" w:type="dxa"/>
            <w:tcBorders>
              <w:top w:val="single" w:color="auto" w:sz="4" w:space="0"/>
              <w:left w:val="single" w:color="auto" w:sz="4" w:space="0"/>
              <w:bottom w:val="single" w:color="auto" w:sz="4" w:space="0"/>
              <w:right w:val="single" w:color="auto" w:sz="4" w:space="0"/>
            </w:tcBorders>
            <w:noWrap/>
          </w:tcPr>
          <w:p w14:paraId="036F358B">
            <w:pPr>
              <w:keepNext w:val="0"/>
              <w:keepLines w:val="0"/>
              <w:snapToGrid w:val="0"/>
              <w:spacing w:before="50" w:afterLines="50" w:line="400" w:lineRule="exact"/>
              <w:jc w:val="left"/>
              <w:outlineLvl w:val="9"/>
              <w:rPr>
                <w:b/>
                <w:bCs/>
                <w:color w:val="auto"/>
                <w:sz w:val="44"/>
                <w:szCs w:val="21"/>
                <w:highlight w:val="none"/>
              </w:rPr>
            </w:pPr>
          </w:p>
        </w:tc>
      </w:tr>
      <w:tr w14:paraId="390012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62" w:type="dxa"/>
            <w:tcBorders>
              <w:top w:val="single" w:color="auto" w:sz="4" w:space="0"/>
              <w:left w:val="single" w:color="auto" w:sz="4" w:space="0"/>
              <w:bottom w:val="single" w:color="auto" w:sz="4" w:space="0"/>
              <w:right w:val="single" w:color="auto" w:sz="4" w:space="0"/>
            </w:tcBorders>
            <w:noWrap/>
          </w:tcPr>
          <w:p w14:paraId="571FF009">
            <w:pPr>
              <w:snapToGrid w:val="0"/>
              <w:spacing w:before="50" w:afterLines="50" w:line="400" w:lineRule="exact"/>
              <w:jc w:val="left"/>
              <w:rPr>
                <w:color w:val="auto"/>
                <w:szCs w:val="21"/>
                <w:highlight w:val="none"/>
              </w:rPr>
            </w:pPr>
          </w:p>
        </w:tc>
        <w:tc>
          <w:tcPr>
            <w:tcW w:w="3737" w:type="dxa"/>
            <w:tcBorders>
              <w:top w:val="single" w:color="auto" w:sz="4" w:space="0"/>
              <w:left w:val="single" w:color="auto" w:sz="4" w:space="0"/>
              <w:bottom w:val="single" w:color="auto" w:sz="4" w:space="0"/>
              <w:right w:val="single" w:color="auto" w:sz="4" w:space="0"/>
            </w:tcBorders>
            <w:noWrap/>
          </w:tcPr>
          <w:p w14:paraId="76869976">
            <w:pPr>
              <w:keepNext w:val="0"/>
              <w:keepLines w:val="0"/>
              <w:snapToGrid w:val="0"/>
              <w:spacing w:before="50" w:afterLines="50" w:line="400" w:lineRule="exact"/>
              <w:jc w:val="left"/>
              <w:outlineLvl w:val="9"/>
              <w:rPr>
                <w:b/>
                <w:bCs/>
                <w:color w:val="auto"/>
                <w:sz w:val="44"/>
                <w:szCs w:val="21"/>
                <w:highlight w:val="none"/>
              </w:rPr>
            </w:pPr>
          </w:p>
        </w:tc>
        <w:tc>
          <w:tcPr>
            <w:tcW w:w="3123" w:type="dxa"/>
            <w:tcBorders>
              <w:top w:val="single" w:color="auto" w:sz="4" w:space="0"/>
              <w:left w:val="single" w:color="auto" w:sz="4" w:space="0"/>
              <w:bottom w:val="single" w:color="auto" w:sz="4" w:space="0"/>
              <w:right w:val="single" w:color="auto" w:sz="4" w:space="0"/>
            </w:tcBorders>
            <w:noWrap/>
          </w:tcPr>
          <w:p w14:paraId="3E739DC8">
            <w:pPr>
              <w:keepNext w:val="0"/>
              <w:keepLines w:val="0"/>
              <w:snapToGrid w:val="0"/>
              <w:spacing w:before="50" w:afterLines="50" w:line="400" w:lineRule="exact"/>
              <w:jc w:val="left"/>
              <w:outlineLvl w:val="9"/>
              <w:rPr>
                <w:b/>
                <w:bCs/>
                <w:color w:val="auto"/>
                <w:sz w:val="44"/>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2246BE5B">
            <w:pPr>
              <w:keepNext w:val="0"/>
              <w:keepLines w:val="0"/>
              <w:snapToGrid w:val="0"/>
              <w:spacing w:before="50" w:afterLines="50" w:line="400" w:lineRule="exact"/>
              <w:jc w:val="left"/>
              <w:outlineLvl w:val="9"/>
              <w:rPr>
                <w:b/>
                <w:bCs/>
                <w:color w:val="auto"/>
                <w:sz w:val="44"/>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516AF935">
            <w:pPr>
              <w:keepNext w:val="0"/>
              <w:keepLines w:val="0"/>
              <w:snapToGrid w:val="0"/>
              <w:spacing w:before="50" w:afterLines="50" w:line="400" w:lineRule="exact"/>
              <w:jc w:val="left"/>
              <w:outlineLvl w:val="9"/>
              <w:rPr>
                <w:b/>
                <w:bCs/>
                <w:color w:val="auto"/>
                <w:sz w:val="44"/>
                <w:szCs w:val="21"/>
                <w:highlight w:val="none"/>
              </w:rPr>
            </w:pPr>
          </w:p>
        </w:tc>
        <w:tc>
          <w:tcPr>
            <w:tcW w:w="1314" w:type="dxa"/>
            <w:tcBorders>
              <w:top w:val="single" w:color="auto" w:sz="4" w:space="0"/>
              <w:left w:val="single" w:color="auto" w:sz="4" w:space="0"/>
              <w:bottom w:val="single" w:color="auto" w:sz="4" w:space="0"/>
              <w:right w:val="single" w:color="auto" w:sz="4" w:space="0"/>
            </w:tcBorders>
            <w:noWrap/>
          </w:tcPr>
          <w:p w14:paraId="60B4188B">
            <w:pPr>
              <w:keepNext w:val="0"/>
              <w:keepLines w:val="0"/>
              <w:snapToGrid w:val="0"/>
              <w:spacing w:before="50" w:afterLines="50" w:line="400" w:lineRule="exact"/>
              <w:jc w:val="left"/>
              <w:outlineLvl w:val="9"/>
              <w:rPr>
                <w:b/>
                <w:bCs/>
                <w:color w:val="auto"/>
                <w:sz w:val="44"/>
                <w:szCs w:val="21"/>
                <w:highlight w:val="none"/>
              </w:rPr>
            </w:pPr>
          </w:p>
        </w:tc>
        <w:tc>
          <w:tcPr>
            <w:tcW w:w="1971" w:type="dxa"/>
            <w:tcBorders>
              <w:top w:val="single" w:color="auto" w:sz="4" w:space="0"/>
              <w:left w:val="single" w:color="auto" w:sz="4" w:space="0"/>
              <w:bottom w:val="single" w:color="auto" w:sz="4" w:space="0"/>
              <w:right w:val="single" w:color="auto" w:sz="4" w:space="0"/>
            </w:tcBorders>
            <w:noWrap/>
          </w:tcPr>
          <w:p w14:paraId="161C4D16">
            <w:pPr>
              <w:keepNext w:val="0"/>
              <w:keepLines w:val="0"/>
              <w:snapToGrid w:val="0"/>
              <w:spacing w:before="50" w:afterLines="50" w:line="400" w:lineRule="exact"/>
              <w:jc w:val="left"/>
              <w:outlineLvl w:val="9"/>
              <w:rPr>
                <w:b/>
                <w:bCs/>
                <w:color w:val="auto"/>
                <w:sz w:val="44"/>
                <w:szCs w:val="21"/>
                <w:highlight w:val="none"/>
              </w:rPr>
            </w:pPr>
          </w:p>
        </w:tc>
      </w:tr>
      <w:tr w14:paraId="02C318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1062" w:type="dxa"/>
            <w:tcBorders>
              <w:top w:val="single" w:color="auto" w:sz="4" w:space="0"/>
              <w:left w:val="single" w:color="auto" w:sz="4" w:space="0"/>
              <w:bottom w:val="single" w:color="auto" w:sz="4" w:space="0"/>
              <w:right w:val="single" w:color="auto" w:sz="4" w:space="0"/>
            </w:tcBorders>
            <w:noWrap/>
          </w:tcPr>
          <w:p w14:paraId="44D0AD65">
            <w:pPr>
              <w:snapToGrid w:val="0"/>
              <w:spacing w:before="50" w:afterLines="50" w:line="400" w:lineRule="exact"/>
              <w:jc w:val="left"/>
              <w:rPr>
                <w:color w:val="auto"/>
                <w:szCs w:val="21"/>
                <w:highlight w:val="none"/>
              </w:rPr>
            </w:pPr>
          </w:p>
        </w:tc>
        <w:tc>
          <w:tcPr>
            <w:tcW w:w="3737" w:type="dxa"/>
            <w:tcBorders>
              <w:top w:val="single" w:color="auto" w:sz="4" w:space="0"/>
              <w:left w:val="single" w:color="auto" w:sz="4" w:space="0"/>
              <w:bottom w:val="single" w:color="auto" w:sz="4" w:space="0"/>
              <w:right w:val="single" w:color="auto" w:sz="4" w:space="0"/>
            </w:tcBorders>
            <w:noWrap/>
          </w:tcPr>
          <w:p w14:paraId="0B2DAD57">
            <w:pPr>
              <w:keepNext w:val="0"/>
              <w:keepLines w:val="0"/>
              <w:snapToGrid w:val="0"/>
              <w:spacing w:before="50" w:afterLines="50" w:line="400" w:lineRule="exact"/>
              <w:jc w:val="left"/>
              <w:outlineLvl w:val="9"/>
              <w:rPr>
                <w:b/>
                <w:bCs/>
                <w:color w:val="auto"/>
                <w:sz w:val="44"/>
                <w:szCs w:val="21"/>
                <w:highlight w:val="none"/>
              </w:rPr>
            </w:pPr>
          </w:p>
        </w:tc>
        <w:tc>
          <w:tcPr>
            <w:tcW w:w="3123" w:type="dxa"/>
            <w:tcBorders>
              <w:top w:val="single" w:color="auto" w:sz="4" w:space="0"/>
              <w:left w:val="single" w:color="auto" w:sz="4" w:space="0"/>
              <w:bottom w:val="single" w:color="auto" w:sz="4" w:space="0"/>
              <w:right w:val="single" w:color="auto" w:sz="4" w:space="0"/>
            </w:tcBorders>
            <w:noWrap/>
          </w:tcPr>
          <w:p w14:paraId="45C20602">
            <w:pPr>
              <w:keepNext w:val="0"/>
              <w:keepLines w:val="0"/>
              <w:snapToGrid w:val="0"/>
              <w:spacing w:before="50" w:afterLines="50" w:line="400" w:lineRule="exact"/>
              <w:jc w:val="left"/>
              <w:outlineLvl w:val="9"/>
              <w:rPr>
                <w:b/>
                <w:bCs/>
                <w:color w:val="auto"/>
                <w:sz w:val="44"/>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00C56B20">
            <w:pPr>
              <w:keepNext w:val="0"/>
              <w:keepLines w:val="0"/>
              <w:snapToGrid w:val="0"/>
              <w:spacing w:before="50" w:afterLines="50" w:line="400" w:lineRule="exact"/>
              <w:jc w:val="left"/>
              <w:outlineLvl w:val="9"/>
              <w:rPr>
                <w:b/>
                <w:bCs/>
                <w:color w:val="auto"/>
                <w:sz w:val="44"/>
                <w:szCs w:val="21"/>
                <w:highlight w:val="none"/>
              </w:rPr>
            </w:pPr>
          </w:p>
        </w:tc>
        <w:tc>
          <w:tcPr>
            <w:tcW w:w="985" w:type="dxa"/>
            <w:tcBorders>
              <w:top w:val="single" w:color="auto" w:sz="4" w:space="0"/>
              <w:left w:val="single" w:color="auto" w:sz="4" w:space="0"/>
              <w:bottom w:val="single" w:color="auto" w:sz="4" w:space="0"/>
              <w:right w:val="single" w:color="auto" w:sz="4" w:space="0"/>
            </w:tcBorders>
            <w:noWrap/>
          </w:tcPr>
          <w:p w14:paraId="39F1CF8D">
            <w:pPr>
              <w:keepNext w:val="0"/>
              <w:keepLines w:val="0"/>
              <w:snapToGrid w:val="0"/>
              <w:spacing w:before="50" w:afterLines="50" w:line="400" w:lineRule="exact"/>
              <w:jc w:val="left"/>
              <w:outlineLvl w:val="9"/>
              <w:rPr>
                <w:b/>
                <w:bCs/>
                <w:color w:val="auto"/>
                <w:sz w:val="44"/>
                <w:szCs w:val="21"/>
                <w:highlight w:val="none"/>
              </w:rPr>
            </w:pPr>
          </w:p>
        </w:tc>
        <w:tc>
          <w:tcPr>
            <w:tcW w:w="1314" w:type="dxa"/>
            <w:tcBorders>
              <w:top w:val="single" w:color="auto" w:sz="4" w:space="0"/>
              <w:left w:val="single" w:color="auto" w:sz="4" w:space="0"/>
              <w:bottom w:val="single" w:color="auto" w:sz="4" w:space="0"/>
              <w:right w:val="single" w:color="auto" w:sz="4" w:space="0"/>
            </w:tcBorders>
            <w:noWrap/>
          </w:tcPr>
          <w:p w14:paraId="28082B6A">
            <w:pPr>
              <w:keepNext w:val="0"/>
              <w:keepLines w:val="0"/>
              <w:snapToGrid w:val="0"/>
              <w:spacing w:before="50" w:afterLines="50" w:line="400" w:lineRule="exact"/>
              <w:jc w:val="left"/>
              <w:outlineLvl w:val="9"/>
              <w:rPr>
                <w:b/>
                <w:bCs/>
                <w:color w:val="auto"/>
                <w:sz w:val="44"/>
                <w:szCs w:val="21"/>
                <w:highlight w:val="none"/>
              </w:rPr>
            </w:pPr>
          </w:p>
        </w:tc>
        <w:tc>
          <w:tcPr>
            <w:tcW w:w="1971" w:type="dxa"/>
            <w:tcBorders>
              <w:top w:val="single" w:color="auto" w:sz="4" w:space="0"/>
              <w:left w:val="single" w:color="auto" w:sz="4" w:space="0"/>
              <w:bottom w:val="single" w:color="auto" w:sz="4" w:space="0"/>
              <w:right w:val="single" w:color="auto" w:sz="4" w:space="0"/>
            </w:tcBorders>
            <w:noWrap/>
          </w:tcPr>
          <w:p w14:paraId="23D6D292">
            <w:pPr>
              <w:keepNext w:val="0"/>
              <w:keepLines w:val="0"/>
              <w:snapToGrid w:val="0"/>
              <w:spacing w:before="50" w:afterLines="50" w:line="400" w:lineRule="exact"/>
              <w:jc w:val="left"/>
              <w:outlineLvl w:val="9"/>
              <w:rPr>
                <w:b/>
                <w:bCs/>
                <w:color w:val="auto"/>
                <w:sz w:val="44"/>
                <w:szCs w:val="21"/>
                <w:highlight w:val="none"/>
              </w:rPr>
            </w:pPr>
          </w:p>
        </w:tc>
      </w:tr>
    </w:tbl>
    <w:p w14:paraId="5B9FA7B2">
      <w:pPr>
        <w:pStyle w:val="15"/>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注：</w:t>
      </w:r>
    </w:p>
    <w:p w14:paraId="52BF57C1">
      <w:pPr>
        <w:pStyle w:val="15"/>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（1）</w:t>
      </w:r>
      <w:r>
        <w:rPr>
          <w:rFonts w:ascii="Times New Roman" w:hAnsi="Times New Roman" w:eastAsia="宋体" w:cs="Times New Roman"/>
          <w:color w:val="auto"/>
          <w:sz w:val="21"/>
          <w:szCs w:val="21"/>
          <w:highlight w:val="none"/>
        </w:rPr>
        <w:t>未附</w:t>
      </w:r>
      <w:r>
        <w:rPr>
          <w:rFonts w:hint="eastAsia" w:ascii="Times New Roman" w:hAnsi="Times New Roman" w:eastAsia="宋体" w:cs="Times New Roman"/>
          <w:color w:val="auto"/>
          <w:sz w:val="21"/>
          <w:szCs w:val="21"/>
          <w:highlight w:val="none"/>
        </w:rPr>
        <w:t>证明材料</w:t>
      </w:r>
      <w:r>
        <w:rPr>
          <w:rFonts w:ascii="Times New Roman" w:hAnsi="Times New Roman" w:eastAsia="宋体" w:cs="Times New Roman"/>
          <w:color w:val="auto"/>
          <w:sz w:val="21"/>
          <w:szCs w:val="21"/>
          <w:highlight w:val="none"/>
        </w:rPr>
        <w:t>的业绩无效</w:t>
      </w:r>
      <w:r>
        <w:rPr>
          <w:rFonts w:hint="eastAsia" w:ascii="Times New Roman" w:hAnsi="Times New Roman" w:eastAsia="宋体" w:cs="Times New Roman"/>
          <w:color w:val="auto"/>
          <w:sz w:val="21"/>
          <w:szCs w:val="21"/>
          <w:highlight w:val="none"/>
        </w:rPr>
        <w:t>，证明材料</w:t>
      </w:r>
      <w:r>
        <w:rPr>
          <w:rFonts w:ascii="Times New Roman" w:hAnsi="Times New Roman" w:eastAsia="宋体" w:cs="Times New Roman"/>
          <w:color w:val="auto"/>
          <w:sz w:val="21"/>
          <w:szCs w:val="21"/>
          <w:highlight w:val="none"/>
        </w:rPr>
        <w:t>以</w:t>
      </w:r>
      <w:r>
        <w:rPr>
          <w:rFonts w:hint="eastAsia" w:ascii="Times New Roman" w:hAnsi="Times New Roman" w:eastAsia="宋体" w:cs="Times New Roman"/>
          <w:color w:val="auto"/>
          <w:sz w:val="21"/>
          <w:szCs w:val="21"/>
          <w:highlight w:val="none"/>
        </w:rPr>
        <w:t>成交</w:t>
      </w:r>
      <w:r>
        <w:rPr>
          <w:rFonts w:ascii="Times New Roman" w:hAnsi="Times New Roman" w:eastAsia="宋体" w:cs="Times New Roman"/>
          <w:color w:val="auto"/>
          <w:sz w:val="21"/>
          <w:szCs w:val="21"/>
          <w:highlight w:val="none"/>
        </w:rPr>
        <w:t>通知书或合同复印件为准</w:t>
      </w:r>
      <w:r>
        <w:rPr>
          <w:rFonts w:hint="eastAsia" w:ascii="Times New Roman" w:hAnsi="Times New Roman" w:eastAsia="宋体" w:cs="Times New Roman"/>
          <w:color w:val="auto"/>
          <w:sz w:val="21"/>
          <w:szCs w:val="21"/>
          <w:highlight w:val="none"/>
        </w:rPr>
        <w:t>。</w:t>
      </w:r>
    </w:p>
    <w:p w14:paraId="3CF19FD8">
      <w:pPr>
        <w:pStyle w:val="15"/>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（2）</w:t>
      </w:r>
      <w:r>
        <w:rPr>
          <w:rFonts w:ascii="Times New Roman" w:hAnsi="Times New Roman" w:eastAsia="宋体" w:cs="Times New Roman"/>
          <w:color w:val="auto"/>
          <w:sz w:val="21"/>
          <w:szCs w:val="21"/>
          <w:highlight w:val="none"/>
        </w:rPr>
        <w:t>类似项目的定义</w:t>
      </w: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w:t>
      </w:r>
    </w:p>
    <w:p w14:paraId="577A522C">
      <w:pPr>
        <w:rPr>
          <w:color w:val="auto"/>
          <w:highlight w:val="none"/>
        </w:rPr>
      </w:pPr>
      <w:r>
        <w:rPr>
          <w:color w:val="auto"/>
          <w:szCs w:val="21"/>
          <w:highlight w:val="none"/>
        </w:rPr>
        <w:t>（3）</w:t>
      </w:r>
      <w:r>
        <w:rPr>
          <w:color w:val="auto"/>
          <w:highlight w:val="none"/>
        </w:rPr>
        <w:t>本表可拓展</w:t>
      </w:r>
      <w:r>
        <w:rPr>
          <w:rFonts w:hint="eastAsia"/>
          <w:color w:val="auto"/>
          <w:highlight w:val="none"/>
        </w:rPr>
        <w:t>。</w:t>
      </w:r>
    </w:p>
    <w:p w14:paraId="55B1B545">
      <w:pPr>
        <w:snapToGrid w:val="0"/>
        <w:spacing w:before="50"/>
        <w:jc w:val="left"/>
        <w:rPr>
          <w:color w:val="auto"/>
          <w:szCs w:val="21"/>
          <w:highlight w:val="none"/>
        </w:rPr>
      </w:pPr>
    </w:p>
    <w:p w14:paraId="1A5E30C7">
      <w:pPr>
        <w:snapToGrid w:val="0"/>
        <w:spacing w:before="50"/>
        <w:jc w:val="left"/>
        <w:rPr>
          <w:color w:val="auto"/>
          <w:szCs w:val="21"/>
          <w:highlight w:val="none"/>
        </w:rPr>
        <w:sectPr>
          <w:pgSz w:w="16838" w:h="11906" w:orient="landscape"/>
          <w:pgMar w:top="1274" w:right="1418" w:bottom="1418" w:left="1418" w:header="851" w:footer="992" w:gutter="0"/>
          <w:cols w:space="720" w:num="1"/>
          <w:docGrid w:linePitch="312" w:charSpace="0"/>
        </w:sectPr>
      </w:pPr>
      <w:bookmarkStart w:id="116" w:name="_Hlk89181592"/>
      <w:r>
        <w:rPr>
          <w:color w:val="auto"/>
          <w:szCs w:val="21"/>
          <w:highlight w:val="none"/>
        </w:rPr>
        <w:t>供应商</w:t>
      </w:r>
      <w:r>
        <w:rPr>
          <w:rFonts w:hint="eastAsia"/>
          <w:color w:val="auto"/>
          <w:szCs w:val="21"/>
          <w:highlight w:val="none"/>
        </w:rPr>
        <w:t>名称(电子签章</w:t>
      </w:r>
      <w:r>
        <w:rPr>
          <w:color w:val="auto"/>
          <w:szCs w:val="21"/>
          <w:highlight w:val="none"/>
        </w:rPr>
        <w:t>)：</w:t>
      </w:r>
      <w:bookmarkEnd w:id="116"/>
      <w:r>
        <w:rPr>
          <w:color w:val="auto"/>
          <w:szCs w:val="21"/>
          <w:highlight w:val="none"/>
        </w:rPr>
        <w:t xml:space="preserve">                                   年    月   日</w:t>
      </w:r>
    </w:p>
    <w:bookmarkEnd w:id="115"/>
    <w:p w14:paraId="2FCD79FE">
      <w:pPr>
        <w:snapToGrid w:val="0"/>
        <w:spacing w:before="50" w:afterLines="50"/>
        <w:jc w:val="left"/>
        <w:rPr>
          <w:color w:val="auto"/>
          <w:szCs w:val="21"/>
          <w:highlight w:val="none"/>
        </w:rPr>
      </w:pPr>
      <w:bookmarkStart w:id="117" w:name="_Hlk21623918"/>
    </w:p>
    <w:p w14:paraId="1500373E">
      <w:pPr>
        <w:snapToGrid w:val="0"/>
        <w:spacing w:before="50" w:afterLines="50"/>
        <w:jc w:val="left"/>
        <w:rPr>
          <w:color w:val="auto"/>
          <w:szCs w:val="21"/>
          <w:highlight w:val="none"/>
        </w:rPr>
      </w:pPr>
      <w:r>
        <w:rPr>
          <w:rFonts w:hint="eastAsia"/>
          <w:color w:val="auto"/>
          <w:szCs w:val="21"/>
          <w:highlight w:val="none"/>
        </w:rPr>
        <w:t>8</w:t>
      </w:r>
      <w:r>
        <w:rPr>
          <w:color w:val="auto"/>
          <w:szCs w:val="21"/>
          <w:highlight w:val="none"/>
        </w:rPr>
        <w:t>．符合政府采购政策</w:t>
      </w:r>
      <w:r>
        <w:rPr>
          <w:rFonts w:hint="eastAsia"/>
          <w:color w:val="auto"/>
          <w:szCs w:val="21"/>
          <w:highlight w:val="none"/>
        </w:rPr>
        <w:t>的</w:t>
      </w:r>
      <w:r>
        <w:rPr>
          <w:color w:val="auto"/>
          <w:szCs w:val="21"/>
          <w:highlight w:val="none"/>
        </w:rPr>
        <w:t>证明材料。</w:t>
      </w:r>
    </w:p>
    <w:p w14:paraId="06F3B4F0">
      <w:pPr>
        <w:snapToGrid w:val="0"/>
        <w:spacing w:before="50" w:afterLines="50"/>
        <w:jc w:val="left"/>
        <w:rPr>
          <w:color w:val="auto"/>
          <w:szCs w:val="21"/>
          <w:highlight w:val="none"/>
        </w:rPr>
      </w:pPr>
      <w:r>
        <w:rPr>
          <w:rFonts w:hint="eastAsia"/>
          <w:color w:val="auto"/>
          <w:szCs w:val="21"/>
          <w:highlight w:val="none"/>
        </w:rPr>
        <w:t>8.1列入节能产品政府采购品目清单及环境标志产品政府采购品目清单的货物清单。</w:t>
      </w:r>
      <w:r>
        <w:rPr>
          <w:rFonts w:hint="eastAsia"/>
          <w:b/>
          <w:color w:val="auto"/>
          <w:szCs w:val="21"/>
          <w:highlight w:val="none"/>
        </w:rPr>
        <w:t>（如有，须提供）</w:t>
      </w:r>
    </w:p>
    <w:p w14:paraId="5B872178">
      <w:pPr>
        <w:snapToGrid w:val="0"/>
        <w:spacing w:before="50" w:afterLines="50"/>
        <w:jc w:val="left"/>
        <w:rPr>
          <w:color w:val="auto"/>
          <w:szCs w:val="21"/>
          <w:highlight w:val="none"/>
        </w:rPr>
      </w:pPr>
      <w:r>
        <w:rPr>
          <w:rFonts w:hint="eastAsia"/>
          <w:color w:val="auto"/>
          <w:szCs w:val="21"/>
          <w:highlight w:val="none"/>
        </w:rPr>
        <w:t>投标产品中如有列入节能产品政府采购品目清单及环境标志产品政府采购品目清单的货物，应按下表提供清单。投标文件中同时提供所投标产品的节能产品及环境标志认证证书扫描件</w:t>
      </w:r>
    </w:p>
    <w:p w14:paraId="0B56038F">
      <w:pPr>
        <w:spacing w:line="360" w:lineRule="auto"/>
        <w:jc w:val="center"/>
        <w:rPr>
          <w:color w:val="auto"/>
          <w:szCs w:val="21"/>
          <w:highlight w:val="none"/>
        </w:rPr>
      </w:pPr>
      <w:r>
        <w:rPr>
          <w:rFonts w:hint="eastAsia"/>
          <w:b/>
          <w:color w:val="auto"/>
          <w:szCs w:val="21"/>
          <w:highlight w:val="none"/>
        </w:rPr>
        <w:t>节能产品及环境标志产品清单</w:t>
      </w:r>
    </w:p>
    <w:tbl>
      <w:tblPr>
        <w:tblStyle w:val="51"/>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5B0A36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tcMar>
              <w:top w:w="0" w:type="dxa"/>
              <w:left w:w="57" w:type="dxa"/>
              <w:bottom w:w="0" w:type="dxa"/>
              <w:right w:w="57" w:type="dxa"/>
            </w:tcMar>
            <w:vAlign w:val="center"/>
          </w:tcPr>
          <w:p w14:paraId="7C780B4B">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noWrap/>
            <w:tcMar>
              <w:top w:w="0" w:type="dxa"/>
              <w:left w:w="57" w:type="dxa"/>
              <w:bottom w:w="0" w:type="dxa"/>
              <w:right w:w="57" w:type="dxa"/>
            </w:tcMar>
            <w:vAlign w:val="center"/>
          </w:tcPr>
          <w:p w14:paraId="5BC9433B">
            <w:pPr>
              <w:widowControl/>
              <w:spacing w:before="100" w:beforeAutospacing="1" w:after="100" w:afterAutospacing="1" w:line="376" w:lineRule="atLeast"/>
              <w:jc w:val="center"/>
              <w:rPr>
                <w:color w:val="auto"/>
                <w:kern w:val="0"/>
                <w:szCs w:val="21"/>
                <w:highlight w:val="none"/>
              </w:rPr>
            </w:pPr>
            <w:r>
              <w:rPr>
                <w:rFonts w:hint="eastAsia"/>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noWrap/>
            <w:tcMar>
              <w:top w:w="0" w:type="dxa"/>
              <w:left w:w="57" w:type="dxa"/>
              <w:bottom w:w="0" w:type="dxa"/>
              <w:right w:w="57" w:type="dxa"/>
            </w:tcMar>
            <w:vAlign w:val="center"/>
          </w:tcPr>
          <w:p w14:paraId="3D5FCC51">
            <w:pPr>
              <w:widowControl/>
              <w:spacing w:before="100" w:beforeAutospacing="1" w:after="100" w:afterAutospacing="1" w:line="376" w:lineRule="atLeast"/>
              <w:jc w:val="center"/>
              <w:rPr>
                <w:color w:val="auto"/>
                <w:kern w:val="0"/>
                <w:szCs w:val="21"/>
                <w:highlight w:val="none"/>
              </w:rPr>
            </w:pPr>
            <w:r>
              <w:rPr>
                <w:rFonts w:hint="eastAsia"/>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noWrap/>
            <w:tcMar>
              <w:top w:w="0" w:type="dxa"/>
              <w:left w:w="57" w:type="dxa"/>
              <w:bottom w:w="0" w:type="dxa"/>
              <w:right w:w="57" w:type="dxa"/>
            </w:tcMar>
            <w:vAlign w:val="center"/>
          </w:tcPr>
          <w:p w14:paraId="04152A66">
            <w:pPr>
              <w:widowControl/>
              <w:spacing w:before="100" w:beforeAutospacing="1" w:after="100" w:afterAutospacing="1" w:line="376" w:lineRule="atLeast"/>
              <w:jc w:val="center"/>
              <w:rPr>
                <w:color w:val="auto"/>
                <w:kern w:val="0"/>
                <w:szCs w:val="21"/>
                <w:highlight w:val="none"/>
              </w:rPr>
            </w:pPr>
            <w:r>
              <w:rPr>
                <w:rFonts w:hint="eastAsia"/>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noWrap/>
            <w:tcMar>
              <w:top w:w="0" w:type="dxa"/>
              <w:left w:w="57" w:type="dxa"/>
              <w:bottom w:w="0" w:type="dxa"/>
              <w:right w:w="57" w:type="dxa"/>
            </w:tcMar>
            <w:vAlign w:val="center"/>
          </w:tcPr>
          <w:p w14:paraId="77498846">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规格</w:t>
            </w:r>
          </w:p>
        </w:tc>
        <w:tc>
          <w:tcPr>
            <w:tcW w:w="1851" w:type="dxa"/>
            <w:tcBorders>
              <w:top w:val="single" w:color="auto" w:sz="12" w:space="0"/>
              <w:left w:val="nil"/>
              <w:bottom w:val="single" w:color="auto" w:sz="8" w:space="0"/>
              <w:right w:val="single" w:color="auto" w:sz="8" w:space="0"/>
            </w:tcBorders>
            <w:noWrap/>
            <w:tcMar>
              <w:top w:w="0" w:type="dxa"/>
              <w:left w:w="57" w:type="dxa"/>
              <w:bottom w:w="0" w:type="dxa"/>
              <w:right w:w="57" w:type="dxa"/>
            </w:tcMar>
            <w:vAlign w:val="center"/>
          </w:tcPr>
          <w:p w14:paraId="726F4A5B">
            <w:pPr>
              <w:widowControl/>
              <w:spacing w:before="100" w:beforeAutospacing="1" w:after="100" w:afterAutospacing="1" w:line="376" w:lineRule="atLeast"/>
              <w:jc w:val="center"/>
              <w:rPr>
                <w:color w:val="auto"/>
                <w:kern w:val="0"/>
                <w:szCs w:val="21"/>
                <w:highlight w:val="none"/>
              </w:rPr>
            </w:pPr>
            <w:r>
              <w:rPr>
                <w:rFonts w:ascii="Helvetica" w:hAnsi="Helvetica" w:cs="Helvetica"/>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noWrap/>
            <w:tcMar>
              <w:top w:w="0" w:type="dxa"/>
              <w:left w:w="57" w:type="dxa"/>
              <w:bottom w:w="0" w:type="dxa"/>
              <w:right w:w="57" w:type="dxa"/>
            </w:tcMar>
            <w:vAlign w:val="center"/>
          </w:tcPr>
          <w:p w14:paraId="05320693">
            <w:pPr>
              <w:widowControl/>
              <w:spacing w:before="100" w:beforeAutospacing="1" w:after="100" w:afterAutospacing="1" w:line="376" w:lineRule="atLeast"/>
              <w:jc w:val="center"/>
              <w:rPr>
                <w:color w:val="auto"/>
                <w:kern w:val="0"/>
                <w:szCs w:val="21"/>
                <w:highlight w:val="none"/>
              </w:rPr>
            </w:pPr>
            <w:r>
              <w:rPr>
                <w:rFonts w:hint="eastAsia"/>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noWrap/>
            <w:tcMar>
              <w:top w:w="0" w:type="dxa"/>
              <w:left w:w="57" w:type="dxa"/>
              <w:bottom w:w="0" w:type="dxa"/>
              <w:right w:w="57" w:type="dxa"/>
            </w:tcMar>
            <w:vAlign w:val="center"/>
          </w:tcPr>
          <w:p w14:paraId="2A839673">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备注</w:t>
            </w:r>
          </w:p>
        </w:tc>
      </w:tr>
      <w:tr w14:paraId="2E91DA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tcMar>
              <w:top w:w="0" w:type="dxa"/>
              <w:left w:w="57" w:type="dxa"/>
              <w:bottom w:w="0" w:type="dxa"/>
              <w:right w:w="57" w:type="dxa"/>
            </w:tcMar>
            <w:vAlign w:val="center"/>
          </w:tcPr>
          <w:p w14:paraId="7823A075">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1</w:t>
            </w:r>
          </w:p>
        </w:tc>
        <w:tc>
          <w:tcPr>
            <w:tcW w:w="1134" w:type="dxa"/>
            <w:tcBorders>
              <w:top w:val="nil"/>
              <w:left w:val="nil"/>
              <w:bottom w:val="single" w:color="auto" w:sz="8" w:space="0"/>
              <w:right w:val="single" w:color="auto" w:sz="4" w:space="0"/>
            </w:tcBorders>
            <w:noWrap/>
            <w:tcMar>
              <w:top w:w="0" w:type="dxa"/>
              <w:left w:w="57" w:type="dxa"/>
              <w:bottom w:w="0" w:type="dxa"/>
              <w:right w:w="57" w:type="dxa"/>
            </w:tcMar>
            <w:vAlign w:val="center"/>
          </w:tcPr>
          <w:p w14:paraId="0BF04B8E">
            <w:pPr>
              <w:widowControl/>
              <w:spacing w:before="100" w:beforeAutospacing="1" w:after="100" w:afterAutospacing="1" w:line="376" w:lineRule="atLeast"/>
              <w:jc w:val="center"/>
              <w:rPr>
                <w:color w:val="auto"/>
                <w:kern w:val="0"/>
                <w:szCs w:val="21"/>
                <w:highlight w:val="none"/>
              </w:rPr>
            </w:pPr>
          </w:p>
        </w:tc>
        <w:tc>
          <w:tcPr>
            <w:tcW w:w="897" w:type="dxa"/>
            <w:tcBorders>
              <w:top w:val="nil"/>
              <w:left w:val="single" w:color="auto" w:sz="4" w:space="0"/>
              <w:bottom w:val="single" w:color="auto" w:sz="8" w:space="0"/>
              <w:right w:val="single" w:color="auto" w:sz="8" w:space="0"/>
            </w:tcBorders>
            <w:noWrap/>
            <w:tcMar>
              <w:top w:w="0" w:type="dxa"/>
              <w:left w:w="57" w:type="dxa"/>
              <w:bottom w:w="0" w:type="dxa"/>
              <w:right w:w="57" w:type="dxa"/>
            </w:tcMar>
            <w:vAlign w:val="center"/>
          </w:tcPr>
          <w:p w14:paraId="3FF444A6">
            <w:pPr>
              <w:widowControl/>
              <w:spacing w:before="100" w:beforeAutospacing="1" w:after="100" w:afterAutospacing="1" w:line="376" w:lineRule="atLeast"/>
              <w:jc w:val="center"/>
              <w:rPr>
                <w:color w:val="auto"/>
                <w:kern w:val="0"/>
                <w:szCs w:val="21"/>
                <w:highlight w:val="none"/>
              </w:rPr>
            </w:pPr>
          </w:p>
        </w:tc>
        <w:tc>
          <w:tcPr>
            <w:tcW w:w="1088" w:type="dxa"/>
            <w:tcBorders>
              <w:top w:val="nil"/>
              <w:left w:val="nil"/>
              <w:bottom w:val="single" w:color="auto" w:sz="8" w:space="0"/>
              <w:right w:val="single" w:color="auto" w:sz="4" w:space="0"/>
            </w:tcBorders>
            <w:noWrap/>
            <w:tcMar>
              <w:top w:w="0" w:type="dxa"/>
              <w:left w:w="57" w:type="dxa"/>
              <w:bottom w:w="0" w:type="dxa"/>
              <w:right w:w="57" w:type="dxa"/>
            </w:tcMar>
            <w:vAlign w:val="center"/>
          </w:tcPr>
          <w:p w14:paraId="2016C5E8">
            <w:pPr>
              <w:widowControl/>
              <w:spacing w:before="100" w:beforeAutospacing="1" w:after="100" w:afterAutospacing="1" w:line="376" w:lineRule="atLeast"/>
              <w:jc w:val="center"/>
              <w:rPr>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tcMar>
              <w:top w:w="0" w:type="dxa"/>
              <w:left w:w="57" w:type="dxa"/>
              <w:bottom w:w="0" w:type="dxa"/>
              <w:right w:w="57" w:type="dxa"/>
            </w:tcMar>
            <w:vAlign w:val="center"/>
          </w:tcPr>
          <w:p w14:paraId="51959740">
            <w:pPr>
              <w:widowControl/>
              <w:spacing w:before="100" w:beforeAutospacing="1" w:after="100" w:afterAutospacing="1" w:line="376" w:lineRule="atLeast"/>
              <w:jc w:val="center"/>
              <w:rPr>
                <w:color w:val="auto"/>
                <w:kern w:val="0"/>
                <w:szCs w:val="21"/>
                <w:highlight w:val="none"/>
              </w:rPr>
            </w:pPr>
          </w:p>
        </w:tc>
        <w:tc>
          <w:tcPr>
            <w:tcW w:w="1851"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7DCD6CF">
            <w:pPr>
              <w:widowControl/>
              <w:spacing w:before="100" w:beforeAutospacing="1" w:after="100" w:afterAutospacing="1" w:line="376" w:lineRule="atLeast"/>
              <w:jc w:val="center"/>
              <w:rPr>
                <w:color w:val="auto"/>
                <w:kern w:val="0"/>
                <w:szCs w:val="21"/>
                <w:highlight w:val="none"/>
              </w:rPr>
            </w:pPr>
          </w:p>
        </w:tc>
        <w:tc>
          <w:tcPr>
            <w:tcW w:w="1412"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C36EE16">
            <w:pPr>
              <w:widowControl/>
              <w:spacing w:before="100" w:beforeAutospacing="1" w:after="100" w:afterAutospacing="1" w:line="376" w:lineRule="atLeast"/>
              <w:jc w:val="center"/>
              <w:rPr>
                <w:color w:val="auto"/>
                <w:kern w:val="0"/>
                <w:szCs w:val="21"/>
                <w:highlight w:val="none"/>
              </w:rPr>
            </w:pPr>
          </w:p>
        </w:tc>
        <w:tc>
          <w:tcPr>
            <w:tcW w:w="770" w:type="dxa"/>
            <w:tcBorders>
              <w:top w:val="nil"/>
              <w:left w:val="nil"/>
              <w:bottom w:val="single" w:color="auto" w:sz="8" w:space="0"/>
              <w:right w:val="single" w:color="auto" w:sz="12" w:space="0"/>
            </w:tcBorders>
            <w:noWrap/>
            <w:tcMar>
              <w:top w:w="0" w:type="dxa"/>
              <w:left w:w="57" w:type="dxa"/>
              <w:bottom w:w="0" w:type="dxa"/>
              <w:right w:w="57" w:type="dxa"/>
            </w:tcMar>
            <w:vAlign w:val="center"/>
          </w:tcPr>
          <w:p w14:paraId="7E400F85">
            <w:pPr>
              <w:widowControl/>
              <w:spacing w:before="100" w:beforeAutospacing="1" w:after="100" w:afterAutospacing="1" w:line="376" w:lineRule="atLeast"/>
              <w:jc w:val="center"/>
              <w:rPr>
                <w:color w:val="auto"/>
                <w:kern w:val="0"/>
                <w:szCs w:val="21"/>
                <w:highlight w:val="none"/>
              </w:rPr>
            </w:pPr>
          </w:p>
        </w:tc>
      </w:tr>
      <w:tr w14:paraId="41B0ED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tcMar>
              <w:top w:w="0" w:type="dxa"/>
              <w:left w:w="57" w:type="dxa"/>
              <w:bottom w:w="0" w:type="dxa"/>
              <w:right w:w="57" w:type="dxa"/>
            </w:tcMar>
            <w:vAlign w:val="center"/>
          </w:tcPr>
          <w:p w14:paraId="6B4E2A17">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2</w:t>
            </w:r>
          </w:p>
        </w:tc>
        <w:tc>
          <w:tcPr>
            <w:tcW w:w="1134" w:type="dxa"/>
            <w:tcBorders>
              <w:top w:val="nil"/>
              <w:left w:val="nil"/>
              <w:bottom w:val="single" w:color="auto" w:sz="8" w:space="0"/>
              <w:right w:val="single" w:color="auto" w:sz="4" w:space="0"/>
            </w:tcBorders>
            <w:noWrap/>
            <w:tcMar>
              <w:top w:w="0" w:type="dxa"/>
              <w:left w:w="57" w:type="dxa"/>
              <w:bottom w:w="0" w:type="dxa"/>
              <w:right w:w="57" w:type="dxa"/>
            </w:tcMar>
            <w:vAlign w:val="center"/>
          </w:tcPr>
          <w:p w14:paraId="22B86843">
            <w:pPr>
              <w:widowControl/>
              <w:spacing w:before="100" w:beforeAutospacing="1" w:after="100" w:afterAutospacing="1" w:line="376" w:lineRule="atLeast"/>
              <w:jc w:val="center"/>
              <w:rPr>
                <w:color w:val="auto"/>
                <w:kern w:val="0"/>
                <w:szCs w:val="21"/>
                <w:highlight w:val="none"/>
              </w:rPr>
            </w:pPr>
          </w:p>
        </w:tc>
        <w:tc>
          <w:tcPr>
            <w:tcW w:w="897" w:type="dxa"/>
            <w:tcBorders>
              <w:top w:val="nil"/>
              <w:left w:val="single" w:color="auto" w:sz="4" w:space="0"/>
              <w:bottom w:val="single" w:color="auto" w:sz="8" w:space="0"/>
              <w:right w:val="single" w:color="auto" w:sz="8" w:space="0"/>
            </w:tcBorders>
            <w:noWrap/>
            <w:tcMar>
              <w:top w:w="0" w:type="dxa"/>
              <w:left w:w="57" w:type="dxa"/>
              <w:bottom w:w="0" w:type="dxa"/>
              <w:right w:w="57" w:type="dxa"/>
            </w:tcMar>
            <w:vAlign w:val="center"/>
          </w:tcPr>
          <w:p w14:paraId="2990580B">
            <w:pPr>
              <w:widowControl/>
              <w:spacing w:before="100" w:beforeAutospacing="1" w:after="100" w:afterAutospacing="1" w:line="376" w:lineRule="atLeast"/>
              <w:jc w:val="center"/>
              <w:rPr>
                <w:color w:val="auto"/>
                <w:kern w:val="0"/>
                <w:szCs w:val="21"/>
                <w:highlight w:val="none"/>
              </w:rPr>
            </w:pPr>
          </w:p>
        </w:tc>
        <w:tc>
          <w:tcPr>
            <w:tcW w:w="1088" w:type="dxa"/>
            <w:tcBorders>
              <w:top w:val="nil"/>
              <w:left w:val="nil"/>
              <w:bottom w:val="single" w:color="auto" w:sz="8" w:space="0"/>
              <w:right w:val="single" w:color="auto" w:sz="4" w:space="0"/>
            </w:tcBorders>
            <w:noWrap/>
            <w:tcMar>
              <w:top w:w="0" w:type="dxa"/>
              <w:left w:w="57" w:type="dxa"/>
              <w:bottom w:w="0" w:type="dxa"/>
              <w:right w:w="57" w:type="dxa"/>
            </w:tcMar>
            <w:vAlign w:val="center"/>
          </w:tcPr>
          <w:p w14:paraId="05CC71DB">
            <w:pPr>
              <w:widowControl/>
              <w:spacing w:before="100" w:beforeAutospacing="1" w:after="100" w:afterAutospacing="1" w:line="376" w:lineRule="atLeast"/>
              <w:jc w:val="center"/>
              <w:rPr>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tcMar>
              <w:top w:w="0" w:type="dxa"/>
              <w:left w:w="57" w:type="dxa"/>
              <w:bottom w:w="0" w:type="dxa"/>
              <w:right w:w="57" w:type="dxa"/>
            </w:tcMar>
            <w:vAlign w:val="center"/>
          </w:tcPr>
          <w:p w14:paraId="49A04171">
            <w:pPr>
              <w:widowControl/>
              <w:spacing w:before="100" w:beforeAutospacing="1" w:after="100" w:afterAutospacing="1" w:line="376" w:lineRule="atLeast"/>
              <w:jc w:val="center"/>
              <w:rPr>
                <w:color w:val="auto"/>
                <w:kern w:val="0"/>
                <w:szCs w:val="21"/>
                <w:highlight w:val="none"/>
              </w:rPr>
            </w:pPr>
          </w:p>
        </w:tc>
        <w:tc>
          <w:tcPr>
            <w:tcW w:w="1851"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27FD6F7">
            <w:pPr>
              <w:widowControl/>
              <w:spacing w:before="100" w:beforeAutospacing="1" w:after="100" w:afterAutospacing="1" w:line="376" w:lineRule="atLeast"/>
              <w:jc w:val="center"/>
              <w:rPr>
                <w:color w:val="auto"/>
                <w:kern w:val="0"/>
                <w:szCs w:val="21"/>
                <w:highlight w:val="none"/>
              </w:rPr>
            </w:pPr>
          </w:p>
        </w:tc>
        <w:tc>
          <w:tcPr>
            <w:tcW w:w="1412"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CF6FCAC">
            <w:pPr>
              <w:widowControl/>
              <w:spacing w:before="100" w:beforeAutospacing="1" w:after="100" w:afterAutospacing="1" w:line="376" w:lineRule="atLeast"/>
              <w:jc w:val="center"/>
              <w:rPr>
                <w:color w:val="auto"/>
                <w:kern w:val="0"/>
                <w:szCs w:val="21"/>
                <w:highlight w:val="none"/>
              </w:rPr>
            </w:pPr>
          </w:p>
        </w:tc>
        <w:tc>
          <w:tcPr>
            <w:tcW w:w="770" w:type="dxa"/>
            <w:tcBorders>
              <w:top w:val="nil"/>
              <w:left w:val="nil"/>
              <w:bottom w:val="single" w:color="auto" w:sz="8" w:space="0"/>
              <w:right w:val="single" w:color="auto" w:sz="12" w:space="0"/>
            </w:tcBorders>
            <w:noWrap/>
            <w:tcMar>
              <w:top w:w="0" w:type="dxa"/>
              <w:left w:w="57" w:type="dxa"/>
              <w:bottom w:w="0" w:type="dxa"/>
              <w:right w:w="57" w:type="dxa"/>
            </w:tcMar>
            <w:vAlign w:val="center"/>
          </w:tcPr>
          <w:p w14:paraId="1A4DB6BE">
            <w:pPr>
              <w:widowControl/>
              <w:spacing w:before="100" w:beforeAutospacing="1" w:after="100" w:afterAutospacing="1" w:line="376" w:lineRule="atLeast"/>
              <w:jc w:val="center"/>
              <w:rPr>
                <w:color w:val="auto"/>
                <w:kern w:val="0"/>
                <w:szCs w:val="21"/>
                <w:highlight w:val="none"/>
              </w:rPr>
            </w:pPr>
          </w:p>
        </w:tc>
      </w:tr>
      <w:tr w14:paraId="11F7943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tcMar>
              <w:top w:w="0" w:type="dxa"/>
              <w:left w:w="57" w:type="dxa"/>
              <w:bottom w:w="0" w:type="dxa"/>
              <w:right w:w="57" w:type="dxa"/>
            </w:tcMar>
            <w:vAlign w:val="center"/>
          </w:tcPr>
          <w:p w14:paraId="6759B0E6">
            <w:pPr>
              <w:widowControl/>
              <w:spacing w:before="100" w:beforeAutospacing="1" w:after="100" w:afterAutospacing="1" w:line="376" w:lineRule="atLeast"/>
              <w:jc w:val="center"/>
              <w:rPr>
                <w:color w:val="auto"/>
                <w:kern w:val="0"/>
                <w:szCs w:val="21"/>
                <w:highlight w:val="none"/>
              </w:rPr>
            </w:pPr>
            <w:r>
              <w:rPr>
                <w:color w:val="auto"/>
                <w:kern w:val="0"/>
                <w:szCs w:val="21"/>
                <w:highlight w:val="none"/>
              </w:rPr>
              <w:t>……</w:t>
            </w:r>
          </w:p>
        </w:tc>
        <w:tc>
          <w:tcPr>
            <w:tcW w:w="1134" w:type="dxa"/>
            <w:tcBorders>
              <w:top w:val="nil"/>
              <w:left w:val="nil"/>
              <w:bottom w:val="single" w:color="auto" w:sz="8" w:space="0"/>
              <w:right w:val="single" w:color="auto" w:sz="4" w:space="0"/>
            </w:tcBorders>
            <w:noWrap/>
            <w:tcMar>
              <w:top w:w="0" w:type="dxa"/>
              <w:left w:w="57" w:type="dxa"/>
              <w:bottom w:w="0" w:type="dxa"/>
              <w:right w:w="57" w:type="dxa"/>
            </w:tcMar>
            <w:vAlign w:val="center"/>
          </w:tcPr>
          <w:p w14:paraId="3161A7A4">
            <w:pPr>
              <w:widowControl/>
              <w:spacing w:before="100" w:beforeAutospacing="1" w:after="100" w:afterAutospacing="1" w:line="376" w:lineRule="atLeast"/>
              <w:jc w:val="center"/>
              <w:rPr>
                <w:color w:val="auto"/>
                <w:kern w:val="0"/>
                <w:szCs w:val="21"/>
                <w:highlight w:val="none"/>
              </w:rPr>
            </w:pPr>
          </w:p>
        </w:tc>
        <w:tc>
          <w:tcPr>
            <w:tcW w:w="897" w:type="dxa"/>
            <w:tcBorders>
              <w:top w:val="nil"/>
              <w:left w:val="single" w:color="auto" w:sz="4" w:space="0"/>
              <w:bottom w:val="single" w:color="auto" w:sz="8" w:space="0"/>
              <w:right w:val="single" w:color="auto" w:sz="8" w:space="0"/>
            </w:tcBorders>
            <w:noWrap/>
            <w:tcMar>
              <w:top w:w="0" w:type="dxa"/>
              <w:left w:w="57" w:type="dxa"/>
              <w:bottom w:w="0" w:type="dxa"/>
              <w:right w:w="57" w:type="dxa"/>
            </w:tcMar>
            <w:vAlign w:val="center"/>
          </w:tcPr>
          <w:p w14:paraId="48D6413D">
            <w:pPr>
              <w:widowControl/>
              <w:spacing w:before="100" w:beforeAutospacing="1" w:after="100" w:afterAutospacing="1" w:line="376" w:lineRule="atLeast"/>
              <w:jc w:val="center"/>
              <w:rPr>
                <w:color w:val="auto"/>
                <w:kern w:val="0"/>
                <w:szCs w:val="21"/>
                <w:highlight w:val="none"/>
              </w:rPr>
            </w:pPr>
          </w:p>
        </w:tc>
        <w:tc>
          <w:tcPr>
            <w:tcW w:w="1088" w:type="dxa"/>
            <w:tcBorders>
              <w:top w:val="nil"/>
              <w:left w:val="nil"/>
              <w:bottom w:val="single" w:color="auto" w:sz="8" w:space="0"/>
              <w:right w:val="single" w:color="auto" w:sz="4" w:space="0"/>
            </w:tcBorders>
            <w:noWrap/>
            <w:tcMar>
              <w:top w:w="0" w:type="dxa"/>
              <w:left w:w="57" w:type="dxa"/>
              <w:bottom w:w="0" w:type="dxa"/>
              <w:right w:w="57" w:type="dxa"/>
            </w:tcMar>
            <w:vAlign w:val="center"/>
          </w:tcPr>
          <w:p w14:paraId="581F4CAC">
            <w:pPr>
              <w:widowControl/>
              <w:spacing w:before="100" w:beforeAutospacing="1" w:after="100" w:afterAutospacing="1" w:line="376" w:lineRule="atLeast"/>
              <w:jc w:val="center"/>
              <w:rPr>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tcMar>
              <w:top w:w="0" w:type="dxa"/>
              <w:left w:w="57" w:type="dxa"/>
              <w:bottom w:w="0" w:type="dxa"/>
              <w:right w:w="57" w:type="dxa"/>
            </w:tcMar>
            <w:vAlign w:val="center"/>
          </w:tcPr>
          <w:p w14:paraId="2732CD3D">
            <w:pPr>
              <w:widowControl/>
              <w:spacing w:before="100" w:beforeAutospacing="1" w:after="100" w:afterAutospacing="1" w:line="376" w:lineRule="atLeast"/>
              <w:jc w:val="center"/>
              <w:rPr>
                <w:color w:val="auto"/>
                <w:kern w:val="0"/>
                <w:szCs w:val="21"/>
                <w:highlight w:val="none"/>
              </w:rPr>
            </w:pPr>
          </w:p>
        </w:tc>
        <w:tc>
          <w:tcPr>
            <w:tcW w:w="1851"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A288CC6">
            <w:pPr>
              <w:widowControl/>
              <w:spacing w:before="100" w:beforeAutospacing="1" w:after="100" w:afterAutospacing="1" w:line="376" w:lineRule="atLeast"/>
              <w:jc w:val="center"/>
              <w:rPr>
                <w:color w:val="auto"/>
                <w:kern w:val="0"/>
                <w:szCs w:val="21"/>
                <w:highlight w:val="none"/>
              </w:rPr>
            </w:pPr>
          </w:p>
        </w:tc>
        <w:tc>
          <w:tcPr>
            <w:tcW w:w="1412"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4492F9B">
            <w:pPr>
              <w:widowControl/>
              <w:spacing w:before="100" w:beforeAutospacing="1" w:after="100" w:afterAutospacing="1" w:line="376" w:lineRule="atLeast"/>
              <w:jc w:val="center"/>
              <w:rPr>
                <w:color w:val="auto"/>
                <w:kern w:val="0"/>
                <w:szCs w:val="21"/>
                <w:highlight w:val="none"/>
              </w:rPr>
            </w:pPr>
          </w:p>
        </w:tc>
        <w:tc>
          <w:tcPr>
            <w:tcW w:w="770" w:type="dxa"/>
            <w:tcBorders>
              <w:top w:val="nil"/>
              <w:left w:val="nil"/>
              <w:bottom w:val="single" w:color="auto" w:sz="8" w:space="0"/>
              <w:right w:val="single" w:color="auto" w:sz="12" w:space="0"/>
            </w:tcBorders>
            <w:noWrap/>
            <w:tcMar>
              <w:top w:w="0" w:type="dxa"/>
              <w:left w:w="57" w:type="dxa"/>
              <w:bottom w:w="0" w:type="dxa"/>
              <w:right w:w="57" w:type="dxa"/>
            </w:tcMar>
            <w:vAlign w:val="center"/>
          </w:tcPr>
          <w:p w14:paraId="1A73B430">
            <w:pPr>
              <w:widowControl/>
              <w:spacing w:before="100" w:beforeAutospacing="1" w:after="100" w:afterAutospacing="1" w:line="376" w:lineRule="atLeast"/>
              <w:jc w:val="center"/>
              <w:rPr>
                <w:color w:val="auto"/>
                <w:kern w:val="0"/>
                <w:szCs w:val="21"/>
                <w:highlight w:val="none"/>
              </w:rPr>
            </w:pPr>
          </w:p>
        </w:tc>
      </w:tr>
    </w:tbl>
    <w:p w14:paraId="400C2984">
      <w:pPr>
        <w:snapToGrid w:val="0"/>
        <w:spacing w:before="50" w:afterLines="50"/>
        <w:jc w:val="left"/>
        <w:rPr>
          <w:color w:val="auto"/>
          <w:szCs w:val="21"/>
          <w:highlight w:val="none"/>
        </w:rPr>
      </w:pPr>
      <w:r>
        <w:rPr>
          <w:rFonts w:hint="eastAsia"/>
          <w:color w:val="auto"/>
          <w:szCs w:val="21"/>
          <w:highlight w:val="none"/>
        </w:rPr>
        <w:t>注：类别填写节能或环境标志，品目填写编号及产品名称如A</w:t>
      </w:r>
      <w:r>
        <w:rPr>
          <w:color w:val="auto"/>
          <w:szCs w:val="21"/>
          <w:highlight w:val="none"/>
        </w:rPr>
        <w:t>02010104</w:t>
      </w:r>
      <w:r>
        <w:rPr>
          <w:rFonts w:hint="eastAsia"/>
          <w:color w:val="auto"/>
          <w:szCs w:val="21"/>
          <w:highlight w:val="none"/>
        </w:rPr>
        <w:t>台式计算机。</w:t>
      </w:r>
    </w:p>
    <w:p w14:paraId="72B8BD05">
      <w:pPr>
        <w:snapToGrid w:val="0"/>
        <w:spacing w:before="50" w:afterLines="50"/>
        <w:jc w:val="left"/>
        <w:rPr>
          <w:color w:val="auto"/>
          <w:szCs w:val="21"/>
          <w:highlight w:val="none"/>
        </w:rPr>
      </w:pPr>
    </w:p>
    <w:bookmarkEnd w:id="117"/>
    <w:p w14:paraId="698F89CE">
      <w:pPr>
        <w:snapToGrid w:val="0"/>
        <w:spacing w:before="50" w:afterLines="50"/>
        <w:jc w:val="left"/>
        <w:rPr>
          <w:color w:val="auto"/>
          <w:szCs w:val="21"/>
          <w:highlight w:val="none"/>
        </w:rPr>
      </w:pPr>
    </w:p>
    <w:p w14:paraId="5520E4FC">
      <w:pPr>
        <w:rPr>
          <w:color w:val="auto"/>
          <w:szCs w:val="21"/>
          <w:highlight w:val="none"/>
        </w:rPr>
      </w:pPr>
      <w:r>
        <w:rPr>
          <w:color w:val="auto"/>
          <w:szCs w:val="21"/>
          <w:highlight w:val="none"/>
        </w:rPr>
        <w:br w:type="page"/>
      </w:r>
      <w:bookmarkStart w:id="118" w:name="_Hlk19115874"/>
      <w:bookmarkStart w:id="119" w:name="_Hlk132793601"/>
      <w:bookmarkStart w:id="120" w:name="_Hlk93046716"/>
      <w:r>
        <w:rPr>
          <w:rFonts w:hint="eastAsia"/>
          <w:color w:val="auto"/>
          <w:szCs w:val="21"/>
          <w:highlight w:val="none"/>
        </w:rPr>
        <w:t>8</w:t>
      </w:r>
      <w:r>
        <w:rPr>
          <w:color w:val="auto"/>
          <w:szCs w:val="21"/>
          <w:highlight w:val="none"/>
        </w:rPr>
        <w:t>.2</w:t>
      </w:r>
      <w:r>
        <w:rPr>
          <w:rFonts w:hint="eastAsia"/>
          <w:bCs/>
          <w:color w:val="auto"/>
          <w:szCs w:val="21"/>
          <w:highlight w:val="none"/>
        </w:rPr>
        <w:t>中小企业声明函</w:t>
      </w:r>
      <w:r>
        <w:rPr>
          <w:color w:val="auto"/>
          <w:szCs w:val="21"/>
          <w:highlight w:val="none"/>
        </w:rPr>
        <w:t>。</w:t>
      </w:r>
      <w:r>
        <w:rPr>
          <w:rFonts w:hint="eastAsia"/>
          <w:color w:val="auto"/>
          <w:szCs w:val="21"/>
          <w:highlight w:val="none"/>
        </w:rPr>
        <w:t>（如有请提供）</w:t>
      </w:r>
    </w:p>
    <w:p w14:paraId="69164497">
      <w:pPr>
        <w:snapToGrid w:val="0"/>
        <w:spacing w:beforeLines="50" w:after="50" w:line="440" w:lineRule="exact"/>
        <w:jc w:val="left"/>
        <w:rPr>
          <w:color w:val="auto"/>
          <w:szCs w:val="21"/>
          <w:highlight w:val="none"/>
        </w:rPr>
      </w:pPr>
    </w:p>
    <w:bookmarkEnd w:id="118"/>
    <w:p w14:paraId="569AD404">
      <w:pPr>
        <w:spacing w:line="360" w:lineRule="auto"/>
        <w:ind w:firstLine="3584" w:firstLineChars="1700"/>
        <w:rPr>
          <w:b/>
          <w:color w:val="auto"/>
          <w:szCs w:val="21"/>
          <w:highlight w:val="none"/>
        </w:rPr>
      </w:pPr>
      <w:bookmarkStart w:id="121" w:name="_Hlk60651253"/>
    </w:p>
    <w:p w14:paraId="10CE6320">
      <w:pPr>
        <w:spacing w:line="360" w:lineRule="auto"/>
        <w:ind w:firstLine="3584" w:firstLineChars="1700"/>
        <w:rPr>
          <w:b/>
          <w:color w:val="auto"/>
          <w:szCs w:val="21"/>
          <w:highlight w:val="none"/>
        </w:rPr>
      </w:pPr>
      <w:bookmarkStart w:id="122" w:name="_Hlk60649458"/>
      <w:bookmarkStart w:id="123" w:name="_Hlk60653683"/>
      <w:r>
        <w:rPr>
          <w:rFonts w:hint="eastAsia"/>
          <w:b/>
          <w:color w:val="auto"/>
          <w:szCs w:val="21"/>
          <w:highlight w:val="none"/>
        </w:rPr>
        <w:t>中小企业声明函（货物）</w:t>
      </w:r>
    </w:p>
    <w:p w14:paraId="608EB864">
      <w:pPr>
        <w:spacing w:line="360" w:lineRule="auto"/>
        <w:ind w:firstLine="420"/>
        <w:rPr>
          <w:bCs/>
          <w:color w:val="auto"/>
          <w:szCs w:val="21"/>
          <w:highlight w:val="none"/>
        </w:rPr>
      </w:pPr>
      <w:r>
        <w:rPr>
          <w:rFonts w:hint="eastAsia"/>
          <w:bCs/>
          <w:color w:val="auto"/>
          <w:szCs w:val="21"/>
          <w:highlight w:val="none"/>
        </w:rPr>
        <w:t>本公司（联合体）郑重声明，根据《政府采购促进中小企业发展管理办法》（财库﹝2020﹞46 号）的规定，本公司（联合体）参加</w:t>
      </w:r>
      <w:r>
        <w:rPr>
          <w:rFonts w:hint="eastAsia"/>
          <w:bCs/>
          <w:color w:val="auto"/>
          <w:szCs w:val="21"/>
          <w:highlight w:val="none"/>
          <w:u w:val="single"/>
        </w:rPr>
        <w:t>（单位名称）</w:t>
      </w:r>
      <w:r>
        <w:rPr>
          <w:rFonts w:hint="eastAsia"/>
          <w:bCs/>
          <w:color w:val="auto"/>
          <w:szCs w:val="21"/>
          <w:highlight w:val="none"/>
        </w:rPr>
        <w:t>的</w:t>
      </w:r>
      <w:r>
        <w:rPr>
          <w:rFonts w:hint="eastAsia"/>
          <w:bCs/>
          <w:color w:val="auto"/>
          <w:szCs w:val="21"/>
          <w:highlight w:val="none"/>
          <w:u w:val="single"/>
        </w:rPr>
        <w:t>（项目名称）</w:t>
      </w:r>
      <w:r>
        <w:rPr>
          <w:rFonts w:hint="eastAsia"/>
          <w:bCs/>
          <w:color w:val="auto"/>
          <w:szCs w:val="21"/>
          <w:highlight w:val="none"/>
        </w:rPr>
        <w:t>采购活动，提供的货物全部由符合政策要求的中小企业制造。相关企业（含联合体中的中小企业、签订分包意向协议的中小企业） 的具体情况如下：</w:t>
      </w:r>
    </w:p>
    <w:p w14:paraId="0CFC6F00">
      <w:pPr>
        <w:spacing w:line="360" w:lineRule="auto"/>
        <w:ind w:firstLine="420"/>
        <w:rPr>
          <w:bCs/>
          <w:color w:val="auto"/>
          <w:szCs w:val="21"/>
          <w:highlight w:val="none"/>
        </w:rPr>
      </w:pPr>
      <w:r>
        <w:rPr>
          <w:bCs/>
          <w:color w:val="auto"/>
          <w:szCs w:val="21"/>
          <w:highlight w:val="none"/>
        </w:rPr>
        <w:t>1.</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行业；制造商为</w:t>
      </w:r>
      <w:r>
        <w:rPr>
          <w:rFonts w:hint="eastAsia"/>
          <w:bCs/>
          <w:color w:val="auto"/>
          <w:szCs w:val="21"/>
          <w:highlight w:val="none"/>
          <w:u w:val="single"/>
        </w:rPr>
        <w:t>（企业名称）</w:t>
      </w:r>
      <w:r>
        <w:rPr>
          <w:rFonts w:hint="eastAsia"/>
          <w:bCs/>
          <w:color w:val="auto"/>
          <w:szCs w:val="21"/>
          <w:highlight w:val="none"/>
        </w:rPr>
        <w:t>，从业人员人，营业收入为万元，资产总额为万元，属于</w:t>
      </w:r>
      <w:r>
        <w:rPr>
          <w:rFonts w:hint="eastAsia"/>
          <w:bCs/>
          <w:color w:val="auto"/>
          <w:szCs w:val="21"/>
          <w:highlight w:val="none"/>
          <w:u w:val="single"/>
        </w:rPr>
        <w:t>（中型企业、小型企业、微型企业）</w:t>
      </w:r>
      <w:r>
        <w:rPr>
          <w:rFonts w:hint="eastAsia"/>
          <w:bCs/>
          <w:color w:val="auto"/>
          <w:szCs w:val="21"/>
          <w:highlight w:val="none"/>
        </w:rPr>
        <w:t>；</w:t>
      </w:r>
    </w:p>
    <w:p w14:paraId="60D86D98">
      <w:pPr>
        <w:spacing w:line="360" w:lineRule="auto"/>
        <w:ind w:firstLine="420"/>
        <w:rPr>
          <w:bCs/>
          <w:color w:val="auto"/>
          <w:szCs w:val="21"/>
          <w:highlight w:val="none"/>
        </w:rPr>
      </w:pPr>
      <w:r>
        <w:rPr>
          <w:bCs/>
          <w:color w:val="auto"/>
          <w:szCs w:val="21"/>
          <w:highlight w:val="none"/>
        </w:rPr>
        <w:t>2.</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行业；制造商为</w:t>
      </w:r>
      <w:r>
        <w:rPr>
          <w:rFonts w:hint="eastAsia"/>
          <w:bCs/>
          <w:color w:val="auto"/>
          <w:szCs w:val="21"/>
          <w:highlight w:val="none"/>
          <w:u w:val="single"/>
        </w:rPr>
        <w:t>（企业名称）</w:t>
      </w:r>
      <w:r>
        <w:rPr>
          <w:rFonts w:hint="eastAsia"/>
          <w:bCs/>
          <w:color w:val="auto"/>
          <w:szCs w:val="21"/>
          <w:highlight w:val="none"/>
        </w:rPr>
        <w:t>，从业人员人，营业收入为万元，资产总额为万元，属于</w:t>
      </w:r>
      <w:r>
        <w:rPr>
          <w:rFonts w:hint="eastAsia"/>
          <w:bCs/>
          <w:color w:val="auto"/>
          <w:szCs w:val="21"/>
          <w:highlight w:val="none"/>
          <w:u w:val="single"/>
        </w:rPr>
        <w:t>（中型企业、小型企业、微型企业）</w:t>
      </w:r>
      <w:r>
        <w:rPr>
          <w:rFonts w:hint="eastAsia"/>
          <w:bCs/>
          <w:color w:val="auto"/>
          <w:szCs w:val="21"/>
          <w:highlight w:val="none"/>
        </w:rPr>
        <w:t>；</w:t>
      </w:r>
    </w:p>
    <w:p w14:paraId="658EA883">
      <w:pPr>
        <w:spacing w:line="360" w:lineRule="auto"/>
        <w:ind w:firstLine="420"/>
        <w:rPr>
          <w:bCs/>
          <w:color w:val="auto"/>
          <w:szCs w:val="21"/>
          <w:highlight w:val="none"/>
        </w:rPr>
      </w:pPr>
      <w:r>
        <w:rPr>
          <w:rFonts w:hint="eastAsia"/>
          <w:bCs/>
          <w:color w:val="auto"/>
          <w:szCs w:val="21"/>
          <w:highlight w:val="none"/>
        </w:rPr>
        <w:t>……</w:t>
      </w:r>
    </w:p>
    <w:p w14:paraId="3B009A4F">
      <w:pPr>
        <w:spacing w:line="360" w:lineRule="auto"/>
        <w:ind w:firstLine="420"/>
        <w:rPr>
          <w:bCs/>
          <w:color w:val="auto"/>
          <w:szCs w:val="21"/>
          <w:highlight w:val="none"/>
        </w:rPr>
      </w:pPr>
      <w:r>
        <w:rPr>
          <w:rFonts w:hint="eastAsia"/>
          <w:bCs/>
          <w:color w:val="auto"/>
          <w:szCs w:val="21"/>
          <w:highlight w:val="none"/>
        </w:rPr>
        <w:t>以上企业，不属于大企业的分支机构，不存在控股股东为大企业的情形，也不存在与大企业的负责人为同一人的情形。</w:t>
      </w:r>
    </w:p>
    <w:p w14:paraId="6C3D16F5">
      <w:pPr>
        <w:spacing w:line="360" w:lineRule="auto"/>
        <w:ind w:firstLine="420"/>
        <w:rPr>
          <w:bCs/>
          <w:color w:val="auto"/>
          <w:szCs w:val="21"/>
          <w:highlight w:val="none"/>
        </w:rPr>
      </w:pPr>
      <w:r>
        <w:rPr>
          <w:rFonts w:hint="eastAsia"/>
          <w:bCs/>
          <w:color w:val="auto"/>
          <w:szCs w:val="21"/>
          <w:highlight w:val="none"/>
        </w:rPr>
        <w:t>本企业对上述声明内容的真实性负责。如有虚假，将依法承担相应责任。</w:t>
      </w:r>
    </w:p>
    <w:p w14:paraId="0E294E83">
      <w:pPr>
        <w:spacing w:line="360" w:lineRule="auto"/>
        <w:ind w:firstLine="3150" w:firstLineChars="1500"/>
        <w:rPr>
          <w:bCs/>
          <w:color w:val="auto"/>
          <w:szCs w:val="21"/>
          <w:highlight w:val="none"/>
        </w:rPr>
      </w:pPr>
      <w:r>
        <w:rPr>
          <w:rFonts w:hint="eastAsia"/>
          <w:bCs/>
          <w:color w:val="auto"/>
          <w:szCs w:val="21"/>
          <w:highlight w:val="none"/>
        </w:rPr>
        <w:t>企业名称</w:t>
      </w:r>
      <w:r>
        <w:rPr>
          <w:rFonts w:hint="eastAsia"/>
          <w:color w:val="auto"/>
          <w:szCs w:val="21"/>
          <w:highlight w:val="none"/>
        </w:rPr>
        <w:t xml:space="preserve"> (电子签章</w:t>
      </w:r>
      <w:r>
        <w:rPr>
          <w:color w:val="auto"/>
          <w:szCs w:val="21"/>
          <w:highlight w:val="none"/>
        </w:rPr>
        <w:t>)</w:t>
      </w:r>
      <w:r>
        <w:rPr>
          <w:rFonts w:hint="eastAsia"/>
          <w:bCs/>
          <w:color w:val="auto"/>
          <w:szCs w:val="21"/>
          <w:highlight w:val="none"/>
        </w:rPr>
        <w:t>： 日期：</w:t>
      </w:r>
    </w:p>
    <w:p w14:paraId="12D5F437">
      <w:pPr>
        <w:spacing w:line="360" w:lineRule="auto"/>
        <w:jc w:val="left"/>
        <w:rPr>
          <w:bCs/>
          <w:color w:val="auto"/>
          <w:szCs w:val="21"/>
          <w:highlight w:val="none"/>
        </w:rPr>
      </w:pPr>
      <w:bookmarkStart w:id="124" w:name="_Hlk65852026"/>
      <w:r>
        <w:rPr>
          <w:rFonts w:hint="eastAsia"/>
          <w:bCs/>
          <w:color w:val="auto"/>
          <w:szCs w:val="21"/>
          <w:highlight w:val="none"/>
        </w:rPr>
        <w:t>注：</w:t>
      </w:r>
    </w:p>
    <w:bookmarkEnd w:id="121"/>
    <w:bookmarkEnd w:id="122"/>
    <w:bookmarkEnd w:id="123"/>
    <w:bookmarkEnd w:id="124"/>
    <w:p w14:paraId="0848A35A">
      <w:pPr>
        <w:spacing w:line="360" w:lineRule="auto"/>
        <w:jc w:val="left"/>
        <w:rPr>
          <w:bCs/>
          <w:color w:val="auto"/>
          <w:szCs w:val="21"/>
          <w:highlight w:val="none"/>
        </w:rPr>
      </w:pPr>
      <w:bookmarkStart w:id="125" w:name="_Hlk19115884"/>
      <w:r>
        <w:rPr>
          <w:rFonts w:hint="eastAsia"/>
          <w:bCs/>
          <w:color w:val="auto"/>
          <w:szCs w:val="21"/>
          <w:highlight w:val="none"/>
        </w:rPr>
        <w:t>（1）标的名称按照第二章采购需求一览表中的货物名称填写，</w:t>
      </w:r>
      <w:r>
        <w:rPr>
          <w:color w:val="auto"/>
          <w:szCs w:val="21"/>
          <w:highlight w:val="none"/>
        </w:rPr>
        <w:t>所属行业标明“/”的</w:t>
      </w:r>
      <w:r>
        <w:rPr>
          <w:rFonts w:hint="eastAsia"/>
          <w:bCs/>
          <w:color w:val="auto"/>
          <w:szCs w:val="21"/>
          <w:highlight w:val="none"/>
        </w:rPr>
        <w:t>，无需在上表填写。</w:t>
      </w:r>
    </w:p>
    <w:p w14:paraId="0C55B196">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2</w:t>
      </w:r>
      <w:r>
        <w:rPr>
          <w:rFonts w:hint="eastAsia"/>
          <w:bCs/>
          <w:color w:val="auto"/>
          <w:szCs w:val="21"/>
          <w:highlight w:val="none"/>
        </w:rPr>
        <w:t>）如供应商为联合体或分包的，声明函中“项目名称”应填写联合体中小微企业承担的具体内容或者小微企业具体分包内容。</w:t>
      </w:r>
    </w:p>
    <w:p w14:paraId="59D40029">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3</w:t>
      </w:r>
      <w:r>
        <w:rPr>
          <w:rFonts w:hint="eastAsia"/>
          <w:bCs/>
          <w:color w:val="auto"/>
          <w:szCs w:val="21"/>
          <w:highlight w:val="none"/>
        </w:rPr>
        <w:t>）从业人员、营业收入、资产总额填报上一年度数据，无上一年度数据的新成立企业参照国务院批准的中小企业划分标准，根据企业自身情况如实判断。</w:t>
      </w:r>
    </w:p>
    <w:p w14:paraId="4EB8629B">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4</w:t>
      </w:r>
      <w:r>
        <w:rPr>
          <w:rFonts w:hint="eastAsia"/>
          <w:bCs/>
          <w:color w:val="auto"/>
          <w:szCs w:val="21"/>
          <w:highlight w:val="none"/>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1A527136">
      <w:pPr>
        <w:spacing w:line="360" w:lineRule="auto"/>
        <w:jc w:val="left"/>
        <w:rPr>
          <w:bCs/>
          <w:color w:val="auto"/>
          <w:szCs w:val="21"/>
          <w:highlight w:val="none"/>
        </w:rPr>
      </w:pPr>
      <w:r>
        <w:rPr>
          <w:rFonts w:hint="eastAsia"/>
          <w:bCs/>
          <w:color w:val="auto"/>
          <w:szCs w:val="21"/>
          <w:highlight w:val="none"/>
        </w:rPr>
        <w:t>（5）根据国家统计局《劳动工资统计报表制度》，从业人员数是指本单位工作，并取得工资或其他形式劳动报酬的人员数，是在岗职工、劳务派遣人员及其他从业人员之和。</w:t>
      </w:r>
    </w:p>
    <w:p w14:paraId="3756764A">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6</w:t>
      </w:r>
      <w:r>
        <w:rPr>
          <w:rFonts w:hint="eastAsia"/>
          <w:bCs/>
          <w:color w:val="auto"/>
          <w:szCs w:val="21"/>
          <w:highlight w:val="none"/>
        </w:rPr>
        <w:t>）本声明函由供应商填写，供应商应按中小企业划分标准《关于印发中小企业划型标准规定的通知》（工信部联企业〔2011〕300号</w:t>
      </w:r>
      <w:r>
        <w:rPr>
          <w:rFonts w:hint="eastAsia"/>
          <w:color w:val="auto"/>
          <w:szCs w:val="21"/>
          <w:highlight w:val="none"/>
        </w:rPr>
        <w:t>以及《金融业企业划型标准规定》（银发〔2015〕309号）</w:t>
      </w:r>
      <w:r>
        <w:rPr>
          <w:rFonts w:hint="eastAsia"/>
          <w:bCs/>
          <w:color w:val="auto"/>
          <w:szCs w:val="21"/>
          <w:highlight w:val="none"/>
        </w:rPr>
        <w:t>）判断是否为中小企业。</w:t>
      </w:r>
    </w:p>
    <w:p w14:paraId="661B6EF3">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7</w:t>
      </w:r>
      <w:r>
        <w:rPr>
          <w:rFonts w:hint="eastAsia"/>
          <w:bCs/>
          <w:color w:val="auto"/>
          <w:szCs w:val="21"/>
          <w:highlight w:val="none"/>
        </w:rPr>
        <w:t>）供应商对《中小企业声明函》的真实性负责，如有虚假则需承担不利后果。依法享受中小企业优惠政策的，采购人或采购代理机构在公告成交结果时，同时公告其《中小企业声明函》，接受社会监督。</w:t>
      </w:r>
    </w:p>
    <w:p w14:paraId="7C8930AE">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8</w:t>
      </w:r>
      <w:r>
        <w:rPr>
          <w:rFonts w:hint="eastAsia"/>
          <w:bCs/>
          <w:color w:val="auto"/>
          <w:szCs w:val="21"/>
          <w:highlight w:val="none"/>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27C6F02C">
      <w:pPr>
        <w:snapToGrid w:val="0"/>
        <w:spacing w:before="50" w:afterLines="50"/>
        <w:jc w:val="left"/>
        <w:rPr>
          <w:color w:val="auto"/>
          <w:szCs w:val="21"/>
          <w:highlight w:val="none"/>
        </w:rPr>
      </w:pPr>
    </w:p>
    <w:p w14:paraId="5693A45E">
      <w:pPr>
        <w:snapToGrid w:val="0"/>
        <w:spacing w:before="50" w:afterLines="50"/>
        <w:jc w:val="left"/>
        <w:rPr>
          <w:color w:val="auto"/>
          <w:szCs w:val="21"/>
          <w:highlight w:val="none"/>
        </w:rPr>
      </w:pPr>
      <w:r>
        <w:rPr>
          <w:rFonts w:hint="eastAsia"/>
          <w:color w:val="auto"/>
          <w:szCs w:val="21"/>
          <w:highlight w:val="none"/>
        </w:rPr>
        <w:t>8</w:t>
      </w:r>
      <w:r>
        <w:rPr>
          <w:color w:val="auto"/>
          <w:szCs w:val="21"/>
          <w:highlight w:val="none"/>
        </w:rPr>
        <w:t>.3监狱企业须提供最新一期《XX省监狱企业产品目录》或其他监狱企业证明材料。（非监狱企业无需提供）</w:t>
      </w:r>
    </w:p>
    <w:p w14:paraId="11AFADFB">
      <w:pPr>
        <w:widowControl/>
        <w:jc w:val="left"/>
        <w:rPr>
          <w:color w:val="auto"/>
          <w:szCs w:val="21"/>
          <w:highlight w:val="none"/>
        </w:rPr>
      </w:pPr>
      <w:bookmarkStart w:id="126" w:name="_Hlk19051624"/>
      <w:r>
        <w:rPr>
          <w:rFonts w:hint="eastAsia"/>
          <w:color w:val="auto"/>
          <w:szCs w:val="21"/>
          <w:highlight w:val="none"/>
        </w:rPr>
        <w:t>8</w:t>
      </w:r>
      <w:r>
        <w:rPr>
          <w:color w:val="auto"/>
          <w:szCs w:val="21"/>
          <w:highlight w:val="none"/>
        </w:rPr>
        <w:t>.4</w:t>
      </w:r>
      <w:r>
        <w:rPr>
          <w:color w:val="auto"/>
          <w:highlight w:val="none"/>
        </w:rPr>
        <w:t>残疾人福利性单位须提供《残疾人福利性单位声明函》，格式如下。</w:t>
      </w:r>
      <w:r>
        <w:rPr>
          <w:color w:val="auto"/>
          <w:szCs w:val="21"/>
          <w:highlight w:val="none"/>
        </w:rPr>
        <w:t>（非残疾人福利性单位无需提供）</w:t>
      </w:r>
    </w:p>
    <w:bookmarkEnd w:id="126"/>
    <w:p w14:paraId="48880FAD">
      <w:pPr>
        <w:spacing w:line="360" w:lineRule="auto"/>
        <w:jc w:val="center"/>
        <w:rPr>
          <w:b/>
          <w:color w:val="auto"/>
          <w:szCs w:val="21"/>
          <w:highlight w:val="none"/>
        </w:rPr>
      </w:pPr>
      <w:bookmarkStart w:id="127" w:name="OLE_LINK13"/>
      <w:bookmarkStart w:id="128" w:name="OLE_LINK14"/>
      <w:r>
        <w:rPr>
          <w:b/>
          <w:color w:val="auto"/>
          <w:szCs w:val="21"/>
          <w:highlight w:val="none"/>
        </w:rPr>
        <w:t>残疾人福利性单位声明函</w:t>
      </w:r>
      <w:bookmarkEnd w:id="127"/>
      <w:bookmarkEnd w:id="128"/>
    </w:p>
    <w:p w14:paraId="1541E977">
      <w:pPr>
        <w:spacing w:line="360" w:lineRule="auto"/>
        <w:ind w:firstLine="420"/>
        <w:jc w:val="left"/>
        <w:rPr>
          <w:color w:val="auto"/>
          <w:szCs w:val="21"/>
          <w:highlight w:val="none"/>
        </w:rPr>
      </w:pPr>
      <w:r>
        <w:rPr>
          <w:color w:val="auto"/>
          <w:szCs w:val="21"/>
          <w:highlight w:val="non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6D615D10">
      <w:pPr>
        <w:spacing w:line="360" w:lineRule="auto"/>
        <w:ind w:firstLine="420"/>
        <w:rPr>
          <w:color w:val="auto"/>
          <w:szCs w:val="21"/>
          <w:highlight w:val="none"/>
        </w:rPr>
      </w:pPr>
      <w:r>
        <w:rPr>
          <w:color w:val="auto"/>
          <w:szCs w:val="21"/>
          <w:highlight w:val="none"/>
        </w:rPr>
        <w:t>本单位对上述声明的真实性负责。如有虚假，将依法承担相应责任。</w:t>
      </w:r>
    </w:p>
    <w:p w14:paraId="6027C136">
      <w:pPr>
        <w:spacing w:line="360" w:lineRule="auto"/>
        <w:ind w:firstLine="420"/>
        <w:jc w:val="right"/>
        <w:rPr>
          <w:color w:val="auto"/>
          <w:spacing w:val="6"/>
          <w:szCs w:val="21"/>
          <w:highlight w:val="none"/>
        </w:rPr>
      </w:pPr>
    </w:p>
    <w:p w14:paraId="33213437">
      <w:pPr>
        <w:spacing w:line="360" w:lineRule="auto"/>
        <w:ind w:firstLine="420"/>
        <w:jc w:val="right"/>
        <w:rPr>
          <w:color w:val="auto"/>
          <w:spacing w:val="6"/>
          <w:szCs w:val="21"/>
          <w:highlight w:val="none"/>
        </w:rPr>
      </w:pPr>
      <w:r>
        <w:rPr>
          <w:color w:val="auto"/>
          <w:spacing w:val="6"/>
          <w:szCs w:val="21"/>
          <w:highlight w:val="none"/>
        </w:rPr>
        <w:t>单位名称</w:t>
      </w:r>
      <w:r>
        <w:rPr>
          <w:rFonts w:hint="eastAsia"/>
          <w:color w:val="auto"/>
          <w:szCs w:val="21"/>
          <w:highlight w:val="none"/>
        </w:rPr>
        <w:t>(电子签章</w:t>
      </w:r>
      <w:r>
        <w:rPr>
          <w:color w:val="auto"/>
          <w:szCs w:val="21"/>
          <w:highlight w:val="none"/>
        </w:rPr>
        <w:t>)</w:t>
      </w:r>
      <w:r>
        <w:rPr>
          <w:color w:val="auto"/>
          <w:spacing w:val="6"/>
          <w:szCs w:val="21"/>
          <w:highlight w:val="none"/>
        </w:rPr>
        <w:t xml:space="preserve">：          </w:t>
      </w:r>
    </w:p>
    <w:p w14:paraId="608834CC">
      <w:pPr>
        <w:spacing w:line="360" w:lineRule="auto"/>
        <w:ind w:firstLine="420"/>
        <w:jc w:val="right"/>
        <w:rPr>
          <w:color w:val="auto"/>
          <w:spacing w:val="6"/>
          <w:szCs w:val="21"/>
          <w:highlight w:val="none"/>
        </w:rPr>
      </w:pPr>
      <w:r>
        <w:rPr>
          <w:color w:val="auto"/>
          <w:spacing w:val="6"/>
          <w:szCs w:val="21"/>
          <w:highlight w:val="none"/>
        </w:rPr>
        <w:t>日  期：</w:t>
      </w:r>
    </w:p>
    <w:p w14:paraId="19D84D15">
      <w:pPr>
        <w:spacing w:line="360" w:lineRule="auto"/>
        <w:rPr>
          <w:color w:val="auto"/>
          <w:szCs w:val="21"/>
          <w:highlight w:val="none"/>
        </w:rPr>
      </w:pPr>
      <w:bookmarkStart w:id="129" w:name="_Hlk65852042"/>
    </w:p>
    <w:bookmarkEnd w:id="125"/>
    <w:p w14:paraId="031A3216">
      <w:pPr>
        <w:widowControl/>
        <w:spacing w:before="30" w:after="30" w:line="560" w:lineRule="atLeast"/>
        <w:jc w:val="left"/>
        <w:textAlignment w:val="baseline"/>
        <w:rPr>
          <w:rFonts w:ascii="Calibri" w:hAnsi="Calibri"/>
          <w:color w:val="auto"/>
          <w:kern w:val="0"/>
          <w:sz w:val="28"/>
          <w:szCs w:val="28"/>
          <w:highlight w:val="none"/>
        </w:rPr>
      </w:pPr>
      <w:r>
        <w:rPr>
          <w:color w:val="auto"/>
          <w:szCs w:val="21"/>
          <w:highlight w:val="none"/>
        </w:rPr>
        <w:br w:type="page"/>
      </w:r>
      <w:bookmarkEnd w:id="119"/>
      <w:bookmarkEnd w:id="129"/>
      <w:r>
        <w:rPr>
          <w:rFonts w:hint="eastAsia"/>
          <w:color w:val="auto"/>
          <w:szCs w:val="21"/>
          <w:highlight w:val="none"/>
        </w:rPr>
        <w:t>8.5 如供应商提供的产品属于本国产品，按以下格式提供关于符合本国产品标准的声明函。</w:t>
      </w:r>
      <w:r>
        <w:rPr>
          <w:rFonts w:hint="eastAsia" w:ascii="仿宋" w:hAnsi="仿宋" w:eastAsia="仿宋" w:cs="仿宋"/>
          <w:color w:val="auto"/>
          <w:kern w:val="0"/>
          <w:sz w:val="28"/>
          <w:szCs w:val="28"/>
          <w:highlight w:val="none"/>
          <w:shd w:val="clear" w:color="auto" w:fill="FFFFFF"/>
        </w:rPr>
        <w:t> </w:t>
      </w:r>
    </w:p>
    <w:p w14:paraId="2178187B">
      <w:pPr>
        <w:spacing w:line="360" w:lineRule="auto"/>
        <w:ind w:firstLine="3584" w:firstLineChars="1700"/>
        <w:rPr>
          <w:b/>
          <w:color w:val="auto"/>
          <w:szCs w:val="21"/>
          <w:highlight w:val="none"/>
        </w:rPr>
      </w:pPr>
    </w:p>
    <w:p w14:paraId="2F428F61">
      <w:pPr>
        <w:spacing w:line="360" w:lineRule="auto"/>
        <w:ind w:firstLine="3584" w:firstLineChars="1700"/>
        <w:rPr>
          <w:b/>
          <w:color w:val="auto"/>
          <w:szCs w:val="21"/>
          <w:highlight w:val="none"/>
        </w:rPr>
      </w:pPr>
      <w:r>
        <w:rPr>
          <w:rFonts w:hint="eastAsia"/>
          <w:b/>
          <w:color w:val="auto"/>
          <w:szCs w:val="21"/>
          <w:highlight w:val="none"/>
        </w:rPr>
        <w:t>关于符合本国产品标准的声明函</w:t>
      </w:r>
    </w:p>
    <w:p w14:paraId="583C4EFA">
      <w:pPr>
        <w:spacing w:line="360" w:lineRule="auto"/>
        <w:ind w:firstLine="3584" w:firstLineChars="1700"/>
        <w:rPr>
          <w:b/>
          <w:color w:val="auto"/>
          <w:szCs w:val="21"/>
          <w:highlight w:val="none"/>
        </w:rPr>
      </w:pPr>
    </w:p>
    <w:p w14:paraId="3B764291">
      <w:pPr>
        <w:spacing w:line="360" w:lineRule="auto"/>
        <w:ind w:firstLine="420" w:firstLineChars="200"/>
        <w:rPr>
          <w:color w:val="auto"/>
          <w:szCs w:val="21"/>
          <w:highlight w:val="none"/>
        </w:rPr>
      </w:pPr>
      <w:r>
        <w:rPr>
          <w:rFonts w:hint="eastAsia"/>
          <w:color w:val="auto"/>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5AD26704">
      <w:pPr>
        <w:spacing w:line="360" w:lineRule="auto"/>
        <w:ind w:firstLine="420" w:firstLineChars="200"/>
        <w:rPr>
          <w:color w:val="auto"/>
          <w:szCs w:val="21"/>
          <w:highlight w:val="none"/>
        </w:rPr>
      </w:pPr>
      <w:r>
        <w:rPr>
          <w:rFonts w:hint="eastAsia"/>
          <w:color w:val="auto"/>
          <w:szCs w:val="21"/>
          <w:highlight w:val="none"/>
        </w:rPr>
        <w:t>1.（产品名称1）1，生产厂为（厂名）2，厂址为（生产厂址）。（产品名称1）的中国境内生产的组件成本占比≥（规定比例）3。（产品名称1）的（关键组件）4在中国境内生产。（产品名称1）的（关键工序）5在中国境内完成。</w:t>
      </w:r>
    </w:p>
    <w:p w14:paraId="2B064FAB">
      <w:pPr>
        <w:spacing w:line="360" w:lineRule="auto"/>
        <w:ind w:firstLine="420" w:firstLineChars="200"/>
        <w:rPr>
          <w:color w:val="auto"/>
          <w:szCs w:val="21"/>
          <w:highlight w:val="none"/>
        </w:rPr>
      </w:pPr>
      <w:r>
        <w:rPr>
          <w:rFonts w:hint="eastAsia"/>
          <w:color w:val="auto"/>
          <w:szCs w:val="21"/>
          <w:highlight w:val="none"/>
        </w:rPr>
        <w:t>2.（产品名称2），生产厂为（厂名），厂址为（生产厂址）。（产品名称2）的中国境内生产的组件成本占比≥（规定比例）。（产品名称2）的（关键组件）在中国境内生产。（产品名称2）的（关键工序）在中国境内完成。</w:t>
      </w:r>
    </w:p>
    <w:p w14:paraId="06578DBA">
      <w:pPr>
        <w:spacing w:line="360" w:lineRule="auto"/>
        <w:ind w:firstLine="420" w:firstLineChars="200"/>
        <w:rPr>
          <w:color w:val="auto"/>
          <w:szCs w:val="21"/>
          <w:highlight w:val="none"/>
        </w:rPr>
      </w:pPr>
      <w:r>
        <w:rPr>
          <w:rFonts w:hint="eastAsia"/>
          <w:color w:val="auto"/>
          <w:szCs w:val="21"/>
          <w:highlight w:val="none"/>
        </w:rPr>
        <w:t>……</w:t>
      </w:r>
    </w:p>
    <w:p w14:paraId="4F685C4D">
      <w:pPr>
        <w:spacing w:line="360" w:lineRule="auto"/>
        <w:ind w:firstLine="420" w:firstLineChars="200"/>
        <w:rPr>
          <w:color w:val="auto"/>
          <w:szCs w:val="21"/>
          <w:highlight w:val="none"/>
        </w:rPr>
      </w:pPr>
      <w:r>
        <w:rPr>
          <w:rFonts w:hint="eastAsia"/>
          <w:color w:val="auto"/>
          <w:szCs w:val="21"/>
          <w:highlight w:val="none"/>
        </w:rPr>
        <w:t>本公司（单位）对上述声明内容的真实性负责。如有虚假，愿承担相应法律责任。</w:t>
      </w:r>
    </w:p>
    <w:p w14:paraId="7D8E7AEA">
      <w:pPr>
        <w:widowControl/>
        <w:spacing w:before="30" w:after="30" w:line="560" w:lineRule="atLeast"/>
        <w:jc w:val="left"/>
        <w:textAlignment w:val="baseline"/>
        <w:rPr>
          <w:color w:val="auto"/>
          <w:szCs w:val="21"/>
          <w:highlight w:val="none"/>
        </w:rPr>
      </w:pPr>
      <w:r>
        <w:rPr>
          <w:rFonts w:hint="eastAsia"/>
          <w:color w:val="auto"/>
          <w:szCs w:val="21"/>
          <w:highlight w:val="none"/>
        </w:rPr>
        <w:t> </w:t>
      </w:r>
    </w:p>
    <w:p w14:paraId="62B582C6">
      <w:pPr>
        <w:widowControl/>
        <w:spacing w:before="30" w:after="30" w:line="560" w:lineRule="atLeast"/>
        <w:jc w:val="right"/>
        <w:textAlignment w:val="baseline"/>
        <w:rPr>
          <w:color w:val="auto"/>
          <w:szCs w:val="21"/>
          <w:highlight w:val="none"/>
        </w:rPr>
      </w:pPr>
      <w:r>
        <w:rPr>
          <w:rFonts w:hint="eastAsia"/>
          <w:color w:val="auto"/>
          <w:szCs w:val="21"/>
          <w:highlight w:val="none"/>
        </w:rPr>
        <w:t>公司（单位）名称（盖章）：　        </w:t>
      </w:r>
    </w:p>
    <w:p w14:paraId="04B3ECA0">
      <w:pPr>
        <w:widowControl/>
        <w:spacing w:before="30" w:after="30" w:line="560" w:lineRule="atLeast"/>
        <w:jc w:val="right"/>
        <w:textAlignment w:val="baseline"/>
        <w:rPr>
          <w:rFonts w:ascii="Calibri" w:hAnsi="Calibri"/>
          <w:color w:val="auto"/>
          <w:kern w:val="0"/>
          <w:sz w:val="28"/>
          <w:szCs w:val="28"/>
          <w:highlight w:val="none"/>
        </w:rPr>
      </w:pPr>
      <w:r>
        <w:rPr>
          <w:rFonts w:hint="eastAsia"/>
          <w:color w:val="auto"/>
          <w:szCs w:val="21"/>
          <w:highlight w:val="none"/>
        </w:rPr>
        <w:t>日期：　     年　  月　  日  </w:t>
      </w:r>
      <w:r>
        <w:rPr>
          <w:rFonts w:hint="eastAsia" w:ascii="仿宋" w:hAnsi="仿宋" w:eastAsia="仿宋" w:cs="仿宋"/>
          <w:color w:val="auto"/>
          <w:kern w:val="0"/>
          <w:sz w:val="28"/>
          <w:szCs w:val="28"/>
          <w:highlight w:val="none"/>
          <w:shd w:val="clear" w:color="auto" w:fill="FFFFFF"/>
        </w:rPr>
        <w:t>       </w:t>
      </w:r>
    </w:p>
    <w:p w14:paraId="747AC2C5">
      <w:pPr>
        <w:widowControl/>
        <w:spacing w:before="30" w:after="30" w:line="560" w:lineRule="atLeast"/>
        <w:jc w:val="left"/>
        <w:textAlignment w:val="baseline"/>
        <w:rPr>
          <w:rFonts w:ascii="Calibri" w:hAnsi="Calibri"/>
          <w:color w:val="auto"/>
          <w:kern w:val="0"/>
          <w:sz w:val="28"/>
          <w:szCs w:val="28"/>
          <w:highlight w:val="none"/>
        </w:rPr>
      </w:pPr>
      <w:r>
        <w:rPr>
          <w:rFonts w:hint="eastAsia" w:ascii="仿宋" w:hAnsi="仿宋" w:eastAsia="仿宋" w:cs="仿宋"/>
          <w:color w:val="auto"/>
          <w:kern w:val="0"/>
          <w:sz w:val="28"/>
          <w:szCs w:val="28"/>
          <w:highlight w:val="none"/>
          <w:shd w:val="clear" w:color="auto" w:fill="FFFFFF"/>
        </w:rPr>
        <w:t>__________________</w:t>
      </w:r>
    </w:p>
    <w:p w14:paraId="0963AED0">
      <w:pPr>
        <w:widowControl/>
        <w:spacing w:before="30" w:after="30" w:line="560" w:lineRule="atLeast"/>
        <w:ind w:firstLine="420"/>
        <w:jc w:val="left"/>
        <w:textAlignment w:val="baseline"/>
        <w:rPr>
          <w:color w:val="auto"/>
          <w:szCs w:val="21"/>
          <w:highlight w:val="none"/>
        </w:rPr>
      </w:pPr>
      <w:r>
        <w:rPr>
          <w:rFonts w:hint="eastAsia"/>
          <w:color w:val="auto"/>
          <w:szCs w:val="21"/>
          <w:highlight w:val="none"/>
        </w:rPr>
        <w:t>1.产品如有型号，请在“产品名称”栏一并填写。</w:t>
      </w:r>
    </w:p>
    <w:p w14:paraId="3A258590">
      <w:pPr>
        <w:widowControl/>
        <w:spacing w:before="30" w:after="30" w:line="560" w:lineRule="atLeast"/>
        <w:ind w:firstLine="420"/>
        <w:jc w:val="left"/>
        <w:textAlignment w:val="baseline"/>
        <w:rPr>
          <w:color w:val="auto"/>
          <w:szCs w:val="21"/>
          <w:highlight w:val="none"/>
        </w:rPr>
      </w:pPr>
      <w:r>
        <w:rPr>
          <w:rFonts w:hint="eastAsia"/>
          <w:color w:val="auto"/>
          <w:szCs w:val="21"/>
          <w:highlight w:val="none"/>
        </w:rPr>
        <w:t>2.生产厂名与厂址应与生产厂营业执照载明的相关信息保持一致。</w:t>
      </w:r>
    </w:p>
    <w:p w14:paraId="4648BB86">
      <w:pPr>
        <w:widowControl/>
        <w:spacing w:before="30" w:after="30" w:line="560" w:lineRule="atLeast"/>
        <w:ind w:firstLine="420"/>
        <w:jc w:val="left"/>
        <w:textAlignment w:val="baseline"/>
        <w:rPr>
          <w:color w:val="auto"/>
          <w:szCs w:val="21"/>
          <w:highlight w:val="none"/>
        </w:rPr>
      </w:pPr>
      <w:r>
        <w:rPr>
          <w:rFonts w:hint="eastAsia"/>
          <w:color w:val="auto"/>
          <w:szCs w:val="21"/>
          <w:highlight w:val="none"/>
        </w:rPr>
        <w:t>3.该产品的中国境内生产的组件成本占比相关要求实施前，“规定比例”栏可不填，下同。</w:t>
      </w:r>
    </w:p>
    <w:p w14:paraId="05106C6C">
      <w:pPr>
        <w:widowControl/>
        <w:spacing w:before="30" w:after="30" w:line="560" w:lineRule="atLeast"/>
        <w:ind w:firstLine="420"/>
        <w:jc w:val="left"/>
        <w:textAlignment w:val="baseline"/>
        <w:rPr>
          <w:color w:val="auto"/>
          <w:szCs w:val="21"/>
          <w:highlight w:val="none"/>
        </w:rPr>
      </w:pPr>
      <w:r>
        <w:rPr>
          <w:rFonts w:hint="eastAsia"/>
          <w:color w:val="auto"/>
          <w:szCs w:val="21"/>
          <w:highlight w:val="none"/>
        </w:rPr>
        <w:t>4.该产品的关键组件要求实施前，“关键组件”栏可不填，下同。</w:t>
      </w:r>
    </w:p>
    <w:p w14:paraId="54EA1D43">
      <w:pPr>
        <w:snapToGrid w:val="0"/>
        <w:spacing w:before="50" w:afterLines="50"/>
        <w:jc w:val="left"/>
        <w:rPr>
          <w:rFonts w:ascii="仿宋" w:hAnsi="仿宋" w:eastAsia="仿宋" w:cs="仿宋"/>
          <w:color w:val="auto"/>
          <w:kern w:val="0"/>
          <w:szCs w:val="21"/>
          <w:highlight w:val="none"/>
          <w:shd w:val="clear" w:color="auto" w:fill="FFFFFF"/>
        </w:rPr>
        <w:sectPr>
          <w:headerReference r:id="rId22" w:type="default"/>
          <w:pgSz w:w="11906" w:h="16838"/>
          <w:pgMar w:top="1418" w:right="1274" w:bottom="1418" w:left="1418" w:header="851" w:footer="992" w:gutter="0"/>
          <w:cols w:space="720" w:num="1"/>
          <w:docGrid w:linePitch="312" w:charSpace="0"/>
        </w:sectPr>
      </w:pPr>
      <w:r>
        <w:rPr>
          <w:rFonts w:hint="eastAsia"/>
          <w:color w:val="auto"/>
          <w:szCs w:val="21"/>
          <w:highlight w:val="none"/>
        </w:rPr>
        <w:t>5.该产品的关键工序要求实施前，“关键工序”栏可不填，下同</w:t>
      </w:r>
      <w:r>
        <w:rPr>
          <w:rFonts w:hint="eastAsia" w:ascii="仿宋" w:hAnsi="仿宋" w:eastAsia="仿宋" w:cs="仿宋"/>
          <w:color w:val="auto"/>
          <w:kern w:val="0"/>
          <w:szCs w:val="21"/>
          <w:highlight w:val="none"/>
          <w:shd w:val="clear" w:color="auto" w:fill="FFFFFF"/>
        </w:rPr>
        <w:t>。</w:t>
      </w:r>
    </w:p>
    <w:p w14:paraId="38470770">
      <w:pPr>
        <w:pStyle w:val="19"/>
        <w:rPr>
          <w:color w:val="auto"/>
          <w:sz w:val="21"/>
          <w:szCs w:val="21"/>
          <w:highlight w:val="none"/>
        </w:rPr>
      </w:pPr>
      <w:r>
        <w:rPr>
          <w:rFonts w:hint="eastAsia"/>
          <w:color w:val="auto"/>
          <w:sz w:val="21"/>
          <w:szCs w:val="21"/>
          <w:highlight w:val="none"/>
        </w:rPr>
        <w:t>8.6关于符合本国产品标准的成本占比承诺函（单一产品采购不填写此函，多产品采购项目或采购包如供应商所有产品均为本国产品且填写《关于符合本国产品标准的声明函》可不填写此函。格式内容仅供参考）</w:t>
      </w:r>
    </w:p>
    <w:p w14:paraId="4E43DCB0">
      <w:pPr>
        <w:pStyle w:val="19"/>
        <w:rPr>
          <w:color w:val="auto"/>
          <w:highlight w:val="none"/>
        </w:rPr>
      </w:pPr>
    </w:p>
    <w:p w14:paraId="401E9844">
      <w:pPr>
        <w:pStyle w:val="19"/>
        <w:jc w:val="center"/>
        <w:rPr>
          <w:b/>
          <w:color w:val="auto"/>
          <w:sz w:val="21"/>
          <w:szCs w:val="21"/>
          <w:highlight w:val="none"/>
        </w:rPr>
      </w:pPr>
      <w:r>
        <w:rPr>
          <w:b/>
          <w:color w:val="auto"/>
          <w:sz w:val="21"/>
          <w:szCs w:val="21"/>
          <w:highlight w:val="none"/>
        </w:rPr>
        <w:t>关于符合本国产品标准</w:t>
      </w:r>
      <w:r>
        <w:rPr>
          <w:rFonts w:hint="eastAsia"/>
          <w:b/>
          <w:color w:val="auto"/>
          <w:sz w:val="21"/>
          <w:szCs w:val="21"/>
          <w:highlight w:val="none"/>
        </w:rPr>
        <w:t>的</w:t>
      </w:r>
      <w:r>
        <w:rPr>
          <w:b/>
          <w:color w:val="auto"/>
          <w:sz w:val="21"/>
          <w:szCs w:val="21"/>
          <w:highlight w:val="none"/>
        </w:rPr>
        <w:t>成本占比承诺函</w:t>
      </w:r>
    </w:p>
    <w:p w14:paraId="1B98D30C">
      <w:pPr>
        <w:pStyle w:val="19"/>
        <w:rPr>
          <w:color w:val="auto"/>
          <w:highlight w:val="none"/>
        </w:rPr>
      </w:pPr>
    </w:p>
    <w:p w14:paraId="2FC4BE2F">
      <w:pPr>
        <w:pStyle w:val="19"/>
        <w:rPr>
          <w:color w:val="auto"/>
          <w:sz w:val="21"/>
          <w:szCs w:val="21"/>
          <w:highlight w:val="none"/>
        </w:rPr>
      </w:pPr>
      <w:r>
        <w:rPr>
          <w:color w:val="auto"/>
          <w:sz w:val="21"/>
          <w:szCs w:val="21"/>
          <w:highlight w:val="none"/>
        </w:rPr>
        <w:t>致：[采购人/采购代理机构名称]</w:t>
      </w:r>
    </w:p>
    <w:p w14:paraId="2FC3084E">
      <w:pPr>
        <w:pStyle w:val="19"/>
        <w:rPr>
          <w:color w:val="auto"/>
          <w:sz w:val="21"/>
          <w:szCs w:val="21"/>
          <w:highlight w:val="none"/>
        </w:rPr>
      </w:pPr>
    </w:p>
    <w:p w14:paraId="1E389357">
      <w:pPr>
        <w:pStyle w:val="19"/>
        <w:rPr>
          <w:color w:val="auto"/>
          <w:sz w:val="21"/>
          <w:szCs w:val="21"/>
          <w:highlight w:val="none"/>
        </w:rPr>
      </w:pPr>
      <w:r>
        <w:rPr>
          <w:color w:val="auto"/>
          <w:sz w:val="21"/>
          <w:szCs w:val="21"/>
          <w:highlight w:val="none"/>
        </w:rPr>
        <w:t>本单位就参与[项目名称、编号]项目，郑重承诺如下：</w:t>
      </w:r>
    </w:p>
    <w:p w14:paraId="6EB2F525">
      <w:pPr>
        <w:pStyle w:val="19"/>
        <w:rPr>
          <w:color w:val="auto"/>
          <w:sz w:val="21"/>
          <w:szCs w:val="21"/>
          <w:highlight w:val="none"/>
        </w:rPr>
      </w:pPr>
    </w:p>
    <w:p w14:paraId="731F639D">
      <w:pPr>
        <w:pStyle w:val="19"/>
        <w:ind w:firstLine="420" w:firstLineChars="200"/>
        <w:rPr>
          <w:color w:val="auto"/>
          <w:sz w:val="21"/>
          <w:szCs w:val="21"/>
          <w:highlight w:val="none"/>
        </w:rPr>
      </w:pPr>
      <w:r>
        <w:rPr>
          <w:color w:val="auto"/>
          <w:sz w:val="21"/>
          <w:szCs w:val="21"/>
          <w:highlight w:val="none"/>
        </w:rPr>
        <w:t>本单位为该项目（或采购包）提供的符合本国产品标准的产品成本之和，占所提供全部产品成本之和的比例达到80%以上。本公司（单位）对上述承诺内容的真实性负责。如有虚假，愿承担相应法律责任。</w:t>
      </w:r>
    </w:p>
    <w:p w14:paraId="3872B597">
      <w:pPr>
        <w:pStyle w:val="19"/>
        <w:rPr>
          <w:color w:val="auto"/>
          <w:sz w:val="21"/>
          <w:szCs w:val="21"/>
          <w:highlight w:val="none"/>
        </w:rPr>
      </w:pPr>
    </w:p>
    <w:p w14:paraId="29E4105B">
      <w:pPr>
        <w:pStyle w:val="19"/>
        <w:rPr>
          <w:color w:val="auto"/>
          <w:sz w:val="21"/>
          <w:szCs w:val="21"/>
          <w:highlight w:val="none"/>
        </w:rPr>
      </w:pPr>
    </w:p>
    <w:p w14:paraId="66E5DC71">
      <w:pPr>
        <w:pStyle w:val="19"/>
        <w:rPr>
          <w:color w:val="auto"/>
          <w:sz w:val="21"/>
          <w:szCs w:val="21"/>
          <w:highlight w:val="none"/>
        </w:rPr>
      </w:pPr>
    </w:p>
    <w:p w14:paraId="5536E889">
      <w:pPr>
        <w:pStyle w:val="19"/>
        <w:rPr>
          <w:color w:val="auto"/>
          <w:sz w:val="21"/>
          <w:szCs w:val="21"/>
          <w:highlight w:val="none"/>
        </w:rPr>
      </w:pPr>
    </w:p>
    <w:p w14:paraId="0D8E82A9">
      <w:pPr>
        <w:pStyle w:val="19"/>
        <w:rPr>
          <w:color w:val="auto"/>
          <w:sz w:val="21"/>
          <w:szCs w:val="21"/>
          <w:highlight w:val="none"/>
        </w:rPr>
      </w:pPr>
    </w:p>
    <w:p w14:paraId="35E578E2">
      <w:pPr>
        <w:pStyle w:val="19"/>
        <w:jc w:val="right"/>
        <w:rPr>
          <w:color w:val="auto"/>
          <w:sz w:val="21"/>
          <w:szCs w:val="21"/>
          <w:highlight w:val="none"/>
        </w:rPr>
      </w:pPr>
      <w:r>
        <w:rPr>
          <w:color w:val="auto"/>
          <w:sz w:val="21"/>
          <w:szCs w:val="21"/>
          <w:highlight w:val="none"/>
        </w:rPr>
        <w:t>供应商名称（盖章）：　        </w:t>
      </w:r>
    </w:p>
    <w:p w14:paraId="4721650A">
      <w:pPr>
        <w:pStyle w:val="19"/>
        <w:jc w:val="right"/>
        <w:rPr>
          <w:color w:val="auto"/>
          <w:highlight w:val="none"/>
        </w:rPr>
        <w:sectPr>
          <w:pgSz w:w="11906" w:h="16838"/>
          <w:pgMar w:top="1418" w:right="1274" w:bottom="1418" w:left="1418" w:header="851" w:footer="992" w:gutter="0"/>
          <w:cols w:space="720" w:num="1"/>
          <w:docGrid w:linePitch="312" w:charSpace="0"/>
        </w:sectPr>
      </w:pPr>
      <w:r>
        <w:rPr>
          <w:color w:val="auto"/>
          <w:sz w:val="21"/>
          <w:szCs w:val="21"/>
          <w:highlight w:val="none"/>
        </w:rPr>
        <w:t>日期：　     年　  月　  日 </w:t>
      </w:r>
    </w:p>
    <w:p w14:paraId="4595DB76">
      <w:pPr>
        <w:snapToGrid w:val="0"/>
        <w:spacing w:before="50" w:afterLines="50"/>
        <w:jc w:val="left"/>
        <w:rPr>
          <w:color w:val="auto"/>
          <w:szCs w:val="21"/>
          <w:highlight w:val="none"/>
        </w:rPr>
      </w:pPr>
      <w:r>
        <w:rPr>
          <w:rFonts w:hint="eastAsia"/>
          <w:color w:val="auto"/>
          <w:szCs w:val="21"/>
          <w:highlight w:val="none"/>
        </w:rPr>
        <w:t>9</w:t>
      </w:r>
      <w:r>
        <w:rPr>
          <w:color w:val="auto"/>
          <w:szCs w:val="21"/>
          <w:highlight w:val="none"/>
        </w:rPr>
        <w:t>.</w:t>
      </w:r>
      <w:r>
        <w:rPr>
          <w:rFonts w:hint="eastAsia"/>
          <w:color w:val="auto"/>
          <w:szCs w:val="21"/>
          <w:highlight w:val="none"/>
        </w:rPr>
        <w:t>无串标行为承诺函</w:t>
      </w:r>
    </w:p>
    <w:p w14:paraId="547270B2">
      <w:pPr>
        <w:snapToGrid w:val="0"/>
        <w:spacing w:before="50" w:afterLines="50"/>
        <w:jc w:val="center"/>
        <w:rPr>
          <w:color w:val="auto"/>
          <w:szCs w:val="21"/>
          <w:highlight w:val="none"/>
        </w:rPr>
      </w:pPr>
    </w:p>
    <w:p w14:paraId="52897B68">
      <w:pPr>
        <w:snapToGrid w:val="0"/>
        <w:spacing w:before="50" w:afterLines="50"/>
        <w:jc w:val="center"/>
        <w:rPr>
          <w:color w:val="auto"/>
          <w:szCs w:val="21"/>
          <w:highlight w:val="none"/>
        </w:rPr>
      </w:pPr>
      <w:r>
        <w:rPr>
          <w:rFonts w:hint="eastAsia"/>
          <w:color w:val="auto"/>
          <w:szCs w:val="21"/>
          <w:highlight w:val="none"/>
        </w:rPr>
        <w:t>供应商参加本项目无围标串标行为的承诺函</w:t>
      </w:r>
    </w:p>
    <w:p w14:paraId="3DDAB093">
      <w:pPr>
        <w:snapToGrid w:val="0"/>
        <w:spacing w:before="50" w:afterLines="50"/>
        <w:jc w:val="left"/>
        <w:rPr>
          <w:color w:val="auto"/>
          <w:szCs w:val="21"/>
          <w:highlight w:val="none"/>
        </w:rPr>
      </w:pPr>
    </w:p>
    <w:p w14:paraId="330CCC9A">
      <w:pPr>
        <w:snapToGrid w:val="0"/>
        <w:spacing w:before="50" w:afterLines="50"/>
        <w:jc w:val="left"/>
        <w:rPr>
          <w:color w:val="auto"/>
          <w:szCs w:val="21"/>
          <w:highlight w:val="none"/>
        </w:rPr>
      </w:pPr>
      <w:r>
        <w:rPr>
          <w:rFonts w:hint="eastAsia"/>
          <w:color w:val="auto"/>
          <w:szCs w:val="21"/>
          <w:highlight w:val="none"/>
        </w:rPr>
        <w:t>一、我方承诺无下列相互串通投标的情形：</w:t>
      </w:r>
    </w:p>
    <w:p w14:paraId="3A624611">
      <w:pPr>
        <w:snapToGrid w:val="0"/>
        <w:spacing w:before="50" w:afterLines="50"/>
        <w:jc w:val="left"/>
        <w:rPr>
          <w:color w:val="auto"/>
          <w:szCs w:val="21"/>
          <w:highlight w:val="none"/>
        </w:rPr>
      </w:pPr>
      <w:r>
        <w:rPr>
          <w:rFonts w:hint="eastAsia"/>
          <w:color w:val="auto"/>
          <w:szCs w:val="21"/>
          <w:highlight w:val="none"/>
        </w:rPr>
        <w:t>1.不同供应商的响应文件由同一单位或者个人编制；或者不同供应商报名的IP地址一致的；</w:t>
      </w:r>
    </w:p>
    <w:p w14:paraId="58B0C348">
      <w:pPr>
        <w:snapToGrid w:val="0"/>
        <w:spacing w:before="50" w:afterLines="50"/>
        <w:jc w:val="left"/>
        <w:rPr>
          <w:color w:val="auto"/>
          <w:szCs w:val="21"/>
          <w:highlight w:val="none"/>
        </w:rPr>
      </w:pPr>
      <w:r>
        <w:rPr>
          <w:rFonts w:hint="eastAsia"/>
          <w:color w:val="auto"/>
          <w:szCs w:val="21"/>
          <w:highlight w:val="none"/>
        </w:rPr>
        <w:t>2.不同供应商委托同一单位或者个人办理投标事宜；</w:t>
      </w:r>
    </w:p>
    <w:p w14:paraId="0B1CCBFE">
      <w:pPr>
        <w:snapToGrid w:val="0"/>
        <w:spacing w:before="50" w:afterLines="50"/>
        <w:jc w:val="left"/>
        <w:rPr>
          <w:color w:val="auto"/>
          <w:szCs w:val="21"/>
          <w:highlight w:val="none"/>
        </w:rPr>
      </w:pPr>
      <w:r>
        <w:rPr>
          <w:rFonts w:hint="eastAsia"/>
          <w:color w:val="auto"/>
          <w:szCs w:val="21"/>
          <w:highlight w:val="none"/>
        </w:rPr>
        <w:t>3.不同的供应商的响应文件载明的项目管理员为同一个人；</w:t>
      </w:r>
    </w:p>
    <w:p w14:paraId="48004195">
      <w:pPr>
        <w:snapToGrid w:val="0"/>
        <w:spacing w:before="50" w:afterLines="50"/>
        <w:jc w:val="left"/>
        <w:rPr>
          <w:color w:val="auto"/>
          <w:szCs w:val="21"/>
          <w:highlight w:val="none"/>
        </w:rPr>
      </w:pPr>
      <w:r>
        <w:rPr>
          <w:rFonts w:hint="eastAsia"/>
          <w:color w:val="auto"/>
          <w:szCs w:val="21"/>
          <w:highlight w:val="none"/>
        </w:rPr>
        <w:t>4.不同供应商的响应文件异常一致或者投标报价呈规律性差异；</w:t>
      </w:r>
    </w:p>
    <w:p w14:paraId="2D14C593">
      <w:pPr>
        <w:snapToGrid w:val="0"/>
        <w:spacing w:before="50" w:afterLines="50"/>
        <w:jc w:val="left"/>
        <w:rPr>
          <w:color w:val="auto"/>
          <w:szCs w:val="21"/>
          <w:highlight w:val="none"/>
        </w:rPr>
      </w:pPr>
      <w:r>
        <w:rPr>
          <w:rFonts w:hint="eastAsia"/>
          <w:color w:val="auto"/>
          <w:szCs w:val="21"/>
          <w:highlight w:val="none"/>
        </w:rPr>
        <w:t>5.不同供应商的响应文件相互混装；</w:t>
      </w:r>
    </w:p>
    <w:p w14:paraId="42DADA7B">
      <w:pPr>
        <w:snapToGrid w:val="0"/>
        <w:spacing w:before="50" w:afterLines="50"/>
        <w:jc w:val="left"/>
        <w:rPr>
          <w:color w:val="auto"/>
          <w:szCs w:val="21"/>
          <w:highlight w:val="none"/>
        </w:rPr>
      </w:pPr>
      <w:r>
        <w:rPr>
          <w:rFonts w:hint="eastAsia"/>
          <w:color w:val="auto"/>
          <w:szCs w:val="21"/>
          <w:highlight w:val="none"/>
        </w:rPr>
        <w:t>6.不同供应商的谈判保证金从同一单位或者个人账户转出。</w:t>
      </w:r>
    </w:p>
    <w:p w14:paraId="2CE5372E">
      <w:pPr>
        <w:snapToGrid w:val="0"/>
        <w:spacing w:before="50" w:afterLines="50"/>
        <w:jc w:val="left"/>
        <w:rPr>
          <w:color w:val="auto"/>
          <w:szCs w:val="21"/>
          <w:highlight w:val="none"/>
        </w:rPr>
      </w:pPr>
      <w:r>
        <w:rPr>
          <w:rFonts w:hint="eastAsia"/>
          <w:color w:val="auto"/>
          <w:szCs w:val="21"/>
          <w:highlight w:val="none"/>
        </w:rPr>
        <w:t>二、我方承诺无下列恶意串通的情形：</w:t>
      </w:r>
    </w:p>
    <w:p w14:paraId="71DDE1A5">
      <w:pPr>
        <w:snapToGrid w:val="0"/>
        <w:spacing w:before="50" w:afterLines="50"/>
        <w:jc w:val="left"/>
        <w:rPr>
          <w:color w:val="auto"/>
          <w:szCs w:val="21"/>
          <w:highlight w:val="none"/>
        </w:rPr>
      </w:pPr>
      <w:r>
        <w:rPr>
          <w:rFonts w:hint="eastAsia"/>
          <w:color w:val="auto"/>
          <w:szCs w:val="21"/>
          <w:highlight w:val="none"/>
        </w:rPr>
        <w:t>1.供应商直接或者间接从采购人或者采购代理机构处获得其他供应商的相关信息并修改其响应文件或者响应文件；</w:t>
      </w:r>
    </w:p>
    <w:p w14:paraId="51F3BA88">
      <w:pPr>
        <w:snapToGrid w:val="0"/>
        <w:spacing w:before="50" w:afterLines="50"/>
        <w:jc w:val="left"/>
        <w:rPr>
          <w:color w:val="auto"/>
          <w:szCs w:val="21"/>
          <w:highlight w:val="none"/>
        </w:rPr>
      </w:pPr>
      <w:r>
        <w:rPr>
          <w:rFonts w:hint="eastAsia"/>
          <w:color w:val="auto"/>
          <w:szCs w:val="21"/>
          <w:highlight w:val="none"/>
        </w:rPr>
        <w:t>2.供应商按照采购人或者采购代理机构的授意撤换、修改响应文件或者响应文件；</w:t>
      </w:r>
    </w:p>
    <w:p w14:paraId="5348CB22">
      <w:pPr>
        <w:snapToGrid w:val="0"/>
        <w:spacing w:before="50" w:afterLines="50"/>
        <w:jc w:val="left"/>
        <w:rPr>
          <w:color w:val="auto"/>
          <w:szCs w:val="21"/>
          <w:highlight w:val="none"/>
        </w:rPr>
      </w:pPr>
      <w:r>
        <w:rPr>
          <w:rFonts w:hint="eastAsia"/>
          <w:color w:val="auto"/>
          <w:szCs w:val="21"/>
          <w:highlight w:val="none"/>
        </w:rPr>
        <w:t>3.供应商之间协商报价、技术方案等响应文件或者响应文件的实质性内容；</w:t>
      </w:r>
    </w:p>
    <w:p w14:paraId="40456B21">
      <w:pPr>
        <w:snapToGrid w:val="0"/>
        <w:spacing w:before="50" w:afterLines="50"/>
        <w:jc w:val="left"/>
        <w:rPr>
          <w:color w:val="auto"/>
          <w:szCs w:val="21"/>
          <w:highlight w:val="none"/>
        </w:rPr>
      </w:pPr>
      <w:r>
        <w:rPr>
          <w:rFonts w:hint="eastAsia"/>
          <w:color w:val="auto"/>
          <w:szCs w:val="21"/>
          <w:highlight w:val="none"/>
        </w:rPr>
        <w:t>4.属于同一集团、协会、商会等组织成员的供应商按照该组织要求协同参加政府采购活动；</w:t>
      </w:r>
    </w:p>
    <w:p w14:paraId="30EA03BB">
      <w:pPr>
        <w:snapToGrid w:val="0"/>
        <w:spacing w:before="50" w:afterLines="50"/>
        <w:jc w:val="left"/>
        <w:rPr>
          <w:color w:val="auto"/>
          <w:szCs w:val="21"/>
          <w:highlight w:val="none"/>
        </w:rPr>
      </w:pPr>
      <w:r>
        <w:rPr>
          <w:rFonts w:hint="eastAsia"/>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15D79ED">
      <w:pPr>
        <w:snapToGrid w:val="0"/>
        <w:spacing w:before="50" w:afterLines="50"/>
        <w:jc w:val="left"/>
        <w:rPr>
          <w:color w:val="auto"/>
          <w:szCs w:val="21"/>
          <w:highlight w:val="none"/>
        </w:rPr>
      </w:pPr>
      <w:r>
        <w:rPr>
          <w:rFonts w:hint="eastAsia"/>
          <w:color w:val="auto"/>
          <w:szCs w:val="21"/>
          <w:highlight w:val="none"/>
        </w:rPr>
        <w:t>6.供应商之间商定部分供应商放弃参加政府采购活动或者放弃中标；</w:t>
      </w:r>
    </w:p>
    <w:p w14:paraId="3C159FE8">
      <w:pPr>
        <w:snapToGrid w:val="0"/>
        <w:spacing w:before="50" w:afterLines="50"/>
        <w:jc w:val="left"/>
        <w:rPr>
          <w:color w:val="auto"/>
          <w:szCs w:val="21"/>
          <w:highlight w:val="none"/>
        </w:rPr>
      </w:pPr>
      <w:r>
        <w:rPr>
          <w:rFonts w:hint="eastAsia"/>
          <w:color w:val="auto"/>
          <w:szCs w:val="21"/>
          <w:highlight w:val="none"/>
        </w:rPr>
        <w:t>7.供应商与采购人或者采购代理机构之间、供应商相互之间，为谋求特定供应商中标或者排斥其他供应商的其他串通行为。</w:t>
      </w:r>
    </w:p>
    <w:p w14:paraId="3FF5049D">
      <w:pPr>
        <w:snapToGrid w:val="0"/>
        <w:spacing w:before="50" w:afterLines="50"/>
        <w:jc w:val="left"/>
        <w:rPr>
          <w:color w:val="auto"/>
          <w:szCs w:val="21"/>
          <w:highlight w:val="none"/>
        </w:rPr>
      </w:pPr>
      <w:r>
        <w:rPr>
          <w:rFonts w:hint="eastAsia"/>
          <w:color w:val="auto"/>
          <w:szCs w:val="21"/>
          <w:highlight w:val="none"/>
        </w:rPr>
        <w:t>以上情形一经核查属实，我方愿意承担一切后果，并不再寻求任何旨在减轻或者免除法律责任的辩解。</w:t>
      </w:r>
    </w:p>
    <w:p w14:paraId="756782B9">
      <w:pPr>
        <w:snapToGrid w:val="0"/>
        <w:spacing w:before="50" w:afterLines="50"/>
        <w:jc w:val="center"/>
        <w:rPr>
          <w:color w:val="auto"/>
          <w:szCs w:val="21"/>
          <w:highlight w:val="none"/>
        </w:rPr>
      </w:pPr>
    </w:p>
    <w:p w14:paraId="05A9A537">
      <w:pPr>
        <w:snapToGrid w:val="0"/>
        <w:spacing w:before="50" w:afterLines="50"/>
        <w:jc w:val="center"/>
        <w:rPr>
          <w:color w:val="auto"/>
          <w:szCs w:val="21"/>
          <w:highlight w:val="none"/>
        </w:rPr>
      </w:pPr>
    </w:p>
    <w:p w14:paraId="4ECC4801">
      <w:pPr>
        <w:snapToGrid w:val="0"/>
        <w:spacing w:before="50" w:afterLines="50"/>
        <w:jc w:val="center"/>
        <w:rPr>
          <w:color w:val="auto"/>
          <w:szCs w:val="21"/>
          <w:highlight w:val="none"/>
        </w:rPr>
      </w:pPr>
    </w:p>
    <w:p w14:paraId="347C61E0">
      <w:pPr>
        <w:snapToGrid w:val="0"/>
        <w:spacing w:before="50" w:afterLines="50"/>
        <w:jc w:val="center"/>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rFonts w:hint="eastAsia"/>
          <w:color w:val="auto"/>
          <w:szCs w:val="21"/>
          <w:highlight w:val="none"/>
        </w:rPr>
        <w:t>：</w:t>
      </w:r>
    </w:p>
    <w:p w14:paraId="49983F08">
      <w:pPr>
        <w:snapToGrid w:val="0"/>
        <w:spacing w:before="50" w:afterLines="50"/>
        <w:jc w:val="center"/>
        <w:rPr>
          <w:color w:val="auto"/>
          <w:szCs w:val="21"/>
          <w:highlight w:val="none"/>
        </w:rPr>
      </w:pPr>
      <w:r>
        <w:rPr>
          <w:rFonts w:hint="eastAsia"/>
          <w:color w:val="auto"/>
          <w:szCs w:val="21"/>
          <w:highlight w:val="none"/>
        </w:rPr>
        <w:t>日期：  年  月   日</w:t>
      </w:r>
    </w:p>
    <w:bookmarkEnd w:id="120"/>
    <w:p w14:paraId="0F4DEF84">
      <w:pPr>
        <w:snapToGrid w:val="0"/>
        <w:spacing w:before="50" w:afterLines="50"/>
        <w:jc w:val="left"/>
        <w:rPr>
          <w:color w:val="auto"/>
          <w:szCs w:val="21"/>
          <w:highlight w:val="none"/>
        </w:rPr>
      </w:pPr>
    </w:p>
    <w:p w14:paraId="1175B324">
      <w:pPr>
        <w:spacing w:line="360" w:lineRule="exact"/>
        <w:rPr>
          <w:color w:val="auto"/>
          <w:szCs w:val="21"/>
          <w:highlight w:val="none"/>
        </w:rPr>
      </w:pPr>
      <w:r>
        <w:rPr>
          <w:color w:val="auto"/>
          <w:szCs w:val="21"/>
          <w:highlight w:val="none"/>
        </w:rPr>
        <w:br w:type="page"/>
      </w:r>
      <w:r>
        <w:rPr>
          <w:color w:val="auto"/>
          <w:szCs w:val="21"/>
          <w:highlight w:val="none"/>
        </w:rPr>
        <w:t>1</w:t>
      </w:r>
      <w:r>
        <w:rPr>
          <w:rFonts w:hint="eastAsia"/>
          <w:color w:val="auto"/>
          <w:szCs w:val="21"/>
          <w:highlight w:val="none"/>
        </w:rPr>
        <w:t>0</w:t>
      </w:r>
      <w:r>
        <w:rPr>
          <w:color w:val="auto"/>
          <w:szCs w:val="21"/>
          <w:highlight w:val="none"/>
        </w:rPr>
        <w:t>．代理服务费承诺书</w:t>
      </w:r>
    </w:p>
    <w:p w14:paraId="5DB401E3">
      <w:pPr>
        <w:spacing w:line="360" w:lineRule="exact"/>
        <w:rPr>
          <w:color w:val="auto"/>
          <w:szCs w:val="21"/>
          <w:highlight w:val="none"/>
        </w:rPr>
      </w:pPr>
      <w:r>
        <w:rPr>
          <w:color w:val="auto"/>
          <w:szCs w:val="21"/>
          <w:highlight w:val="none"/>
        </w:rPr>
        <w:t>致：广西机电设备招标有限公司</w:t>
      </w:r>
    </w:p>
    <w:p w14:paraId="642D6319">
      <w:pPr>
        <w:spacing w:line="360" w:lineRule="exact"/>
        <w:ind w:firstLine="420" w:firstLineChars="200"/>
        <w:rPr>
          <w:color w:val="auto"/>
          <w:szCs w:val="21"/>
          <w:highlight w:val="none"/>
        </w:rPr>
      </w:pPr>
      <w:r>
        <w:rPr>
          <w:color w:val="auto"/>
          <w:szCs w:val="21"/>
          <w:highlight w:val="none"/>
        </w:rPr>
        <w:t>我单位参加了贵方组织的</w:t>
      </w:r>
      <w:r>
        <w:rPr>
          <w:rFonts w:hint="eastAsia"/>
          <w:color w:val="auto"/>
          <w:szCs w:val="21"/>
          <w:highlight w:val="none"/>
        </w:rPr>
        <w:t>谈判</w:t>
      </w:r>
      <w:r>
        <w:rPr>
          <w:color w:val="auto"/>
          <w:szCs w:val="21"/>
          <w:highlight w:val="none"/>
        </w:rPr>
        <w:t>项目编号为</w:t>
      </w:r>
      <w:r>
        <w:rPr>
          <w:b/>
          <w:color w:val="auto"/>
          <w:szCs w:val="21"/>
          <w:highlight w:val="none"/>
        </w:rPr>
        <w:t>（</w:t>
      </w:r>
      <w:r>
        <w:rPr>
          <w:color w:val="auto"/>
          <w:szCs w:val="21"/>
          <w:highlight w:val="none"/>
          <w:u w:val="single"/>
        </w:rPr>
        <w:t xml:space="preserve">                    )</w:t>
      </w:r>
      <w:r>
        <w:rPr>
          <w:color w:val="auto"/>
          <w:szCs w:val="21"/>
          <w:highlight w:val="none"/>
        </w:rPr>
        <w:t>的响应，并递交了</w:t>
      </w:r>
      <w:r>
        <w:rPr>
          <w:rFonts w:hint="eastAsia"/>
          <w:color w:val="auto"/>
          <w:szCs w:val="21"/>
          <w:highlight w:val="none"/>
        </w:rPr>
        <w:t>谈判</w:t>
      </w:r>
      <w:r>
        <w:rPr>
          <w:color w:val="auto"/>
          <w:szCs w:val="21"/>
          <w:highlight w:val="none"/>
        </w:rPr>
        <w:t>保证金（</w:t>
      </w:r>
      <w:r>
        <w:rPr>
          <w:color w:val="auto"/>
          <w:kern w:val="0"/>
          <w:szCs w:val="21"/>
          <w:highlight w:val="none"/>
        </w:rPr>
        <w:t>¥</w:t>
      </w:r>
      <w:r>
        <w:rPr>
          <w:color w:val="auto"/>
          <w:szCs w:val="21"/>
          <w:highlight w:val="none"/>
        </w:rPr>
        <w:t>），在此我方说明如下：</w:t>
      </w:r>
    </w:p>
    <w:p w14:paraId="68AC0F71">
      <w:pPr>
        <w:spacing w:line="360" w:lineRule="exact"/>
        <w:ind w:firstLine="420" w:firstLineChars="200"/>
        <w:rPr>
          <w:color w:val="auto"/>
          <w:szCs w:val="21"/>
          <w:highlight w:val="none"/>
        </w:rPr>
      </w:pPr>
      <w:r>
        <w:rPr>
          <w:color w:val="auto"/>
          <w:szCs w:val="21"/>
          <w:highlight w:val="none"/>
        </w:rPr>
        <w:t>1．我方承诺，若我单位</w:t>
      </w:r>
      <w:r>
        <w:rPr>
          <w:rFonts w:hint="eastAsia"/>
          <w:color w:val="auto"/>
          <w:szCs w:val="21"/>
          <w:highlight w:val="none"/>
        </w:rPr>
        <w:t>成交</w:t>
      </w:r>
      <w:r>
        <w:rPr>
          <w:color w:val="auto"/>
          <w:szCs w:val="21"/>
          <w:highlight w:val="none"/>
        </w:rPr>
        <w:t>，保证在领取</w:t>
      </w:r>
      <w:r>
        <w:rPr>
          <w:rFonts w:hint="eastAsia"/>
          <w:color w:val="auto"/>
          <w:szCs w:val="21"/>
          <w:highlight w:val="none"/>
        </w:rPr>
        <w:t>成交</w:t>
      </w:r>
      <w:r>
        <w:rPr>
          <w:color w:val="auto"/>
          <w:szCs w:val="21"/>
          <w:highlight w:val="none"/>
        </w:rPr>
        <w:t>通知书之前，按本项目</w:t>
      </w:r>
      <w:r>
        <w:rPr>
          <w:rFonts w:hint="eastAsia"/>
          <w:color w:val="auto"/>
          <w:szCs w:val="21"/>
          <w:highlight w:val="none"/>
        </w:rPr>
        <w:t>采购文件</w:t>
      </w:r>
      <w:r>
        <w:rPr>
          <w:color w:val="auto"/>
          <w:szCs w:val="21"/>
          <w:highlight w:val="none"/>
        </w:rPr>
        <w:t>的规定标准向贵单位支付代理服务费。如我单位未按规定缴纳代理服务费，贵方可</w:t>
      </w:r>
      <w:r>
        <w:rPr>
          <w:rFonts w:hint="eastAsia"/>
          <w:color w:val="auto"/>
          <w:szCs w:val="21"/>
          <w:highlight w:val="none"/>
        </w:rPr>
        <w:t>不退还</w:t>
      </w:r>
      <w:r>
        <w:rPr>
          <w:color w:val="auto"/>
          <w:szCs w:val="21"/>
          <w:highlight w:val="none"/>
        </w:rPr>
        <w:t>我单位提交的</w:t>
      </w:r>
      <w:r>
        <w:rPr>
          <w:rFonts w:hint="eastAsia"/>
          <w:color w:val="auto"/>
          <w:szCs w:val="21"/>
          <w:highlight w:val="none"/>
        </w:rPr>
        <w:t>谈判</w:t>
      </w:r>
      <w:r>
        <w:rPr>
          <w:color w:val="auto"/>
          <w:szCs w:val="21"/>
          <w:highlight w:val="none"/>
        </w:rPr>
        <w:t>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r>
        <w:rPr>
          <w:color w:val="auto"/>
          <w:szCs w:val="21"/>
          <w:highlight w:val="none"/>
        </w:rPr>
        <w:t>，余款按下列账户退回。</w:t>
      </w:r>
    </w:p>
    <w:p w14:paraId="16F09C05">
      <w:pPr>
        <w:snapToGrid w:val="0"/>
        <w:spacing w:before="50" w:afterLines="50"/>
        <w:ind w:firstLine="420" w:firstLineChars="200"/>
        <w:jc w:val="left"/>
        <w:rPr>
          <w:color w:val="auto"/>
          <w:szCs w:val="21"/>
          <w:highlight w:val="none"/>
        </w:rPr>
      </w:pPr>
      <w:r>
        <w:rPr>
          <w:color w:val="auto"/>
          <w:szCs w:val="21"/>
          <w:highlight w:val="none"/>
        </w:rPr>
        <w:t>我公司选择第种方式缴纳代理服务费。</w:t>
      </w:r>
    </w:p>
    <w:p w14:paraId="7EF485C0">
      <w:pPr>
        <w:spacing w:line="360" w:lineRule="exact"/>
        <w:ind w:firstLine="420" w:firstLineChars="200"/>
        <w:rPr>
          <w:color w:val="auto"/>
          <w:szCs w:val="21"/>
          <w:highlight w:val="none"/>
        </w:rPr>
      </w:pPr>
      <w:r>
        <w:rPr>
          <w:color w:val="auto"/>
          <w:szCs w:val="21"/>
          <w:highlight w:val="none"/>
        </w:rPr>
        <w:t>第一种方式：一次性足额缴纳代理服务费。</w:t>
      </w:r>
    </w:p>
    <w:p w14:paraId="002D6BD2">
      <w:pPr>
        <w:spacing w:line="360" w:lineRule="exact"/>
        <w:ind w:firstLine="420" w:firstLineChars="200"/>
        <w:rPr>
          <w:color w:val="auto"/>
          <w:szCs w:val="21"/>
          <w:highlight w:val="none"/>
        </w:rPr>
      </w:pPr>
      <w:r>
        <w:rPr>
          <w:color w:val="auto"/>
          <w:szCs w:val="21"/>
          <w:highlight w:val="none"/>
        </w:rPr>
        <w:t>第二种方式：从谈判保证金中抵扣代理服务费，不足部分补交。</w:t>
      </w:r>
    </w:p>
    <w:p w14:paraId="66E0793A">
      <w:pPr>
        <w:spacing w:line="360" w:lineRule="exact"/>
        <w:ind w:firstLine="420" w:firstLineChars="200"/>
        <w:rPr>
          <w:color w:val="auto"/>
          <w:szCs w:val="21"/>
          <w:highlight w:val="none"/>
        </w:rPr>
      </w:pPr>
      <w:r>
        <w:rPr>
          <w:color w:val="auto"/>
          <w:szCs w:val="21"/>
          <w:highlight w:val="none"/>
        </w:rPr>
        <w:t>2．如我单位谈判保证金无法原路返回，请按下表账户信息无息退还。</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618E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ign w:val="center"/>
          </w:tcPr>
          <w:p w14:paraId="475FE45B">
            <w:pPr>
              <w:spacing w:line="360" w:lineRule="exact"/>
              <w:jc w:val="center"/>
              <w:rPr>
                <w:color w:val="auto"/>
                <w:szCs w:val="21"/>
                <w:highlight w:val="none"/>
              </w:rPr>
            </w:pPr>
            <w:r>
              <w:rPr>
                <w:color w:val="auto"/>
                <w:szCs w:val="21"/>
                <w:highlight w:val="none"/>
              </w:rPr>
              <w:t>收款户名</w:t>
            </w:r>
          </w:p>
        </w:tc>
        <w:tc>
          <w:tcPr>
            <w:tcW w:w="5431" w:type="dxa"/>
            <w:noWrap/>
            <w:vAlign w:val="center"/>
          </w:tcPr>
          <w:p w14:paraId="3906193C">
            <w:pPr>
              <w:spacing w:line="360" w:lineRule="exact"/>
              <w:jc w:val="center"/>
              <w:rPr>
                <w:color w:val="auto"/>
                <w:szCs w:val="21"/>
                <w:highlight w:val="none"/>
              </w:rPr>
            </w:pPr>
          </w:p>
        </w:tc>
      </w:tr>
      <w:tr w14:paraId="471B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ign w:val="center"/>
          </w:tcPr>
          <w:p w14:paraId="23A05772">
            <w:pPr>
              <w:spacing w:line="360" w:lineRule="exact"/>
              <w:jc w:val="center"/>
              <w:rPr>
                <w:color w:val="auto"/>
                <w:szCs w:val="21"/>
                <w:highlight w:val="none"/>
              </w:rPr>
            </w:pPr>
            <w:r>
              <w:rPr>
                <w:color w:val="auto"/>
                <w:szCs w:val="21"/>
                <w:highlight w:val="none"/>
              </w:rPr>
              <w:t>账    号</w:t>
            </w:r>
          </w:p>
        </w:tc>
        <w:tc>
          <w:tcPr>
            <w:tcW w:w="5431" w:type="dxa"/>
            <w:noWrap/>
            <w:vAlign w:val="center"/>
          </w:tcPr>
          <w:p w14:paraId="4438DF8E">
            <w:pPr>
              <w:spacing w:line="360" w:lineRule="exact"/>
              <w:jc w:val="center"/>
              <w:rPr>
                <w:color w:val="auto"/>
                <w:szCs w:val="21"/>
                <w:highlight w:val="none"/>
              </w:rPr>
            </w:pPr>
          </w:p>
        </w:tc>
      </w:tr>
      <w:tr w14:paraId="64DA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ign w:val="center"/>
          </w:tcPr>
          <w:p w14:paraId="64CA5C96">
            <w:pPr>
              <w:spacing w:line="360" w:lineRule="exact"/>
              <w:jc w:val="center"/>
              <w:rPr>
                <w:color w:val="auto"/>
                <w:szCs w:val="21"/>
                <w:highlight w:val="none"/>
              </w:rPr>
            </w:pPr>
            <w:r>
              <w:rPr>
                <w:color w:val="auto"/>
                <w:szCs w:val="21"/>
                <w:highlight w:val="none"/>
              </w:rPr>
              <w:t>开户银行</w:t>
            </w:r>
          </w:p>
        </w:tc>
        <w:tc>
          <w:tcPr>
            <w:tcW w:w="5431" w:type="dxa"/>
            <w:noWrap/>
            <w:vAlign w:val="center"/>
          </w:tcPr>
          <w:p w14:paraId="336FC7A8">
            <w:pPr>
              <w:spacing w:line="360" w:lineRule="exact"/>
              <w:jc w:val="center"/>
              <w:rPr>
                <w:color w:val="auto"/>
                <w:szCs w:val="21"/>
                <w:highlight w:val="none"/>
              </w:rPr>
            </w:pPr>
          </w:p>
        </w:tc>
      </w:tr>
      <w:tr w14:paraId="42CC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ign w:val="center"/>
          </w:tcPr>
          <w:p w14:paraId="039245EF">
            <w:pPr>
              <w:spacing w:line="360" w:lineRule="exact"/>
              <w:jc w:val="center"/>
              <w:rPr>
                <w:color w:val="auto"/>
                <w:szCs w:val="21"/>
                <w:highlight w:val="none"/>
              </w:rPr>
            </w:pPr>
            <w:r>
              <w:rPr>
                <w:color w:val="auto"/>
                <w:szCs w:val="21"/>
                <w:highlight w:val="none"/>
              </w:rPr>
              <w:t>银行行号</w:t>
            </w:r>
          </w:p>
        </w:tc>
        <w:tc>
          <w:tcPr>
            <w:tcW w:w="5431" w:type="dxa"/>
            <w:noWrap/>
            <w:vAlign w:val="center"/>
          </w:tcPr>
          <w:p w14:paraId="0986FABB">
            <w:pPr>
              <w:spacing w:line="360" w:lineRule="exact"/>
              <w:jc w:val="center"/>
              <w:rPr>
                <w:color w:val="auto"/>
                <w:szCs w:val="21"/>
                <w:highlight w:val="none"/>
              </w:rPr>
            </w:pPr>
          </w:p>
        </w:tc>
      </w:tr>
    </w:tbl>
    <w:p w14:paraId="7631BE4A">
      <w:pPr>
        <w:spacing w:line="360" w:lineRule="exact"/>
        <w:ind w:firstLine="420" w:firstLineChars="200"/>
        <w:rPr>
          <w:color w:val="auto"/>
          <w:szCs w:val="21"/>
          <w:highlight w:val="none"/>
        </w:rPr>
      </w:pPr>
      <w:r>
        <w:rPr>
          <w:color w:val="auto"/>
          <w:szCs w:val="21"/>
          <w:highlight w:val="none"/>
        </w:rPr>
        <w:t>3．如果我单位未遵守有关采购文件关于谈判保证金的规定，贵方可以没收我单位谈判保证金。</w:t>
      </w:r>
    </w:p>
    <w:p w14:paraId="73ED05F8">
      <w:pPr>
        <w:spacing w:line="360" w:lineRule="exact"/>
        <w:ind w:firstLine="420" w:firstLineChars="200"/>
        <w:rPr>
          <w:color w:val="auto"/>
          <w:szCs w:val="21"/>
          <w:highlight w:val="none"/>
        </w:rPr>
      </w:pPr>
      <w:r>
        <w:rPr>
          <w:color w:val="auto"/>
          <w:szCs w:val="21"/>
          <w:highlight w:val="none"/>
        </w:rPr>
        <w:t>4. 我单位选择第种方式作为代理服务费开票类型：</w:t>
      </w:r>
    </w:p>
    <w:p w14:paraId="7C8955D9">
      <w:pPr>
        <w:spacing w:line="360" w:lineRule="exact"/>
        <w:ind w:firstLine="420" w:firstLineChars="200"/>
        <w:rPr>
          <w:color w:val="auto"/>
          <w:szCs w:val="21"/>
          <w:highlight w:val="none"/>
        </w:rPr>
      </w:pPr>
      <w:r>
        <w:rPr>
          <w:color w:val="auto"/>
          <w:szCs w:val="21"/>
          <w:highlight w:val="none"/>
        </w:rPr>
        <w:t>第一种方式：开具收据。</w:t>
      </w:r>
    </w:p>
    <w:p w14:paraId="432A0549">
      <w:pPr>
        <w:spacing w:line="360" w:lineRule="exact"/>
        <w:ind w:firstLine="420" w:firstLineChars="200"/>
        <w:rPr>
          <w:color w:val="auto"/>
          <w:szCs w:val="21"/>
          <w:highlight w:val="none"/>
        </w:rPr>
      </w:pPr>
      <w:r>
        <w:rPr>
          <w:color w:val="auto"/>
          <w:szCs w:val="21"/>
          <w:highlight w:val="none"/>
        </w:rPr>
        <w:t>第二种方式：开具增值税普通发票。 1.公司名称；2.纳税人识别号；</w:t>
      </w:r>
    </w:p>
    <w:p w14:paraId="000AC223">
      <w:pPr>
        <w:spacing w:line="360" w:lineRule="exact"/>
        <w:ind w:firstLine="420" w:firstLineChars="200"/>
        <w:rPr>
          <w:color w:val="auto"/>
          <w:szCs w:val="21"/>
          <w:highlight w:val="none"/>
        </w:rPr>
      </w:pPr>
      <w:r>
        <w:rPr>
          <w:color w:val="auto"/>
          <w:szCs w:val="21"/>
          <w:highlight w:val="none"/>
        </w:rPr>
        <w:t>第三种方式：开具增值税专用发票，开票信息如下：1.公司名称；2.纳税人识别号；3.税局登记地址；4.税局登记电话；5.开户银行；6.银行账户。</w:t>
      </w:r>
    </w:p>
    <w:p w14:paraId="73766299">
      <w:pPr>
        <w:spacing w:beforeLines="50" w:line="360" w:lineRule="auto"/>
        <w:jc w:val="left"/>
        <w:rPr>
          <w:color w:val="auto"/>
          <w:szCs w:val="21"/>
          <w:highlight w:val="none"/>
        </w:rPr>
      </w:pPr>
    </w:p>
    <w:p w14:paraId="09A442AB">
      <w:pPr>
        <w:spacing w:beforeLines="50" w:line="360" w:lineRule="auto"/>
        <w:jc w:val="left"/>
        <w:rPr>
          <w:color w:val="auto"/>
          <w:szCs w:val="21"/>
          <w:highlight w:val="none"/>
          <w:u w:val="single"/>
        </w:rPr>
      </w:pPr>
      <w:bookmarkStart w:id="130" w:name="_Hlk89181633"/>
      <w:r>
        <w:rPr>
          <w:color w:val="auto"/>
          <w:szCs w:val="21"/>
          <w:highlight w:val="none"/>
        </w:rPr>
        <w:t>供应商</w:t>
      </w:r>
      <w:r>
        <w:rPr>
          <w:rFonts w:hint="eastAsia"/>
          <w:color w:val="auto"/>
          <w:szCs w:val="21"/>
          <w:highlight w:val="none"/>
        </w:rPr>
        <w:t>名称(电子签章</w:t>
      </w:r>
      <w:r>
        <w:rPr>
          <w:color w:val="auto"/>
          <w:szCs w:val="21"/>
          <w:highlight w:val="none"/>
        </w:rPr>
        <w:t>)</w:t>
      </w:r>
      <w:bookmarkEnd w:id="130"/>
      <w:r>
        <w:rPr>
          <w:color w:val="auto"/>
          <w:szCs w:val="21"/>
          <w:highlight w:val="none"/>
        </w:rPr>
        <w:t>：</w:t>
      </w:r>
    </w:p>
    <w:p w14:paraId="098495AC">
      <w:pPr>
        <w:spacing w:beforeLines="50" w:line="360" w:lineRule="auto"/>
        <w:jc w:val="left"/>
        <w:rPr>
          <w:color w:val="auto"/>
          <w:szCs w:val="21"/>
          <w:highlight w:val="none"/>
        </w:rPr>
      </w:pPr>
      <w:r>
        <w:rPr>
          <w:color w:val="auto"/>
          <w:szCs w:val="21"/>
          <w:highlight w:val="none"/>
        </w:rPr>
        <w:t>供应商地址：</w:t>
      </w:r>
    </w:p>
    <w:p w14:paraId="42039119">
      <w:pPr>
        <w:wordWrap w:val="0"/>
        <w:spacing w:beforeLines="50" w:line="360" w:lineRule="auto"/>
        <w:jc w:val="right"/>
        <w:rPr>
          <w:color w:val="auto"/>
          <w:szCs w:val="21"/>
          <w:highlight w:val="none"/>
        </w:rPr>
      </w:pPr>
      <w:r>
        <w:rPr>
          <w:color w:val="auto"/>
          <w:szCs w:val="21"/>
          <w:highlight w:val="none"/>
        </w:rPr>
        <w:t>日期：年月日</w:t>
      </w:r>
    </w:p>
    <w:p w14:paraId="6E55E352">
      <w:pPr>
        <w:spacing w:beforeLines="50"/>
        <w:rPr>
          <w:color w:val="auto"/>
          <w:szCs w:val="21"/>
          <w:highlight w:val="none"/>
        </w:rPr>
      </w:pPr>
      <w:r>
        <w:rPr>
          <w:color w:val="auto"/>
          <w:szCs w:val="21"/>
          <w:highlight w:val="none"/>
        </w:rPr>
        <w:t>说明：</w:t>
      </w:r>
    </w:p>
    <w:p w14:paraId="3AF548AA">
      <w:pPr>
        <w:spacing w:line="340" w:lineRule="exact"/>
        <w:ind w:firstLine="420" w:firstLineChars="200"/>
        <w:rPr>
          <w:color w:val="auto"/>
          <w:szCs w:val="21"/>
          <w:highlight w:val="none"/>
        </w:rPr>
      </w:pPr>
      <w:r>
        <w:rPr>
          <w:color w:val="auto"/>
          <w:szCs w:val="21"/>
          <w:highlight w:val="none"/>
        </w:rPr>
        <w:t>（1）为保障资金安全，上述账户不能为私人账户。</w:t>
      </w:r>
    </w:p>
    <w:p w14:paraId="455E62BF">
      <w:pPr>
        <w:spacing w:line="340" w:lineRule="exact"/>
        <w:ind w:firstLine="420" w:firstLineChars="200"/>
        <w:rPr>
          <w:color w:val="auto"/>
          <w:szCs w:val="21"/>
          <w:highlight w:val="none"/>
        </w:rPr>
      </w:pPr>
      <w:r>
        <w:rPr>
          <w:color w:val="auto"/>
          <w:szCs w:val="21"/>
          <w:highlight w:val="none"/>
        </w:rPr>
        <w:t>（2）如因未按要求缴纳谈判保证金，导致谈判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0AF5CAF1">
      <w:pPr>
        <w:spacing w:line="340" w:lineRule="exact"/>
        <w:ind w:firstLine="420" w:firstLineChars="200"/>
        <w:rPr>
          <w:color w:val="auto"/>
          <w:szCs w:val="21"/>
          <w:highlight w:val="none"/>
        </w:rPr>
      </w:pPr>
      <w:r>
        <w:rPr>
          <w:color w:val="auto"/>
          <w:szCs w:val="21"/>
          <w:highlight w:val="none"/>
        </w:rPr>
        <w:t>（3）如供应商未及时收到退回款项，请与广西机电设备招标有限公司财务部联系。广西机电设备招标有限公司财务部联系方式：联系人：吴茜；电话：0771-2821398；传真：0771-2843545。</w:t>
      </w:r>
    </w:p>
    <w:p w14:paraId="622EACA4">
      <w:pPr>
        <w:snapToGrid w:val="0"/>
        <w:spacing w:beforeLines="50" w:line="440" w:lineRule="exact"/>
        <w:jc w:val="left"/>
        <w:outlineLvl w:val="1"/>
        <w:rPr>
          <w:color w:val="auto"/>
          <w:sz w:val="24"/>
          <w:highlight w:val="none"/>
        </w:rPr>
      </w:pPr>
      <w:r>
        <w:rPr>
          <w:color w:val="auto"/>
          <w:szCs w:val="21"/>
          <w:highlight w:val="none"/>
        </w:rPr>
        <w:br w:type="page"/>
      </w:r>
      <w:r>
        <w:rPr>
          <w:color w:val="auto"/>
          <w:sz w:val="24"/>
          <w:highlight w:val="none"/>
        </w:rPr>
        <w:t>3</w:t>
      </w:r>
      <w:r>
        <w:rPr>
          <w:rFonts w:hint="eastAsia"/>
          <w:color w:val="auto"/>
          <w:sz w:val="24"/>
          <w:highlight w:val="none"/>
        </w:rPr>
        <w:t xml:space="preserve">.响应文件封面参考格式（报价文件）： </w:t>
      </w:r>
    </w:p>
    <w:p w14:paraId="3AB7B7E9">
      <w:pPr>
        <w:snapToGrid w:val="0"/>
        <w:spacing w:afterLines="50" w:line="400" w:lineRule="exact"/>
        <w:jc w:val="left"/>
        <w:rPr>
          <w:color w:val="auto"/>
          <w:sz w:val="24"/>
          <w:highlight w:val="none"/>
        </w:rPr>
      </w:pPr>
    </w:p>
    <w:p w14:paraId="700CB920">
      <w:pPr>
        <w:snapToGrid w:val="0"/>
        <w:spacing w:beforeLines="50" w:line="360" w:lineRule="exact"/>
        <w:rPr>
          <w:color w:val="auto"/>
          <w:sz w:val="24"/>
          <w:highlight w:val="none"/>
        </w:rPr>
      </w:pPr>
    </w:p>
    <w:p w14:paraId="0A4BC1A6">
      <w:pPr>
        <w:snapToGrid w:val="0"/>
        <w:spacing w:beforeLines="50" w:line="360" w:lineRule="exact"/>
        <w:jc w:val="center"/>
        <w:rPr>
          <w:color w:val="auto"/>
          <w:sz w:val="24"/>
          <w:highlight w:val="none"/>
        </w:rPr>
      </w:pPr>
    </w:p>
    <w:p w14:paraId="740FD86D">
      <w:pPr>
        <w:snapToGrid w:val="0"/>
        <w:spacing w:beforeLines="50" w:line="360" w:lineRule="exact"/>
        <w:jc w:val="center"/>
        <w:rPr>
          <w:b/>
          <w:color w:val="auto"/>
          <w:sz w:val="44"/>
          <w:szCs w:val="44"/>
          <w:highlight w:val="none"/>
        </w:rPr>
      </w:pPr>
      <w:r>
        <w:rPr>
          <w:rFonts w:hint="eastAsia"/>
          <w:b/>
          <w:color w:val="auto"/>
          <w:sz w:val="44"/>
          <w:szCs w:val="44"/>
          <w:highlight w:val="none"/>
        </w:rPr>
        <w:t>电子响应文件</w:t>
      </w:r>
    </w:p>
    <w:p w14:paraId="5F34CBF5">
      <w:pPr>
        <w:snapToGrid w:val="0"/>
        <w:spacing w:beforeLines="50" w:line="360" w:lineRule="exact"/>
        <w:jc w:val="center"/>
        <w:rPr>
          <w:b/>
          <w:color w:val="auto"/>
          <w:sz w:val="44"/>
          <w:szCs w:val="44"/>
          <w:highlight w:val="none"/>
        </w:rPr>
      </w:pPr>
    </w:p>
    <w:p w14:paraId="65C30259">
      <w:pPr>
        <w:snapToGrid w:val="0"/>
        <w:spacing w:beforeLines="50" w:line="360" w:lineRule="exact"/>
        <w:jc w:val="center"/>
        <w:rPr>
          <w:b/>
          <w:color w:val="auto"/>
          <w:sz w:val="44"/>
          <w:szCs w:val="44"/>
          <w:highlight w:val="none"/>
        </w:rPr>
      </w:pPr>
    </w:p>
    <w:p w14:paraId="63922454">
      <w:pPr>
        <w:snapToGrid w:val="0"/>
        <w:spacing w:beforeLines="50" w:line="360" w:lineRule="exact"/>
        <w:jc w:val="center"/>
        <w:rPr>
          <w:b/>
          <w:color w:val="auto"/>
          <w:sz w:val="44"/>
          <w:szCs w:val="44"/>
          <w:highlight w:val="none"/>
        </w:rPr>
      </w:pPr>
      <w:r>
        <w:rPr>
          <w:rFonts w:hint="eastAsia"/>
          <w:b/>
          <w:color w:val="auto"/>
          <w:sz w:val="44"/>
          <w:szCs w:val="44"/>
          <w:highlight w:val="none"/>
        </w:rPr>
        <w:t>报价文件</w:t>
      </w:r>
    </w:p>
    <w:p w14:paraId="69EDEAD3">
      <w:pPr>
        <w:snapToGrid w:val="0"/>
        <w:spacing w:beforeLines="50" w:line="360" w:lineRule="exact"/>
        <w:rPr>
          <w:color w:val="auto"/>
          <w:sz w:val="24"/>
          <w:highlight w:val="none"/>
        </w:rPr>
      </w:pPr>
    </w:p>
    <w:p w14:paraId="4A094B1E">
      <w:pPr>
        <w:snapToGrid w:val="0"/>
        <w:spacing w:beforeLines="50" w:line="360" w:lineRule="exact"/>
        <w:rPr>
          <w:color w:val="auto"/>
          <w:sz w:val="24"/>
          <w:highlight w:val="none"/>
        </w:rPr>
      </w:pPr>
    </w:p>
    <w:p w14:paraId="57F1E6C5">
      <w:pPr>
        <w:snapToGrid w:val="0"/>
        <w:spacing w:beforeLines="50" w:line="360" w:lineRule="exact"/>
        <w:rPr>
          <w:color w:val="auto"/>
          <w:sz w:val="24"/>
          <w:highlight w:val="none"/>
        </w:rPr>
      </w:pPr>
    </w:p>
    <w:p w14:paraId="12C9979D">
      <w:pPr>
        <w:snapToGrid w:val="0"/>
        <w:spacing w:beforeLines="50" w:line="360" w:lineRule="exact"/>
        <w:ind w:firstLine="720" w:firstLineChars="300"/>
        <w:rPr>
          <w:color w:val="auto"/>
          <w:sz w:val="24"/>
          <w:highlight w:val="none"/>
        </w:rPr>
      </w:pPr>
      <w:r>
        <w:rPr>
          <w:rFonts w:hint="eastAsia"/>
          <w:color w:val="auto"/>
          <w:sz w:val="24"/>
          <w:highlight w:val="none"/>
        </w:rPr>
        <w:t xml:space="preserve">项目名称： </w:t>
      </w:r>
    </w:p>
    <w:p w14:paraId="1B484BB2">
      <w:pPr>
        <w:snapToGrid w:val="0"/>
        <w:spacing w:beforeLines="50" w:line="360" w:lineRule="exact"/>
        <w:ind w:firstLine="720" w:firstLineChars="300"/>
        <w:rPr>
          <w:color w:val="auto"/>
          <w:sz w:val="24"/>
          <w:highlight w:val="none"/>
        </w:rPr>
      </w:pPr>
      <w:r>
        <w:rPr>
          <w:rFonts w:hint="eastAsia"/>
          <w:color w:val="auto"/>
          <w:sz w:val="24"/>
          <w:highlight w:val="none"/>
        </w:rPr>
        <w:t>项目编号：</w:t>
      </w:r>
    </w:p>
    <w:p w14:paraId="399C46B6">
      <w:pPr>
        <w:snapToGrid w:val="0"/>
        <w:spacing w:beforeLines="50" w:line="360" w:lineRule="exact"/>
        <w:ind w:firstLine="720" w:firstLineChars="300"/>
        <w:rPr>
          <w:color w:val="auto"/>
          <w:sz w:val="24"/>
          <w:highlight w:val="none"/>
        </w:rPr>
      </w:pPr>
      <w:r>
        <w:rPr>
          <w:rFonts w:hint="eastAsia"/>
          <w:color w:val="auto"/>
          <w:sz w:val="24"/>
          <w:highlight w:val="none"/>
        </w:rPr>
        <w:t>分标号：（若无留空或写</w:t>
      </w:r>
      <w:r>
        <w:rPr>
          <w:color w:val="auto"/>
          <w:sz w:val="24"/>
          <w:highlight w:val="none"/>
        </w:rPr>
        <w:t>“/”</w:t>
      </w:r>
      <w:r>
        <w:rPr>
          <w:rFonts w:hint="eastAsia"/>
          <w:color w:val="auto"/>
          <w:sz w:val="24"/>
          <w:highlight w:val="none"/>
        </w:rPr>
        <w:t>）</w:t>
      </w:r>
    </w:p>
    <w:p w14:paraId="7FA14D88">
      <w:pPr>
        <w:snapToGrid w:val="0"/>
        <w:spacing w:beforeLines="50" w:line="360" w:lineRule="exact"/>
        <w:ind w:firstLine="720" w:firstLineChars="300"/>
        <w:rPr>
          <w:color w:val="auto"/>
          <w:sz w:val="24"/>
          <w:highlight w:val="none"/>
        </w:rPr>
      </w:pPr>
      <w:r>
        <w:rPr>
          <w:rFonts w:hint="eastAsia"/>
          <w:color w:val="auto"/>
          <w:sz w:val="24"/>
          <w:highlight w:val="none"/>
        </w:rPr>
        <w:t>供应商名称：</w:t>
      </w:r>
    </w:p>
    <w:p w14:paraId="5B4B0B9D">
      <w:pPr>
        <w:snapToGrid w:val="0"/>
        <w:spacing w:beforeLines="50" w:line="360" w:lineRule="exact"/>
        <w:ind w:firstLine="720" w:firstLineChars="300"/>
        <w:rPr>
          <w:color w:val="auto"/>
          <w:sz w:val="24"/>
          <w:highlight w:val="none"/>
        </w:rPr>
      </w:pPr>
      <w:r>
        <w:rPr>
          <w:rFonts w:hint="eastAsia"/>
          <w:color w:val="auto"/>
          <w:sz w:val="24"/>
          <w:highlight w:val="none"/>
        </w:rPr>
        <w:t>供应商地址：</w:t>
      </w:r>
    </w:p>
    <w:p w14:paraId="58AB108A">
      <w:pPr>
        <w:snapToGrid w:val="0"/>
        <w:spacing w:beforeLines="50" w:line="360" w:lineRule="exact"/>
        <w:ind w:firstLine="2160" w:firstLineChars="900"/>
        <w:rPr>
          <w:color w:val="auto"/>
          <w:sz w:val="24"/>
          <w:highlight w:val="none"/>
        </w:rPr>
      </w:pPr>
      <w:r>
        <w:rPr>
          <w:rFonts w:hint="eastAsia"/>
          <w:color w:val="auto"/>
          <w:sz w:val="24"/>
          <w:highlight w:val="none"/>
        </w:rPr>
        <w:t xml:space="preserve">                        年  月  日</w:t>
      </w:r>
    </w:p>
    <w:p w14:paraId="213BACBB">
      <w:pPr>
        <w:snapToGrid w:val="0"/>
        <w:spacing w:beforeLines="50" w:line="360" w:lineRule="exact"/>
        <w:ind w:firstLine="720" w:firstLineChars="300"/>
        <w:rPr>
          <w:color w:val="auto"/>
          <w:sz w:val="24"/>
          <w:highlight w:val="none"/>
        </w:rPr>
      </w:pPr>
    </w:p>
    <w:p w14:paraId="4C820A08">
      <w:pPr>
        <w:snapToGrid w:val="0"/>
        <w:spacing w:beforeLines="50" w:after="50" w:line="440" w:lineRule="exact"/>
        <w:jc w:val="center"/>
        <w:outlineLvl w:val="1"/>
        <w:rPr>
          <w:bCs/>
          <w:color w:val="auto"/>
          <w:sz w:val="24"/>
          <w:highlight w:val="none"/>
        </w:rPr>
        <w:sectPr>
          <w:pgSz w:w="11906" w:h="16838"/>
          <w:pgMar w:top="1418" w:right="1274" w:bottom="1418" w:left="1418" w:header="851" w:footer="992" w:gutter="0"/>
          <w:cols w:space="720" w:num="1"/>
          <w:docGrid w:linePitch="312" w:charSpace="0"/>
        </w:sectPr>
      </w:pPr>
    </w:p>
    <w:p w14:paraId="3D4F0B82">
      <w:pPr>
        <w:snapToGrid w:val="0"/>
        <w:spacing w:beforeLines="50" w:after="50" w:line="440" w:lineRule="exact"/>
        <w:jc w:val="center"/>
        <w:rPr>
          <w:bCs/>
          <w:color w:val="auto"/>
          <w:sz w:val="24"/>
          <w:highlight w:val="none"/>
        </w:rPr>
      </w:pPr>
      <w:r>
        <w:rPr>
          <w:bCs/>
          <w:color w:val="auto"/>
          <w:sz w:val="24"/>
          <w:highlight w:val="none"/>
        </w:rPr>
        <w:t>第三部分 报价文件</w:t>
      </w:r>
    </w:p>
    <w:p w14:paraId="0A1BB24B">
      <w:pPr>
        <w:jc w:val="center"/>
        <w:rPr>
          <w:b/>
          <w:bCs/>
          <w:color w:val="auto"/>
          <w:szCs w:val="21"/>
          <w:highlight w:val="none"/>
        </w:rPr>
      </w:pPr>
    </w:p>
    <w:p w14:paraId="1925C74C">
      <w:pPr>
        <w:rPr>
          <w:b/>
          <w:color w:val="auto"/>
          <w:szCs w:val="21"/>
          <w:highlight w:val="none"/>
        </w:rPr>
      </w:pPr>
      <w:bookmarkStart w:id="131" w:name="_Hlk21624060"/>
      <w:r>
        <w:rPr>
          <w:b/>
          <w:color w:val="auto"/>
          <w:szCs w:val="21"/>
          <w:highlight w:val="none"/>
        </w:rPr>
        <w:t>1．响应函格式：</w:t>
      </w:r>
    </w:p>
    <w:p w14:paraId="282F1883">
      <w:pPr>
        <w:rPr>
          <w:b/>
          <w:color w:val="auto"/>
          <w:szCs w:val="21"/>
          <w:highlight w:val="none"/>
        </w:rPr>
      </w:pPr>
    </w:p>
    <w:p w14:paraId="5DD430AA">
      <w:pPr>
        <w:jc w:val="center"/>
        <w:rPr>
          <w:b/>
          <w:color w:val="auto"/>
          <w:szCs w:val="21"/>
          <w:highlight w:val="none"/>
        </w:rPr>
      </w:pPr>
      <w:r>
        <w:rPr>
          <w:b/>
          <w:color w:val="auto"/>
          <w:szCs w:val="21"/>
          <w:highlight w:val="none"/>
        </w:rPr>
        <w:t>响 应 函</w:t>
      </w:r>
    </w:p>
    <w:p w14:paraId="295B9F4A">
      <w:pPr>
        <w:rPr>
          <w:b/>
          <w:color w:val="auto"/>
          <w:szCs w:val="21"/>
          <w:highlight w:val="none"/>
        </w:rPr>
      </w:pPr>
    </w:p>
    <w:p w14:paraId="4C5DC6C4">
      <w:pPr>
        <w:spacing w:line="360" w:lineRule="auto"/>
        <w:rPr>
          <w:color w:val="auto"/>
          <w:szCs w:val="21"/>
          <w:highlight w:val="none"/>
        </w:rPr>
      </w:pPr>
      <w:r>
        <w:rPr>
          <w:color w:val="auto"/>
          <w:szCs w:val="21"/>
          <w:highlight w:val="none"/>
        </w:rPr>
        <w:t>致：_</w:t>
      </w:r>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r>
        <w:rPr>
          <w:i/>
          <w:iCs/>
          <w:color w:val="auto"/>
          <w:szCs w:val="21"/>
          <w:highlight w:val="none"/>
        </w:rPr>
        <w:t>_</w:t>
      </w:r>
    </w:p>
    <w:p w14:paraId="11E854A5">
      <w:pPr>
        <w:spacing w:line="360" w:lineRule="auto"/>
        <w:ind w:firstLine="420" w:firstLineChars="200"/>
        <w:rPr>
          <w:color w:val="auto"/>
          <w:szCs w:val="21"/>
          <w:highlight w:val="none"/>
        </w:rPr>
      </w:pPr>
      <w:r>
        <w:rPr>
          <w:color w:val="auto"/>
          <w:szCs w:val="21"/>
          <w:highlight w:val="none"/>
        </w:rPr>
        <w:t>我方已仔细研究了</w:t>
      </w:r>
      <w:r>
        <w:rPr>
          <w:rFonts w:hint="eastAsia"/>
          <w:i/>
          <w:iCs/>
          <w:color w:val="auto"/>
          <w:szCs w:val="21"/>
          <w:highlight w:val="none"/>
          <w:u w:val="single"/>
        </w:rPr>
        <w:t>（项目名称）</w:t>
      </w:r>
      <w:r>
        <w:rPr>
          <w:color w:val="auto"/>
          <w:szCs w:val="21"/>
          <w:highlight w:val="none"/>
        </w:rPr>
        <w:t>的</w:t>
      </w:r>
      <w:r>
        <w:rPr>
          <w:rFonts w:hint="eastAsia"/>
          <w:color w:val="auto"/>
          <w:szCs w:val="21"/>
          <w:highlight w:val="none"/>
        </w:rPr>
        <w:t>采购文件</w:t>
      </w:r>
      <w:r>
        <w:rPr>
          <w:color w:val="auto"/>
          <w:szCs w:val="21"/>
          <w:highlight w:val="none"/>
        </w:rPr>
        <w:t>的全部内容</w:t>
      </w:r>
      <w:r>
        <w:rPr>
          <w:rFonts w:hint="eastAsia"/>
          <w:color w:val="auto"/>
          <w:szCs w:val="21"/>
          <w:highlight w:val="none"/>
        </w:rPr>
        <w:t>，</w:t>
      </w:r>
      <w:r>
        <w:rPr>
          <w:color w:val="auto"/>
          <w:szCs w:val="21"/>
          <w:highlight w:val="none"/>
        </w:rPr>
        <w:t>签字代表</w:t>
      </w:r>
      <w:r>
        <w:rPr>
          <w:rFonts w:hint="eastAsia"/>
          <w:i/>
          <w:iCs/>
          <w:color w:val="auto"/>
          <w:szCs w:val="21"/>
          <w:highlight w:val="none"/>
          <w:u w:val="single"/>
        </w:rPr>
        <w:t>（授权代表姓名）</w:t>
      </w:r>
      <w:r>
        <w:rPr>
          <w:color w:val="auto"/>
          <w:szCs w:val="21"/>
          <w:highlight w:val="none"/>
        </w:rPr>
        <w:t>经正式授权并代表供应商</w:t>
      </w:r>
      <w:r>
        <w:rPr>
          <w:i/>
          <w:iCs/>
          <w:color w:val="auto"/>
          <w:szCs w:val="21"/>
          <w:highlight w:val="none"/>
          <w:u w:val="single"/>
        </w:rPr>
        <w:t>（供应商名称）</w:t>
      </w:r>
      <w:r>
        <w:rPr>
          <w:color w:val="auto"/>
          <w:szCs w:val="21"/>
          <w:highlight w:val="none"/>
        </w:rPr>
        <w:t>提交响应文件。</w:t>
      </w:r>
    </w:p>
    <w:p w14:paraId="6B4E2C60">
      <w:pPr>
        <w:spacing w:line="360" w:lineRule="auto"/>
        <w:ind w:firstLine="420" w:firstLineChars="200"/>
        <w:rPr>
          <w:color w:val="auto"/>
          <w:szCs w:val="21"/>
          <w:highlight w:val="none"/>
        </w:rPr>
      </w:pPr>
      <w:r>
        <w:rPr>
          <w:color w:val="auto"/>
          <w:szCs w:val="21"/>
          <w:highlight w:val="none"/>
        </w:rPr>
        <w:t>据此函，签字代表宣布同意如下：</w:t>
      </w:r>
    </w:p>
    <w:p w14:paraId="3C71E0DD">
      <w:pPr>
        <w:spacing w:line="360" w:lineRule="auto"/>
        <w:rPr>
          <w:color w:val="auto"/>
          <w:szCs w:val="21"/>
          <w:highlight w:val="none"/>
        </w:rPr>
      </w:pPr>
      <w:r>
        <w:rPr>
          <w:color w:val="auto"/>
          <w:szCs w:val="21"/>
          <w:highlight w:val="none"/>
        </w:rPr>
        <w:t>（1）供应商已详细审查全部“采购文件”，包括修改文件（如有的话）以及全部参考资料和有关附件，已经了解我方对于采购文件、采购过程、采购结果有依法进行询问、质疑、投诉的权利及相关渠道和要求。</w:t>
      </w:r>
    </w:p>
    <w:p w14:paraId="397EAA94">
      <w:pPr>
        <w:spacing w:line="360" w:lineRule="auto"/>
        <w:rPr>
          <w:color w:val="auto"/>
          <w:szCs w:val="21"/>
          <w:highlight w:val="none"/>
        </w:rPr>
      </w:pPr>
      <w:r>
        <w:rPr>
          <w:color w:val="auto"/>
          <w:szCs w:val="21"/>
          <w:highlight w:val="none"/>
        </w:rPr>
        <w:t>（2）供应商在响应之前已经与贵方进行了充分的沟通，完全理解并接受采购文件的各项规定和要求，对采购文件的合理性、合法性不再有异议。</w:t>
      </w:r>
    </w:p>
    <w:p w14:paraId="227520F7">
      <w:pPr>
        <w:spacing w:line="360" w:lineRule="auto"/>
        <w:rPr>
          <w:color w:val="auto"/>
          <w:szCs w:val="21"/>
          <w:highlight w:val="none"/>
        </w:rPr>
      </w:pPr>
      <w:r>
        <w:rPr>
          <w:rFonts w:hint="eastAsia"/>
          <w:color w:val="auto"/>
          <w:szCs w:val="21"/>
          <w:highlight w:val="none"/>
        </w:rPr>
        <w:t>（3）我方承诺本响应有效期为第三章供应商须知规定的期限。</w:t>
      </w:r>
    </w:p>
    <w:p w14:paraId="1DDDE7FB">
      <w:pPr>
        <w:spacing w:line="360" w:lineRule="auto"/>
        <w:rPr>
          <w:color w:val="auto"/>
          <w:szCs w:val="21"/>
          <w:highlight w:val="none"/>
        </w:rPr>
      </w:pPr>
      <w:r>
        <w:rPr>
          <w:color w:val="auto"/>
          <w:szCs w:val="21"/>
          <w:highlight w:val="none"/>
        </w:rPr>
        <w:t>（4）如成交，本响应文件至本项目合同履行完毕止均保持有效，本供应商将按“采购文件”及政府采购法律、法规的规定履行合同责任和义务</w:t>
      </w:r>
      <w:r>
        <w:rPr>
          <w:rFonts w:hint="eastAsia"/>
          <w:color w:val="auto"/>
          <w:szCs w:val="21"/>
          <w:highlight w:val="none"/>
        </w:rPr>
        <w:t>，并承诺</w:t>
      </w:r>
      <w:r>
        <w:rPr>
          <w:color w:val="auto"/>
          <w:szCs w:val="21"/>
          <w:highlight w:val="none"/>
        </w:rPr>
        <w:t>不分包及转包他人。</w:t>
      </w:r>
    </w:p>
    <w:p w14:paraId="69DF5418">
      <w:pPr>
        <w:spacing w:line="360" w:lineRule="auto"/>
        <w:rPr>
          <w:color w:val="auto"/>
          <w:szCs w:val="21"/>
          <w:highlight w:val="none"/>
        </w:rPr>
      </w:pPr>
      <w:r>
        <w:rPr>
          <w:color w:val="auto"/>
          <w:szCs w:val="21"/>
          <w:highlight w:val="none"/>
        </w:rPr>
        <w:t>（5）供应商同意按照贵方要求提供与谈判有关的一切数据或资料。</w:t>
      </w:r>
    </w:p>
    <w:p w14:paraId="3287F01C">
      <w:pPr>
        <w:spacing w:line="360" w:lineRule="auto"/>
        <w:rPr>
          <w:color w:val="auto"/>
          <w:szCs w:val="21"/>
          <w:highlight w:val="none"/>
        </w:rPr>
      </w:pPr>
      <w:r>
        <w:rPr>
          <w:color w:val="auto"/>
          <w:szCs w:val="21"/>
          <w:highlight w:val="none"/>
        </w:rPr>
        <w:t>（6）与本项目有关的一切正式往来信函请寄：</w:t>
      </w:r>
    </w:p>
    <w:p w14:paraId="6F2A488A">
      <w:pPr>
        <w:spacing w:line="360" w:lineRule="auto"/>
        <w:rPr>
          <w:color w:val="auto"/>
          <w:szCs w:val="21"/>
          <w:highlight w:val="none"/>
        </w:rPr>
      </w:pPr>
      <w:r>
        <w:rPr>
          <w:color w:val="auto"/>
          <w:szCs w:val="21"/>
          <w:highlight w:val="none"/>
        </w:rPr>
        <w:t>地址：邮编：  电话：</w:t>
      </w:r>
    </w:p>
    <w:p w14:paraId="00F8595F">
      <w:pPr>
        <w:spacing w:line="360" w:lineRule="auto"/>
        <w:rPr>
          <w:color w:val="auto"/>
          <w:szCs w:val="21"/>
          <w:highlight w:val="none"/>
        </w:rPr>
      </w:pPr>
      <w:r>
        <w:rPr>
          <w:color w:val="auto"/>
          <w:szCs w:val="21"/>
          <w:highlight w:val="none"/>
        </w:rPr>
        <w:t>传真：</w:t>
      </w:r>
    </w:p>
    <w:p w14:paraId="28000A01">
      <w:pPr>
        <w:spacing w:line="360" w:lineRule="auto"/>
        <w:rPr>
          <w:color w:val="auto"/>
          <w:szCs w:val="21"/>
          <w:highlight w:val="none"/>
          <w:u w:val="single"/>
        </w:rPr>
      </w:pPr>
      <w:r>
        <w:rPr>
          <w:color w:val="auto"/>
          <w:szCs w:val="21"/>
          <w:highlight w:val="none"/>
        </w:rPr>
        <w:t>供应商代表姓名  职务：</w:t>
      </w:r>
      <w:r>
        <w:rPr>
          <w:rFonts w:hint="eastAsia"/>
          <w:color w:val="auto"/>
          <w:szCs w:val="21"/>
          <w:highlight w:val="none"/>
        </w:rPr>
        <w:t>邮箱：</w:t>
      </w:r>
    </w:p>
    <w:p w14:paraId="1E410970">
      <w:pPr>
        <w:spacing w:line="360" w:lineRule="auto"/>
        <w:rPr>
          <w:color w:val="auto"/>
          <w:szCs w:val="21"/>
          <w:highlight w:val="none"/>
          <w:u w:val="single"/>
        </w:rPr>
      </w:pPr>
    </w:p>
    <w:p w14:paraId="02B79B9E">
      <w:pPr>
        <w:spacing w:line="360" w:lineRule="auto"/>
        <w:rPr>
          <w:color w:val="auto"/>
          <w:szCs w:val="21"/>
          <w:highlight w:val="none"/>
          <w:u w:val="single"/>
        </w:rPr>
      </w:pPr>
    </w:p>
    <w:p w14:paraId="1C66B1C5">
      <w:pPr>
        <w:spacing w:line="360" w:lineRule="auto"/>
        <w:rPr>
          <w:color w:val="auto"/>
          <w:szCs w:val="21"/>
          <w:highlight w:val="none"/>
        </w:rPr>
      </w:pPr>
    </w:p>
    <w:p w14:paraId="646554DC">
      <w:pPr>
        <w:spacing w:line="360" w:lineRule="auto"/>
        <w:rPr>
          <w:color w:val="auto"/>
          <w:szCs w:val="21"/>
          <w:highlight w:val="none"/>
          <w:u w:val="single"/>
        </w:rPr>
      </w:pPr>
      <w:bookmarkStart w:id="132" w:name="_Hlk89181776"/>
      <w:r>
        <w:rPr>
          <w:color w:val="auto"/>
          <w:szCs w:val="21"/>
          <w:highlight w:val="none"/>
        </w:rPr>
        <w:t>供应商</w:t>
      </w:r>
      <w:r>
        <w:rPr>
          <w:rFonts w:hint="eastAsia"/>
          <w:color w:val="auto"/>
          <w:szCs w:val="21"/>
          <w:highlight w:val="none"/>
        </w:rPr>
        <w:t>名称(电子签章</w:t>
      </w:r>
      <w:r>
        <w:rPr>
          <w:color w:val="auto"/>
          <w:szCs w:val="21"/>
          <w:highlight w:val="none"/>
        </w:rPr>
        <w:t>)：</w:t>
      </w:r>
    </w:p>
    <w:bookmarkEnd w:id="132"/>
    <w:p w14:paraId="49477B81">
      <w:pPr>
        <w:spacing w:line="360" w:lineRule="auto"/>
        <w:rPr>
          <w:color w:val="auto"/>
          <w:szCs w:val="21"/>
          <w:highlight w:val="none"/>
        </w:rPr>
      </w:pPr>
    </w:p>
    <w:p w14:paraId="106120C3">
      <w:pPr>
        <w:spacing w:line="360" w:lineRule="auto"/>
        <w:rPr>
          <w:color w:val="auto"/>
          <w:szCs w:val="21"/>
          <w:highlight w:val="none"/>
        </w:rPr>
      </w:pPr>
    </w:p>
    <w:p w14:paraId="527682AE">
      <w:pPr>
        <w:spacing w:line="360" w:lineRule="auto"/>
        <w:rPr>
          <w:color w:val="auto"/>
          <w:szCs w:val="21"/>
          <w:highlight w:val="none"/>
        </w:rPr>
      </w:pPr>
      <w:r>
        <w:rPr>
          <w:color w:val="auto"/>
          <w:szCs w:val="21"/>
          <w:highlight w:val="none"/>
        </w:rPr>
        <w:t>日期：年月日</w:t>
      </w:r>
    </w:p>
    <w:p w14:paraId="0EDDBF57">
      <w:pPr>
        <w:rPr>
          <w:b/>
          <w:color w:val="auto"/>
          <w:szCs w:val="21"/>
          <w:highlight w:val="none"/>
        </w:rPr>
      </w:pPr>
      <w:r>
        <w:rPr>
          <w:b/>
          <w:color w:val="auto"/>
          <w:szCs w:val="21"/>
          <w:highlight w:val="none"/>
        </w:rPr>
        <w:br w:type="page"/>
      </w:r>
      <w:bookmarkEnd w:id="131"/>
      <w:r>
        <w:rPr>
          <w:rFonts w:hint="eastAsia"/>
          <w:b/>
          <w:color w:val="auto"/>
          <w:szCs w:val="21"/>
          <w:highlight w:val="none"/>
        </w:rPr>
        <w:t>2.</w:t>
      </w:r>
      <w:r>
        <w:rPr>
          <w:b/>
          <w:color w:val="auto"/>
          <w:szCs w:val="21"/>
          <w:highlight w:val="none"/>
        </w:rPr>
        <w:t>谈判报价明细表格式：</w:t>
      </w:r>
    </w:p>
    <w:p w14:paraId="15A22536">
      <w:pPr>
        <w:jc w:val="center"/>
        <w:rPr>
          <w:b/>
          <w:color w:val="auto"/>
          <w:szCs w:val="21"/>
          <w:highlight w:val="none"/>
        </w:rPr>
      </w:pPr>
    </w:p>
    <w:p w14:paraId="194D53F1">
      <w:pPr>
        <w:snapToGrid w:val="0"/>
        <w:spacing w:before="50" w:after="50" w:line="360" w:lineRule="auto"/>
        <w:rPr>
          <w:rFonts w:ascii="宋体" w:hAnsi="宋体" w:cs="仿宋_GB2312"/>
          <w:color w:val="auto"/>
          <w:sz w:val="24"/>
          <w:highlight w:val="none"/>
          <w:u w:val="single"/>
        </w:rPr>
      </w:pPr>
      <w:r>
        <w:rPr>
          <w:rFonts w:hint="eastAsia" w:ascii="宋体" w:hAnsi="宋体" w:cs="仿宋_GB2312"/>
          <w:color w:val="auto"/>
          <w:sz w:val="24"/>
          <w:highlight w:val="none"/>
        </w:rPr>
        <w:t>项目名称：</w:t>
      </w:r>
    </w:p>
    <w:p w14:paraId="75304219">
      <w:pPr>
        <w:snapToGrid w:val="0"/>
        <w:spacing w:before="50" w:after="50" w:line="360" w:lineRule="auto"/>
        <w:rPr>
          <w:rFonts w:ascii="宋体" w:hAnsi="宋体" w:cs="仿宋_GB2312"/>
          <w:color w:val="auto"/>
          <w:sz w:val="24"/>
          <w:highlight w:val="none"/>
        </w:rPr>
      </w:pPr>
      <w:r>
        <w:rPr>
          <w:rFonts w:hint="eastAsia" w:ascii="宋体" w:hAnsi="宋体" w:cs="仿宋_GB2312"/>
          <w:color w:val="auto"/>
          <w:sz w:val="24"/>
          <w:highlight w:val="none"/>
        </w:rPr>
        <w:t>项目编号：</w:t>
      </w:r>
    </w:p>
    <w:p w14:paraId="019E64CE">
      <w:pPr>
        <w:snapToGrid w:val="0"/>
        <w:spacing w:before="50" w:after="50" w:line="360" w:lineRule="auto"/>
        <w:rPr>
          <w:rFonts w:ascii="宋体" w:hAnsi="宋体" w:cs="仿宋_GB2312"/>
          <w:color w:val="auto"/>
          <w:sz w:val="24"/>
          <w:highlight w:val="none"/>
        </w:rPr>
      </w:pPr>
      <w:r>
        <w:rPr>
          <w:rFonts w:hint="eastAsia" w:ascii="宋体" w:hAnsi="宋体" w:cs="仿宋_GB2312"/>
          <w:color w:val="auto"/>
          <w:sz w:val="24"/>
          <w:highlight w:val="none"/>
        </w:rPr>
        <w:t>分标：</w:t>
      </w:r>
    </w:p>
    <w:p w14:paraId="515B8281">
      <w:pPr>
        <w:jc w:val="left"/>
        <w:rPr>
          <w:b/>
          <w:color w:val="auto"/>
          <w:szCs w:val="21"/>
          <w:highlight w:val="none"/>
        </w:rPr>
      </w:pPr>
      <w:r>
        <w:rPr>
          <w:rFonts w:hint="eastAsia" w:ascii="宋体" w:hAnsi="宋体" w:cs="仿宋_GB2312"/>
          <w:color w:val="auto"/>
          <w:sz w:val="24"/>
          <w:highlight w:val="none"/>
        </w:rPr>
        <w:t>供应商名称：</w:t>
      </w:r>
    </w:p>
    <w:p w14:paraId="0E513F89">
      <w:pPr>
        <w:jc w:val="center"/>
        <w:rPr>
          <w:b/>
          <w:color w:val="auto"/>
          <w:szCs w:val="21"/>
          <w:highlight w:val="none"/>
        </w:rPr>
      </w:pPr>
    </w:p>
    <w:p w14:paraId="6FB83B51">
      <w:pPr>
        <w:jc w:val="center"/>
        <w:rPr>
          <w:b/>
          <w:color w:val="auto"/>
          <w:szCs w:val="21"/>
          <w:highlight w:val="none"/>
        </w:rPr>
      </w:pPr>
    </w:p>
    <w:p w14:paraId="218166EE">
      <w:pPr>
        <w:jc w:val="center"/>
        <w:rPr>
          <w:b/>
          <w:color w:val="auto"/>
          <w:szCs w:val="21"/>
          <w:highlight w:val="none"/>
        </w:rPr>
      </w:pPr>
    </w:p>
    <w:p w14:paraId="05A78C2D">
      <w:pPr>
        <w:jc w:val="center"/>
        <w:rPr>
          <w:b/>
          <w:color w:val="auto"/>
          <w:szCs w:val="21"/>
          <w:highlight w:val="none"/>
        </w:rPr>
      </w:pPr>
    </w:p>
    <w:p w14:paraId="57DBEBC4">
      <w:pPr>
        <w:jc w:val="center"/>
        <w:rPr>
          <w:b/>
          <w:color w:val="auto"/>
          <w:szCs w:val="21"/>
          <w:highlight w:val="none"/>
        </w:rPr>
      </w:pPr>
      <w:r>
        <w:rPr>
          <w:b/>
          <w:color w:val="auto"/>
          <w:szCs w:val="21"/>
          <w:highlight w:val="none"/>
        </w:rPr>
        <w:t>谈判报价明细表</w:t>
      </w:r>
    </w:p>
    <w:p w14:paraId="6BDB05ED">
      <w:pPr>
        <w:snapToGrid w:val="0"/>
        <w:spacing w:before="50" w:after="50" w:line="360" w:lineRule="auto"/>
        <w:ind w:firstLine="7800" w:firstLineChars="3250"/>
        <w:jc w:val="right"/>
        <w:rPr>
          <w:rFonts w:ascii="宋体" w:hAnsi="宋体" w:cs="仿宋_GB2312"/>
          <w:color w:val="auto"/>
          <w:sz w:val="24"/>
          <w:highlight w:val="none"/>
        </w:rPr>
      </w:pPr>
      <w:bookmarkStart w:id="133" w:name="_Hlk89181787"/>
      <w:r>
        <w:rPr>
          <w:rFonts w:hint="eastAsia" w:ascii="宋体" w:hAnsi="宋体" w:cs="仿宋_GB2312"/>
          <w:color w:val="auto"/>
          <w:sz w:val="24"/>
          <w:highlight w:val="none"/>
        </w:rPr>
        <w:t>单位：元</w:t>
      </w:r>
    </w:p>
    <w:tbl>
      <w:tblPr>
        <w:tblStyle w:val="51"/>
        <w:tblW w:w="9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1608"/>
        <w:gridCol w:w="670"/>
        <w:gridCol w:w="1858"/>
        <w:gridCol w:w="1563"/>
        <w:gridCol w:w="1393"/>
        <w:gridCol w:w="1276"/>
        <w:gridCol w:w="925"/>
      </w:tblGrid>
      <w:tr w14:paraId="3E54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100" w:hRule="atLeast"/>
          <w:jc w:val="center"/>
        </w:trPr>
        <w:tc>
          <w:tcPr>
            <w:tcW w:w="445" w:type="dxa"/>
            <w:noWrap/>
            <w:vAlign w:val="center"/>
          </w:tcPr>
          <w:p w14:paraId="0376232D">
            <w:pPr>
              <w:jc w:val="center"/>
              <w:rPr>
                <w:rFonts w:ascii="宋体" w:hAnsi="宋体"/>
                <w:b/>
                <w:color w:val="auto"/>
                <w:szCs w:val="21"/>
                <w:highlight w:val="none"/>
              </w:rPr>
            </w:pPr>
            <w:r>
              <w:rPr>
                <w:rFonts w:hint="eastAsia" w:ascii="宋体" w:hAnsi="宋体"/>
                <w:b/>
                <w:color w:val="auto"/>
                <w:szCs w:val="21"/>
                <w:highlight w:val="none"/>
              </w:rPr>
              <w:t>项号</w:t>
            </w:r>
          </w:p>
        </w:tc>
        <w:tc>
          <w:tcPr>
            <w:tcW w:w="1608" w:type="dxa"/>
            <w:noWrap/>
            <w:vAlign w:val="center"/>
          </w:tcPr>
          <w:p w14:paraId="43CED380">
            <w:pPr>
              <w:jc w:val="center"/>
              <w:rPr>
                <w:rFonts w:ascii="宋体" w:hAnsi="宋体"/>
                <w:b/>
                <w:color w:val="auto"/>
                <w:szCs w:val="21"/>
                <w:highlight w:val="none"/>
              </w:rPr>
            </w:pPr>
            <w:r>
              <w:rPr>
                <w:rFonts w:hint="eastAsia" w:ascii="宋体" w:hAnsi="宋体"/>
                <w:b/>
                <w:color w:val="auto"/>
                <w:szCs w:val="21"/>
                <w:highlight w:val="none"/>
              </w:rPr>
              <w:t>货物名称</w:t>
            </w:r>
          </w:p>
        </w:tc>
        <w:tc>
          <w:tcPr>
            <w:tcW w:w="670" w:type="dxa"/>
            <w:noWrap/>
            <w:vAlign w:val="center"/>
          </w:tcPr>
          <w:p w14:paraId="5082B820">
            <w:pPr>
              <w:jc w:val="center"/>
              <w:rPr>
                <w:rFonts w:ascii="宋体" w:hAnsi="宋体"/>
                <w:b/>
                <w:color w:val="auto"/>
                <w:szCs w:val="21"/>
                <w:highlight w:val="none"/>
              </w:rPr>
            </w:pPr>
            <w:r>
              <w:rPr>
                <w:rFonts w:hint="eastAsia" w:ascii="宋体" w:hAnsi="宋体"/>
                <w:b/>
                <w:color w:val="auto"/>
                <w:szCs w:val="21"/>
                <w:highlight w:val="none"/>
              </w:rPr>
              <w:t>数量及单位</w:t>
            </w:r>
          </w:p>
        </w:tc>
        <w:tc>
          <w:tcPr>
            <w:tcW w:w="1858" w:type="dxa"/>
            <w:noWrap/>
            <w:vAlign w:val="center"/>
          </w:tcPr>
          <w:p w14:paraId="7CC36FEC">
            <w:pPr>
              <w:jc w:val="center"/>
              <w:rPr>
                <w:rFonts w:ascii="宋体" w:hAnsi="宋体"/>
                <w:b/>
                <w:color w:val="auto"/>
                <w:szCs w:val="21"/>
                <w:highlight w:val="none"/>
              </w:rPr>
            </w:pPr>
            <w:r>
              <w:rPr>
                <w:rFonts w:hint="eastAsia" w:ascii="宋体" w:hAnsi="宋体"/>
                <w:b/>
                <w:color w:val="auto"/>
                <w:szCs w:val="21"/>
                <w:highlight w:val="none"/>
              </w:rPr>
              <w:t>货物全称、品牌、生产厂家及国别</w:t>
            </w:r>
          </w:p>
        </w:tc>
        <w:tc>
          <w:tcPr>
            <w:tcW w:w="1563" w:type="dxa"/>
            <w:noWrap/>
            <w:vAlign w:val="center"/>
          </w:tcPr>
          <w:p w14:paraId="3F6A9907">
            <w:pPr>
              <w:jc w:val="center"/>
              <w:rPr>
                <w:rFonts w:ascii="宋体" w:hAnsi="宋体"/>
                <w:b/>
                <w:color w:val="auto"/>
                <w:szCs w:val="21"/>
                <w:highlight w:val="none"/>
              </w:rPr>
            </w:pPr>
            <w:r>
              <w:rPr>
                <w:rFonts w:hint="eastAsia" w:ascii="宋体" w:hAnsi="宋体"/>
                <w:b/>
                <w:color w:val="auto"/>
                <w:szCs w:val="21"/>
                <w:highlight w:val="none"/>
              </w:rPr>
              <w:t>规格、技术参数</w:t>
            </w:r>
          </w:p>
        </w:tc>
        <w:tc>
          <w:tcPr>
            <w:tcW w:w="1393" w:type="dxa"/>
            <w:noWrap/>
            <w:vAlign w:val="center"/>
          </w:tcPr>
          <w:p w14:paraId="76C2913E">
            <w:pPr>
              <w:jc w:val="center"/>
              <w:rPr>
                <w:rFonts w:ascii="宋体" w:hAnsi="宋体"/>
                <w:b/>
                <w:color w:val="auto"/>
                <w:szCs w:val="21"/>
                <w:highlight w:val="none"/>
              </w:rPr>
            </w:pPr>
            <w:r>
              <w:rPr>
                <w:rFonts w:hint="eastAsia" w:ascii="宋体" w:hAnsi="宋体"/>
                <w:b/>
                <w:color w:val="auto"/>
                <w:szCs w:val="21"/>
                <w:highlight w:val="none"/>
              </w:rPr>
              <w:t>单价（元）</w:t>
            </w:r>
          </w:p>
        </w:tc>
        <w:tc>
          <w:tcPr>
            <w:tcW w:w="1276" w:type="dxa"/>
            <w:noWrap/>
            <w:vAlign w:val="center"/>
          </w:tcPr>
          <w:p w14:paraId="0C0B7F76">
            <w:pPr>
              <w:jc w:val="center"/>
              <w:rPr>
                <w:rFonts w:ascii="宋体" w:hAnsi="宋体"/>
                <w:b/>
                <w:color w:val="auto"/>
                <w:szCs w:val="21"/>
                <w:highlight w:val="none"/>
              </w:rPr>
            </w:pPr>
            <w:r>
              <w:rPr>
                <w:rFonts w:hint="eastAsia" w:ascii="宋体" w:hAnsi="宋体"/>
                <w:b/>
                <w:color w:val="auto"/>
                <w:szCs w:val="21"/>
                <w:highlight w:val="none"/>
              </w:rPr>
              <w:t>总价（元）</w:t>
            </w:r>
          </w:p>
        </w:tc>
        <w:tc>
          <w:tcPr>
            <w:tcW w:w="925" w:type="dxa"/>
            <w:noWrap/>
            <w:vAlign w:val="center"/>
          </w:tcPr>
          <w:p w14:paraId="64658A73">
            <w:pPr>
              <w:jc w:val="center"/>
              <w:rPr>
                <w:rFonts w:ascii="宋体" w:hAnsi="宋体"/>
                <w:b/>
                <w:color w:val="auto"/>
                <w:szCs w:val="21"/>
                <w:highlight w:val="none"/>
              </w:rPr>
            </w:pPr>
            <w:r>
              <w:rPr>
                <w:rFonts w:hint="eastAsia" w:ascii="宋体" w:hAnsi="宋体"/>
                <w:b/>
                <w:color w:val="auto"/>
                <w:szCs w:val="21"/>
                <w:highlight w:val="none"/>
              </w:rPr>
              <w:t>备注</w:t>
            </w:r>
          </w:p>
        </w:tc>
      </w:tr>
      <w:tr w14:paraId="691A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445" w:type="dxa"/>
            <w:noWrap/>
            <w:vAlign w:val="center"/>
          </w:tcPr>
          <w:p w14:paraId="0AB15E67">
            <w:pPr>
              <w:jc w:val="center"/>
              <w:rPr>
                <w:rFonts w:ascii="宋体" w:hAnsi="宋体"/>
                <w:color w:val="auto"/>
                <w:szCs w:val="21"/>
                <w:highlight w:val="none"/>
              </w:rPr>
            </w:pPr>
            <w:r>
              <w:rPr>
                <w:rFonts w:hint="eastAsia" w:ascii="宋体" w:hAnsi="宋体"/>
                <w:color w:val="auto"/>
                <w:szCs w:val="21"/>
                <w:highlight w:val="none"/>
              </w:rPr>
              <w:t>1</w:t>
            </w:r>
          </w:p>
        </w:tc>
        <w:tc>
          <w:tcPr>
            <w:tcW w:w="1608" w:type="dxa"/>
            <w:noWrap/>
            <w:vAlign w:val="center"/>
          </w:tcPr>
          <w:p w14:paraId="19C20908">
            <w:pPr>
              <w:jc w:val="center"/>
              <w:rPr>
                <w:rFonts w:ascii="宋体" w:hAnsi="宋体"/>
                <w:color w:val="auto"/>
                <w:szCs w:val="21"/>
                <w:highlight w:val="none"/>
              </w:rPr>
            </w:pPr>
          </w:p>
        </w:tc>
        <w:tc>
          <w:tcPr>
            <w:tcW w:w="670" w:type="dxa"/>
            <w:noWrap/>
            <w:vAlign w:val="center"/>
          </w:tcPr>
          <w:p w14:paraId="47C8C5EC">
            <w:pPr>
              <w:jc w:val="center"/>
              <w:rPr>
                <w:rFonts w:ascii="宋体" w:hAnsi="宋体"/>
                <w:color w:val="auto"/>
                <w:szCs w:val="21"/>
                <w:highlight w:val="none"/>
              </w:rPr>
            </w:pPr>
          </w:p>
        </w:tc>
        <w:tc>
          <w:tcPr>
            <w:tcW w:w="1858" w:type="dxa"/>
            <w:noWrap/>
            <w:vAlign w:val="center"/>
          </w:tcPr>
          <w:p w14:paraId="69AD42A5">
            <w:pPr>
              <w:rPr>
                <w:rFonts w:ascii="宋体" w:hAnsi="宋体"/>
                <w:color w:val="auto"/>
                <w:szCs w:val="21"/>
                <w:highlight w:val="none"/>
              </w:rPr>
            </w:pPr>
          </w:p>
        </w:tc>
        <w:tc>
          <w:tcPr>
            <w:tcW w:w="1563" w:type="dxa"/>
            <w:noWrap/>
            <w:vAlign w:val="center"/>
          </w:tcPr>
          <w:p w14:paraId="22852621">
            <w:pPr>
              <w:rPr>
                <w:rFonts w:ascii="宋体" w:hAnsi="宋体"/>
                <w:color w:val="auto"/>
                <w:szCs w:val="21"/>
                <w:highlight w:val="none"/>
              </w:rPr>
            </w:pPr>
          </w:p>
        </w:tc>
        <w:tc>
          <w:tcPr>
            <w:tcW w:w="1393" w:type="dxa"/>
            <w:noWrap/>
            <w:vAlign w:val="center"/>
          </w:tcPr>
          <w:p w14:paraId="5EDB0AD8">
            <w:pPr>
              <w:rPr>
                <w:rFonts w:ascii="宋体" w:hAnsi="宋体"/>
                <w:color w:val="auto"/>
                <w:szCs w:val="21"/>
                <w:highlight w:val="none"/>
              </w:rPr>
            </w:pPr>
          </w:p>
        </w:tc>
        <w:tc>
          <w:tcPr>
            <w:tcW w:w="1276" w:type="dxa"/>
            <w:noWrap/>
            <w:vAlign w:val="center"/>
          </w:tcPr>
          <w:p w14:paraId="05E58388">
            <w:pPr>
              <w:rPr>
                <w:rFonts w:ascii="宋体" w:hAnsi="宋体"/>
                <w:color w:val="auto"/>
                <w:szCs w:val="21"/>
                <w:highlight w:val="none"/>
              </w:rPr>
            </w:pPr>
          </w:p>
        </w:tc>
        <w:tc>
          <w:tcPr>
            <w:tcW w:w="925" w:type="dxa"/>
            <w:noWrap/>
            <w:vAlign w:val="center"/>
          </w:tcPr>
          <w:p w14:paraId="1260DA77">
            <w:pPr>
              <w:rPr>
                <w:rFonts w:ascii="宋体" w:hAnsi="宋体"/>
                <w:color w:val="auto"/>
                <w:szCs w:val="21"/>
                <w:highlight w:val="none"/>
              </w:rPr>
            </w:pPr>
          </w:p>
        </w:tc>
      </w:tr>
      <w:tr w14:paraId="6B2A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445" w:type="dxa"/>
            <w:noWrap/>
            <w:vAlign w:val="center"/>
          </w:tcPr>
          <w:p w14:paraId="423AEFBE">
            <w:pPr>
              <w:jc w:val="center"/>
              <w:rPr>
                <w:rFonts w:ascii="宋体" w:hAnsi="宋体"/>
                <w:color w:val="auto"/>
                <w:szCs w:val="21"/>
                <w:highlight w:val="none"/>
              </w:rPr>
            </w:pPr>
            <w:r>
              <w:rPr>
                <w:rFonts w:hint="eastAsia" w:ascii="宋体" w:hAnsi="宋体"/>
                <w:color w:val="auto"/>
                <w:szCs w:val="21"/>
                <w:highlight w:val="none"/>
              </w:rPr>
              <w:t>2</w:t>
            </w:r>
          </w:p>
        </w:tc>
        <w:tc>
          <w:tcPr>
            <w:tcW w:w="1608" w:type="dxa"/>
            <w:noWrap/>
            <w:vAlign w:val="center"/>
          </w:tcPr>
          <w:p w14:paraId="4FF2E807">
            <w:pPr>
              <w:jc w:val="center"/>
              <w:rPr>
                <w:rFonts w:ascii="宋体" w:hAnsi="宋体"/>
                <w:color w:val="auto"/>
                <w:szCs w:val="21"/>
                <w:highlight w:val="none"/>
              </w:rPr>
            </w:pPr>
          </w:p>
        </w:tc>
        <w:tc>
          <w:tcPr>
            <w:tcW w:w="670" w:type="dxa"/>
            <w:noWrap/>
            <w:vAlign w:val="center"/>
          </w:tcPr>
          <w:p w14:paraId="4661986A">
            <w:pPr>
              <w:jc w:val="center"/>
              <w:rPr>
                <w:rFonts w:ascii="宋体" w:hAnsi="宋体"/>
                <w:color w:val="auto"/>
                <w:szCs w:val="21"/>
                <w:highlight w:val="none"/>
              </w:rPr>
            </w:pPr>
          </w:p>
        </w:tc>
        <w:tc>
          <w:tcPr>
            <w:tcW w:w="1858" w:type="dxa"/>
            <w:noWrap/>
            <w:vAlign w:val="center"/>
          </w:tcPr>
          <w:p w14:paraId="6D39BB72">
            <w:pPr>
              <w:rPr>
                <w:rFonts w:ascii="宋体" w:hAnsi="宋体"/>
                <w:color w:val="auto"/>
                <w:szCs w:val="21"/>
                <w:highlight w:val="none"/>
              </w:rPr>
            </w:pPr>
          </w:p>
        </w:tc>
        <w:tc>
          <w:tcPr>
            <w:tcW w:w="1563" w:type="dxa"/>
            <w:noWrap/>
            <w:vAlign w:val="center"/>
          </w:tcPr>
          <w:p w14:paraId="1FB0A1B0">
            <w:pPr>
              <w:rPr>
                <w:rFonts w:ascii="宋体" w:hAnsi="宋体"/>
                <w:color w:val="auto"/>
                <w:szCs w:val="21"/>
                <w:highlight w:val="none"/>
              </w:rPr>
            </w:pPr>
          </w:p>
        </w:tc>
        <w:tc>
          <w:tcPr>
            <w:tcW w:w="1393" w:type="dxa"/>
            <w:noWrap/>
            <w:vAlign w:val="center"/>
          </w:tcPr>
          <w:p w14:paraId="7F4A1B6A">
            <w:pPr>
              <w:rPr>
                <w:rFonts w:ascii="宋体" w:hAnsi="宋体"/>
                <w:color w:val="auto"/>
                <w:szCs w:val="21"/>
                <w:highlight w:val="none"/>
              </w:rPr>
            </w:pPr>
          </w:p>
        </w:tc>
        <w:tc>
          <w:tcPr>
            <w:tcW w:w="1276" w:type="dxa"/>
            <w:noWrap/>
            <w:vAlign w:val="center"/>
          </w:tcPr>
          <w:p w14:paraId="5C34093C">
            <w:pPr>
              <w:rPr>
                <w:rFonts w:ascii="宋体" w:hAnsi="宋体"/>
                <w:color w:val="auto"/>
                <w:szCs w:val="21"/>
                <w:highlight w:val="none"/>
              </w:rPr>
            </w:pPr>
          </w:p>
        </w:tc>
        <w:tc>
          <w:tcPr>
            <w:tcW w:w="925" w:type="dxa"/>
            <w:noWrap/>
            <w:vAlign w:val="center"/>
          </w:tcPr>
          <w:p w14:paraId="4B751866">
            <w:pPr>
              <w:rPr>
                <w:rFonts w:ascii="宋体" w:hAnsi="宋体"/>
                <w:color w:val="auto"/>
                <w:szCs w:val="21"/>
                <w:highlight w:val="none"/>
              </w:rPr>
            </w:pPr>
          </w:p>
        </w:tc>
      </w:tr>
      <w:tr w14:paraId="51A4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445" w:type="dxa"/>
            <w:noWrap/>
            <w:vAlign w:val="center"/>
          </w:tcPr>
          <w:p w14:paraId="3CFC76D1">
            <w:pPr>
              <w:jc w:val="center"/>
              <w:rPr>
                <w:rFonts w:ascii="宋体" w:hAnsi="宋体"/>
                <w:color w:val="auto"/>
                <w:szCs w:val="21"/>
                <w:highlight w:val="none"/>
              </w:rPr>
            </w:pPr>
            <w:r>
              <w:rPr>
                <w:rFonts w:hint="eastAsia" w:ascii="宋体" w:hAnsi="宋体"/>
                <w:color w:val="auto"/>
                <w:szCs w:val="21"/>
                <w:highlight w:val="none"/>
              </w:rPr>
              <w:t>3</w:t>
            </w:r>
          </w:p>
        </w:tc>
        <w:tc>
          <w:tcPr>
            <w:tcW w:w="1608" w:type="dxa"/>
            <w:noWrap/>
            <w:vAlign w:val="center"/>
          </w:tcPr>
          <w:p w14:paraId="6AE39D62">
            <w:pPr>
              <w:jc w:val="center"/>
              <w:rPr>
                <w:rFonts w:ascii="宋体" w:hAnsi="宋体"/>
                <w:color w:val="auto"/>
                <w:szCs w:val="21"/>
                <w:highlight w:val="none"/>
              </w:rPr>
            </w:pPr>
          </w:p>
        </w:tc>
        <w:tc>
          <w:tcPr>
            <w:tcW w:w="670" w:type="dxa"/>
            <w:noWrap/>
            <w:vAlign w:val="center"/>
          </w:tcPr>
          <w:p w14:paraId="2CD44D68">
            <w:pPr>
              <w:jc w:val="center"/>
              <w:rPr>
                <w:rFonts w:ascii="宋体" w:hAnsi="宋体"/>
                <w:color w:val="auto"/>
                <w:szCs w:val="21"/>
                <w:highlight w:val="none"/>
              </w:rPr>
            </w:pPr>
          </w:p>
        </w:tc>
        <w:tc>
          <w:tcPr>
            <w:tcW w:w="1858" w:type="dxa"/>
            <w:noWrap/>
            <w:vAlign w:val="center"/>
          </w:tcPr>
          <w:p w14:paraId="0000D22B">
            <w:pPr>
              <w:rPr>
                <w:rFonts w:ascii="宋体" w:hAnsi="宋体"/>
                <w:color w:val="auto"/>
                <w:szCs w:val="21"/>
                <w:highlight w:val="none"/>
              </w:rPr>
            </w:pPr>
          </w:p>
        </w:tc>
        <w:tc>
          <w:tcPr>
            <w:tcW w:w="1563" w:type="dxa"/>
            <w:noWrap/>
            <w:vAlign w:val="center"/>
          </w:tcPr>
          <w:p w14:paraId="4CA983FD">
            <w:pPr>
              <w:rPr>
                <w:rFonts w:ascii="宋体" w:hAnsi="宋体"/>
                <w:color w:val="auto"/>
                <w:szCs w:val="21"/>
                <w:highlight w:val="none"/>
              </w:rPr>
            </w:pPr>
          </w:p>
        </w:tc>
        <w:tc>
          <w:tcPr>
            <w:tcW w:w="1393" w:type="dxa"/>
            <w:noWrap/>
            <w:vAlign w:val="center"/>
          </w:tcPr>
          <w:p w14:paraId="54525A0A">
            <w:pPr>
              <w:rPr>
                <w:rFonts w:ascii="宋体" w:hAnsi="宋体"/>
                <w:color w:val="auto"/>
                <w:szCs w:val="21"/>
                <w:highlight w:val="none"/>
              </w:rPr>
            </w:pPr>
          </w:p>
        </w:tc>
        <w:tc>
          <w:tcPr>
            <w:tcW w:w="1276" w:type="dxa"/>
            <w:noWrap/>
            <w:vAlign w:val="center"/>
          </w:tcPr>
          <w:p w14:paraId="77A8155A">
            <w:pPr>
              <w:rPr>
                <w:rFonts w:ascii="宋体" w:hAnsi="宋体"/>
                <w:color w:val="auto"/>
                <w:szCs w:val="21"/>
                <w:highlight w:val="none"/>
              </w:rPr>
            </w:pPr>
          </w:p>
        </w:tc>
        <w:tc>
          <w:tcPr>
            <w:tcW w:w="925" w:type="dxa"/>
            <w:noWrap/>
            <w:vAlign w:val="center"/>
          </w:tcPr>
          <w:p w14:paraId="57B8D37D">
            <w:pPr>
              <w:rPr>
                <w:rFonts w:ascii="宋体" w:hAnsi="宋体"/>
                <w:color w:val="auto"/>
                <w:szCs w:val="21"/>
                <w:highlight w:val="none"/>
              </w:rPr>
            </w:pPr>
          </w:p>
        </w:tc>
      </w:tr>
      <w:tr w14:paraId="6E5A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445" w:type="dxa"/>
            <w:noWrap/>
            <w:vAlign w:val="center"/>
          </w:tcPr>
          <w:p w14:paraId="47827883">
            <w:pPr>
              <w:jc w:val="center"/>
              <w:rPr>
                <w:rFonts w:ascii="宋体" w:hAnsi="宋体"/>
                <w:color w:val="auto"/>
                <w:szCs w:val="21"/>
                <w:highlight w:val="none"/>
              </w:rPr>
            </w:pPr>
            <w:r>
              <w:rPr>
                <w:rFonts w:hint="eastAsia" w:ascii="宋体" w:hAnsi="宋体"/>
                <w:color w:val="auto"/>
                <w:szCs w:val="21"/>
                <w:highlight w:val="none"/>
              </w:rPr>
              <w:t>…</w:t>
            </w:r>
          </w:p>
        </w:tc>
        <w:tc>
          <w:tcPr>
            <w:tcW w:w="1608" w:type="dxa"/>
            <w:noWrap/>
            <w:vAlign w:val="center"/>
          </w:tcPr>
          <w:p w14:paraId="5AFADF5C">
            <w:pPr>
              <w:jc w:val="center"/>
              <w:rPr>
                <w:rFonts w:ascii="宋体" w:hAnsi="宋体"/>
                <w:color w:val="auto"/>
                <w:szCs w:val="21"/>
                <w:highlight w:val="none"/>
              </w:rPr>
            </w:pPr>
          </w:p>
        </w:tc>
        <w:tc>
          <w:tcPr>
            <w:tcW w:w="670" w:type="dxa"/>
            <w:noWrap/>
            <w:vAlign w:val="center"/>
          </w:tcPr>
          <w:p w14:paraId="104DB44F">
            <w:pPr>
              <w:jc w:val="center"/>
              <w:rPr>
                <w:rFonts w:ascii="宋体" w:hAnsi="宋体"/>
                <w:color w:val="auto"/>
                <w:szCs w:val="21"/>
                <w:highlight w:val="none"/>
              </w:rPr>
            </w:pPr>
          </w:p>
        </w:tc>
        <w:tc>
          <w:tcPr>
            <w:tcW w:w="1858" w:type="dxa"/>
            <w:noWrap/>
            <w:vAlign w:val="center"/>
          </w:tcPr>
          <w:p w14:paraId="43F7FA78">
            <w:pPr>
              <w:rPr>
                <w:rFonts w:ascii="宋体" w:hAnsi="宋体"/>
                <w:color w:val="auto"/>
                <w:szCs w:val="21"/>
                <w:highlight w:val="none"/>
              </w:rPr>
            </w:pPr>
          </w:p>
        </w:tc>
        <w:tc>
          <w:tcPr>
            <w:tcW w:w="1563" w:type="dxa"/>
            <w:noWrap/>
            <w:vAlign w:val="center"/>
          </w:tcPr>
          <w:p w14:paraId="74607E13">
            <w:pPr>
              <w:rPr>
                <w:rFonts w:ascii="宋体" w:hAnsi="宋体"/>
                <w:color w:val="auto"/>
                <w:szCs w:val="21"/>
                <w:highlight w:val="none"/>
              </w:rPr>
            </w:pPr>
          </w:p>
        </w:tc>
        <w:tc>
          <w:tcPr>
            <w:tcW w:w="1393" w:type="dxa"/>
            <w:noWrap/>
            <w:vAlign w:val="center"/>
          </w:tcPr>
          <w:p w14:paraId="717203CB">
            <w:pPr>
              <w:rPr>
                <w:rFonts w:ascii="宋体" w:hAnsi="宋体"/>
                <w:color w:val="auto"/>
                <w:szCs w:val="21"/>
                <w:highlight w:val="none"/>
              </w:rPr>
            </w:pPr>
          </w:p>
        </w:tc>
        <w:tc>
          <w:tcPr>
            <w:tcW w:w="1276" w:type="dxa"/>
            <w:noWrap/>
            <w:vAlign w:val="center"/>
          </w:tcPr>
          <w:p w14:paraId="3DD8E72E">
            <w:pPr>
              <w:rPr>
                <w:rFonts w:ascii="宋体" w:hAnsi="宋体"/>
                <w:color w:val="auto"/>
                <w:szCs w:val="21"/>
                <w:highlight w:val="none"/>
              </w:rPr>
            </w:pPr>
          </w:p>
        </w:tc>
        <w:tc>
          <w:tcPr>
            <w:tcW w:w="925" w:type="dxa"/>
            <w:noWrap/>
            <w:vAlign w:val="center"/>
          </w:tcPr>
          <w:p w14:paraId="33DE473A">
            <w:pPr>
              <w:rPr>
                <w:rFonts w:ascii="宋体" w:hAnsi="宋体"/>
                <w:color w:val="auto"/>
                <w:szCs w:val="21"/>
                <w:highlight w:val="none"/>
              </w:rPr>
            </w:pPr>
          </w:p>
        </w:tc>
      </w:tr>
      <w:tr w14:paraId="7EEE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445" w:type="dxa"/>
            <w:noWrap/>
            <w:vAlign w:val="center"/>
          </w:tcPr>
          <w:p w14:paraId="291F1516">
            <w:pPr>
              <w:jc w:val="center"/>
              <w:rPr>
                <w:rFonts w:ascii="宋体" w:hAnsi="宋体"/>
                <w:color w:val="auto"/>
                <w:szCs w:val="21"/>
                <w:highlight w:val="none"/>
              </w:rPr>
            </w:pPr>
            <w:r>
              <w:rPr>
                <w:rFonts w:ascii="宋体" w:hAnsi="宋体"/>
                <w:color w:val="auto"/>
                <w:szCs w:val="21"/>
                <w:highlight w:val="none"/>
              </w:rPr>
              <w:t>N</w:t>
            </w:r>
          </w:p>
        </w:tc>
        <w:tc>
          <w:tcPr>
            <w:tcW w:w="1608" w:type="dxa"/>
            <w:noWrap/>
            <w:vAlign w:val="center"/>
          </w:tcPr>
          <w:p w14:paraId="0ADCA249">
            <w:pPr>
              <w:jc w:val="center"/>
              <w:rPr>
                <w:rFonts w:ascii="宋体" w:hAnsi="宋体"/>
                <w:color w:val="auto"/>
                <w:szCs w:val="21"/>
                <w:highlight w:val="none"/>
              </w:rPr>
            </w:pPr>
          </w:p>
        </w:tc>
        <w:tc>
          <w:tcPr>
            <w:tcW w:w="670" w:type="dxa"/>
            <w:noWrap/>
            <w:vAlign w:val="center"/>
          </w:tcPr>
          <w:p w14:paraId="3EABE892">
            <w:pPr>
              <w:jc w:val="center"/>
              <w:rPr>
                <w:rFonts w:ascii="宋体" w:hAnsi="宋体"/>
                <w:color w:val="auto"/>
                <w:szCs w:val="21"/>
                <w:highlight w:val="none"/>
              </w:rPr>
            </w:pPr>
          </w:p>
        </w:tc>
        <w:tc>
          <w:tcPr>
            <w:tcW w:w="1858" w:type="dxa"/>
            <w:noWrap/>
            <w:vAlign w:val="center"/>
          </w:tcPr>
          <w:p w14:paraId="4FF6BA1E">
            <w:pPr>
              <w:rPr>
                <w:rFonts w:ascii="宋体" w:hAnsi="宋体"/>
                <w:color w:val="auto"/>
                <w:szCs w:val="21"/>
                <w:highlight w:val="none"/>
              </w:rPr>
            </w:pPr>
          </w:p>
        </w:tc>
        <w:tc>
          <w:tcPr>
            <w:tcW w:w="1563" w:type="dxa"/>
            <w:noWrap/>
            <w:vAlign w:val="center"/>
          </w:tcPr>
          <w:p w14:paraId="01DC0B8C">
            <w:pPr>
              <w:rPr>
                <w:rFonts w:ascii="宋体" w:hAnsi="宋体"/>
                <w:color w:val="auto"/>
                <w:szCs w:val="21"/>
                <w:highlight w:val="none"/>
              </w:rPr>
            </w:pPr>
          </w:p>
        </w:tc>
        <w:tc>
          <w:tcPr>
            <w:tcW w:w="1393" w:type="dxa"/>
            <w:noWrap/>
            <w:vAlign w:val="center"/>
          </w:tcPr>
          <w:p w14:paraId="11F08624">
            <w:pPr>
              <w:rPr>
                <w:rFonts w:ascii="宋体" w:hAnsi="宋体"/>
                <w:color w:val="auto"/>
                <w:szCs w:val="21"/>
                <w:highlight w:val="none"/>
              </w:rPr>
            </w:pPr>
          </w:p>
        </w:tc>
        <w:tc>
          <w:tcPr>
            <w:tcW w:w="1276" w:type="dxa"/>
            <w:noWrap/>
            <w:vAlign w:val="center"/>
          </w:tcPr>
          <w:p w14:paraId="22F81DDB">
            <w:pPr>
              <w:rPr>
                <w:rFonts w:ascii="宋体" w:hAnsi="宋体"/>
                <w:color w:val="auto"/>
                <w:szCs w:val="21"/>
                <w:highlight w:val="none"/>
              </w:rPr>
            </w:pPr>
          </w:p>
        </w:tc>
        <w:tc>
          <w:tcPr>
            <w:tcW w:w="925" w:type="dxa"/>
            <w:noWrap/>
            <w:vAlign w:val="center"/>
          </w:tcPr>
          <w:p w14:paraId="2CCD4FEE">
            <w:pPr>
              <w:rPr>
                <w:rFonts w:ascii="宋体" w:hAnsi="宋体"/>
                <w:color w:val="auto"/>
                <w:szCs w:val="21"/>
                <w:highlight w:val="none"/>
              </w:rPr>
            </w:pPr>
          </w:p>
        </w:tc>
      </w:tr>
      <w:tr w14:paraId="4453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8" w:hRule="atLeast"/>
          <w:jc w:val="center"/>
        </w:trPr>
        <w:tc>
          <w:tcPr>
            <w:tcW w:w="9738" w:type="dxa"/>
            <w:gridSpan w:val="8"/>
            <w:noWrap/>
            <w:vAlign w:val="center"/>
          </w:tcPr>
          <w:p w14:paraId="3861CFF0">
            <w:pPr>
              <w:rPr>
                <w:rFonts w:ascii="宋体" w:hAnsi="宋体"/>
                <w:color w:val="auto"/>
                <w:szCs w:val="21"/>
                <w:highlight w:val="none"/>
              </w:rPr>
            </w:pPr>
            <w:r>
              <w:rPr>
                <w:rFonts w:hint="eastAsia" w:ascii="宋体" w:hAnsi="宋体"/>
                <w:color w:val="auto"/>
                <w:szCs w:val="21"/>
                <w:highlight w:val="none"/>
              </w:rPr>
              <w:t>竞标总金额：</w:t>
            </w:r>
            <w:r>
              <w:rPr>
                <w:rFonts w:hint="eastAsia" w:ascii="宋体" w:hAnsi="宋体" w:cs="仿宋_GB2312"/>
                <w:color w:val="auto"/>
                <w:szCs w:val="21"/>
                <w:highlight w:val="none"/>
              </w:rPr>
              <w:t>人民币（¥）</w:t>
            </w:r>
          </w:p>
        </w:tc>
      </w:tr>
      <w:tr w14:paraId="5F1D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4" w:hRule="atLeast"/>
          <w:jc w:val="center"/>
        </w:trPr>
        <w:tc>
          <w:tcPr>
            <w:tcW w:w="9738" w:type="dxa"/>
            <w:gridSpan w:val="8"/>
            <w:noWrap/>
            <w:vAlign w:val="center"/>
          </w:tcPr>
          <w:p w14:paraId="2BE8561E">
            <w:pPr>
              <w:rPr>
                <w:rFonts w:ascii="宋体" w:hAnsi="宋体"/>
                <w:color w:val="auto"/>
                <w:szCs w:val="21"/>
                <w:highlight w:val="none"/>
              </w:rPr>
            </w:pPr>
            <w:r>
              <w:rPr>
                <w:rFonts w:hint="eastAsia" w:ascii="宋体" w:hAnsi="宋体"/>
                <w:color w:val="auto"/>
                <w:szCs w:val="21"/>
                <w:highlight w:val="none"/>
              </w:rPr>
              <w:t>交货时间：</w:t>
            </w:r>
          </w:p>
        </w:tc>
      </w:tr>
    </w:tbl>
    <w:p w14:paraId="55B2BC96">
      <w:pP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 xml:space="preserve">注: </w:t>
      </w:r>
    </w:p>
    <w:p w14:paraId="7CDB3591">
      <w:pPr>
        <w:spacing w:line="360" w:lineRule="auto"/>
        <w:ind w:firstLine="480" w:firstLineChars="200"/>
        <w:contextualSpacing/>
        <w:jc w:val="left"/>
        <w:rPr>
          <w:rFonts w:ascii="宋体" w:hAnsi="宋体" w:cs="仿宋_GB2312"/>
          <w:color w:val="auto"/>
          <w:sz w:val="24"/>
          <w:highlight w:val="none"/>
        </w:rPr>
      </w:pPr>
      <w:r>
        <w:rPr>
          <w:rFonts w:hint="eastAsia" w:ascii="宋体" w:hAnsi="宋体" w:cs="仿宋_GB2312"/>
          <w:color w:val="auto"/>
          <w:sz w:val="24"/>
          <w:highlight w:val="none"/>
        </w:rPr>
        <w:t>1</w:t>
      </w:r>
      <w:r>
        <w:rPr>
          <w:rFonts w:ascii="宋体" w:hAnsi="宋体" w:cs="仿宋_GB2312"/>
          <w:color w:val="auto"/>
          <w:sz w:val="24"/>
          <w:highlight w:val="none"/>
        </w:rPr>
        <w:t>.</w:t>
      </w:r>
      <w:r>
        <w:rPr>
          <w:rFonts w:hint="eastAsia" w:ascii="宋体" w:hAnsi="宋体"/>
          <w:color w:val="auto"/>
          <w:sz w:val="24"/>
          <w:highlight w:val="none"/>
        </w:rPr>
        <w:t xml:space="preserve"> 以上竞标报价表中“货物名称、数量及单位、货物全称、品牌、生产厂家及国别、规格、技术参数”必须如实填写完整，品牌规格没有则填无，填写有缺漏</w:t>
      </w:r>
      <w:r>
        <w:rPr>
          <w:rFonts w:hint="eastAsia" w:ascii="宋体" w:hAnsi="宋体"/>
          <w:bCs/>
          <w:color w:val="auto"/>
          <w:sz w:val="24"/>
          <w:highlight w:val="none"/>
        </w:rPr>
        <w:t>的，</w:t>
      </w:r>
      <w:r>
        <w:rPr>
          <w:rFonts w:hint="eastAsia" w:ascii="宋体" w:hAnsi="宋体" w:cs="仿宋_GB2312"/>
          <w:b/>
          <w:color w:val="auto"/>
          <w:sz w:val="24"/>
          <w:highlight w:val="none"/>
        </w:rPr>
        <w:t>其响应文件按无效响应处理</w:t>
      </w:r>
      <w:r>
        <w:rPr>
          <w:rFonts w:hint="eastAsia" w:ascii="宋体" w:hAnsi="宋体"/>
          <w:b/>
          <w:color w:val="auto"/>
          <w:sz w:val="24"/>
          <w:highlight w:val="none"/>
        </w:rPr>
        <w:t>。</w:t>
      </w:r>
    </w:p>
    <w:p w14:paraId="6B3D7D17">
      <w:pPr>
        <w:spacing w:line="360" w:lineRule="auto"/>
        <w:ind w:firstLine="480" w:firstLineChars="200"/>
        <w:contextualSpacing/>
        <w:jc w:val="left"/>
        <w:rPr>
          <w:rFonts w:ascii="宋体" w:hAnsi="宋体" w:cs="仿宋_GB2312"/>
          <w:color w:val="auto"/>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rPr>
        <w:t>.供应商的报价表必须加盖供应商公章并由法定代表人或者委托代理人签字，</w:t>
      </w:r>
      <w:r>
        <w:rPr>
          <w:rFonts w:hint="eastAsia" w:ascii="宋体" w:hAnsi="宋体" w:cs="仿宋_GB2312"/>
          <w:b/>
          <w:color w:val="auto"/>
          <w:sz w:val="24"/>
          <w:highlight w:val="none"/>
        </w:rPr>
        <w:t>否则其响应文件按无效响应处理</w:t>
      </w:r>
      <w:r>
        <w:rPr>
          <w:rFonts w:hint="eastAsia" w:ascii="宋体" w:hAnsi="宋体" w:cs="仿宋_GB2312"/>
          <w:color w:val="auto"/>
          <w:sz w:val="24"/>
          <w:highlight w:val="none"/>
        </w:rPr>
        <w:t>。</w:t>
      </w:r>
    </w:p>
    <w:p w14:paraId="66D47462">
      <w:pPr>
        <w:spacing w:line="360" w:lineRule="auto"/>
        <w:ind w:firstLine="480" w:firstLineChars="200"/>
        <w:contextualSpacing/>
        <w:jc w:val="left"/>
        <w:rPr>
          <w:rFonts w:ascii="宋体" w:hAnsi="宋体" w:cs="仿宋_GB2312"/>
          <w:b/>
          <w:color w:val="auto"/>
          <w:sz w:val="24"/>
          <w:highlight w:val="none"/>
        </w:rPr>
      </w:pPr>
      <w:r>
        <w:rPr>
          <w:rFonts w:ascii="宋体" w:hAnsi="宋体" w:cs="仿宋_GB2312"/>
          <w:bCs/>
          <w:color w:val="auto"/>
          <w:sz w:val="24"/>
          <w:highlight w:val="none"/>
        </w:rPr>
        <w:t>3</w:t>
      </w:r>
      <w:r>
        <w:rPr>
          <w:rFonts w:hint="eastAsia" w:ascii="宋体" w:hAnsi="宋体" w:cs="仿宋_GB2312"/>
          <w:bCs/>
          <w:color w:val="auto"/>
          <w:sz w:val="24"/>
          <w:highlight w:val="none"/>
        </w:rPr>
        <w:t>.</w:t>
      </w:r>
      <w:r>
        <w:rPr>
          <w:rFonts w:hint="eastAsia" w:ascii="宋体" w:hAnsi="宋体" w:cs="仿宋_GB2312"/>
          <w:color w:val="auto"/>
          <w:sz w:val="24"/>
          <w:highlight w:val="none"/>
        </w:rPr>
        <w:t>报价一经涂改，应在涂改处加盖供应商公章或者由法定代表人或者授权委托人签字或者盖章</w:t>
      </w:r>
      <w:r>
        <w:rPr>
          <w:rFonts w:hint="eastAsia" w:ascii="宋体" w:hAnsi="宋体" w:cs="仿宋_GB2312"/>
          <w:b/>
          <w:color w:val="auto"/>
          <w:sz w:val="24"/>
          <w:highlight w:val="none"/>
        </w:rPr>
        <w:t>，否则其响应文件按无效响应处理。</w:t>
      </w:r>
    </w:p>
    <w:p w14:paraId="3A1A72C3">
      <w:pPr>
        <w:spacing w:line="360" w:lineRule="auto"/>
        <w:ind w:firstLine="480" w:firstLineChars="200"/>
        <w:contextualSpacing/>
        <w:jc w:val="left"/>
        <w:rPr>
          <w:rFonts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rPr>
        <w:t>.谈判文件中列明采购专用耗材的，应按谈判文件规定的耗材量或者按耗材的常规试用量提供报价。</w:t>
      </w:r>
    </w:p>
    <w:p w14:paraId="093D3B86">
      <w:pPr>
        <w:spacing w:line="360" w:lineRule="auto"/>
        <w:ind w:firstLine="480" w:firstLineChars="200"/>
        <w:contextualSpacing/>
        <w:jc w:val="left"/>
        <w:rPr>
          <w:rFonts w:ascii="宋体" w:hAnsi="宋体" w:cs="仿宋_GB2312"/>
          <w:color w:val="auto"/>
          <w:sz w:val="24"/>
          <w:highlight w:val="none"/>
        </w:rPr>
      </w:pPr>
      <w:r>
        <w:rPr>
          <w:rFonts w:ascii="宋体" w:hAnsi="宋体" w:cs="仿宋_GB2312"/>
          <w:color w:val="auto"/>
          <w:sz w:val="24"/>
          <w:highlight w:val="none"/>
        </w:rPr>
        <w:t>5</w:t>
      </w:r>
      <w:r>
        <w:rPr>
          <w:rFonts w:hint="eastAsia" w:ascii="宋体" w:hAnsi="宋体" w:cs="仿宋_GB2312"/>
          <w:color w:val="auto"/>
          <w:sz w:val="24"/>
          <w:highlight w:val="none"/>
        </w:rPr>
        <w:t>.如为联合体竞标,“供应商名称”处必须列明联合体各方名称，标注联合体牵头人名称，</w:t>
      </w:r>
      <w:r>
        <w:rPr>
          <w:rFonts w:hint="eastAsia" w:ascii="宋体" w:hAnsi="宋体" w:cs="仿宋_GB2312"/>
          <w:b/>
          <w:color w:val="auto"/>
          <w:sz w:val="24"/>
          <w:highlight w:val="none"/>
        </w:rPr>
        <w:t>否则其响应文件按无效响应处理。（采购人可根据项目情况自行修改是否需要联合体各方签字盖章）</w:t>
      </w:r>
    </w:p>
    <w:p w14:paraId="723850EC">
      <w:pPr>
        <w:spacing w:line="360" w:lineRule="auto"/>
        <w:ind w:firstLine="480" w:firstLineChars="200"/>
        <w:contextualSpacing/>
        <w:jc w:val="left"/>
        <w:rPr>
          <w:rFonts w:ascii="宋体" w:hAnsi="宋体" w:cs="仿宋_GB2312"/>
          <w:color w:val="auto"/>
          <w:sz w:val="24"/>
          <w:highlight w:val="none"/>
        </w:rPr>
      </w:pPr>
      <w:r>
        <w:rPr>
          <w:rFonts w:ascii="宋体" w:hAnsi="宋体" w:cs="仿宋_GB2312"/>
          <w:color w:val="auto"/>
          <w:sz w:val="24"/>
          <w:highlight w:val="none"/>
        </w:rPr>
        <w:t>6</w:t>
      </w:r>
      <w:r>
        <w:rPr>
          <w:rFonts w:hint="eastAsia" w:ascii="宋体" w:hAnsi="宋体" w:cs="仿宋_GB2312"/>
          <w:color w:val="auto"/>
          <w:sz w:val="24"/>
          <w:highlight w:val="none"/>
        </w:rPr>
        <w:t>.如为联合体竞标,盖章处须加盖联合体各方公章，</w:t>
      </w:r>
      <w:r>
        <w:rPr>
          <w:rFonts w:hint="eastAsia" w:ascii="宋体" w:hAnsi="宋体" w:cs="仿宋_GB2312"/>
          <w:b/>
          <w:color w:val="auto"/>
          <w:sz w:val="24"/>
          <w:highlight w:val="none"/>
        </w:rPr>
        <w:t>否则其响应文件按无效响应处理。</w:t>
      </w:r>
    </w:p>
    <w:p w14:paraId="5AD09C3A">
      <w:pPr>
        <w:spacing w:line="360" w:lineRule="auto"/>
        <w:ind w:firstLine="480" w:firstLineChars="200"/>
        <w:contextualSpacing/>
        <w:rPr>
          <w:rFonts w:ascii="宋体" w:hAnsi="宋体" w:cs="仿宋_GB2312"/>
          <w:b/>
          <w:color w:val="auto"/>
          <w:sz w:val="24"/>
          <w:highlight w:val="none"/>
        </w:rPr>
      </w:pPr>
      <w:r>
        <w:rPr>
          <w:rFonts w:ascii="宋体" w:hAnsi="宋体" w:cs="仿宋_GB2312"/>
          <w:color w:val="auto"/>
          <w:sz w:val="24"/>
          <w:highlight w:val="none"/>
        </w:rPr>
        <w:t>7</w:t>
      </w:r>
      <w:r>
        <w:rPr>
          <w:rFonts w:hint="eastAsia" w:ascii="宋体" w:hAnsi="宋体" w:cs="仿宋_GB2312"/>
          <w:color w:val="auto"/>
          <w:sz w:val="24"/>
          <w:highlight w:val="none"/>
        </w:rPr>
        <w:t>.</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否则其响应文件按无效响应处理。</w:t>
      </w:r>
      <w:r>
        <w:rPr>
          <w:rFonts w:hint="eastAsia" w:ascii="宋体" w:hAnsi="宋体" w:cs="仿宋_GB2312"/>
          <w:b/>
          <w:color w:val="auto"/>
          <w:sz w:val="24"/>
          <w:highlight w:val="none"/>
        </w:rPr>
        <w:t>（采购人可根据项目情况自行修改是否需要联合体各方签字盖章）</w:t>
      </w:r>
    </w:p>
    <w:p w14:paraId="1A52E131">
      <w:pPr>
        <w:spacing w:line="360" w:lineRule="auto"/>
        <w:ind w:right="-817" w:rightChars="-389" w:firstLine="2640" w:firstLineChars="1100"/>
        <w:contextualSpacing/>
        <w:rPr>
          <w:rFonts w:ascii="宋体" w:hAnsi="宋体" w:cs="仿宋_GB2312"/>
          <w:color w:val="auto"/>
          <w:sz w:val="24"/>
          <w:highlight w:val="none"/>
        </w:rPr>
      </w:pPr>
    </w:p>
    <w:p w14:paraId="277D6700">
      <w:pPr>
        <w:spacing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5EEE7F26">
      <w:pPr>
        <w:spacing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3E96F24D">
      <w:pPr>
        <w:spacing w:line="360" w:lineRule="auto"/>
        <w:ind w:right="-817" w:rightChars="-389" w:firstLine="4080" w:firstLineChars="1700"/>
        <w:contextualSpacing/>
        <w:rPr>
          <w:rFonts w:ascii="仿宋_GB2312" w:hAnsi="仿宋_GB2312" w:eastAsia="仿宋_GB2312" w:cs="仿宋_GB2312"/>
          <w:b/>
          <w:color w:val="auto"/>
          <w:sz w:val="32"/>
          <w:szCs w:val="32"/>
          <w:highlight w:val="none"/>
        </w:rPr>
      </w:pPr>
      <w:r>
        <w:rPr>
          <w:rFonts w:hint="eastAsia" w:ascii="宋体" w:hAnsi="宋体" w:cs="仿宋_GB2312"/>
          <w:color w:val="auto"/>
          <w:sz w:val="24"/>
          <w:highlight w:val="none"/>
        </w:rPr>
        <w:t>日期：   年   月   日</w:t>
      </w:r>
    </w:p>
    <w:p w14:paraId="2282EE51">
      <w:pPr>
        <w:spacing w:line="360" w:lineRule="auto"/>
        <w:rPr>
          <w:color w:val="auto"/>
          <w:spacing w:val="20"/>
          <w:szCs w:val="21"/>
          <w:highlight w:val="none"/>
          <w:u w:val="single"/>
        </w:rPr>
      </w:pPr>
    </w:p>
    <w:bookmarkEnd w:id="133"/>
    <w:p w14:paraId="64948B76">
      <w:pPr>
        <w:snapToGrid w:val="0"/>
        <w:spacing w:before="50" w:afterLines="50"/>
        <w:jc w:val="left"/>
        <w:rPr>
          <w:color w:val="auto"/>
          <w:szCs w:val="21"/>
          <w:highlight w:val="none"/>
        </w:rPr>
      </w:pPr>
    </w:p>
    <w:p w14:paraId="6C165686">
      <w:pPr>
        <w:snapToGrid w:val="0"/>
        <w:spacing w:beforeLines="50" w:after="50" w:line="440" w:lineRule="exact"/>
        <w:jc w:val="left"/>
        <w:outlineLvl w:val="1"/>
        <w:rPr>
          <w:color w:val="auto"/>
          <w:szCs w:val="21"/>
          <w:highlight w:val="none"/>
        </w:rPr>
        <w:sectPr>
          <w:pgSz w:w="11906" w:h="16838"/>
          <w:pgMar w:top="1418" w:right="1274" w:bottom="1418" w:left="1418" w:header="851" w:footer="992" w:gutter="0"/>
          <w:cols w:space="720" w:num="1"/>
          <w:docGrid w:linePitch="312" w:charSpace="0"/>
        </w:sectPr>
      </w:pPr>
    </w:p>
    <w:p w14:paraId="1B7DF80F">
      <w:pPr>
        <w:snapToGrid w:val="0"/>
        <w:spacing w:before="50" w:afterLines="50"/>
        <w:jc w:val="left"/>
        <w:rPr>
          <w:color w:val="auto"/>
          <w:szCs w:val="21"/>
          <w:highlight w:val="none"/>
        </w:rPr>
      </w:pPr>
      <w:r>
        <w:rPr>
          <w:rFonts w:hint="eastAsia"/>
          <w:color w:val="auto"/>
          <w:szCs w:val="21"/>
          <w:highlight w:val="none"/>
        </w:rPr>
        <w:t>3.</w:t>
      </w:r>
      <w:r>
        <w:rPr>
          <w:color w:val="auto"/>
          <w:szCs w:val="21"/>
          <w:highlight w:val="none"/>
        </w:rPr>
        <w:t>过低报价合理性的说明。（如有）</w:t>
      </w:r>
    </w:p>
    <w:p w14:paraId="120A0AB3">
      <w:pPr>
        <w:spacing w:line="360" w:lineRule="auto"/>
        <w:ind w:firstLine="420" w:firstLineChars="200"/>
        <w:rPr>
          <w:color w:val="auto"/>
          <w:szCs w:val="21"/>
          <w:highlight w:val="none"/>
        </w:rPr>
      </w:pPr>
      <w:bookmarkStart w:id="134" w:name="_Hlk21624143"/>
      <w:r>
        <w:rPr>
          <w:rFonts w:hint="eastAsia"/>
          <w:color w:val="auto"/>
          <w:szCs w:val="21"/>
          <w:highlight w:val="none"/>
        </w:rPr>
        <w:t>谈判小组</w:t>
      </w:r>
      <w:r>
        <w:rPr>
          <w:color w:val="auto"/>
          <w:szCs w:val="21"/>
          <w:highlight w:val="none"/>
        </w:rPr>
        <w:t>认为的报价</w:t>
      </w:r>
      <w:r>
        <w:rPr>
          <w:rFonts w:hint="eastAsia"/>
          <w:color w:val="auto"/>
          <w:szCs w:val="21"/>
          <w:highlight w:val="none"/>
        </w:rPr>
        <w:t>存在异常低价问题的情形</w:t>
      </w:r>
      <w:r>
        <w:rPr>
          <w:color w:val="auto"/>
          <w:szCs w:val="21"/>
          <w:highlight w:val="none"/>
        </w:rPr>
        <w:t>，供应商将被要求以书面方式提供</w:t>
      </w:r>
      <w:r>
        <w:rPr>
          <w:rFonts w:hint="eastAsia"/>
          <w:color w:val="auto"/>
          <w:szCs w:val="21"/>
          <w:highlight w:val="none"/>
        </w:rPr>
        <w:t>项目具体成本测算等与报价合理性相关的书面说明及必要的证明材料</w:t>
      </w:r>
      <w:r>
        <w:rPr>
          <w:color w:val="auto"/>
          <w:szCs w:val="21"/>
          <w:highlight w:val="none"/>
        </w:rPr>
        <w:t>。为避免在评审现场因未能及时提供说明而导致被</w:t>
      </w:r>
      <w:r>
        <w:rPr>
          <w:rFonts w:hint="eastAsia"/>
          <w:color w:val="auto"/>
          <w:szCs w:val="21"/>
          <w:highlight w:val="none"/>
        </w:rPr>
        <w:t>谈判小组</w:t>
      </w:r>
      <w:r>
        <w:rPr>
          <w:color w:val="auto"/>
          <w:szCs w:val="21"/>
          <w:highlight w:val="none"/>
        </w:rPr>
        <w:t>作为无效</w:t>
      </w:r>
      <w:r>
        <w:rPr>
          <w:rFonts w:hint="eastAsia"/>
          <w:color w:val="auto"/>
          <w:szCs w:val="21"/>
          <w:highlight w:val="none"/>
        </w:rPr>
        <w:t>响应</w:t>
      </w:r>
      <w:r>
        <w:rPr>
          <w:color w:val="auto"/>
          <w:szCs w:val="21"/>
          <w:highlight w:val="none"/>
        </w:rPr>
        <w:t>，供应商</w:t>
      </w:r>
      <w:r>
        <w:rPr>
          <w:rFonts w:hint="eastAsia"/>
          <w:color w:val="auto"/>
          <w:highlight w:val="none"/>
        </w:rPr>
        <w:t>自行决定是否</w:t>
      </w:r>
      <w:r>
        <w:rPr>
          <w:color w:val="auto"/>
          <w:kern w:val="1"/>
          <w:szCs w:val="21"/>
          <w:highlight w:val="none"/>
        </w:rPr>
        <w:t>直接在</w:t>
      </w:r>
      <w:r>
        <w:rPr>
          <w:color w:val="auto"/>
          <w:szCs w:val="21"/>
          <w:highlight w:val="none"/>
        </w:rPr>
        <w:t>此处</w:t>
      </w:r>
      <w:r>
        <w:rPr>
          <w:rFonts w:hint="eastAsia"/>
          <w:color w:val="auto"/>
          <w:szCs w:val="21"/>
          <w:highlight w:val="none"/>
        </w:rPr>
        <w:t>进行陈述</w:t>
      </w:r>
      <w:r>
        <w:rPr>
          <w:color w:val="auto"/>
          <w:szCs w:val="21"/>
          <w:highlight w:val="none"/>
        </w:rPr>
        <w:t>。格式自拟。</w:t>
      </w:r>
      <w:r>
        <w:rPr>
          <w:rFonts w:hint="eastAsia"/>
          <w:color w:val="auto"/>
          <w:szCs w:val="21"/>
          <w:highlight w:val="none"/>
        </w:rPr>
        <w:t>（</w:t>
      </w:r>
      <w:r>
        <w:rPr>
          <w:rFonts w:hint="eastAsia"/>
          <w:color w:val="auto"/>
          <w:kern w:val="1"/>
          <w:szCs w:val="21"/>
          <w:highlight w:val="none"/>
        </w:rPr>
        <w:t>具体要求详见第四章评审方法及标准“过低报价合理性的审查”</w:t>
      </w:r>
      <w:r>
        <w:rPr>
          <w:rFonts w:hint="eastAsia"/>
          <w:color w:val="auto"/>
          <w:szCs w:val="21"/>
          <w:highlight w:val="none"/>
        </w:rPr>
        <w:t>）</w:t>
      </w:r>
    </w:p>
    <w:p w14:paraId="5DB6D686">
      <w:pPr>
        <w:pStyle w:val="120"/>
        <w:jc w:val="center"/>
        <w:rPr>
          <w:b/>
          <w:bCs/>
          <w:color w:val="auto"/>
          <w:highlight w:val="none"/>
        </w:rPr>
      </w:pPr>
      <w:bookmarkStart w:id="135" w:name="_Hlk211331823"/>
    </w:p>
    <w:p w14:paraId="36B5DA14">
      <w:pPr>
        <w:pStyle w:val="120"/>
        <w:jc w:val="center"/>
        <w:rPr>
          <w:color w:val="auto"/>
          <w:highlight w:val="none"/>
        </w:rPr>
      </w:pPr>
      <w:r>
        <w:rPr>
          <w:rFonts w:hint="eastAsia"/>
          <w:b/>
          <w:bCs/>
          <w:color w:val="auto"/>
          <w:highlight w:val="none"/>
        </w:rPr>
        <w:t>产品成本测算表（参考格式）</w:t>
      </w:r>
    </w:p>
    <w:p w14:paraId="114EB823">
      <w:pPr>
        <w:spacing w:line="360" w:lineRule="auto"/>
        <w:rPr>
          <w:color w:val="auto"/>
          <w:highlight w:val="none"/>
        </w:rPr>
      </w:pPr>
    </w:p>
    <w:bookmarkEnd w:id="135"/>
    <w:tbl>
      <w:tblPr>
        <w:tblStyle w:val="51"/>
        <w:tblW w:w="452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348"/>
        <w:gridCol w:w="660"/>
        <w:gridCol w:w="490"/>
        <w:gridCol w:w="830"/>
        <w:gridCol w:w="1202"/>
        <w:gridCol w:w="972"/>
        <w:gridCol w:w="887"/>
        <w:gridCol w:w="1052"/>
        <w:gridCol w:w="780"/>
        <w:gridCol w:w="1019"/>
      </w:tblGrid>
      <w:tr w14:paraId="664177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245" w:type="pct"/>
            <w:shd w:val="clear" w:color="C3BD96" w:themeColor="background2" w:themeShade="BF" w:fill="auto"/>
            <w:vAlign w:val="center"/>
          </w:tcPr>
          <w:p w14:paraId="06D54AD0">
            <w:pPr>
              <w:ind w:left="-105" w:leftChars="-50" w:right="-105" w:rightChars="-50"/>
              <w:jc w:val="center"/>
              <w:rPr>
                <w:rFonts w:cs="宋体"/>
                <w:b/>
                <w:color w:val="auto"/>
                <w:highlight w:val="none"/>
              </w:rPr>
            </w:pPr>
            <w:r>
              <w:rPr>
                <w:rFonts w:hint="eastAsia" w:cs="仿宋_GB2312"/>
                <w:b/>
                <w:color w:val="auto"/>
                <w:highlight w:val="none"/>
              </w:rPr>
              <w:t>序号</w:t>
            </w:r>
          </w:p>
        </w:tc>
        <w:tc>
          <w:tcPr>
            <w:tcW w:w="201" w:type="pct"/>
            <w:shd w:val="clear" w:color="C3BD96" w:themeColor="background2" w:themeShade="BF" w:fill="auto"/>
            <w:vAlign w:val="center"/>
          </w:tcPr>
          <w:p w14:paraId="33497A01">
            <w:pPr>
              <w:spacing w:line="360" w:lineRule="auto"/>
              <w:ind w:left="-48" w:leftChars="-23" w:right="-65" w:rightChars="-31"/>
              <w:jc w:val="center"/>
              <w:rPr>
                <w:rFonts w:cs="宋体"/>
                <w:b/>
                <w:color w:val="auto"/>
                <w:highlight w:val="none"/>
              </w:rPr>
            </w:pPr>
            <w:r>
              <w:rPr>
                <w:rFonts w:hint="eastAsia" w:cs="宋体"/>
                <w:b/>
                <w:color w:val="auto"/>
                <w:highlight w:val="none"/>
              </w:rPr>
              <w:t>名称</w:t>
            </w:r>
          </w:p>
        </w:tc>
        <w:tc>
          <w:tcPr>
            <w:tcW w:w="380" w:type="pct"/>
            <w:shd w:val="clear" w:color="C3BD96" w:themeColor="background2" w:themeShade="BF" w:fill="auto"/>
            <w:vAlign w:val="center"/>
          </w:tcPr>
          <w:p w14:paraId="3B4CF6EE">
            <w:pPr>
              <w:spacing w:line="360" w:lineRule="auto"/>
              <w:ind w:left="-48" w:leftChars="-23" w:right="-65" w:rightChars="-31"/>
              <w:jc w:val="center"/>
              <w:rPr>
                <w:rFonts w:cs="宋体"/>
                <w:b/>
                <w:color w:val="auto"/>
                <w:highlight w:val="none"/>
              </w:rPr>
            </w:pPr>
            <w:r>
              <w:rPr>
                <w:rFonts w:hint="eastAsia"/>
                <w:b/>
                <w:color w:val="auto"/>
                <w:highlight w:val="none"/>
              </w:rPr>
              <w:t>品牌规格</w:t>
            </w:r>
          </w:p>
        </w:tc>
        <w:tc>
          <w:tcPr>
            <w:tcW w:w="282" w:type="pct"/>
            <w:tcBorders>
              <w:left w:val="single" w:color="auto" w:sz="4" w:space="0"/>
            </w:tcBorders>
            <w:shd w:val="clear" w:color="C3BD96" w:themeColor="background2" w:themeShade="BF" w:fill="auto"/>
            <w:vAlign w:val="center"/>
          </w:tcPr>
          <w:p w14:paraId="5316D710">
            <w:pPr>
              <w:spacing w:line="360" w:lineRule="auto"/>
              <w:ind w:left="-48" w:leftChars="-23" w:right="-65" w:rightChars="-31"/>
              <w:jc w:val="center"/>
              <w:rPr>
                <w:rFonts w:cs="宋体"/>
                <w:b/>
                <w:color w:val="auto"/>
                <w:highlight w:val="none"/>
              </w:rPr>
            </w:pPr>
            <w:r>
              <w:rPr>
                <w:rFonts w:hint="eastAsia" w:cs="宋体"/>
                <w:b/>
                <w:color w:val="auto"/>
                <w:highlight w:val="none"/>
              </w:rPr>
              <w:t>单位</w:t>
            </w:r>
          </w:p>
        </w:tc>
        <w:tc>
          <w:tcPr>
            <w:tcW w:w="478" w:type="pct"/>
            <w:tcBorders>
              <w:right w:val="single" w:color="auto" w:sz="4" w:space="0"/>
            </w:tcBorders>
            <w:shd w:val="clear" w:color="C3BD96" w:themeColor="background2" w:themeShade="BF" w:fill="auto"/>
            <w:vAlign w:val="center"/>
          </w:tcPr>
          <w:p w14:paraId="6A38C56B">
            <w:pPr>
              <w:spacing w:line="360" w:lineRule="auto"/>
              <w:ind w:left="-48" w:leftChars="-23" w:right="-65" w:rightChars="-31"/>
              <w:jc w:val="center"/>
              <w:rPr>
                <w:rFonts w:cs="宋体"/>
                <w:b/>
                <w:color w:val="auto"/>
                <w:highlight w:val="none"/>
              </w:rPr>
            </w:pPr>
            <w:r>
              <w:rPr>
                <w:rFonts w:hint="eastAsia" w:cs="宋体"/>
                <w:b/>
                <w:color w:val="auto"/>
                <w:highlight w:val="none"/>
              </w:rPr>
              <w:t>报价单价（</w:t>
            </w:r>
            <w:r>
              <w:rPr>
                <w:rFonts w:cs="宋体"/>
                <w:b/>
                <w:color w:val="auto"/>
                <w:highlight w:val="none"/>
              </w:rPr>
              <w:t>元）</w:t>
            </w:r>
          </w:p>
        </w:tc>
        <w:tc>
          <w:tcPr>
            <w:tcW w:w="692" w:type="pct"/>
            <w:shd w:val="clear" w:color="C3BD96" w:themeColor="background2" w:themeShade="BF" w:fill="auto"/>
            <w:vAlign w:val="center"/>
          </w:tcPr>
          <w:p w14:paraId="53E742C8">
            <w:pPr>
              <w:spacing w:line="360" w:lineRule="auto"/>
              <w:ind w:left="-48" w:leftChars="-23" w:right="-65" w:rightChars="-31"/>
              <w:jc w:val="center"/>
              <w:rPr>
                <w:rFonts w:cs="宋体"/>
                <w:b/>
                <w:color w:val="auto"/>
                <w:highlight w:val="none"/>
              </w:rPr>
            </w:pPr>
            <w:r>
              <w:rPr>
                <w:rFonts w:hint="eastAsia" w:cs="宋体"/>
                <w:b/>
                <w:color w:val="auto"/>
                <w:highlight w:val="none"/>
              </w:rPr>
              <w:t>成本项目</w:t>
            </w:r>
          </w:p>
          <w:p w14:paraId="5E364123">
            <w:pPr>
              <w:spacing w:line="360" w:lineRule="auto"/>
              <w:ind w:right="-65" w:rightChars="-31"/>
              <w:rPr>
                <w:rFonts w:cs="宋体"/>
                <w:b/>
                <w:color w:val="auto"/>
                <w:highlight w:val="none"/>
              </w:rPr>
            </w:pPr>
          </w:p>
        </w:tc>
        <w:tc>
          <w:tcPr>
            <w:tcW w:w="560" w:type="pct"/>
            <w:shd w:val="clear" w:color="C3BD96" w:themeColor="background2" w:themeShade="BF" w:fill="auto"/>
            <w:vAlign w:val="center"/>
          </w:tcPr>
          <w:p w14:paraId="590EE792">
            <w:pPr>
              <w:spacing w:line="360" w:lineRule="auto"/>
              <w:ind w:left="-48" w:leftChars="-23" w:right="-65" w:rightChars="-31"/>
              <w:jc w:val="center"/>
              <w:rPr>
                <w:rFonts w:cs="宋体"/>
                <w:b/>
                <w:color w:val="auto"/>
                <w:highlight w:val="none"/>
              </w:rPr>
            </w:pPr>
            <w:r>
              <w:rPr>
                <w:rFonts w:hint="eastAsia" w:cs="宋体"/>
                <w:b/>
                <w:color w:val="auto"/>
                <w:highlight w:val="none"/>
              </w:rPr>
              <w:t>具体明细</w:t>
            </w:r>
          </w:p>
          <w:p w14:paraId="3DB29155">
            <w:pPr>
              <w:spacing w:line="360" w:lineRule="auto"/>
              <w:ind w:left="-48" w:leftChars="-23" w:right="-65" w:rightChars="-31"/>
              <w:jc w:val="center"/>
              <w:rPr>
                <w:rFonts w:cs="宋体"/>
                <w:b/>
                <w:color w:val="auto"/>
                <w:highlight w:val="none"/>
              </w:rPr>
            </w:pPr>
          </w:p>
        </w:tc>
        <w:tc>
          <w:tcPr>
            <w:tcW w:w="511" w:type="pct"/>
            <w:shd w:val="clear" w:color="C3BD96" w:themeColor="background2" w:themeShade="BF" w:fill="auto"/>
            <w:vAlign w:val="center"/>
          </w:tcPr>
          <w:p w14:paraId="2BF5A508">
            <w:pPr>
              <w:spacing w:line="360" w:lineRule="auto"/>
              <w:ind w:left="-48" w:leftChars="-23" w:right="-65" w:rightChars="-31"/>
              <w:jc w:val="center"/>
              <w:rPr>
                <w:rFonts w:cs="宋体"/>
                <w:b/>
                <w:color w:val="auto"/>
                <w:highlight w:val="none"/>
              </w:rPr>
            </w:pPr>
            <w:r>
              <w:rPr>
                <w:rFonts w:hint="eastAsia" w:cs="宋体"/>
                <w:b/>
                <w:color w:val="auto"/>
                <w:highlight w:val="none"/>
              </w:rPr>
              <w:t>单位产品用量</w:t>
            </w:r>
          </w:p>
          <w:p w14:paraId="7215FF81">
            <w:pPr>
              <w:spacing w:line="360" w:lineRule="auto"/>
              <w:ind w:left="-48" w:leftChars="-23" w:right="-65" w:rightChars="-31"/>
              <w:jc w:val="center"/>
              <w:rPr>
                <w:rFonts w:cs="宋体"/>
                <w:b/>
                <w:color w:val="auto"/>
                <w:highlight w:val="none"/>
              </w:rPr>
            </w:pPr>
          </w:p>
        </w:tc>
        <w:tc>
          <w:tcPr>
            <w:tcW w:w="606" w:type="pct"/>
            <w:shd w:val="clear" w:color="C3BD96" w:themeColor="background2" w:themeShade="BF" w:fill="auto"/>
            <w:vAlign w:val="center"/>
          </w:tcPr>
          <w:p w14:paraId="0FE8757E">
            <w:pPr>
              <w:spacing w:line="360" w:lineRule="auto"/>
              <w:ind w:left="-48" w:leftChars="-23" w:right="-65" w:rightChars="-31"/>
              <w:jc w:val="center"/>
              <w:rPr>
                <w:rFonts w:cs="宋体"/>
                <w:b/>
                <w:color w:val="auto"/>
                <w:highlight w:val="none"/>
              </w:rPr>
            </w:pPr>
            <w:r>
              <w:rPr>
                <w:rFonts w:hint="eastAsia" w:cs="宋体"/>
                <w:b/>
                <w:color w:val="auto"/>
                <w:highlight w:val="none"/>
              </w:rPr>
              <w:t>单位成本（元）</w:t>
            </w:r>
          </w:p>
        </w:tc>
        <w:tc>
          <w:tcPr>
            <w:tcW w:w="449" w:type="pct"/>
            <w:tcBorders>
              <w:left w:val="single" w:color="auto" w:sz="4" w:space="0"/>
            </w:tcBorders>
            <w:shd w:val="clear" w:color="C3BD96" w:themeColor="background2" w:themeShade="BF" w:fill="auto"/>
            <w:vAlign w:val="center"/>
          </w:tcPr>
          <w:p w14:paraId="7E0ACE10">
            <w:pPr>
              <w:spacing w:line="360" w:lineRule="auto"/>
              <w:ind w:left="-48" w:leftChars="-23" w:right="-65" w:rightChars="-31"/>
              <w:jc w:val="center"/>
              <w:rPr>
                <w:rFonts w:cs="宋体"/>
                <w:b/>
                <w:color w:val="auto"/>
                <w:highlight w:val="none"/>
              </w:rPr>
            </w:pPr>
            <w:r>
              <w:rPr>
                <w:rFonts w:hint="eastAsia" w:cs="宋体"/>
                <w:b/>
                <w:color w:val="auto"/>
                <w:highlight w:val="none"/>
              </w:rPr>
              <w:t>成本</w:t>
            </w:r>
            <w:r>
              <w:rPr>
                <w:rFonts w:cs="宋体"/>
                <w:b/>
                <w:color w:val="auto"/>
                <w:highlight w:val="none"/>
              </w:rPr>
              <w:t>合计（元）</w:t>
            </w:r>
          </w:p>
        </w:tc>
        <w:tc>
          <w:tcPr>
            <w:tcW w:w="587" w:type="pct"/>
            <w:tcBorders>
              <w:left w:val="single" w:color="auto" w:sz="4" w:space="0"/>
            </w:tcBorders>
            <w:shd w:val="clear" w:color="C3BD96" w:themeColor="background2" w:themeShade="BF" w:fill="auto"/>
            <w:vAlign w:val="center"/>
          </w:tcPr>
          <w:p w14:paraId="20295713">
            <w:pPr>
              <w:spacing w:line="360" w:lineRule="auto"/>
              <w:ind w:left="-48" w:leftChars="-23" w:right="-65" w:rightChars="-31"/>
              <w:jc w:val="center"/>
              <w:rPr>
                <w:rFonts w:cs="宋体"/>
                <w:b/>
                <w:color w:val="auto"/>
                <w:highlight w:val="none"/>
              </w:rPr>
            </w:pPr>
            <w:r>
              <w:rPr>
                <w:rFonts w:hint="eastAsia" w:cs="宋体"/>
                <w:b/>
                <w:color w:val="auto"/>
                <w:highlight w:val="none"/>
              </w:rPr>
              <w:t>备注（测算依据/证明材料）</w:t>
            </w:r>
          </w:p>
        </w:tc>
      </w:tr>
      <w:tr w14:paraId="4F0D06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restart"/>
            <w:shd w:val="clear" w:color="auto" w:fill="auto"/>
            <w:vAlign w:val="center"/>
          </w:tcPr>
          <w:p w14:paraId="705FCA17">
            <w:pPr>
              <w:numPr>
                <w:ilvl w:val="0"/>
                <w:numId w:val="2"/>
              </w:numPr>
              <w:tabs>
                <w:tab w:val="left" w:pos="61"/>
              </w:tabs>
              <w:jc w:val="center"/>
              <w:rPr>
                <w:color w:val="auto"/>
                <w:highlight w:val="none"/>
              </w:rPr>
            </w:pPr>
          </w:p>
        </w:tc>
        <w:tc>
          <w:tcPr>
            <w:tcW w:w="201" w:type="pct"/>
            <w:vMerge w:val="restart"/>
            <w:shd w:val="clear" w:color="auto" w:fill="auto"/>
            <w:vAlign w:val="center"/>
          </w:tcPr>
          <w:p w14:paraId="1013016E">
            <w:pPr>
              <w:tabs>
                <w:tab w:val="left" w:pos="0"/>
                <w:tab w:val="left" w:pos="56"/>
              </w:tabs>
              <w:ind w:left="479" w:hanging="478" w:hangingChars="228"/>
              <w:jc w:val="center"/>
              <w:rPr>
                <w:color w:val="auto"/>
                <w:highlight w:val="none"/>
              </w:rPr>
            </w:pPr>
          </w:p>
        </w:tc>
        <w:tc>
          <w:tcPr>
            <w:tcW w:w="380" w:type="pct"/>
            <w:vMerge w:val="restart"/>
            <w:shd w:val="clear" w:color="auto" w:fill="auto"/>
            <w:vAlign w:val="center"/>
          </w:tcPr>
          <w:p w14:paraId="3F3BB31A">
            <w:pPr>
              <w:spacing w:line="240" w:lineRule="atLeast"/>
              <w:ind w:left="-48" w:leftChars="-23" w:right="-65" w:rightChars="-31"/>
              <w:jc w:val="left"/>
              <w:rPr>
                <w:rFonts w:cs="宋体"/>
                <w:color w:val="auto"/>
                <w:highlight w:val="none"/>
              </w:rPr>
            </w:pPr>
          </w:p>
        </w:tc>
        <w:tc>
          <w:tcPr>
            <w:tcW w:w="282" w:type="pct"/>
            <w:vMerge w:val="restart"/>
            <w:tcBorders>
              <w:left w:val="single" w:color="auto" w:sz="4" w:space="0"/>
            </w:tcBorders>
            <w:shd w:val="clear" w:color="auto" w:fill="auto"/>
            <w:vAlign w:val="center"/>
          </w:tcPr>
          <w:p w14:paraId="01285F7F">
            <w:pPr>
              <w:spacing w:line="240" w:lineRule="atLeast"/>
              <w:ind w:left="-48" w:leftChars="-23" w:right="-65" w:rightChars="-31"/>
              <w:jc w:val="left"/>
              <w:rPr>
                <w:rFonts w:cs="宋体"/>
                <w:color w:val="auto"/>
                <w:highlight w:val="none"/>
              </w:rPr>
            </w:pPr>
          </w:p>
        </w:tc>
        <w:tc>
          <w:tcPr>
            <w:tcW w:w="478" w:type="pct"/>
            <w:vMerge w:val="restart"/>
            <w:tcBorders>
              <w:left w:val="single" w:color="auto" w:sz="4" w:space="0"/>
              <w:right w:val="single" w:color="auto" w:sz="4" w:space="0"/>
            </w:tcBorders>
            <w:shd w:val="clear" w:color="auto" w:fill="auto"/>
            <w:vAlign w:val="center"/>
          </w:tcPr>
          <w:p w14:paraId="7B6C7E5A">
            <w:pPr>
              <w:spacing w:line="240" w:lineRule="atLeast"/>
              <w:ind w:left="-48" w:leftChars="-23" w:right="-65" w:rightChars="-31"/>
              <w:jc w:val="left"/>
              <w:rPr>
                <w:rFonts w:cs="宋体"/>
                <w:color w:val="auto"/>
                <w:highlight w:val="none"/>
              </w:rPr>
            </w:pPr>
          </w:p>
        </w:tc>
        <w:tc>
          <w:tcPr>
            <w:tcW w:w="692" w:type="pct"/>
            <w:vMerge w:val="restart"/>
            <w:tcBorders>
              <w:left w:val="single" w:color="auto" w:sz="4" w:space="0"/>
              <w:right w:val="single" w:color="auto" w:sz="4" w:space="0"/>
            </w:tcBorders>
            <w:vAlign w:val="center"/>
          </w:tcPr>
          <w:p w14:paraId="3310C0CF">
            <w:pPr>
              <w:spacing w:line="240" w:lineRule="atLeast"/>
              <w:ind w:left="-48" w:leftChars="-23" w:right="-65" w:rightChars="-31"/>
              <w:jc w:val="left"/>
              <w:rPr>
                <w:rFonts w:cs="宋体"/>
                <w:color w:val="auto"/>
                <w:highlight w:val="none"/>
              </w:rPr>
            </w:pPr>
            <w:r>
              <w:rPr>
                <w:rFonts w:hint="eastAsia" w:cs="宋体"/>
                <w:color w:val="auto"/>
                <w:highlight w:val="none"/>
              </w:rPr>
              <w:t>原材料成本</w:t>
            </w:r>
          </w:p>
        </w:tc>
        <w:tc>
          <w:tcPr>
            <w:tcW w:w="560" w:type="pct"/>
            <w:tcBorders>
              <w:left w:val="single" w:color="auto" w:sz="4" w:space="0"/>
            </w:tcBorders>
            <w:shd w:val="clear" w:color="auto" w:fill="auto"/>
            <w:vAlign w:val="center"/>
          </w:tcPr>
          <w:p w14:paraId="3FB6B368">
            <w:pPr>
              <w:spacing w:line="240" w:lineRule="atLeast"/>
              <w:ind w:left="-48" w:leftChars="-23" w:right="-65" w:rightChars="-31"/>
              <w:jc w:val="left"/>
              <w:rPr>
                <w:rFonts w:cs="宋体"/>
                <w:color w:val="auto"/>
                <w:highlight w:val="none"/>
              </w:rPr>
            </w:pPr>
            <w:r>
              <w:rPr>
                <w:rFonts w:cs="宋体"/>
                <w:color w:val="auto"/>
                <w:highlight w:val="none"/>
              </w:rPr>
              <w:t>原材料1</w:t>
            </w:r>
          </w:p>
        </w:tc>
        <w:tc>
          <w:tcPr>
            <w:tcW w:w="511" w:type="pct"/>
            <w:tcBorders>
              <w:left w:val="single" w:color="auto" w:sz="4" w:space="0"/>
            </w:tcBorders>
            <w:shd w:val="clear" w:color="auto" w:fill="auto"/>
            <w:vAlign w:val="center"/>
          </w:tcPr>
          <w:p w14:paraId="7CF9AADD">
            <w:pPr>
              <w:spacing w:line="240" w:lineRule="atLeast"/>
              <w:ind w:left="-48" w:leftChars="-23" w:right="-65" w:rightChars="-31"/>
              <w:jc w:val="left"/>
              <w:rPr>
                <w:rFonts w:cs="宋体"/>
                <w:color w:val="auto"/>
                <w:highlight w:val="none"/>
              </w:rPr>
            </w:pPr>
          </w:p>
        </w:tc>
        <w:tc>
          <w:tcPr>
            <w:tcW w:w="606" w:type="pct"/>
            <w:tcBorders>
              <w:left w:val="single" w:color="auto" w:sz="4" w:space="0"/>
            </w:tcBorders>
            <w:shd w:val="clear" w:color="auto" w:fill="auto"/>
            <w:vAlign w:val="center"/>
          </w:tcPr>
          <w:p w14:paraId="5B8C3BDF">
            <w:pPr>
              <w:spacing w:line="240" w:lineRule="atLeast"/>
              <w:ind w:left="-48" w:leftChars="-23" w:right="-65" w:rightChars="-31"/>
              <w:jc w:val="left"/>
              <w:rPr>
                <w:rFonts w:cs="宋体"/>
                <w:color w:val="auto"/>
                <w:highlight w:val="none"/>
              </w:rPr>
            </w:pPr>
          </w:p>
        </w:tc>
        <w:tc>
          <w:tcPr>
            <w:tcW w:w="449" w:type="pct"/>
            <w:vMerge w:val="restart"/>
            <w:tcBorders>
              <w:left w:val="single" w:color="auto" w:sz="4" w:space="0"/>
            </w:tcBorders>
            <w:shd w:val="clear" w:color="auto" w:fill="auto"/>
            <w:vAlign w:val="center"/>
          </w:tcPr>
          <w:p w14:paraId="5729A4EE">
            <w:pPr>
              <w:spacing w:line="240" w:lineRule="atLeast"/>
              <w:ind w:left="-48" w:leftChars="-23" w:right="-65" w:rightChars="-31"/>
              <w:jc w:val="left"/>
              <w:rPr>
                <w:rFonts w:cs="宋体"/>
                <w:color w:val="auto"/>
                <w:highlight w:val="none"/>
              </w:rPr>
            </w:pPr>
          </w:p>
        </w:tc>
        <w:tc>
          <w:tcPr>
            <w:tcW w:w="587" w:type="pct"/>
            <w:tcBorders>
              <w:left w:val="single" w:color="auto" w:sz="4" w:space="0"/>
            </w:tcBorders>
            <w:shd w:val="clear" w:color="auto" w:fill="auto"/>
            <w:vAlign w:val="center"/>
          </w:tcPr>
          <w:p w14:paraId="2AEBC642">
            <w:pPr>
              <w:spacing w:line="240" w:lineRule="atLeast"/>
              <w:ind w:left="-48" w:leftChars="-23" w:right="-65" w:rightChars="-31"/>
              <w:jc w:val="left"/>
              <w:rPr>
                <w:rFonts w:cs="宋体"/>
                <w:color w:val="auto"/>
                <w:highlight w:val="none"/>
              </w:rPr>
            </w:pPr>
          </w:p>
        </w:tc>
      </w:tr>
      <w:tr w14:paraId="761E11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15747FCB">
            <w:pPr>
              <w:numPr>
                <w:ilvl w:val="0"/>
                <w:numId w:val="2"/>
              </w:numPr>
              <w:tabs>
                <w:tab w:val="left" w:pos="61"/>
              </w:tabs>
              <w:jc w:val="center"/>
              <w:rPr>
                <w:color w:val="auto"/>
                <w:highlight w:val="none"/>
              </w:rPr>
            </w:pPr>
          </w:p>
        </w:tc>
        <w:tc>
          <w:tcPr>
            <w:tcW w:w="201" w:type="pct"/>
            <w:vMerge w:val="continue"/>
            <w:shd w:val="clear" w:color="auto" w:fill="auto"/>
            <w:vAlign w:val="center"/>
          </w:tcPr>
          <w:p w14:paraId="7DC2318B">
            <w:pPr>
              <w:tabs>
                <w:tab w:val="left" w:pos="0"/>
                <w:tab w:val="left" w:pos="56"/>
              </w:tabs>
              <w:ind w:left="479" w:hanging="478" w:hangingChars="228"/>
              <w:jc w:val="center"/>
              <w:rPr>
                <w:color w:val="auto"/>
                <w:highlight w:val="none"/>
              </w:rPr>
            </w:pPr>
          </w:p>
        </w:tc>
        <w:tc>
          <w:tcPr>
            <w:tcW w:w="380" w:type="pct"/>
            <w:vMerge w:val="continue"/>
            <w:shd w:val="clear" w:color="auto" w:fill="auto"/>
            <w:vAlign w:val="center"/>
          </w:tcPr>
          <w:p w14:paraId="1E07E40E">
            <w:pP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shd w:val="clear" w:color="auto" w:fill="auto"/>
            <w:vAlign w:val="center"/>
          </w:tcPr>
          <w:p w14:paraId="4189650B">
            <w:pP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shd w:val="clear" w:color="auto" w:fill="auto"/>
            <w:vAlign w:val="center"/>
          </w:tcPr>
          <w:p w14:paraId="49EC0CA3">
            <w:pPr>
              <w:spacing w:line="240" w:lineRule="atLeast"/>
              <w:ind w:left="-48" w:leftChars="-23" w:right="-65" w:rightChars="-31"/>
              <w:jc w:val="left"/>
              <w:rPr>
                <w:rFonts w:cs="宋体"/>
                <w:color w:val="auto"/>
                <w:highlight w:val="none"/>
              </w:rPr>
            </w:pPr>
          </w:p>
        </w:tc>
        <w:tc>
          <w:tcPr>
            <w:tcW w:w="692" w:type="pct"/>
            <w:vMerge w:val="continue"/>
            <w:tcBorders>
              <w:left w:val="single" w:color="auto" w:sz="4" w:space="0"/>
              <w:right w:val="single" w:color="auto" w:sz="4" w:space="0"/>
            </w:tcBorders>
            <w:vAlign w:val="center"/>
          </w:tcPr>
          <w:p w14:paraId="6BDF7533">
            <w:pPr>
              <w:spacing w:line="240" w:lineRule="atLeast"/>
              <w:ind w:left="-48" w:leftChars="-23" w:right="-65" w:rightChars="-31"/>
              <w:jc w:val="left"/>
              <w:rPr>
                <w:rFonts w:cs="宋体"/>
                <w:color w:val="auto"/>
                <w:highlight w:val="none"/>
              </w:rPr>
            </w:pPr>
          </w:p>
        </w:tc>
        <w:tc>
          <w:tcPr>
            <w:tcW w:w="560" w:type="pct"/>
            <w:tcBorders>
              <w:left w:val="single" w:color="auto" w:sz="4" w:space="0"/>
            </w:tcBorders>
            <w:shd w:val="clear" w:color="auto" w:fill="auto"/>
            <w:vAlign w:val="center"/>
          </w:tcPr>
          <w:p w14:paraId="701835F5">
            <w:pPr>
              <w:spacing w:line="240" w:lineRule="atLeast"/>
              <w:ind w:left="-48" w:leftChars="-23" w:right="-65" w:rightChars="-31"/>
              <w:jc w:val="left"/>
              <w:rPr>
                <w:rFonts w:cs="宋体"/>
                <w:color w:val="auto"/>
                <w:highlight w:val="none"/>
              </w:rPr>
            </w:pPr>
            <w:r>
              <w:rPr>
                <w:rFonts w:hint="eastAsia" w:cs="宋体"/>
                <w:color w:val="auto"/>
                <w:highlight w:val="none"/>
              </w:rPr>
              <w:t>...</w:t>
            </w:r>
          </w:p>
        </w:tc>
        <w:tc>
          <w:tcPr>
            <w:tcW w:w="511" w:type="pct"/>
            <w:tcBorders>
              <w:left w:val="single" w:color="auto" w:sz="4" w:space="0"/>
            </w:tcBorders>
            <w:shd w:val="clear" w:color="auto" w:fill="auto"/>
            <w:vAlign w:val="center"/>
          </w:tcPr>
          <w:p w14:paraId="31DA1663">
            <w:pPr>
              <w:spacing w:line="240" w:lineRule="atLeast"/>
              <w:ind w:left="-48" w:leftChars="-23" w:right="-65" w:rightChars="-31"/>
              <w:jc w:val="left"/>
              <w:rPr>
                <w:rFonts w:cs="宋体"/>
                <w:color w:val="auto"/>
                <w:highlight w:val="none"/>
              </w:rPr>
            </w:pPr>
          </w:p>
        </w:tc>
        <w:tc>
          <w:tcPr>
            <w:tcW w:w="606" w:type="pct"/>
            <w:tcBorders>
              <w:left w:val="single" w:color="auto" w:sz="4" w:space="0"/>
            </w:tcBorders>
            <w:shd w:val="clear" w:color="auto" w:fill="auto"/>
            <w:vAlign w:val="center"/>
          </w:tcPr>
          <w:p w14:paraId="039424B7">
            <w:pP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shd w:val="clear" w:color="auto" w:fill="auto"/>
            <w:vAlign w:val="center"/>
          </w:tcPr>
          <w:p w14:paraId="445DC47A">
            <w:pPr>
              <w:spacing w:line="240" w:lineRule="atLeast"/>
              <w:ind w:left="-48" w:leftChars="-23" w:right="-65" w:rightChars="-31"/>
              <w:jc w:val="left"/>
              <w:rPr>
                <w:rFonts w:cs="宋体"/>
                <w:color w:val="auto"/>
                <w:highlight w:val="none"/>
              </w:rPr>
            </w:pPr>
          </w:p>
        </w:tc>
        <w:tc>
          <w:tcPr>
            <w:tcW w:w="587" w:type="pct"/>
            <w:tcBorders>
              <w:left w:val="single" w:color="auto" w:sz="4" w:space="0"/>
            </w:tcBorders>
            <w:shd w:val="clear" w:color="auto" w:fill="auto"/>
            <w:vAlign w:val="center"/>
          </w:tcPr>
          <w:p w14:paraId="79628FE8">
            <w:pPr>
              <w:spacing w:line="240" w:lineRule="atLeast"/>
              <w:ind w:left="-48" w:leftChars="-23" w:right="-65" w:rightChars="-31"/>
              <w:jc w:val="left"/>
              <w:rPr>
                <w:rFonts w:cs="宋体"/>
                <w:color w:val="auto"/>
                <w:highlight w:val="none"/>
              </w:rPr>
            </w:pPr>
          </w:p>
        </w:tc>
      </w:tr>
      <w:tr w14:paraId="0FD384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0EEC650D">
            <w:pPr>
              <w:tabs>
                <w:tab w:val="left" w:pos="61"/>
              </w:tabs>
              <w:jc w:val="center"/>
              <w:rPr>
                <w:color w:val="auto"/>
                <w:highlight w:val="none"/>
              </w:rPr>
            </w:pPr>
          </w:p>
        </w:tc>
        <w:tc>
          <w:tcPr>
            <w:tcW w:w="201" w:type="pct"/>
            <w:vMerge w:val="continue"/>
            <w:shd w:val="clear" w:color="auto" w:fill="auto"/>
            <w:vAlign w:val="center"/>
          </w:tcPr>
          <w:p w14:paraId="6CC8D44F">
            <w:pPr>
              <w:tabs>
                <w:tab w:val="left" w:pos="0"/>
                <w:tab w:val="left" w:pos="56"/>
              </w:tabs>
              <w:ind w:left="479" w:hanging="478" w:hangingChars="228"/>
              <w:jc w:val="center"/>
              <w:rPr>
                <w:color w:val="auto"/>
                <w:highlight w:val="none"/>
              </w:rPr>
            </w:pPr>
          </w:p>
        </w:tc>
        <w:tc>
          <w:tcPr>
            <w:tcW w:w="380" w:type="pct"/>
            <w:vMerge w:val="continue"/>
            <w:shd w:val="clear" w:color="auto" w:fill="auto"/>
            <w:vAlign w:val="center"/>
          </w:tcPr>
          <w:p w14:paraId="03617CCD">
            <w:pP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shd w:val="clear" w:color="auto" w:fill="auto"/>
            <w:vAlign w:val="center"/>
          </w:tcPr>
          <w:p w14:paraId="1EA939AA">
            <w:pP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shd w:val="clear" w:color="auto" w:fill="auto"/>
            <w:vAlign w:val="center"/>
          </w:tcPr>
          <w:p w14:paraId="3205B3E5">
            <w:pPr>
              <w:spacing w:line="240" w:lineRule="atLeast"/>
              <w:ind w:left="-48" w:leftChars="-23" w:right="-65" w:rightChars="-31"/>
              <w:jc w:val="left"/>
              <w:rPr>
                <w:rFonts w:cs="宋体"/>
                <w:color w:val="auto"/>
                <w:highlight w:val="none"/>
              </w:rPr>
            </w:pPr>
          </w:p>
        </w:tc>
        <w:tc>
          <w:tcPr>
            <w:tcW w:w="692" w:type="pct"/>
            <w:vMerge w:val="restart"/>
            <w:tcBorders>
              <w:left w:val="single" w:color="auto" w:sz="4" w:space="0"/>
              <w:right w:val="single" w:color="auto" w:sz="4" w:space="0"/>
            </w:tcBorders>
            <w:vAlign w:val="center"/>
          </w:tcPr>
          <w:p w14:paraId="25CDD929">
            <w:pPr>
              <w:spacing w:line="240" w:lineRule="atLeast"/>
              <w:ind w:left="-48" w:leftChars="-23" w:right="-65" w:rightChars="-31"/>
              <w:jc w:val="left"/>
              <w:rPr>
                <w:rFonts w:cs="宋体"/>
                <w:color w:val="auto"/>
                <w:highlight w:val="none"/>
              </w:rPr>
            </w:pPr>
            <w:r>
              <w:rPr>
                <w:rFonts w:hint="eastAsia" w:cs="宋体"/>
                <w:color w:val="auto"/>
                <w:highlight w:val="none"/>
              </w:rPr>
              <w:t>人工成本</w:t>
            </w:r>
          </w:p>
        </w:tc>
        <w:tc>
          <w:tcPr>
            <w:tcW w:w="560" w:type="pct"/>
            <w:tcBorders>
              <w:left w:val="single" w:color="auto" w:sz="4" w:space="0"/>
            </w:tcBorders>
            <w:shd w:val="clear" w:color="auto" w:fill="auto"/>
            <w:vAlign w:val="center"/>
          </w:tcPr>
          <w:p w14:paraId="3FF0A146">
            <w:pPr>
              <w:spacing w:line="240" w:lineRule="atLeast"/>
              <w:ind w:left="-48" w:leftChars="-23" w:right="-65" w:rightChars="-31"/>
              <w:jc w:val="left"/>
              <w:rPr>
                <w:rFonts w:cs="宋体"/>
                <w:color w:val="auto"/>
                <w:highlight w:val="none"/>
              </w:rPr>
            </w:pPr>
            <w:r>
              <w:rPr>
                <w:rFonts w:cs="宋体"/>
                <w:color w:val="auto"/>
                <w:highlight w:val="none"/>
              </w:rPr>
              <w:t>生产工人工资</w:t>
            </w:r>
          </w:p>
        </w:tc>
        <w:tc>
          <w:tcPr>
            <w:tcW w:w="511" w:type="pct"/>
            <w:tcBorders>
              <w:left w:val="single" w:color="auto" w:sz="4" w:space="0"/>
            </w:tcBorders>
            <w:shd w:val="clear" w:color="auto" w:fill="auto"/>
            <w:vAlign w:val="center"/>
          </w:tcPr>
          <w:p w14:paraId="4301C429">
            <w:pPr>
              <w:spacing w:line="240" w:lineRule="atLeast"/>
              <w:ind w:left="-48" w:leftChars="-23" w:right="-65" w:rightChars="-31"/>
              <w:jc w:val="left"/>
              <w:rPr>
                <w:rFonts w:cs="宋体"/>
                <w:color w:val="auto"/>
                <w:highlight w:val="none"/>
              </w:rPr>
            </w:pPr>
          </w:p>
        </w:tc>
        <w:tc>
          <w:tcPr>
            <w:tcW w:w="606" w:type="pct"/>
            <w:tcBorders>
              <w:left w:val="single" w:color="auto" w:sz="4" w:space="0"/>
            </w:tcBorders>
            <w:shd w:val="clear" w:color="auto" w:fill="auto"/>
            <w:vAlign w:val="center"/>
          </w:tcPr>
          <w:p w14:paraId="2E5D1181">
            <w:pP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shd w:val="clear" w:color="auto" w:fill="auto"/>
            <w:vAlign w:val="center"/>
          </w:tcPr>
          <w:p w14:paraId="62F234FF">
            <w:pPr>
              <w:spacing w:line="240" w:lineRule="atLeast"/>
              <w:ind w:left="-48" w:leftChars="-23" w:right="-65" w:rightChars="-31"/>
              <w:jc w:val="left"/>
              <w:rPr>
                <w:rFonts w:cs="宋体"/>
                <w:color w:val="auto"/>
                <w:highlight w:val="none"/>
              </w:rPr>
            </w:pPr>
          </w:p>
        </w:tc>
        <w:tc>
          <w:tcPr>
            <w:tcW w:w="587" w:type="pct"/>
            <w:tcBorders>
              <w:left w:val="single" w:color="auto" w:sz="4" w:space="0"/>
            </w:tcBorders>
            <w:shd w:val="clear" w:color="auto" w:fill="auto"/>
            <w:vAlign w:val="center"/>
          </w:tcPr>
          <w:p w14:paraId="6F9524FD">
            <w:pPr>
              <w:spacing w:line="240" w:lineRule="atLeast"/>
              <w:ind w:left="-48" w:leftChars="-23" w:right="-65" w:rightChars="-31"/>
              <w:jc w:val="left"/>
              <w:rPr>
                <w:rFonts w:cs="宋体"/>
                <w:color w:val="auto"/>
                <w:highlight w:val="none"/>
              </w:rPr>
            </w:pPr>
          </w:p>
        </w:tc>
      </w:tr>
      <w:tr w14:paraId="1BD95B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57154992">
            <w:pPr>
              <w:tabs>
                <w:tab w:val="left" w:pos="61"/>
              </w:tabs>
              <w:jc w:val="center"/>
              <w:rPr>
                <w:color w:val="auto"/>
                <w:highlight w:val="none"/>
              </w:rPr>
            </w:pPr>
          </w:p>
        </w:tc>
        <w:tc>
          <w:tcPr>
            <w:tcW w:w="201" w:type="pct"/>
            <w:vMerge w:val="continue"/>
            <w:shd w:val="clear" w:color="auto" w:fill="auto"/>
            <w:vAlign w:val="center"/>
          </w:tcPr>
          <w:p w14:paraId="37F74E41">
            <w:pPr>
              <w:tabs>
                <w:tab w:val="left" w:pos="0"/>
                <w:tab w:val="left" w:pos="56"/>
              </w:tabs>
              <w:ind w:left="479" w:hanging="478" w:hangingChars="228"/>
              <w:jc w:val="center"/>
              <w:rPr>
                <w:color w:val="auto"/>
                <w:highlight w:val="none"/>
              </w:rPr>
            </w:pPr>
          </w:p>
        </w:tc>
        <w:tc>
          <w:tcPr>
            <w:tcW w:w="380" w:type="pct"/>
            <w:vMerge w:val="continue"/>
            <w:shd w:val="clear" w:color="auto" w:fill="auto"/>
            <w:vAlign w:val="center"/>
          </w:tcPr>
          <w:p w14:paraId="579E43F9">
            <w:pP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shd w:val="clear" w:color="auto" w:fill="auto"/>
            <w:vAlign w:val="center"/>
          </w:tcPr>
          <w:p w14:paraId="1B4F5FB2">
            <w:pP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shd w:val="clear" w:color="auto" w:fill="auto"/>
            <w:vAlign w:val="center"/>
          </w:tcPr>
          <w:p w14:paraId="61225F19">
            <w:pPr>
              <w:spacing w:line="240" w:lineRule="atLeast"/>
              <w:ind w:left="-48" w:leftChars="-23" w:right="-65" w:rightChars="-31"/>
              <w:jc w:val="left"/>
              <w:rPr>
                <w:rFonts w:cs="宋体"/>
                <w:color w:val="auto"/>
                <w:highlight w:val="none"/>
              </w:rPr>
            </w:pPr>
          </w:p>
        </w:tc>
        <w:tc>
          <w:tcPr>
            <w:tcW w:w="692" w:type="pct"/>
            <w:vMerge w:val="continue"/>
            <w:tcBorders>
              <w:left w:val="single" w:color="auto" w:sz="4" w:space="0"/>
              <w:right w:val="single" w:color="auto" w:sz="4" w:space="0"/>
            </w:tcBorders>
            <w:vAlign w:val="center"/>
          </w:tcPr>
          <w:p w14:paraId="49F7BDF4">
            <w:pPr>
              <w:spacing w:line="240" w:lineRule="atLeast"/>
              <w:ind w:left="-48" w:leftChars="-23" w:right="-65" w:rightChars="-31"/>
              <w:jc w:val="left"/>
              <w:rPr>
                <w:rFonts w:cs="宋体"/>
                <w:color w:val="auto"/>
                <w:highlight w:val="none"/>
              </w:rPr>
            </w:pPr>
          </w:p>
        </w:tc>
        <w:tc>
          <w:tcPr>
            <w:tcW w:w="560" w:type="pct"/>
            <w:tcBorders>
              <w:left w:val="single" w:color="auto" w:sz="4" w:space="0"/>
            </w:tcBorders>
            <w:shd w:val="clear" w:color="auto" w:fill="auto"/>
            <w:vAlign w:val="center"/>
          </w:tcPr>
          <w:p w14:paraId="3E54CC1B">
            <w:pPr>
              <w:spacing w:line="240" w:lineRule="atLeast"/>
              <w:ind w:left="-48" w:leftChars="-23" w:right="-65" w:rightChars="-31"/>
              <w:jc w:val="left"/>
              <w:rPr>
                <w:rFonts w:cs="宋体"/>
                <w:color w:val="auto"/>
                <w:highlight w:val="none"/>
              </w:rPr>
            </w:pPr>
            <w:r>
              <w:rPr>
                <w:rFonts w:hint="eastAsia" w:cs="宋体"/>
                <w:color w:val="auto"/>
                <w:highlight w:val="none"/>
              </w:rPr>
              <w:t>....</w:t>
            </w:r>
          </w:p>
        </w:tc>
        <w:tc>
          <w:tcPr>
            <w:tcW w:w="511" w:type="pct"/>
            <w:tcBorders>
              <w:left w:val="single" w:color="auto" w:sz="4" w:space="0"/>
            </w:tcBorders>
            <w:shd w:val="clear" w:color="auto" w:fill="auto"/>
            <w:vAlign w:val="center"/>
          </w:tcPr>
          <w:p w14:paraId="1D0AC67C">
            <w:pPr>
              <w:spacing w:line="240" w:lineRule="atLeast"/>
              <w:ind w:left="-48" w:leftChars="-23" w:right="-65" w:rightChars="-31"/>
              <w:jc w:val="left"/>
              <w:rPr>
                <w:rFonts w:cs="宋体"/>
                <w:color w:val="auto"/>
                <w:highlight w:val="none"/>
              </w:rPr>
            </w:pPr>
          </w:p>
        </w:tc>
        <w:tc>
          <w:tcPr>
            <w:tcW w:w="606" w:type="pct"/>
            <w:tcBorders>
              <w:left w:val="single" w:color="auto" w:sz="4" w:space="0"/>
            </w:tcBorders>
            <w:shd w:val="clear" w:color="auto" w:fill="auto"/>
            <w:vAlign w:val="center"/>
          </w:tcPr>
          <w:p w14:paraId="0475833A">
            <w:pP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shd w:val="clear" w:color="auto" w:fill="auto"/>
            <w:vAlign w:val="center"/>
          </w:tcPr>
          <w:p w14:paraId="3310471C">
            <w:pPr>
              <w:spacing w:line="240" w:lineRule="atLeast"/>
              <w:ind w:left="-48" w:leftChars="-23" w:right="-65" w:rightChars="-31"/>
              <w:jc w:val="left"/>
              <w:rPr>
                <w:rFonts w:cs="宋体"/>
                <w:color w:val="auto"/>
                <w:highlight w:val="none"/>
              </w:rPr>
            </w:pPr>
          </w:p>
        </w:tc>
        <w:tc>
          <w:tcPr>
            <w:tcW w:w="587" w:type="pct"/>
            <w:tcBorders>
              <w:left w:val="single" w:color="auto" w:sz="4" w:space="0"/>
            </w:tcBorders>
            <w:shd w:val="clear" w:color="auto" w:fill="auto"/>
            <w:vAlign w:val="center"/>
          </w:tcPr>
          <w:p w14:paraId="6349823E">
            <w:pPr>
              <w:spacing w:line="240" w:lineRule="atLeast"/>
              <w:ind w:left="-48" w:leftChars="-23" w:right="-65" w:rightChars="-31"/>
              <w:jc w:val="left"/>
              <w:rPr>
                <w:rFonts w:cs="宋体"/>
                <w:color w:val="auto"/>
                <w:highlight w:val="none"/>
              </w:rPr>
            </w:pPr>
          </w:p>
        </w:tc>
      </w:tr>
      <w:tr w14:paraId="514AD9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75B21278">
            <w:pPr>
              <w:tabs>
                <w:tab w:val="left" w:pos="61"/>
              </w:tabs>
              <w:jc w:val="center"/>
              <w:rPr>
                <w:color w:val="auto"/>
                <w:highlight w:val="none"/>
              </w:rPr>
            </w:pPr>
          </w:p>
        </w:tc>
        <w:tc>
          <w:tcPr>
            <w:tcW w:w="201" w:type="pct"/>
            <w:vMerge w:val="continue"/>
            <w:shd w:val="clear" w:color="auto" w:fill="auto"/>
            <w:vAlign w:val="center"/>
          </w:tcPr>
          <w:p w14:paraId="65A7D5FC">
            <w:pPr>
              <w:tabs>
                <w:tab w:val="left" w:pos="0"/>
                <w:tab w:val="left" w:pos="56"/>
              </w:tabs>
              <w:ind w:left="479" w:hanging="478" w:hangingChars="228"/>
              <w:jc w:val="center"/>
              <w:rPr>
                <w:color w:val="auto"/>
                <w:highlight w:val="none"/>
              </w:rPr>
            </w:pPr>
          </w:p>
        </w:tc>
        <w:tc>
          <w:tcPr>
            <w:tcW w:w="380" w:type="pct"/>
            <w:vMerge w:val="continue"/>
            <w:shd w:val="clear" w:color="auto" w:fill="auto"/>
            <w:vAlign w:val="center"/>
          </w:tcPr>
          <w:p w14:paraId="2D2B815E">
            <w:pP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shd w:val="clear" w:color="auto" w:fill="auto"/>
            <w:vAlign w:val="center"/>
          </w:tcPr>
          <w:p w14:paraId="5012BE43">
            <w:pP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shd w:val="clear" w:color="auto" w:fill="auto"/>
            <w:vAlign w:val="center"/>
          </w:tcPr>
          <w:p w14:paraId="6F69B8BD">
            <w:pPr>
              <w:spacing w:line="240" w:lineRule="atLeast"/>
              <w:ind w:left="-48" w:leftChars="-23" w:right="-65" w:rightChars="-31"/>
              <w:jc w:val="left"/>
              <w:rPr>
                <w:rFonts w:cs="宋体"/>
                <w:color w:val="auto"/>
                <w:highlight w:val="none"/>
              </w:rPr>
            </w:pPr>
          </w:p>
        </w:tc>
        <w:tc>
          <w:tcPr>
            <w:tcW w:w="692" w:type="pct"/>
            <w:vMerge w:val="restart"/>
            <w:tcBorders>
              <w:left w:val="single" w:color="auto" w:sz="4" w:space="0"/>
              <w:right w:val="single" w:color="auto" w:sz="4" w:space="0"/>
            </w:tcBorders>
            <w:vAlign w:val="center"/>
          </w:tcPr>
          <w:p w14:paraId="14DC6486">
            <w:pPr>
              <w:spacing w:line="240" w:lineRule="atLeast"/>
              <w:ind w:left="-48" w:leftChars="-23" w:right="-65" w:rightChars="-31"/>
              <w:jc w:val="left"/>
              <w:rPr>
                <w:rFonts w:cs="宋体"/>
                <w:color w:val="auto"/>
                <w:highlight w:val="none"/>
              </w:rPr>
            </w:pPr>
            <w:r>
              <w:rPr>
                <w:rFonts w:hint="eastAsia" w:cs="宋体"/>
                <w:color w:val="auto"/>
                <w:highlight w:val="none"/>
              </w:rPr>
              <w:t>制造费用</w:t>
            </w:r>
          </w:p>
        </w:tc>
        <w:tc>
          <w:tcPr>
            <w:tcW w:w="560" w:type="pct"/>
            <w:tcBorders>
              <w:left w:val="single" w:color="auto" w:sz="4" w:space="0"/>
            </w:tcBorders>
            <w:shd w:val="clear" w:color="auto" w:fill="auto"/>
            <w:vAlign w:val="center"/>
          </w:tcPr>
          <w:p w14:paraId="2DFF56B7">
            <w:pPr>
              <w:spacing w:line="240" w:lineRule="atLeast"/>
              <w:ind w:left="-48" w:leftChars="-23" w:right="-65" w:rightChars="-31"/>
              <w:jc w:val="left"/>
              <w:rPr>
                <w:rFonts w:cs="宋体"/>
                <w:color w:val="auto"/>
                <w:highlight w:val="none"/>
              </w:rPr>
            </w:pPr>
            <w:r>
              <w:rPr>
                <w:rFonts w:cs="宋体"/>
                <w:color w:val="auto"/>
                <w:highlight w:val="none"/>
              </w:rPr>
              <w:t>设备折旧费</w:t>
            </w:r>
          </w:p>
        </w:tc>
        <w:tc>
          <w:tcPr>
            <w:tcW w:w="511" w:type="pct"/>
            <w:tcBorders>
              <w:left w:val="single" w:color="auto" w:sz="4" w:space="0"/>
            </w:tcBorders>
            <w:shd w:val="clear" w:color="auto" w:fill="auto"/>
            <w:vAlign w:val="center"/>
          </w:tcPr>
          <w:p w14:paraId="47C37B52">
            <w:pPr>
              <w:spacing w:line="240" w:lineRule="atLeast"/>
              <w:ind w:left="-48" w:leftChars="-23" w:right="-65" w:rightChars="-31"/>
              <w:jc w:val="left"/>
              <w:rPr>
                <w:rFonts w:cs="宋体"/>
                <w:color w:val="auto"/>
                <w:highlight w:val="none"/>
              </w:rPr>
            </w:pPr>
          </w:p>
        </w:tc>
        <w:tc>
          <w:tcPr>
            <w:tcW w:w="606" w:type="pct"/>
            <w:tcBorders>
              <w:left w:val="single" w:color="auto" w:sz="4" w:space="0"/>
            </w:tcBorders>
            <w:shd w:val="clear" w:color="auto" w:fill="auto"/>
            <w:vAlign w:val="center"/>
          </w:tcPr>
          <w:p w14:paraId="6ED9328F">
            <w:pP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shd w:val="clear" w:color="auto" w:fill="auto"/>
            <w:vAlign w:val="center"/>
          </w:tcPr>
          <w:p w14:paraId="7F4B1A2D">
            <w:pPr>
              <w:spacing w:line="240" w:lineRule="atLeast"/>
              <w:ind w:left="-48" w:leftChars="-23" w:right="-65" w:rightChars="-31"/>
              <w:jc w:val="left"/>
              <w:rPr>
                <w:rFonts w:cs="宋体"/>
                <w:color w:val="auto"/>
                <w:highlight w:val="none"/>
              </w:rPr>
            </w:pPr>
          </w:p>
        </w:tc>
        <w:tc>
          <w:tcPr>
            <w:tcW w:w="587" w:type="pct"/>
            <w:tcBorders>
              <w:left w:val="single" w:color="auto" w:sz="4" w:space="0"/>
            </w:tcBorders>
            <w:shd w:val="clear" w:color="auto" w:fill="auto"/>
            <w:vAlign w:val="center"/>
          </w:tcPr>
          <w:p w14:paraId="52822EF5">
            <w:pPr>
              <w:spacing w:line="240" w:lineRule="atLeast"/>
              <w:ind w:left="-48" w:leftChars="-23" w:right="-65" w:rightChars="-31"/>
              <w:jc w:val="left"/>
              <w:rPr>
                <w:rFonts w:cs="宋体"/>
                <w:color w:val="auto"/>
                <w:highlight w:val="none"/>
              </w:rPr>
            </w:pPr>
          </w:p>
        </w:tc>
      </w:tr>
      <w:tr w14:paraId="247226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304FDA7B">
            <w:pPr>
              <w:tabs>
                <w:tab w:val="left" w:pos="61"/>
              </w:tabs>
              <w:jc w:val="center"/>
              <w:rPr>
                <w:color w:val="auto"/>
                <w:highlight w:val="none"/>
              </w:rPr>
            </w:pPr>
          </w:p>
        </w:tc>
        <w:tc>
          <w:tcPr>
            <w:tcW w:w="201" w:type="pct"/>
            <w:vMerge w:val="continue"/>
            <w:shd w:val="clear" w:color="auto" w:fill="auto"/>
            <w:vAlign w:val="center"/>
          </w:tcPr>
          <w:p w14:paraId="0E9E5E90">
            <w:pPr>
              <w:tabs>
                <w:tab w:val="left" w:pos="0"/>
                <w:tab w:val="left" w:pos="56"/>
              </w:tabs>
              <w:ind w:left="479" w:hanging="478" w:hangingChars="228"/>
              <w:jc w:val="center"/>
              <w:rPr>
                <w:color w:val="auto"/>
                <w:highlight w:val="none"/>
              </w:rPr>
            </w:pPr>
          </w:p>
        </w:tc>
        <w:tc>
          <w:tcPr>
            <w:tcW w:w="380" w:type="pct"/>
            <w:vMerge w:val="continue"/>
            <w:shd w:val="clear" w:color="auto" w:fill="auto"/>
            <w:vAlign w:val="center"/>
          </w:tcPr>
          <w:p w14:paraId="77F7C661">
            <w:pP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shd w:val="clear" w:color="auto" w:fill="auto"/>
            <w:vAlign w:val="center"/>
          </w:tcPr>
          <w:p w14:paraId="5AF41559">
            <w:pP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shd w:val="clear" w:color="auto" w:fill="auto"/>
            <w:vAlign w:val="center"/>
          </w:tcPr>
          <w:p w14:paraId="3777B0BE">
            <w:pPr>
              <w:spacing w:line="240" w:lineRule="atLeast"/>
              <w:ind w:left="-48" w:leftChars="-23" w:right="-65" w:rightChars="-31"/>
              <w:jc w:val="left"/>
              <w:rPr>
                <w:rFonts w:cs="宋体"/>
                <w:color w:val="auto"/>
                <w:highlight w:val="none"/>
              </w:rPr>
            </w:pPr>
          </w:p>
        </w:tc>
        <w:tc>
          <w:tcPr>
            <w:tcW w:w="692" w:type="pct"/>
            <w:vMerge w:val="continue"/>
            <w:tcBorders>
              <w:left w:val="single" w:color="auto" w:sz="4" w:space="0"/>
              <w:right w:val="single" w:color="auto" w:sz="4" w:space="0"/>
            </w:tcBorders>
            <w:vAlign w:val="center"/>
          </w:tcPr>
          <w:p w14:paraId="3E7A179E">
            <w:pPr>
              <w:spacing w:line="240" w:lineRule="atLeast"/>
              <w:ind w:left="-48" w:leftChars="-23" w:right="-65" w:rightChars="-31"/>
              <w:jc w:val="left"/>
              <w:rPr>
                <w:rFonts w:cs="宋体"/>
                <w:color w:val="auto"/>
                <w:highlight w:val="none"/>
              </w:rPr>
            </w:pPr>
          </w:p>
        </w:tc>
        <w:tc>
          <w:tcPr>
            <w:tcW w:w="560" w:type="pct"/>
            <w:tcBorders>
              <w:left w:val="single" w:color="auto" w:sz="4" w:space="0"/>
            </w:tcBorders>
            <w:shd w:val="clear" w:color="auto" w:fill="auto"/>
            <w:vAlign w:val="center"/>
          </w:tcPr>
          <w:p w14:paraId="26F35522">
            <w:pPr>
              <w:spacing w:line="240" w:lineRule="atLeast"/>
              <w:ind w:left="-48" w:leftChars="-23" w:right="-65" w:rightChars="-31"/>
              <w:jc w:val="left"/>
              <w:rPr>
                <w:rFonts w:cs="宋体"/>
                <w:color w:val="auto"/>
                <w:highlight w:val="none"/>
              </w:rPr>
            </w:pPr>
            <w:r>
              <w:rPr>
                <w:rFonts w:hint="eastAsia" w:cs="宋体"/>
                <w:color w:val="auto"/>
                <w:highlight w:val="none"/>
              </w:rPr>
              <w:t>...</w:t>
            </w:r>
          </w:p>
        </w:tc>
        <w:tc>
          <w:tcPr>
            <w:tcW w:w="511" w:type="pct"/>
            <w:tcBorders>
              <w:left w:val="single" w:color="auto" w:sz="4" w:space="0"/>
            </w:tcBorders>
            <w:shd w:val="clear" w:color="auto" w:fill="auto"/>
            <w:vAlign w:val="center"/>
          </w:tcPr>
          <w:p w14:paraId="6F23467D">
            <w:pPr>
              <w:spacing w:line="240" w:lineRule="atLeast"/>
              <w:ind w:left="-48" w:leftChars="-23" w:right="-65" w:rightChars="-31"/>
              <w:jc w:val="left"/>
              <w:rPr>
                <w:rFonts w:cs="宋体"/>
                <w:color w:val="auto"/>
                <w:highlight w:val="none"/>
              </w:rPr>
            </w:pPr>
          </w:p>
        </w:tc>
        <w:tc>
          <w:tcPr>
            <w:tcW w:w="606" w:type="pct"/>
            <w:tcBorders>
              <w:left w:val="single" w:color="auto" w:sz="4" w:space="0"/>
            </w:tcBorders>
            <w:shd w:val="clear" w:color="auto" w:fill="auto"/>
            <w:vAlign w:val="center"/>
          </w:tcPr>
          <w:p w14:paraId="3F4B28DC">
            <w:pP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shd w:val="clear" w:color="auto" w:fill="auto"/>
            <w:vAlign w:val="center"/>
          </w:tcPr>
          <w:p w14:paraId="3E9368AF">
            <w:pPr>
              <w:spacing w:line="240" w:lineRule="atLeast"/>
              <w:ind w:left="-48" w:leftChars="-23" w:right="-65" w:rightChars="-31"/>
              <w:jc w:val="left"/>
              <w:rPr>
                <w:rFonts w:cs="宋体"/>
                <w:color w:val="auto"/>
                <w:highlight w:val="none"/>
              </w:rPr>
            </w:pPr>
          </w:p>
        </w:tc>
        <w:tc>
          <w:tcPr>
            <w:tcW w:w="587" w:type="pct"/>
            <w:tcBorders>
              <w:left w:val="single" w:color="auto" w:sz="4" w:space="0"/>
            </w:tcBorders>
            <w:shd w:val="clear" w:color="auto" w:fill="auto"/>
            <w:vAlign w:val="center"/>
          </w:tcPr>
          <w:p w14:paraId="30662FD3">
            <w:pPr>
              <w:spacing w:line="240" w:lineRule="atLeast"/>
              <w:ind w:left="-48" w:leftChars="-23" w:right="-65" w:rightChars="-31"/>
              <w:jc w:val="left"/>
              <w:rPr>
                <w:rFonts w:cs="宋体"/>
                <w:color w:val="auto"/>
                <w:highlight w:val="none"/>
              </w:rPr>
            </w:pPr>
          </w:p>
        </w:tc>
      </w:tr>
      <w:tr w14:paraId="28228B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3760A2C6">
            <w:pPr>
              <w:tabs>
                <w:tab w:val="left" w:pos="61"/>
              </w:tabs>
              <w:jc w:val="center"/>
              <w:rPr>
                <w:color w:val="auto"/>
                <w:highlight w:val="none"/>
              </w:rPr>
            </w:pPr>
          </w:p>
        </w:tc>
        <w:tc>
          <w:tcPr>
            <w:tcW w:w="201" w:type="pct"/>
            <w:vMerge w:val="continue"/>
            <w:shd w:val="clear" w:color="auto" w:fill="auto"/>
            <w:vAlign w:val="center"/>
          </w:tcPr>
          <w:p w14:paraId="256D4242">
            <w:pPr>
              <w:tabs>
                <w:tab w:val="left" w:pos="0"/>
                <w:tab w:val="left" w:pos="56"/>
              </w:tabs>
              <w:ind w:left="479" w:hanging="478" w:hangingChars="228"/>
              <w:jc w:val="center"/>
              <w:rPr>
                <w:color w:val="auto"/>
                <w:highlight w:val="none"/>
              </w:rPr>
            </w:pPr>
          </w:p>
        </w:tc>
        <w:tc>
          <w:tcPr>
            <w:tcW w:w="380" w:type="pct"/>
            <w:vMerge w:val="continue"/>
            <w:shd w:val="clear" w:color="auto" w:fill="auto"/>
            <w:vAlign w:val="center"/>
          </w:tcPr>
          <w:p w14:paraId="334F8C10">
            <w:pPr>
              <w:spacing w:line="240" w:lineRule="atLeast"/>
              <w:ind w:left="-48" w:leftChars="-23" w:right="-65" w:rightChars="-31"/>
              <w:jc w:val="left"/>
              <w:rPr>
                <w:rFonts w:cs="宋体"/>
                <w:color w:val="auto"/>
                <w:highlight w:val="none"/>
              </w:rPr>
            </w:pPr>
          </w:p>
        </w:tc>
        <w:tc>
          <w:tcPr>
            <w:tcW w:w="282" w:type="pct"/>
            <w:vMerge w:val="continue"/>
            <w:tcBorders>
              <w:left w:val="single" w:color="auto" w:sz="4" w:space="0"/>
            </w:tcBorders>
            <w:shd w:val="clear" w:color="auto" w:fill="auto"/>
            <w:vAlign w:val="center"/>
          </w:tcPr>
          <w:p w14:paraId="498CFBC4">
            <w:pPr>
              <w:spacing w:line="240" w:lineRule="atLeast"/>
              <w:ind w:left="-48" w:leftChars="-23" w:right="-65" w:rightChars="-31"/>
              <w:jc w:val="left"/>
              <w:rPr>
                <w:rFonts w:cs="宋体"/>
                <w:color w:val="auto"/>
                <w:highlight w:val="none"/>
              </w:rPr>
            </w:pPr>
          </w:p>
        </w:tc>
        <w:tc>
          <w:tcPr>
            <w:tcW w:w="478" w:type="pct"/>
            <w:vMerge w:val="continue"/>
            <w:tcBorders>
              <w:left w:val="single" w:color="auto" w:sz="4" w:space="0"/>
              <w:right w:val="single" w:color="auto" w:sz="4" w:space="0"/>
            </w:tcBorders>
            <w:shd w:val="clear" w:color="auto" w:fill="auto"/>
            <w:vAlign w:val="center"/>
          </w:tcPr>
          <w:p w14:paraId="74F9387A">
            <w:pPr>
              <w:spacing w:line="240" w:lineRule="atLeast"/>
              <w:ind w:left="-48" w:leftChars="-23" w:right="-65" w:rightChars="-31"/>
              <w:jc w:val="left"/>
              <w:rPr>
                <w:rFonts w:cs="宋体"/>
                <w:color w:val="auto"/>
                <w:highlight w:val="none"/>
              </w:rPr>
            </w:pPr>
          </w:p>
        </w:tc>
        <w:tc>
          <w:tcPr>
            <w:tcW w:w="692" w:type="pct"/>
            <w:tcBorders>
              <w:left w:val="single" w:color="auto" w:sz="4" w:space="0"/>
              <w:right w:val="single" w:color="auto" w:sz="4" w:space="0"/>
            </w:tcBorders>
            <w:vAlign w:val="center"/>
          </w:tcPr>
          <w:p w14:paraId="0AAF35FF">
            <w:pPr>
              <w:spacing w:line="240" w:lineRule="atLeast"/>
              <w:ind w:left="-48" w:leftChars="-23" w:right="-65" w:rightChars="-31"/>
              <w:jc w:val="left"/>
              <w:rPr>
                <w:rFonts w:cs="宋体"/>
                <w:color w:val="auto"/>
                <w:highlight w:val="none"/>
              </w:rPr>
            </w:pPr>
            <w:r>
              <w:rPr>
                <w:rFonts w:hint="eastAsia" w:cs="宋体"/>
                <w:color w:val="auto"/>
                <w:highlight w:val="none"/>
              </w:rPr>
              <w:t>其他成本</w:t>
            </w:r>
          </w:p>
        </w:tc>
        <w:tc>
          <w:tcPr>
            <w:tcW w:w="560" w:type="pct"/>
            <w:tcBorders>
              <w:left w:val="single" w:color="auto" w:sz="4" w:space="0"/>
            </w:tcBorders>
            <w:shd w:val="clear" w:color="auto" w:fill="auto"/>
            <w:vAlign w:val="center"/>
          </w:tcPr>
          <w:p w14:paraId="60D878B3">
            <w:pPr>
              <w:spacing w:line="240" w:lineRule="atLeast"/>
              <w:ind w:left="-48" w:leftChars="-23" w:right="-65" w:rightChars="-31"/>
              <w:jc w:val="left"/>
              <w:rPr>
                <w:rFonts w:cs="宋体"/>
                <w:color w:val="auto"/>
                <w:highlight w:val="none"/>
              </w:rPr>
            </w:pPr>
          </w:p>
        </w:tc>
        <w:tc>
          <w:tcPr>
            <w:tcW w:w="511" w:type="pct"/>
            <w:tcBorders>
              <w:left w:val="single" w:color="auto" w:sz="4" w:space="0"/>
            </w:tcBorders>
            <w:shd w:val="clear" w:color="auto" w:fill="auto"/>
            <w:vAlign w:val="center"/>
          </w:tcPr>
          <w:p w14:paraId="4ED8A0FF">
            <w:pPr>
              <w:spacing w:line="240" w:lineRule="atLeast"/>
              <w:ind w:left="-48" w:leftChars="-23" w:right="-65" w:rightChars="-31"/>
              <w:jc w:val="left"/>
              <w:rPr>
                <w:rFonts w:cs="宋体"/>
                <w:color w:val="auto"/>
                <w:highlight w:val="none"/>
              </w:rPr>
            </w:pPr>
          </w:p>
        </w:tc>
        <w:tc>
          <w:tcPr>
            <w:tcW w:w="606" w:type="pct"/>
            <w:tcBorders>
              <w:left w:val="single" w:color="auto" w:sz="4" w:space="0"/>
            </w:tcBorders>
            <w:shd w:val="clear" w:color="auto" w:fill="auto"/>
            <w:vAlign w:val="center"/>
          </w:tcPr>
          <w:p w14:paraId="2436B74B">
            <w:pPr>
              <w:spacing w:line="240" w:lineRule="atLeast"/>
              <w:ind w:left="-48" w:leftChars="-23" w:right="-65" w:rightChars="-31"/>
              <w:jc w:val="left"/>
              <w:rPr>
                <w:rFonts w:cs="宋体"/>
                <w:color w:val="auto"/>
                <w:highlight w:val="none"/>
              </w:rPr>
            </w:pPr>
          </w:p>
        </w:tc>
        <w:tc>
          <w:tcPr>
            <w:tcW w:w="449" w:type="pct"/>
            <w:vMerge w:val="continue"/>
            <w:tcBorders>
              <w:left w:val="single" w:color="auto" w:sz="4" w:space="0"/>
            </w:tcBorders>
            <w:shd w:val="clear" w:color="auto" w:fill="auto"/>
            <w:vAlign w:val="center"/>
          </w:tcPr>
          <w:p w14:paraId="194A0170">
            <w:pPr>
              <w:spacing w:line="240" w:lineRule="atLeast"/>
              <w:ind w:left="-48" w:leftChars="-23" w:right="-65" w:rightChars="-31"/>
              <w:jc w:val="left"/>
              <w:rPr>
                <w:rFonts w:cs="宋体"/>
                <w:color w:val="auto"/>
                <w:highlight w:val="none"/>
              </w:rPr>
            </w:pPr>
          </w:p>
        </w:tc>
        <w:tc>
          <w:tcPr>
            <w:tcW w:w="587" w:type="pct"/>
            <w:tcBorders>
              <w:left w:val="single" w:color="auto" w:sz="4" w:space="0"/>
            </w:tcBorders>
            <w:shd w:val="clear" w:color="auto" w:fill="auto"/>
            <w:vAlign w:val="center"/>
          </w:tcPr>
          <w:p w14:paraId="3DA244FA">
            <w:pPr>
              <w:spacing w:line="240" w:lineRule="atLeast"/>
              <w:ind w:left="-48" w:leftChars="-23" w:right="-65" w:rightChars="-31"/>
              <w:jc w:val="left"/>
              <w:rPr>
                <w:rFonts w:cs="宋体"/>
                <w:color w:val="auto"/>
                <w:highlight w:val="none"/>
              </w:rPr>
            </w:pPr>
          </w:p>
        </w:tc>
      </w:tr>
      <w:tr w14:paraId="3F5C73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shd w:val="clear" w:color="auto" w:fill="auto"/>
            <w:vAlign w:val="center"/>
          </w:tcPr>
          <w:p w14:paraId="57EE2B2F">
            <w:pPr>
              <w:tabs>
                <w:tab w:val="left" w:pos="61"/>
              </w:tabs>
              <w:jc w:val="center"/>
              <w:rPr>
                <w:color w:val="auto"/>
                <w:highlight w:val="none"/>
              </w:rPr>
            </w:pPr>
            <w:r>
              <w:rPr>
                <w:rFonts w:hint="eastAsia"/>
                <w:color w:val="auto"/>
                <w:highlight w:val="none"/>
              </w:rPr>
              <w:t>2</w:t>
            </w:r>
          </w:p>
        </w:tc>
        <w:tc>
          <w:tcPr>
            <w:tcW w:w="201" w:type="pct"/>
            <w:shd w:val="clear" w:color="auto" w:fill="auto"/>
            <w:vAlign w:val="center"/>
          </w:tcPr>
          <w:p w14:paraId="6269A79B">
            <w:pPr>
              <w:tabs>
                <w:tab w:val="left" w:pos="0"/>
                <w:tab w:val="left" w:pos="56"/>
              </w:tabs>
              <w:ind w:left="479" w:hanging="478" w:hangingChars="228"/>
              <w:jc w:val="center"/>
              <w:rPr>
                <w:color w:val="auto"/>
                <w:highlight w:val="none"/>
              </w:rPr>
            </w:pPr>
          </w:p>
        </w:tc>
        <w:tc>
          <w:tcPr>
            <w:tcW w:w="380" w:type="pct"/>
            <w:shd w:val="clear" w:color="auto" w:fill="auto"/>
            <w:vAlign w:val="center"/>
          </w:tcPr>
          <w:p w14:paraId="3843FFEA">
            <w:pPr>
              <w:spacing w:line="240" w:lineRule="atLeast"/>
              <w:ind w:left="-48" w:leftChars="-23" w:right="-65" w:rightChars="-31"/>
              <w:jc w:val="left"/>
              <w:rPr>
                <w:rFonts w:cs="宋体"/>
                <w:color w:val="auto"/>
                <w:highlight w:val="none"/>
              </w:rPr>
            </w:pPr>
          </w:p>
        </w:tc>
        <w:tc>
          <w:tcPr>
            <w:tcW w:w="282" w:type="pct"/>
            <w:tcBorders>
              <w:left w:val="single" w:color="auto" w:sz="4" w:space="0"/>
            </w:tcBorders>
            <w:shd w:val="clear" w:color="auto" w:fill="auto"/>
            <w:vAlign w:val="center"/>
          </w:tcPr>
          <w:p w14:paraId="663EE5BA">
            <w:pPr>
              <w:spacing w:line="240" w:lineRule="atLeast"/>
              <w:ind w:left="-48" w:leftChars="-23" w:right="-65" w:rightChars="-31"/>
              <w:jc w:val="left"/>
              <w:rPr>
                <w:rFonts w:cs="宋体"/>
                <w:color w:val="auto"/>
                <w:highlight w:val="none"/>
              </w:rPr>
            </w:pPr>
          </w:p>
        </w:tc>
        <w:tc>
          <w:tcPr>
            <w:tcW w:w="478" w:type="pct"/>
            <w:tcBorders>
              <w:left w:val="single" w:color="auto" w:sz="4" w:space="0"/>
              <w:right w:val="single" w:color="auto" w:sz="4" w:space="0"/>
            </w:tcBorders>
            <w:shd w:val="clear" w:color="auto" w:fill="auto"/>
            <w:vAlign w:val="center"/>
          </w:tcPr>
          <w:p w14:paraId="3B5A1CF7">
            <w:pPr>
              <w:spacing w:line="240" w:lineRule="atLeast"/>
              <w:ind w:left="-48" w:leftChars="-23" w:right="-65" w:rightChars="-31"/>
              <w:jc w:val="left"/>
              <w:rPr>
                <w:rFonts w:cs="宋体"/>
                <w:color w:val="auto"/>
                <w:highlight w:val="none"/>
              </w:rPr>
            </w:pPr>
          </w:p>
        </w:tc>
        <w:tc>
          <w:tcPr>
            <w:tcW w:w="692" w:type="pct"/>
            <w:tcBorders>
              <w:left w:val="single" w:color="auto" w:sz="4" w:space="0"/>
              <w:right w:val="single" w:color="auto" w:sz="4" w:space="0"/>
            </w:tcBorders>
          </w:tcPr>
          <w:p w14:paraId="15253D31">
            <w:pPr>
              <w:spacing w:line="240" w:lineRule="atLeast"/>
              <w:ind w:left="-48" w:leftChars="-23" w:right="-65" w:rightChars="-31"/>
              <w:jc w:val="left"/>
              <w:rPr>
                <w:rFonts w:cs="宋体"/>
                <w:color w:val="auto"/>
                <w:highlight w:val="none"/>
              </w:rPr>
            </w:pPr>
          </w:p>
        </w:tc>
        <w:tc>
          <w:tcPr>
            <w:tcW w:w="560" w:type="pct"/>
            <w:tcBorders>
              <w:left w:val="single" w:color="auto" w:sz="4" w:space="0"/>
            </w:tcBorders>
            <w:shd w:val="clear" w:color="auto" w:fill="auto"/>
            <w:vAlign w:val="center"/>
          </w:tcPr>
          <w:p w14:paraId="746591B5">
            <w:pPr>
              <w:spacing w:line="240" w:lineRule="atLeast"/>
              <w:ind w:left="-48" w:leftChars="-23" w:right="-65" w:rightChars="-31"/>
              <w:jc w:val="left"/>
              <w:rPr>
                <w:rFonts w:cs="宋体"/>
                <w:color w:val="auto"/>
                <w:highlight w:val="none"/>
              </w:rPr>
            </w:pPr>
          </w:p>
        </w:tc>
        <w:tc>
          <w:tcPr>
            <w:tcW w:w="511" w:type="pct"/>
            <w:tcBorders>
              <w:left w:val="single" w:color="auto" w:sz="4" w:space="0"/>
            </w:tcBorders>
            <w:shd w:val="clear" w:color="auto" w:fill="auto"/>
            <w:vAlign w:val="center"/>
          </w:tcPr>
          <w:p w14:paraId="205F3757">
            <w:pPr>
              <w:spacing w:line="240" w:lineRule="atLeast"/>
              <w:ind w:left="-48" w:leftChars="-23" w:right="-65" w:rightChars="-31"/>
              <w:jc w:val="left"/>
              <w:rPr>
                <w:rFonts w:cs="宋体"/>
                <w:color w:val="auto"/>
                <w:highlight w:val="none"/>
              </w:rPr>
            </w:pPr>
          </w:p>
        </w:tc>
        <w:tc>
          <w:tcPr>
            <w:tcW w:w="606" w:type="pct"/>
            <w:tcBorders>
              <w:left w:val="single" w:color="auto" w:sz="4" w:space="0"/>
            </w:tcBorders>
            <w:shd w:val="clear" w:color="auto" w:fill="auto"/>
            <w:vAlign w:val="center"/>
          </w:tcPr>
          <w:p w14:paraId="74BD862F">
            <w:pPr>
              <w:spacing w:line="240" w:lineRule="atLeast"/>
              <w:ind w:left="-48" w:leftChars="-23" w:right="-65" w:rightChars="-31"/>
              <w:jc w:val="left"/>
              <w:rPr>
                <w:rFonts w:cs="宋体"/>
                <w:color w:val="auto"/>
                <w:highlight w:val="none"/>
              </w:rPr>
            </w:pPr>
          </w:p>
        </w:tc>
        <w:tc>
          <w:tcPr>
            <w:tcW w:w="449" w:type="pct"/>
            <w:tcBorders>
              <w:left w:val="single" w:color="auto" w:sz="4" w:space="0"/>
            </w:tcBorders>
            <w:shd w:val="clear" w:color="auto" w:fill="auto"/>
            <w:vAlign w:val="center"/>
          </w:tcPr>
          <w:p w14:paraId="28C52EEC">
            <w:pPr>
              <w:spacing w:line="240" w:lineRule="atLeast"/>
              <w:ind w:left="-48" w:leftChars="-23" w:right="-65" w:rightChars="-31"/>
              <w:jc w:val="left"/>
              <w:rPr>
                <w:rFonts w:cs="宋体"/>
                <w:color w:val="auto"/>
                <w:highlight w:val="none"/>
              </w:rPr>
            </w:pPr>
          </w:p>
        </w:tc>
        <w:tc>
          <w:tcPr>
            <w:tcW w:w="587" w:type="pct"/>
            <w:tcBorders>
              <w:left w:val="single" w:color="auto" w:sz="4" w:space="0"/>
            </w:tcBorders>
            <w:shd w:val="clear" w:color="auto" w:fill="auto"/>
            <w:vAlign w:val="center"/>
          </w:tcPr>
          <w:p w14:paraId="64789DB9">
            <w:pPr>
              <w:spacing w:line="240" w:lineRule="atLeast"/>
              <w:ind w:left="-48" w:leftChars="-23" w:right="-65" w:rightChars="-31"/>
              <w:jc w:val="left"/>
              <w:rPr>
                <w:rFonts w:cs="宋体"/>
                <w:color w:val="auto"/>
                <w:highlight w:val="none"/>
              </w:rPr>
            </w:pPr>
          </w:p>
        </w:tc>
      </w:tr>
      <w:tr w14:paraId="78CD35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245" w:type="pct"/>
            <w:tcBorders>
              <w:bottom w:val="single" w:color="auto" w:sz="4" w:space="0"/>
            </w:tcBorders>
            <w:shd w:val="clear" w:color="auto" w:fill="auto"/>
            <w:vAlign w:val="center"/>
          </w:tcPr>
          <w:p w14:paraId="51AAAF8B">
            <w:pPr>
              <w:tabs>
                <w:tab w:val="left" w:pos="82"/>
              </w:tabs>
              <w:jc w:val="center"/>
              <w:rPr>
                <w:color w:val="auto"/>
                <w:highlight w:val="none"/>
              </w:rPr>
            </w:pPr>
            <w:r>
              <w:rPr>
                <w:rFonts w:hint="eastAsia"/>
                <w:color w:val="auto"/>
                <w:highlight w:val="none"/>
              </w:rPr>
              <w:t>…</w:t>
            </w:r>
          </w:p>
        </w:tc>
        <w:tc>
          <w:tcPr>
            <w:tcW w:w="201" w:type="pct"/>
            <w:tcBorders>
              <w:bottom w:val="single" w:color="auto" w:sz="4" w:space="0"/>
            </w:tcBorders>
            <w:shd w:val="clear" w:color="auto" w:fill="auto"/>
            <w:vAlign w:val="center"/>
          </w:tcPr>
          <w:p w14:paraId="09032C23">
            <w:pPr>
              <w:spacing w:line="240" w:lineRule="atLeast"/>
              <w:ind w:left="-48" w:leftChars="-23" w:right="-65" w:rightChars="-31"/>
              <w:jc w:val="left"/>
              <w:rPr>
                <w:rFonts w:cs="宋体"/>
                <w:color w:val="auto"/>
                <w:highlight w:val="none"/>
              </w:rPr>
            </w:pPr>
          </w:p>
        </w:tc>
        <w:tc>
          <w:tcPr>
            <w:tcW w:w="380" w:type="pct"/>
            <w:tcBorders>
              <w:bottom w:val="single" w:color="auto" w:sz="4" w:space="0"/>
            </w:tcBorders>
            <w:shd w:val="clear" w:color="auto" w:fill="auto"/>
            <w:vAlign w:val="center"/>
          </w:tcPr>
          <w:p w14:paraId="7FD3FFC7">
            <w:pPr>
              <w:spacing w:line="240" w:lineRule="atLeast"/>
              <w:ind w:left="-48" w:leftChars="-23" w:right="-65" w:rightChars="-31"/>
              <w:jc w:val="left"/>
              <w:rPr>
                <w:rFonts w:cs="宋体"/>
                <w:color w:val="auto"/>
                <w:highlight w:val="none"/>
              </w:rPr>
            </w:pPr>
          </w:p>
        </w:tc>
        <w:tc>
          <w:tcPr>
            <w:tcW w:w="282" w:type="pct"/>
            <w:tcBorders>
              <w:left w:val="single" w:color="auto" w:sz="4" w:space="0"/>
              <w:bottom w:val="single" w:color="auto" w:sz="4" w:space="0"/>
            </w:tcBorders>
            <w:shd w:val="clear" w:color="auto" w:fill="auto"/>
            <w:vAlign w:val="center"/>
          </w:tcPr>
          <w:p w14:paraId="321D8712">
            <w:pPr>
              <w:spacing w:line="240" w:lineRule="atLeast"/>
              <w:ind w:left="-48" w:leftChars="-23" w:right="-65" w:rightChars="-31"/>
              <w:jc w:val="left"/>
              <w:rPr>
                <w:rFonts w:cs="宋体"/>
                <w:color w:val="auto"/>
                <w:highlight w:val="none"/>
              </w:rPr>
            </w:pPr>
          </w:p>
        </w:tc>
        <w:tc>
          <w:tcPr>
            <w:tcW w:w="478" w:type="pct"/>
            <w:tcBorders>
              <w:left w:val="single" w:color="auto" w:sz="4" w:space="0"/>
              <w:bottom w:val="single" w:color="auto" w:sz="4" w:space="0"/>
              <w:right w:val="single" w:color="auto" w:sz="4" w:space="0"/>
            </w:tcBorders>
            <w:shd w:val="clear" w:color="auto" w:fill="auto"/>
            <w:vAlign w:val="center"/>
          </w:tcPr>
          <w:p w14:paraId="2FD2FBE5">
            <w:pPr>
              <w:spacing w:line="240" w:lineRule="atLeast"/>
              <w:ind w:left="-48" w:leftChars="-23" w:right="-65" w:rightChars="-31"/>
              <w:jc w:val="left"/>
              <w:rPr>
                <w:rFonts w:cs="宋体"/>
                <w:color w:val="auto"/>
                <w:highlight w:val="none"/>
              </w:rPr>
            </w:pPr>
          </w:p>
        </w:tc>
        <w:tc>
          <w:tcPr>
            <w:tcW w:w="692" w:type="pct"/>
            <w:tcBorders>
              <w:left w:val="single" w:color="auto" w:sz="4" w:space="0"/>
              <w:bottom w:val="single" w:color="auto" w:sz="4" w:space="0"/>
              <w:right w:val="single" w:color="auto" w:sz="4" w:space="0"/>
            </w:tcBorders>
          </w:tcPr>
          <w:p w14:paraId="4A0E28F6">
            <w:pPr>
              <w:spacing w:line="240" w:lineRule="atLeast"/>
              <w:ind w:left="-48" w:leftChars="-23" w:right="-65" w:rightChars="-31"/>
              <w:jc w:val="left"/>
              <w:rPr>
                <w:rFonts w:cs="宋体"/>
                <w:color w:val="auto"/>
                <w:highlight w:val="none"/>
              </w:rPr>
            </w:pPr>
          </w:p>
        </w:tc>
        <w:tc>
          <w:tcPr>
            <w:tcW w:w="560" w:type="pct"/>
            <w:tcBorders>
              <w:left w:val="single" w:color="auto" w:sz="4" w:space="0"/>
              <w:bottom w:val="single" w:color="auto" w:sz="4" w:space="0"/>
            </w:tcBorders>
            <w:shd w:val="clear" w:color="auto" w:fill="auto"/>
            <w:vAlign w:val="center"/>
          </w:tcPr>
          <w:p w14:paraId="4CC81990">
            <w:pPr>
              <w:spacing w:line="240" w:lineRule="atLeast"/>
              <w:ind w:left="-48" w:leftChars="-23" w:right="-65" w:rightChars="-31"/>
              <w:jc w:val="left"/>
              <w:rPr>
                <w:rFonts w:cs="宋体"/>
                <w:color w:val="auto"/>
                <w:highlight w:val="none"/>
              </w:rPr>
            </w:pPr>
          </w:p>
        </w:tc>
        <w:tc>
          <w:tcPr>
            <w:tcW w:w="511" w:type="pct"/>
            <w:tcBorders>
              <w:left w:val="single" w:color="auto" w:sz="4" w:space="0"/>
              <w:bottom w:val="single" w:color="auto" w:sz="4" w:space="0"/>
            </w:tcBorders>
            <w:shd w:val="clear" w:color="auto" w:fill="auto"/>
            <w:vAlign w:val="center"/>
          </w:tcPr>
          <w:p w14:paraId="7A523A07">
            <w:pPr>
              <w:spacing w:line="240" w:lineRule="atLeast"/>
              <w:ind w:left="-48" w:leftChars="-23" w:right="-65" w:rightChars="-31"/>
              <w:jc w:val="left"/>
              <w:rPr>
                <w:rFonts w:cs="宋体"/>
                <w:color w:val="auto"/>
                <w:highlight w:val="none"/>
              </w:rPr>
            </w:pPr>
          </w:p>
          <w:p w14:paraId="3FD82715">
            <w:pPr>
              <w:rPr>
                <w:color w:val="auto"/>
                <w:highlight w:val="none"/>
              </w:rPr>
            </w:pPr>
          </w:p>
        </w:tc>
        <w:tc>
          <w:tcPr>
            <w:tcW w:w="606" w:type="pct"/>
            <w:tcBorders>
              <w:left w:val="single" w:color="auto" w:sz="4" w:space="0"/>
              <w:bottom w:val="single" w:color="auto" w:sz="4" w:space="0"/>
            </w:tcBorders>
            <w:shd w:val="clear" w:color="auto" w:fill="auto"/>
            <w:vAlign w:val="center"/>
          </w:tcPr>
          <w:p w14:paraId="2CF1BD42">
            <w:pPr>
              <w:rPr>
                <w:color w:val="auto"/>
                <w:highlight w:val="none"/>
              </w:rPr>
            </w:pPr>
          </w:p>
        </w:tc>
        <w:tc>
          <w:tcPr>
            <w:tcW w:w="449" w:type="pct"/>
            <w:tcBorders>
              <w:left w:val="single" w:color="auto" w:sz="4" w:space="0"/>
              <w:bottom w:val="single" w:color="auto" w:sz="4" w:space="0"/>
            </w:tcBorders>
            <w:shd w:val="clear" w:color="auto" w:fill="auto"/>
            <w:vAlign w:val="center"/>
          </w:tcPr>
          <w:p w14:paraId="2C7626E5">
            <w:pPr>
              <w:spacing w:line="240" w:lineRule="atLeast"/>
              <w:ind w:left="-48" w:leftChars="-23" w:right="-65" w:rightChars="-31"/>
              <w:jc w:val="left"/>
              <w:rPr>
                <w:rFonts w:cs="宋体"/>
                <w:color w:val="auto"/>
                <w:highlight w:val="none"/>
              </w:rPr>
            </w:pPr>
          </w:p>
        </w:tc>
        <w:tc>
          <w:tcPr>
            <w:tcW w:w="587" w:type="pct"/>
            <w:tcBorders>
              <w:left w:val="single" w:color="auto" w:sz="4" w:space="0"/>
              <w:bottom w:val="single" w:color="auto" w:sz="4" w:space="0"/>
            </w:tcBorders>
            <w:shd w:val="clear" w:color="auto" w:fill="auto"/>
            <w:vAlign w:val="center"/>
          </w:tcPr>
          <w:p w14:paraId="32DC38EC">
            <w:pPr>
              <w:spacing w:line="240" w:lineRule="atLeast"/>
              <w:ind w:left="-48" w:leftChars="-23" w:right="-65" w:rightChars="-31"/>
              <w:jc w:val="left"/>
              <w:rPr>
                <w:rFonts w:cs="宋体"/>
                <w:color w:val="auto"/>
                <w:highlight w:val="none"/>
              </w:rPr>
            </w:pPr>
          </w:p>
        </w:tc>
      </w:tr>
    </w:tbl>
    <w:p w14:paraId="1690B2D4">
      <w:pPr>
        <w:spacing w:line="360" w:lineRule="auto"/>
        <w:jc w:val="left"/>
        <w:rPr>
          <w:color w:val="auto"/>
          <w:szCs w:val="21"/>
          <w:highlight w:val="none"/>
        </w:rPr>
      </w:pPr>
    </w:p>
    <w:p w14:paraId="57922806">
      <w:pPr>
        <w:spacing w:line="360" w:lineRule="auto"/>
        <w:jc w:val="left"/>
        <w:rPr>
          <w:color w:val="auto"/>
          <w:szCs w:val="21"/>
          <w:highlight w:val="none"/>
        </w:rPr>
      </w:pPr>
      <w:r>
        <w:rPr>
          <w:rFonts w:hint="eastAsia"/>
          <w:color w:val="auto"/>
          <w:szCs w:val="21"/>
          <w:highlight w:val="none"/>
        </w:rPr>
        <w:t>说明：项目具体成本测算等与报价合理性相关的书面说明及必要的证明材料，包括但不限于原材料成本、人工成本、制造费用等</w:t>
      </w:r>
    </w:p>
    <w:p w14:paraId="10AB3EA1">
      <w:pPr>
        <w:spacing w:line="360" w:lineRule="auto"/>
        <w:ind w:firstLine="6090" w:firstLineChars="2900"/>
        <w:jc w:val="left"/>
        <w:rPr>
          <w:color w:val="auto"/>
          <w:szCs w:val="21"/>
          <w:highlight w:val="none"/>
        </w:rPr>
      </w:pPr>
      <w:r>
        <w:rPr>
          <w:color w:val="auto"/>
          <w:szCs w:val="21"/>
          <w:highlight w:val="none"/>
        </w:rPr>
        <w:t>供应商名称（</w:t>
      </w:r>
      <w:r>
        <w:rPr>
          <w:rFonts w:hint="eastAsia"/>
          <w:color w:val="auto"/>
          <w:szCs w:val="21"/>
          <w:highlight w:val="none"/>
        </w:rPr>
        <w:t>电子签章</w:t>
      </w:r>
      <w:r>
        <w:rPr>
          <w:color w:val="auto"/>
          <w:szCs w:val="21"/>
          <w:highlight w:val="none"/>
        </w:rPr>
        <w:t>）：</w:t>
      </w:r>
    </w:p>
    <w:p w14:paraId="13F41C4E">
      <w:pPr>
        <w:spacing w:line="360" w:lineRule="auto"/>
        <w:ind w:firstLine="6090" w:firstLineChars="2900"/>
        <w:jc w:val="left"/>
        <w:rPr>
          <w:color w:val="auto"/>
          <w:szCs w:val="21"/>
          <w:highlight w:val="none"/>
        </w:rPr>
        <w:sectPr>
          <w:pgSz w:w="11906" w:h="16838"/>
          <w:pgMar w:top="1418" w:right="1133" w:bottom="1246" w:left="1418" w:header="851" w:footer="992" w:gutter="0"/>
          <w:cols w:space="720" w:num="1"/>
          <w:docGrid w:linePitch="312" w:charSpace="0"/>
        </w:sectPr>
      </w:pPr>
      <w:r>
        <w:rPr>
          <w:color w:val="auto"/>
          <w:szCs w:val="21"/>
          <w:highlight w:val="none"/>
        </w:rPr>
        <w:t>日  期</w:t>
      </w:r>
      <w:r>
        <w:rPr>
          <w:rFonts w:hint="eastAsia"/>
          <w:color w:val="auto"/>
          <w:szCs w:val="21"/>
          <w:highlight w:val="none"/>
        </w:rPr>
        <w:t>：</w:t>
      </w:r>
      <w:r>
        <w:rPr>
          <w:color w:val="auto"/>
          <w:szCs w:val="21"/>
          <w:highlight w:val="none"/>
        </w:rPr>
        <w:t xml:space="preserve">年月日 </w:t>
      </w:r>
    </w:p>
    <w:p w14:paraId="3BC2484F">
      <w:pPr>
        <w:widowControl/>
        <w:jc w:val="left"/>
        <w:outlineLvl w:val="1"/>
        <w:rPr>
          <w:color w:val="auto"/>
          <w:szCs w:val="21"/>
          <w:highlight w:val="none"/>
        </w:rPr>
      </w:pPr>
      <w:bookmarkStart w:id="136" w:name="_Hlk89184603"/>
      <w:bookmarkStart w:id="137" w:name="_Hlk89181869"/>
      <w:r>
        <w:rPr>
          <w:rFonts w:hint="eastAsia"/>
          <w:color w:val="auto"/>
          <w:szCs w:val="21"/>
          <w:highlight w:val="none"/>
        </w:rPr>
        <w:t>4.开标一览表</w:t>
      </w:r>
    </w:p>
    <w:p w14:paraId="25525F4C">
      <w:pPr>
        <w:widowControl/>
        <w:jc w:val="left"/>
        <w:rPr>
          <w:color w:val="auto"/>
          <w:szCs w:val="21"/>
          <w:highlight w:val="none"/>
        </w:rPr>
      </w:pPr>
    </w:p>
    <w:p w14:paraId="70FBF021">
      <w:pPr>
        <w:widowControl/>
        <w:jc w:val="left"/>
        <w:rPr>
          <w:color w:val="auto"/>
          <w:szCs w:val="21"/>
          <w:highlight w:val="none"/>
        </w:rPr>
      </w:pPr>
    </w:p>
    <w:p w14:paraId="49D628E0">
      <w:pPr>
        <w:widowControl/>
        <w:jc w:val="left"/>
        <w:rPr>
          <w:color w:val="auto"/>
          <w:szCs w:val="21"/>
          <w:highlight w:val="none"/>
        </w:rPr>
      </w:pPr>
    </w:p>
    <w:p w14:paraId="365BBF24">
      <w:pPr>
        <w:rPr>
          <w:b/>
          <w:color w:val="auto"/>
          <w:szCs w:val="21"/>
          <w:highlight w:val="none"/>
        </w:rPr>
      </w:pPr>
    </w:p>
    <w:p w14:paraId="095BA46E">
      <w:pPr>
        <w:rPr>
          <w:b/>
          <w:color w:val="auto"/>
          <w:szCs w:val="21"/>
          <w:highlight w:val="none"/>
        </w:rPr>
      </w:pPr>
    </w:p>
    <w:p w14:paraId="327F15AF">
      <w:pPr>
        <w:rPr>
          <w:b/>
          <w:color w:val="auto"/>
          <w:szCs w:val="21"/>
          <w:highlight w:val="none"/>
        </w:rPr>
      </w:pPr>
      <w:r>
        <w:rPr>
          <w:rFonts w:hint="eastAsia"/>
          <w:b/>
          <w:color w:val="auto"/>
          <w:szCs w:val="21"/>
          <w:highlight w:val="none"/>
        </w:rPr>
        <w:t>格式详见广西政府采购云平台，且仅在广西政府采购云平台填写即可。</w:t>
      </w:r>
    </w:p>
    <w:bookmarkEnd w:id="136"/>
    <w:p w14:paraId="2AEE2536">
      <w:pPr>
        <w:spacing w:line="340" w:lineRule="exact"/>
        <w:ind w:firstLine="420" w:firstLineChars="200"/>
        <w:rPr>
          <w:color w:val="auto"/>
          <w:szCs w:val="21"/>
          <w:highlight w:val="none"/>
        </w:rPr>
      </w:pPr>
    </w:p>
    <w:bookmarkEnd w:id="134"/>
    <w:bookmarkEnd w:id="137"/>
    <w:p w14:paraId="31A0E893">
      <w:pPr>
        <w:rPr>
          <w:b/>
          <w:color w:val="auto"/>
          <w:szCs w:val="21"/>
          <w:highlight w:val="none"/>
        </w:rPr>
      </w:pPr>
    </w:p>
    <w:sectPr>
      <w:pgSz w:w="11906" w:h="16838"/>
      <w:pgMar w:top="1418" w:right="1274"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7547358-71CF-4AFC-9654-ACE381C6E7B8}"/>
  </w:font>
  <w:font w:name="黑体">
    <w:panose1 w:val="02010609060101010101"/>
    <w:charset w:val="86"/>
    <w:family w:val="auto"/>
    <w:pitch w:val="default"/>
    <w:sig w:usb0="800002BF" w:usb1="38CF7CFA" w:usb2="00000016" w:usb3="00000000" w:csb0="00040001" w:csb1="00000000"/>
    <w:embedRegular r:id="rId2" w:fontKey="{EAB558D0-DF3D-45E7-8AAF-AE290917B54E}"/>
  </w:font>
  <w:font w:name="Courier New">
    <w:panose1 w:val="02070309020205020404"/>
    <w:charset w:val="01"/>
    <w:family w:val="modern"/>
    <w:pitch w:val="default"/>
    <w:sig w:usb0="E0002EFF" w:usb1="C0007843" w:usb2="00000009" w:usb3="00000000" w:csb0="400001FF" w:csb1="FFFF0000"/>
    <w:embedRegular r:id="rId3" w:fontKey="{F5E02114-05F7-4C45-A33D-8B86714B1DF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95D6646F-17D0-4F83-B740-B455D61C89A4}"/>
  </w:font>
  <w:font w:name="仿宋_GB2312">
    <w:altName w:val="仿宋"/>
    <w:panose1 w:val="00000000000000000000"/>
    <w:charset w:val="86"/>
    <w:family w:val="auto"/>
    <w:pitch w:val="default"/>
    <w:sig w:usb0="00000000" w:usb1="00000000" w:usb2="00000000" w:usb3="00000000" w:csb0="00040000" w:csb1="00000000"/>
    <w:embedRegular r:id="rId5" w:fontKey="{BB882E6A-E2D3-4A3A-9372-2813AC152EA2}"/>
  </w:font>
  <w:font w:name="仿宋">
    <w:panose1 w:val="02010609060101010101"/>
    <w:charset w:val="86"/>
    <w:family w:val="modern"/>
    <w:pitch w:val="default"/>
    <w:sig w:usb0="800002BF" w:usb1="38CF7CFA" w:usb2="00000016" w:usb3="00000000" w:csb0="00040001" w:csb1="00000000"/>
    <w:embedRegular r:id="rId6" w:fontKey="{19725B17-200A-42BF-887C-1A5463500CF9}"/>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embedRegular r:id="rId7" w:fontKey="{A62D59E1-4075-4630-B82E-4A5A3BAD1F71}"/>
  </w:font>
  <w:font w:name="Wingdings 2">
    <w:panose1 w:val="05020102010507070707"/>
    <w:charset w:val="02"/>
    <w:family w:val="roman"/>
    <w:pitch w:val="default"/>
    <w:sig w:usb0="00000000" w:usb1="00000000" w:usb2="00000000" w:usb3="00000000" w:csb0="80000000" w:csb1="00000000"/>
    <w:embedRegular r:id="rId8" w:fontKey="{FB29B5E3-BB4C-4B12-B151-758D4808661D}"/>
  </w:font>
  <w:font w:name="楷体_GB2312">
    <w:altName w:val="楷体"/>
    <w:panose1 w:val="00000000000000000000"/>
    <w:charset w:val="86"/>
    <w:family w:val="modern"/>
    <w:pitch w:val="default"/>
    <w:sig w:usb0="00000000" w:usb1="00000000" w:usb2="00000010" w:usb3="00000000" w:csb0="00040000" w:csb1="00000000"/>
    <w:embedRegular r:id="rId9" w:fontKey="{E9CA4A7B-F43F-4AEC-91D4-6C649DBA5100}"/>
  </w:font>
  <w:font w:name="楷体">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embedRegular r:id="rId10" w:fontKey="{B6BA29C9-97F9-4EEC-A92E-9045AA485A3C}"/>
  </w:font>
  <w:font w:name="Helvetica">
    <w:altName w:val="Arial"/>
    <w:panose1 w:val="020B0604020202020204"/>
    <w:charset w:val="00"/>
    <w:family w:val="swiss"/>
    <w:pitch w:val="default"/>
    <w:sig w:usb0="00000000" w:usb1="00000000" w:usb2="00000000" w:usb3="00000000" w:csb0="00000001" w:csb1="00000000"/>
    <w:embedRegular r:id="rId11" w:fontKey="{8CAA0DF4-362E-4BE1-9F88-6032BCCE70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9BEC2">
    <w:pPr>
      <w:pStyle w:val="31"/>
      <w:jc w:val="center"/>
    </w:pPr>
  </w:p>
  <w:p w14:paraId="1D175C6A">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E2A9E">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BCDEE">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84E0F">
    <w:pPr>
      <w:pStyle w:val="31"/>
      <w:jc w:val="center"/>
    </w:pPr>
    <w:r>
      <w:fldChar w:fldCharType="begin"/>
    </w:r>
    <w:r>
      <w:instrText xml:space="preserve">PAGE   \* MERGEFORMAT</w:instrText>
    </w:r>
    <w:r>
      <w:fldChar w:fldCharType="separate"/>
    </w:r>
    <w:r>
      <w:rPr>
        <w:lang w:val="zh-CN"/>
      </w:rPr>
      <w:t>30</w:t>
    </w:r>
    <w:r>
      <w:rPr>
        <w:lang w:val="zh-CN"/>
      </w:rPr>
      <w:fldChar w:fldCharType="end"/>
    </w:r>
  </w:p>
  <w:p w14:paraId="59A06037">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AB31F">
    <w:pPr>
      <w:pStyle w:val="31"/>
      <w:jc w:val="center"/>
    </w:pPr>
    <w:r>
      <w:fldChar w:fldCharType="begin"/>
    </w:r>
    <w:r>
      <w:instrText xml:space="preserve">PAGE   \* MERGEFORMAT</w:instrText>
    </w:r>
    <w:r>
      <w:fldChar w:fldCharType="separate"/>
    </w:r>
    <w:r>
      <w:rPr>
        <w:lang w:val="zh-CN"/>
      </w:rPr>
      <w:t>1</w:t>
    </w:r>
    <w:r>
      <w:rPr>
        <w:lang w:val="zh-C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2FE47">
    <w:pPr>
      <w:pStyle w:val="31"/>
      <w:jc w:val="center"/>
    </w:pPr>
    <w:r>
      <w:fldChar w:fldCharType="begin"/>
    </w:r>
    <w:r>
      <w:instrText xml:space="preserve">PAGE   \* MERGEFORMAT</w:instrText>
    </w:r>
    <w:r>
      <w:fldChar w:fldCharType="separate"/>
    </w:r>
    <w:r>
      <w:rPr>
        <w:lang w:val="zh-CN"/>
      </w:rPr>
      <w:t>87</w:t>
    </w:r>
    <w:r>
      <w:rPr>
        <w:lang w:val="zh-C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4032A">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115</w:t>
    </w:r>
    <w:r>
      <w:fldChar w:fldCharType="end"/>
    </w:r>
  </w:p>
  <w:p w14:paraId="15A132A5">
    <w:pPr>
      <w:pStyle w:val="31"/>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219FC">
    <w:pPr>
      <w:pStyle w:val="3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46E9C">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87786">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49FC1">
    <w:pPr>
      <w:pStyle w:val="32"/>
      <w:jc w:val="left"/>
    </w:pPr>
    <w:r>
      <w:rPr>
        <w:rFonts w:hint="eastAsia"/>
      </w:rPr>
      <w:t xml:space="preserve">广西机电设备招标有限公司采购文件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B0A0D">
    <w:pPr>
      <w:pStyle w:val="32"/>
      <w:jc w:val="left"/>
    </w:pPr>
    <w:r>
      <w:rPr>
        <w:rFonts w:hint="eastAsia"/>
      </w:rPr>
      <w:t>广西机电设备招标有限公司采购文件                                                              竞争性谈判公告</w:t>
    </w:r>
  </w:p>
  <w:p w14:paraId="7A1575FC">
    <w:pPr>
      <w:pStyle w:val="32"/>
      <w:pBdr>
        <w:bottom w:val="none" w:color="auto" w:sz="0" w:space="0"/>
      </w:pBd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A2663">
    <w:pPr>
      <w:pStyle w:val="32"/>
      <w:jc w:val="left"/>
    </w:pPr>
    <w:r>
      <w:rPr>
        <w:rFonts w:hint="eastAsia"/>
      </w:rPr>
      <w:t xml:space="preserve">广西机电设备招标有限公司采购文件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CB00C">
    <w:pPr>
      <w:pStyle w:val="32"/>
      <w:pBdr>
        <w:bottom w:val="single" w:color="auto" w:sz="6" w:space="0"/>
      </w:pBdr>
      <w:jc w:val="left"/>
    </w:pPr>
    <w:r>
      <w:rPr>
        <w:rFonts w:hint="eastAsia"/>
      </w:rPr>
      <w:t xml:space="preserve">广西机电设备招标有限公司采购文件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EE9C9">
    <w:pPr>
      <w:pStyle w:val="32"/>
      <w:jc w:val="left"/>
    </w:pPr>
    <w:r>
      <w:rPr>
        <w:rFonts w:hint="eastAsia"/>
      </w:rPr>
      <w:t xml:space="preserve">广西机电设备招标有限公司招标文件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B0AFA">
    <w:pPr>
      <w:pStyle w:val="32"/>
      <w:jc w:val="left"/>
    </w:pPr>
    <w:r>
      <w:rPr>
        <w:rFonts w:hint="eastAsia"/>
      </w:rPr>
      <w:t xml:space="preserve">广西机电设备招标有限公司招标文件                                                           </w:t>
    </w:r>
  </w:p>
  <w:p w14:paraId="3B048D9E">
    <w:pPr>
      <w:pStyle w:val="32"/>
      <w:pBdr>
        <w:bottom w:val="none" w:color="auto" w:sz="0" w:space="0"/>
      </w:pBdr>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69BF8">
    <w:pPr>
      <w:pStyle w:val="32"/>
      <w:jc w:val="left"/>
    </w:pPr>
    <w:r>
      <w:rPr>
        <w:rFonts w:hint="eastAsia"/>
      </w:rPr>
      <w:t xml:space="preserve">广西机电设备招标有限公司采购文件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5EA80">
    <w:pPr>
      <w:pStyle w:val="32"/>
      <w:jc w:val="left"/>
    </w:pPr>
    <w:r>
      <w:rPr>
        <w:rFonts w:hint="eastAsia"/>
      </w:rPr>
      <w:t xml:space="preserve">广西机电设备招标有限公司采购文件                                                           </w:t>
    </w:r>
  </w:p>
  <w:p w14:paraId="26C4BCCB">
    <w:pPr>
      <w:pStyle w:val="32"/>
      <w:pBdr>
        <w:bottom w:val="none" w:color="auto" w:sz="0" w:space="0"/>
      </w:pBdr>
      <w:jc w:val="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FE9AF">
    <w:pPr>
      <w:rPr>
        <w:sz w:val="18"/>
        <w:szCs w:val="18"/>
        <w:u w:val="single"/>
      </w:rPr>
    </w:pPr>
    <w:r>
      <w:rPr>
        <w:rFonts w:hint="eastAsia"/>
        <w:sz w:val="18"/>
        <w:szCs w:val="18"/>
        <w:u w:val="single"/>
      </w:rPr>
      <w:t xml:space="preserve">广西机电设备招标有限公司采购文件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8FDFB">
    <w:pPr>
      <w:rPr>
        <w:sz w:val="18"/>
        <w:szCs w:val="18"/>
        <w:u w:val="single"/>
      </w:rPr>
    </w:pPr>
    <w:r>
      <w:rPr>
        <w:rFonts w:hint="eastAsia"/>
        <w:sz w:val="18"/>
        <w:szCs w:val="18"/>
        <w:u w:val="single"/>
      </w:rPr>
      <w:t xml:space="preserve">广西机电设备招标有限公司采购文件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bordersDoNotSurroundHeader w:val="0"/>
  <w:bordersDoNotSurroundFooter w:val="0"/>
  <w:hideSpelling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20A"/>
    <w:rsid w:val="000003EF"/>
    <w:rsid w:val="0000091B"/>
    <w:rsid w:val="00000D0A"/>
    <w:rsid w:val="00000D19"/>
    <w:rsid w:val="00000E1A"/>
    <w:rsid w:val="00001B3E"/>
    <w:rsid w:val="00001CD6"/>
    <w:rsid w:val="00002DDA"/>
    <w:rsid w:val="00003D69"/>
    <w:rsid w:val="00003DAE"/>
    <w:rsid w:val="000058D7"/>
    <w:rsid w:val="00005E55"/>
    <w:rsid w:val="00006E2C"/>
    <w:rsid w:val="000079FF"/>
    <w:rsid w:val="00007B0D"/>
    <w:rsid w:val="000102A9"/>
    <w:rsid w:val="000103C7"/>
    <w:rsid w:val="00010B1A"/>
    <w:rsid w:val="00010CAB"/>
    <w:rsid w:val="00011D72"/>
    <w:rsid w:val="00012078"/>
    <w:rsid w:val="0001292D"/>
    <w:rsid w:val="00013139"/>
    <w:rsid w:val="0001371C"/>
    <w:rsid w:val="00013748"/>
    <w:rsid w:val="00013D1E"/>
    <w:rsid w:val="00013D41"/>
    <w:rsid w:val="000143A3"/>
    <w:rsid w:val="00014518"/>
    <w:rsid w:val="00014ADD"/>
    <w:rsid w:val="00014DD6"/>
    <w:rsid w:val="0001598C"/>
    <w:rsid w:val="000160DA"/>
    <w:rsid w:val="00016C31"/>
    <w:rsid w:val="000207AB"/>
    <w:rsid w:val="00020BB1"/>
    <w:rsid w:val="00020BF0"/>
    <w:rsid w:val="000215B7"/>
    <w:rsid w:val="000217BF"/>
    <w:rsid w:val="000217D7"/>
    <w:rsid w:val="00021C98"/>
    <w:rsid w:val="00021CCD"/>
    <w:rsid w:val="00021EE3"/>
    <w:rsid w:val="00022424"/>
    <w:rsid w:val="000228AB"/>
    <w:rsid w:val="000233CA"/>
    <w:rsid w:val="000234FB"/>
    <w:rsid w:val="00023652"/>
    <w:rsid w:val="0002407B"/>
    <w:rsid w:val="00024633"/>
    <w:rsid w:val="00024B89"/>
    <w:rsid w:val="0002560A"/>
    <w:rsid w:val="00025656"/>
    <w:rsid w:val="00025CB2"/>
    <w:rsid w:val="00025DA0"/>
    <w:rsid w:val="0002696D"/>
    <w:rsid w:val="0002754D"/>
    <w:rsid w:val="00027666"/>
    <w:rsid w:val="000276B2"/>
    <w:rsid w:val="00027A46"/>
    <w:rsid w:val="00027AF3"/>
    <w:rsid w:val="00027F88"/>
    <w:rsid w:val="00030024"/>
    <w:rsid w:val="00030124"/>
    <w:rsid w:val="000305FD"/>
    <w:rsid w:val="0003084F"/>
    <w:rsid w:val="00030C2F"/>
    <w:rsid w:val="00030DAA"/>
    <w:rsid w:val="000311F9"/>
    <w:rsid w:val="00031757"/>
    <w:rsid w:val="00032686"/>
    <w:rsid w:val="0003274B"/>
    <w:rsid w:val="00032AD8"/>
    <w:rsid w:val="000331CC"/>
    <w:rsid w:val="0003322E"/>
    <w:rsid w:val="000335CC"/>
    <w:rsid w:val="00033927"/>
    <w:rsid w:val="00033B67"/>
    <w:rsid w:val="000340DD"/>
    <w:rsid w:val="0003581C"/>
    <w:rsid w:val="00035840"/>
    <w:rsid w:val="00035844"/>
    <w:rsid w:val="00035DF4"/>
    <w:rsid w:val="00036BAA"/>
    <w:rsid w:val="00037895"/>
    <w:rsid w:val="00037C63"/>
    <w:rsid w:val="00037C99"/>
    <w:rsid w:val="00037CE4"/>
    <w:rsid w:val="00040187"/>
    <w:rsid w:val="000406A9"/>
    <w:rsid w:val="00040AC1"/>
    <w:rsid w:val="000418B1"/>
    <w:rsid w:val="00042BF9"/>
    <w:rsid w:val="00043295"/>
    <w:rsid w:val="00045069"/>
    <w:rsid w:val="00045194"/>
    <w:rsid w:val="00045947"/>
    <w:rsid w:val="00045B8A"/>
    <w:rsid w:val="000462A8"/>
    <w:rsid w:val="00046360"/>
    <w:rsid w:val="0004653D"/>
    <w:rsid w:val="000465AB"/>
    <w:rsid w:val="00046DC4"/>
    <w:rsid w:val="00046E59"/>
    <w:rsid w:val="000472E6"/>
    <w:rsid w:val="000476C9"/>
    <w:rsid w:val="000479CD"/>
    <w:rsid w:val="00047FA4"/>
    <w:rsid w:val="000500E6"/>
    <w:rsid w:val="000504FE"/>
    <w:rsid w:val="00050E2B"/>
    <w:rsid w:val="00052A50"/>
    <w:rsid w:val="00052CA6"/>
    <w:rsid w:val="00052CE3"/>
    <w:rsid w:val="00053BFC"/>
    <w:rsid w:val="0005428F"/>
    <w:rsid w:val="00054870"/>
    <w:rsid w:val="00054ABD"/>
    <w:rsid w:val="00054F7D"/>
    <w:rsid w:val="00055230"/>
    <w:rsid w:val="00055282"/>
    <w:rsid w:val="00055557"/>
    <w:rsid w:val="000556A1"/>
    <w:rsid w:val="00055A1D"/>
    <w:rsid w:val="00055A8A"/>
    <w:rsid w:val="00055E6D"/>
    <w:rsid w:val="00055F06"/>
    <w:rsid w:val="0005625F"/>
    <w:rsid w:val="000563CB"/>
    <w:rsid w:val="0005649E"/>
    <w:rsid w:val="00056597"/>
    <w:rsid w:val="00056999"/>
    <w:rsid w:val="0005700C"/>
    <w:rsid w:val="00057393"/>
    <w:rsid w:val="00057E45"/>
    <w:rsid w:val="000606B6"/>
    <w:rsid w:val="00060C55"/>
    <w:rsid w:val="000616F0"/>
    <w:rsid w:val="00061DF2"/>
    <w:rsid w:val="00062637"/>
    <w:rsid w:val="000631AC"/>
    <w:rsid w:val="000631B7"/>
    <w:rsid w:val="000639D4"/>
    <w:rsid w:val="00064A48"/>
    <w:rsid w:val="00064C80"/>
    <w:rsid w:val="00065AB2"/>
    <w:rsid w:val="00065AB7"/>
    <w:rsid w:val="00065D71"/>
    <w:rsid w:val="0006667A"/>
    <w:rsid w:val="000673D8"/>
    <w:rsid w:val="00067DE7"/>
    <w:rsid w:val="000706AC"/>
    <w:rsid w:val="00070950"/>
    <w:rsid w:val="000709D3"/>
    <w:rsid w:val="00070B2E"/>
    <w:rsid w:val="00070F5F"/>
    <w:rsid w:val="000710CA"/>
    <w:rsid w:val="000712F8"/>
    <w:rsid w:val="00071A6A"/>
    <w:rsid w:val="00071C4A"/>
    <w:rsid w:val="00071C95"/>
    <w:rsid w:val="00071E9C"/>
    <w:rsid w:val="0007216A"/>
    <w:rsid w:val="00072A95"/>
    <w:rsid w:val="00073F01"/>
    <w:rsid w:val="00074218"/>
    <w:rsid w:val="00074923"/>
    <w:rsid w:val="00074CBD"/>
    <w:rsid w:val="000750EA"/>
    <w:rsid w:val="000753A7"/>
    <w:rsid w:val="00076AA9"/>
    <w:rsid w:val="00077698"/>
    <w:rsid w:val="00077891"/>
    <w:rsid w:val="0007797E"/>
    <w:rsid w:val="000800AA"/>
    <w:rsid w:val="0008017C"/>
    <w:rsid w:val="00080AA6"/>
    <w:rsid w:val="00081C1C"/>
    <w:rsid w:val="00081F2E"/>
    <w:rsid w:val="000820CD"/>
    <w:rsid w:val="000822F0"/>
    <w:rsid w:val="00082611"/>
    <w:rsid w:val="0008264F"/>
    <w:rsid w:val="0008372E"/>
    <w:rsid w:val="00083A64"/>
    <w:rsid w:val="00083B97"/>
    <w:rsid w:val="000866A9"/>
    <w:rsid w:val="00086EC2"/>
    <w:rsid w:val="00087358"/>
    <w:rsid w:val="000873F5"/>
    <w:rsid w:val="00087A48"/>
    <w:rsid w:val="00090053"/>
    <w:rsid w:val="000900DF"/>
    <w:rsid w:val="00090193"/>
    <w:rsid w:val="0009021F"/>
    <w:rsid w:val="00091D8D"/>
    <w:rsid w:val="000923A3"/>
    <w:rsid w:val="00093149"/>
    <w:rsid w:val="00093A83"/>
    <w:rsid w:val="00093DF8"/>
    <w:rsid w:val="000941F6"/>
    <w:rsid w:val="000945C5"/>
    <w:rsid w:val="00094784"/>
    <w:rsid w:val="00094ECF"/>
    <w:rsid w:val="0009592E"/>
    <w:rsid w:val="00096686"/>
    <w:rsid w:val="0009715C"/>
    <w:rsid w:val="000A10DB"/>
    <w:rsid w:val="000A1429"/>
    <w:rsid w:val="000A2075"/>
    <w:rsid w:val="000A2584"/>
    <w:rsid w:val="000A2968"/>
    <w:rsid w:val="000A3515"/>
    <w:rsid w:val="000A3518"/>
    <w:rsid w:val="000A6F1D"/>
    <w:rsid w:val="000A70C7"/>
    <w:rsid w:val="000A7238"/>
    <w:rsid w:val="000A791D"/>
    <w:rsid w:val="000B0698"/>
    <w:rsid w:val="000B09FE"/>
    <w:rsid w:val="000B15EF"/>
    <w:rsid w:val="000B26D6"/>
    <w:rsid w:val="000B28C2"/>
    <w:rsid w:val="000B316D"/>
    <w:rsid w:val="000B3194"/>
    <w:rsid w:val="000B3CFE"/>
    <w:rsid w:val="000B4EF3"/>
    <w:rsid w:val="000B554C"/>
    <w:rsid w:val="000B59FF"/>
    <w:rsid w:val="000B5D87"/>
    <w:rsid w:val="000B6F18"/>
    <w:rsid w:val="000B7E6D"/>
    <w:rsid w:val="000C0269"/>
    <w:rsid w:val="000C350A"/>
    <w:rsid w:val="000C38C8"/>
    <w:rsid w:val="000C3CF9"/>
    <w:rsid w:val="000C4988"/>
    <w:rsid w:val="000C56F1"/>
    <w:rsid w:val="000C59D1"/>
    <w:rsid w:val="000C5D4B"/>
    <w:rsid w:val="000C645C"/>
    <w:rsid w:val="000C6F35"/>
    <w:rsid w:val="000C7045"/>
    <w:rsid w:val="000C7170"/>
    <w:rsid w:val="000C757A"/>
    <w:rsid w:val="000C7D9F"/>
    <w:rsid w:val="000C7FA4"/>
    <w:rsid w:val="000D1B95"/>
    <w:rsid w:val="000D207B"/>
    <w:rsid w:val="000D211B"/>
    <w:rsid w:val="000D3E1B"/>
    <w:rsid w:val="000D4061"/>
    <w:rsid w:val="000D4860"/>
    <w:rsid w:val="000D48FB"/>
    <w:rsid w:val="000D4B4F"/>
    <w:rsid w:val="000D4EC1"/>
    <w:rsid w:val="000D55FD"/>
    <w:rsid w:val="000D6AC8"/>
    <w:rsid w:val="000E01DF"/>
    <w:rsid w:val="000E0E30"/>
    <w:rsid w:val="000E1C04"/>
    <w:rsid w:val="000E2AD1"/>
    <w:rsid w:val="000E2BC5"/>
    <w:rsid w:val="000E3CD3"/>
    <w:rsid w:val="000E3D2F"/>
    <w:rsid w:val="000E4712"/>
    <w:rsid w:val="000E612C"/>
    <w:rsid w:val="000E6D38"/>
    <w:rsid w:val="000E72E7"/>
    <w:rsid w:val="000E72F6"/>
    <w:rsid w:val="000E75B3"/>
    <w:rsid w:val="000E7CC8"/>
    <w:rsid w:val="000F130C"/>
    <w:rsid w:val="000F1769"/>
    <w:rsid w:val="000F1B78"/>
    <w:rsid w:val="000F1F2C"/>
    <w:rsid w:val="000F1F51"/>
    <w:rsid w:val="000F1FB0"/>
    <w:rsid w:val="000F2181"/>
    <w:rsid w:val="000F24AC"/>
    <w:rsid w:val="000F2BA5"/>
    <w:rsid w:val="000F2BFA"/>
    <w:rsid w:val="000F2F60"/>
    <w:rsid w:val="000F4B3A"/>
    <w:rsid w:val="000F5331"/>
    <w:rsid w:val="000F55C9"/>
    <w:rsid w:val="000F5AE9"/>
    <w:rsid w:val="000F6242"/>
    <w:rsid w:val="000F6F32"/>
    <w:rsid w:val="000F7264"/>
    <w:rsid w:val="000F75A8"/>
    <w:rsid w:val="000F76E0"/>
    <w:rsid w:val="000F7F50"/>
    <w:rsid w:val="00100331"/>
    <w:rsid w:val="00101255"/>
    <w:rsid w:val="001016BB"/>
    <w:rsid w:val="0010251A"/>
    <w:rsid w:val="00102BC3"/>
    <w:rsid w:val="00103458"/>
    <w:rsid w:val="00104AFF"/>
    <w:rsid w:val="001054C2"/>
    <w:rsid w:val="00105A06"/>
    <w:rsid w:val="001078F4"/>
    <w:rsid w:val="00110797"/>
    <w:rsid w:val="00111D44"/>
    <w:rsid w:val="00111ECD"/>
    <w:rsid w:val="001121DD"/>
    <w:rsid w:val="00112DBF"/>
    <w:rsid w:val="00112DD2"/>
    <w:rsid w:val="00113646"/>
    <w:rsid w:val="001138C3"/>
    <w:rsid w:val="0011487E"/>
    <w:rsid w:val="001150C7"/>
    <w:rsid w:val="0011545B"/>
    <w:rsid w:val="00116258"/>
    <w:rsid w:val="0011730E"/>
    <w:rsid w:val="00117559"/>
    <w:rsid w:val="00117694"/>
    <w:rsid w:val="00117CB4"/>
    <w:rsid w:val="0012077F"/>
    <w:rsid w:val="00120813"/>
    <w:rsid w:val="0012099E"/>
    <w:rsid w:val="00120E60"/>
    <w:rsid w:val="0012130E"/>
    <w:rsid w:val="001213B0"/>
    <w:rsid w:val="00121741"/>
    <w:rsid w:val="00121818"/>
    <w:rsid w:val="00121832"/>
    <w:rsid w:val="00121BDD"/>
    <w:rsid w:val="0012235C"/>
    <w:rsid w:val="0012239D"/>
    <w:rsid w:val="00122A75"/>
    <w:rsid w:val="00122C14"/>
    <w:rsid w:val="0012405C"/>
    <w:rsid w:val="001241D1"/>
    <w:rsid w:val="00124985"/>
    <w:rsid w:val="00125609"/>
    <w:rsid w:val="00126655"/>
    <w:rsid w:val="00126707"/>
    <w:rsid w:val="001269E0"/>
    <w:rsid w:val="00130116"/>
    <w:rsid w:val="0013190A"/>
    <w:rsid w:val="00131C94"/>
    <w:rsid w:val="00131DE6"/>
    <w:rsid w:val="00131EAD"/>
    <w:rsid w:val="001326DF"/>
    <w:rsid w:val="00132AD8"/>
    <w:rsid w:val="00132CCE"/>
    <w:rsid w:val="00133D01"/>
    <w:rsid w:val="00134161"/>
    <w:rsid w:val="00134510"/>
    <w:rsid w:val="00134BB0"/>
    <w:rsid w:val="0013590D"/>
    <w:rsid w:val="00136031"/>
    <w:rsid w:val="00136073"/>
    <w:rsid w:val="001361F7"/>
    <w:rsid w:val="00136606"/>
    <w:rsid w:val="00136806"/>
    <w:rsid w:val="001369A6"/>
    <w:rsid w:val="00136BD6"/>
    <w:rsid w:val="00136DBC"/>
    <w:rsid w:val="00136F77"/>
    <w:rsid w:val="00137856"/>
    <w:rsid w:val="00137BD8"/>
    <w:rsid w:val="00137E9D"/>
    <w:rsid w:val="00140291"/>
    <w:rsid w:val="001404CD"/>
    <w:rsid w:val="00141083"/>
    <w:rsid w:val="001422D4"/>
    <w:rsid w:val="001442C2"/>
    <w:rsid w:val="001449E1"/>
    <w:rsid w:val="00144D5F"/>
    <w:rsid w:val="001457CC"/>
    <w:rsid w:val="0014647C"/>
    <w:rsid w:val="00147769"/>
    <w:rsid w:val="00147916"/>
    <w:rsid w:val="0014795D"/>
    <w:rsid w:val="001479AA"/>
    <w:rsid w:val="00147F00"/>
    <w:rsid w:val="00150564"/>
    <w:rsid w:val="001506A7"/>
    <w:rsid w:val="00150882"/>
    <w:rsid w:val="00150A4A"/>
    <w:rsid w:val="00151898"/>
    <w:rsid w:val="001518B5"/>
    <w:rsid w:val="00151BBA"/>
    <w:rsid w:val="0015252D"/>
    <w:rsid w:val="00152656"/>
    <w:rsid w:val="001526A2"/>
    <w:rsid w:val="00152C00"/>
    <w:rsid w:val="00152C2B"/>
    <w:rsid w:val="00152E98"/>
    <w:rsid w:val="00153084"/>
    <w:rsid w:val="001535D0"/>
    <w:rsid w:val="001540CA"/>
    <w:rsid w:val="00154304"/>
    <w:rsid w:val="0015430F"/>
    <w:rsid w:val="0015450A"/>
    <w:rsid w:val="0015477A"/>
    <w:rsid w:val="00154F0A"/>
    <w:rsid w:val="001554C4"/>
    <w:rsid w:val="00155767"/>
    <w:rsid w:val="00156891"/>
    <w:rsid w:val="00156BA3"/>
    <w:rsid w:val="00156BFA"/>
    <w:rsid w:val="00157320"/>
    <w:rsid w:val="001579B9"/>
    <w:rsid w:val="001602EB"/>
    <w:rsid w:val="001610EB"/>
    <w:rsid w:val="00161A22"/>
    <w:rsid w:val="00161BE7"/>
    <w:rsid w:val="00161C1F"/>
    <w:rsid w:val="00161C2F"/>
    <w:rsid w:val="001620B6"/>
    <w:rsid w:val="001621E9"/>
    <w:rsid w:val="00162664"/>
    <w:rsid w:val="00163005"/>
    <w:rsid w:val="00163194"/>
    <w:rsid w:val="00163CE9"/>
    <w:rsid w:val="00163DB9"/>
    <w:rsid w:val="00164C68"/>
    <w:rsid w:val="00164F8F"/>
    <w:rsid w:val="0016529F"/>
    <w:rsid w:val="001658F5"/>
    <w:rsid w:val="00165F38"/>
    <w:rsid w:val="001661B8"/>
    <w:rsid w:val="00166237"/>
    <w:rsid w:val="0016644D"/>
    <w:rsid w:val="00166EE6"/>
    <w:rsid w:val="001672AF"/>
    <w:rsid w:val="001677C3"/>
    <w:rsid w:val="00170A14"/>
    <w:rsid w:val="0017112B"/>
    <w:rsid w:val="0017260F"/>
    <w:rsid w:val="001726CF"/>
    <w:rsid w:val="00172A27"/>
    <w:rsid w:val="00172B96"/>
    <w:rsid w:val="00172BAF"/>
    <w:rsid w:val="00172EC0"/>
    <w:rsid w:val="00173191"/>
    <w:rsid w:val="001731C7"/>
    <w:rsid w:val="001737FE"/>
    <w:rsid w:val="00173F09"/>
    <w:rsid w:val="0017426E"/>
    <w:rsid w:val="00176E50"/>
    <w:rsid w:val="00176FB5"/>
    <w:rsid w:val="0017723E"/>
    <w:rsid w:val="001775DA"/>
    <w:rsid w:val="00177959"/>
    <w:rsid w:val="00177AD0"/>
    <w:rsid w:val="00177D53"/>
    <w:rsid w:val="001804A1"/>
    <w:rsid w:val="00181135"/>
    <w:rsid w:val="00181344"/>
    <w:rsid w:val="00181C0B"/>
    <w:rsid w:val="00182382"/>
    <w:rsid w:val="001825DE"/>
    <w:rsid w:val="00182DF8"/>
    <w:rsid w:val="001838B4"/>
    <w:rsid w:val="00185AA7"/>
    <w:rsid w:val="00185D27"/>
    <w:rsid w:val="00187892"/>
    <w:rsid w:val="00187DFB"/>
    <w:rsid w:val="00190463"/>
    <w:rsid w:val="0019075C"/>
    <w:rsid w:val="00191323"/>
    <w:rsid w:val="00191435"/>
    <w:rsid w:val="001919C3"/>
    <w:rsid w:val="00192213"/>
    <w:rsid w:val="001927A2"/>
    <w:rsid w:val="001927AF"/>
    <w:rsid w:val="0019290D"/>
    <w:rsid w:val="00192C82"/>
    <w:rsid w:val="0019335B"/>
    <w:rsid w:val="00193A21"/>
    <w:rsid w:val="0019423A"/>
    <w:rsid w:val="00194BD4"/>
    <w:rsid w:val="00195648"/>
    <w:rsid w:val="001959DC"/>
    <w:rsid w:val="00195F44"/>
    <w:rsid w:val="00196019"/>
    <w:rsid w:val="00196C83"/>
    <w:rsid w:val="00196E92"/>
    <w:rsid w:val="00197054"/>
    <w:rsid w:val="001A0154"/>
    <w:rsid w:val="001A0896"/>
    <w:rsid w:val="001A1F67"/>
    <w:rsid w:val="001A21A3"/>
    <w:rsid w:val="001A315B"/>
    <w:rsid w:val="001A3856"/>
    <w:rsid w:val="001A3F6D"/>
    <w:rsid w:val="001A43A8"/>
    <w:rsid w:val="001A4C94"/>
    <w:rsid w:val="001A4FDF"/>
    <w:rsid w:val="001A5A97"/>
    <w:rsid w:val="001A5DA1"/>
    <w:rsid w:val="001A5DB5"/>
    <w:rsid w:val="001A5F35"/>
    <w:rsid w:val="001A63AC"/>
    <w:rsid w:val="001A69CB"/>
    <w:rsid w:val="001A775C"/>
    <w:rsid w:val="001A7CBA"/>
    <w:rsid w:val="001B05F1"/>
    <w:rsid w:val="001B0F3C"/>
    <w:rsid w:val="001B1736"/>
    <w:rsid w:val="001B1AE6"/>
    <w:rsid w:val="001B32D3"/>
    <w:rsid w:val="001B32E4"/>
    <w:rsid w:val="001B35B1"/>
    <w:rsid w:val="001B36EB"/>
    <w:rsid w:val="001B3778"/>
    <w:rsid w:val="001B3E30"/>
    <w:rsid w:val="001B3E4A"/>
    <w:rsid w:val="001B4ED3"/>
    <w:rsid w:val="001B50CC"/>
    <w:rsid w:val="001B5355"/>
    <w:rsid w:val="001B6049"/>
    <w:rsid w:val="001B60D4"/>
    <w:rsid w:val="001B6482"/>
    <w:rsid w:val="001B66F9"/>
    <w:rsid w:val="001B6EA5"/>
    <w:rsid w:val="001B7014"/>
    <w:rsid w:val="001B7A12"/>
    <w:rsid w:val="001B7C32"/>
    <w:rsid w:val="001B7CBF"/>
    <w:rsid w:val="001B7F9E"/>
    <w:rsid w:val="001C0D3C"/>
    <w:rsid w:val="001C148A"/>
    <w:rsid w:val="001C15DB"/>
    <w:rsid w:val="001C1814"/>
    <w:rsid w:val="001C1860"/>
    <w:rsid w:val="001C3671"/>
    <w:rsid w:val="001C3B66"/>
    <w:rsid w:val="001C3D80"/>
    <w:rsid w:val="001C4361"/>
    <w:rsid w:val="001C51A3"/>
    <w:rsid w:val="001C5358"/>
    <w:rsid w:val="001C56D1"/>
    <w:rsid w:val="001C59AB"/>
    <w:rsid w:val="001C6154"/>
    <w:rsid w:val="001C6921"/>
    <w:rsid w:val="001C7A8C"/>
    <w:rsid w:val="001C7C8A"/>
    <w:rsid w:val="001D1400"/>
    <w:rsid w:val="001D15D9"/>
    <w:rsid w:val="001D1930"/>
    <w:rsid w:val="001D20E3"/>
    <w:rsid w:val="001D23EF"/>
    <w:rsid w:val="001D3534"/>
    <w:rsid w:val="001D4681"/>
    <w:rsid w:val="001D537F"/>
    <w:rsid w:val="001D678A"/>
    <w:rsid w:val="001D723E"/>
    <w:rsid w:val="001D7681"/>
    <w:rsid w:val="001D7B65"/>
    <w:rsid w:val="001E0464"/>
    <w:rsid w:val="001E131D"/>
    <w:rsid w:val="001E1FA3"/>
    <w:rsid w:val="001E21AC"/>
    <w:rsid w:val="001E24A4"/>
    <w:rsid w:val="001E28CC"/>
    <w:rsid w:val="001E321D"/>
    <w:rsid w:val="001E38B1"/>
    <w:rsid w:val="001E3FEB"/>
    <w:rsid w:val="001E42EC"/>
    <w:rsid w:val="001E43E6"/>
    <w:rsid w:val="001E478C"/>
    <w:rsid w:val="001E4C00"/>
    <w:rsid w:val="001E4D12"/>
    <w:rsid w:val="001E4D56"/>
    <w:rsid w:val="001E5B91"/>
    <w:rsid w:val="001E6426"/>
    <w:rsid w:val="001E697B"/>
    <w:rsid w:val="001E6F9D"/>
    <w:rsid w:val="001E72E0"/>
    <w:rsid w:val="001F0064"/>
    <w:rsid w:val="001F09D1"/>
    <w:rsid w:val="001F16DF"/>
    <w:rsid w:val="001F17B3"/>
    <w:rsid w:val="001F193C"/>
    <w:rsid w:val="001F1960"/>
    <w:rsid w:val="001F1ABD"/>
    <w:rsid w:val="001F2631"/>
    <w:rsid w:val="001F30D8"/>
    <w:rsid w:val="001F3661"/>
    <w:rsid w:val="001F3BF9"/>
    <w:rsid w:val="001F3DAE"/>
    <w:rsid w:val="001F4685"/>
    <w:rsid w:val="001F4A98"/>
    <w:rsid w:val="001F6159"/>
    <w:rsid w:val="001F6680"/>
    <w:rsid w:val="001F6F34"/>
    <w:rsid w:val="001F6FB6"/>
    <w:rsid w:val="001F740D"/>
    <w:rsid w:val="001F792F"/>
    <w:rsid w:val="001F7AC9"/>
    <w:rsid w:val="001F7B97"/>
    <w:rsid w:val="001F7B9E"/>
    <w:rsid w:val="001F7BE1"/>
    <w:rsid w:val="001F7C97"/>
    <w:rsid w:val="00200A84"/>
    <w:rsid w:val="002012B8"/>
    <w:rsid w:val="002014F7"/>
    <w:rsid w:val="00202576"/>
    <w:rsid w:val="00202B50"/>
    <w:rsid w:val="00202EF9"/>
    <w:rsid w:val="00203204"/>
    <w:rsid w:val="00203236"/>
    <w:rsid w:val="002036E8"/>
    <w:rsid w:val="00203894"/>
    <w:rsid w:val="00203999"/>
    <w:rsid w:val="00203B3F"/>
    <w:rsid w:val="00203B81"/>
    <w:rsid w:val="002048AD"/>
    <w:rsid w:val="0020494A"/>
    <w:rsid w:val="00204AC3"/>
    <w:rsid w:val="002051F7"/>
    <w:rsid w:val="0020531C"/>
    <w:rsid w:val="00205536"/>
    <w:rsid w:val="00205C3B"/>
    <w:rsid w:val="00205EF5"/>
    <w:rsid w:val="002067D2"/>
    <w:rsid w:val="0020708A"/>
    <w:rsid w:val="00207642"/>
    <w:rsid w:val="00207AFC"/>
    <w:rsid w:val="00207F6A"/>
    <w:rsid w:val="00210256"/>
    <w:rsid w:val="00210394"/>
    <w:rsid w:val="0021076E"/>
    <w:rsid w:val="00212B08"/>
    <w:rsid w:val="00213289"/>
    <w:rsid w:val="002132DA"/>
    <w:rsid w:val="00213825"/>
    <w:rsid w:val="00213E48"/>
    <w:rsid w:val="00213E53"/>
    <w:rsid w:val="00214189"/>
    <w:rsid w:val="002143DA"/>
    <w:rsid w:val="00214ADD"/>
    <w:rsid w:val="00214F82"/>
    <w:rsid w:val="0021525B"/>
    <w:rsid w:val="002153E3"/>
    <w:rsid w:val="00215A0D"/>
    <w:rsid w:val="00216B19"/>
    <w:rsid w:val="00216CCC"/>
    <w:rsid w:val="00216E16"/>
    <w:rsid w:val="0021738B"/>
    <w:rsid w:val="00220082"/>
    <w:rsid w:val="00220248"/>
    <w:rsid w:val="002203BD"/>
    <w:rsid w:val="00220776"/>
    <w:rsid w:val="00222027"/>
    <w:rsid w:val="002221C3"/>
    <w:rsid w:val="002223BA"/>
    <w:rsid w:val="0022299A"/>
    <w:rsid w:val="00222B91"/>
    <w:rsid w:val="002230FD"/>
    <w:rsid w:val="002232B3"/>
    <w:rsid w:val="00223C8A"/>
    <w:rsid w:val="002242DB"/>
    <w:rsid w:val="00224756"/>
    <w:rsid w:val="00224878"/>
    <w:rsid w:val="0022514D"/>
    <w:rsid w:val="00225366"/>
    <w:rsid w:val="00225495"/>
    <w:rsid w:val="00225AFD"/>
    <w:rsid w:val="00225CEE"/>
    <w:rsid w:val="00226447"/>
    <w:rsid w:val="002266DB"/>
    <w:rsid w:val="00226894"/>
    <w:rsid w:val="002268B0"/>
    <w:rsid w:val="00227577"/>
    <w:rsid w:val="002277E9"/>
    <w:rsid w:val="002301C5"/>
    <w:rsid w:val="002303A6"/>
    <w:rsid w:val="00230894"/>
    <w:rsid w:val="002308E9"/>
    <w:rsid w:val="00231B36"/>
    <w:rsid w:val="00231F9E"/>
    <w:rsid w:val="0023243C"/>
    <w:rsid w:val="00232498"/>
    <w:rsid w:val="0023254E"/>
    <w:rsid w:val="00232918"/>
    <w:rsid w:val="00232D34"/>
    <w:rsid w:val="0023350C"/>
    <w:rsid w:val="00233D7D"/>
    <w:rsid w:val="00233E70"/>
    <w:rsid w:val="00234281"/>
    <w:rsid w:val="00234FD3"/>
    <w:rsid w:val="0023583D"/>
    <w:rsid w:val="002362C4"/>
    <w:rsid w:val="00236B90"/>
    <w:rsid w:val="002371BF"/>
    <w:rsid w:val="00237A87"/>
    <w:rsid w:val="002404C3"/>
    <w:rsid w:val="00240C42"/>
    <w:rsid w:val="00241129"/>
    <w:rsid w:val="00241840"/>
    <w:rsid w:val="00241C36"/>
    <w:rsid w:val="00241CFA"/>
    <w:rsid w:val="002421D6"/>
    <w:rsid w:val="002427EB"/>
    <w:rsid w:val="002427F0"/>
    <w:rsid w:val="002428BD"/>
    <w:rsid w:val="0024294E"/>
    <w:rsid w:val="00242E09"/>
    <w:rsid w:val="00243214"/>
    <w:rsid w:val="002432B7"/>
    <w:rsid w:val="002440B2"/>
    <w:rsid w:val="002458CE"/>
    <w:rsid w:val="00245FBA"/>
    <w:rsid w:val="00246513"/>
    <w:rsid w:val="00246B1D"/>
    <w:rsid w:val="00247439"/>
    <w:rsid w:val="00247BDE"/>
    <w:rsid w:val="0025009E"/>
    <w:rsid w:val="002507C4"/>
    <w:rsid w:val="00250B11"/>
    <w:rsid w:val="00251D1C"/>
    <w:rsid w:val="00251EB3"/>
    <w:rsid w:val="00252473"/>
    <w:rsid w:val="00253254"/>
    <w:rsid w:val="0025329B"/>
    <w:rsid w:val="002538BA"/>
    <w:rsid w:val="00253EC4"/>
    <w:rsid w:val="0025418A"/>
    <w:rsid w:val="00254240"/>
    <w:rsid w:val="00255BC2"/>
    <w:rsid w:val="00256539"/>
    <w:rsid w:val="00256D0C"/>
    <w:rsid w:val="00256DEA"/>
    <w:rsid w:val="00257C49"/>
    <w:rsid w:val="0026072F"/>
    <w:rsid w:val="00260952"/>
    <w:rsid w:val="00261192"/>
    <w:rsid w:val="00261A11"/>
    <w:rsid w:val="00261A67"/>
    <w:rsid w:val="00261CB5"/>
    <w:rsid w:val="002625F2"/>
    <w:rsid w:val="002626D5"/>
    <w:rsid w:val="00263413"/>
    <w:rsid w:val="0026431A"/>
    <w:rsid w:val="002644A4"/>
    <w:rsid w:val="0026452D"/>
    <w:rsid w:val="00265066"/>
    <w:rsid w:val="00265C93"/>
    <w:rsid w:val="00266300"/>
    <w:rsid w:val="002676F9"/>
    <w:rsid w:val="00270BA8"/>
    <w:rsid w:val="00270E35"/>
    <w:rsid w:val="00271150"/>
    <w:rsid w:val="00274025"/>
    <w:rsid w:val="00274041"/>
    <w:rsid w:val="002747CC"/>
    <w:rsid w:val="00274830"/>
    <w:rsid w:val="00274A77"/>
    <w:rsid w:val="00274DF9"/>
    <w:rsid w:val="00275170"/>
    <w:rsid w:val="002756DB"/>
    <w:rsid w:val="00275D77"/>
    <w:rsid w:val="002775AA"/>
    <w:rsid w:val="002778F2"/>
    <w:rsid w:val="00277F52"/>
    <w:rsid w:val="002809A3"/>
    <w:rsid w:val="00280AAE"/>
    <w:rsid w:val="00281664"/>
    <w:rsid w:val="00281979"/>
    <w:rsid w:val="00281E85"/>
    <w:rsid w:val="002837F8"/>
    <w:rsid w:val="00283ACF"/>
    <w:rsid w:val="00283C99"/>
    <w:rsid w:val="0028473D"/>
    <w:rsid w:val="00284850"/>
    <w:rsid w:val="00284AC7"/>
    <w:rsid w:val="00284D22"/>
    <w:rsid w:val="00284EAF"/>
    <w:rsid w:val="00285326"/>
    <w:rsid w:val="00285DE8"/>
    <w:rsid w:val="00286798"/>
    <w:rsid w:val="00290891"/>
    <w:rsid w:val="00291DA9"/>
    <w:rsid w:val="00292097"/>
    <w:rsid w:val="00292773"/>
    <w:rsid w:val="002927AC"/>
    <w:rsid w:val="00292E8B"/>
    <w:rsid w:val="0029469F"/>
    <w:rsid w:val="00294704"/>
    <w:rsid w:val="00294C20"/>
    <w:rsid w:val="00295405"/>
    <w:rsid w:val="002954FB"/>
    <w:rsid w:val="0029618D"/>
    <w:rsid w:val="002965BA"/>
    <w:rsid w:val="00296711"/>
    <w:rsid w:val="00296814"/>
    <w:rsid w:val="00296FE0"/>
    <w:rsid w:val="0029716C"/>
    <w:rsid w:val="002A0C57"/>
    <w:rsid w:val="002A0DD4"/>
    <w:rsid w:val="002A1CD7"/>
    <w:rsid w:val="002A2537"/>
    <w:rsid w:val="002A2AB8"/>
    <w:rsid w:val="002A2B8E"/>
    <w:rsid w:val="002A2FD5"/>
    <w:rsid w:val="002A30B3"/>
    <w:rsid w:val="002A34B0"/>
    <w:rsid w:val="002A413D"/>
    <w:rsid w:val="002A5126"/>
    <w:rsid w:val="002A5948"/>
    <w:rsid w:val="002A64F2"/>
    <w:rsid w:val="002A6590"/>
    <w:rsid w:val="002A66BC"/>
    <w:rsid w:val="002A7059"/>
    <w:rsid w:val="002A7478"/>
    <w:rsid w:val="002A7B26"/>
    <w:rsid w:val="002B01AD"/>
    <w:rsid w:val="002B047F"/>
    <w:rsid w:val="002B2D78"/>
    <w:rsid w:val="002B32C9"/>
    <w:rsid w:val="002B3736"/>
    <w:rsid w:val="002B389E"/>
    <w:rsid w:val="002B4054"/>
    <w:rsid w:val="002B46FF"/>
    <w:rsid w:val="002B497D"/>
    <w:rsid w:val="002B4D0E"/>
    <w:rsid w:val="002B50F2"/>
    <w:rsid w:val="002B542A"/>
    <w:rsid w:val="002B5495"/>
    <w:rsid w:val="002B54C5"/>
    <w:rsid w:val="002B55E5"/>
    <w:rsid w:val="002B60D3"/>
    <w:rsid w:val="002B653E"/>
    <w:rsid w:val="002B6703"/>
    <w:rsid w:val="002B6D69"/>
    <w:rsid w:val="002B6F67"/>
    <w:rsid w:val="002B7411"/>
    <w:rsid w:val="002B7F0B"/>
    <w:rsid w:val="002B7F1B"/>
    <w:rsid w:val="002C0083"/>
    <w:rsid w:val="002C032E"/>
    <w:rsid w:val="002C0788"/>
    <w:rsid w:val="002C081A"/>
    <w:rsid w:val="002C108A"/>
    <w:rsid w:val="002C1553"/>
    <w:rsid w:val="002C2CCD"/>
    <w:rsid w:val="002C2F7F"/>
    <w:rsid w:val="002C2FB4"/>
    <w:rsid w:val="002C2FD3"/>
    <w:rsid w:val="002C30A3"/>
    <w:rsid w:val="002C3337"/>
    <w:rsid w:val="002C3683"/>
    <w:rsid w:val="002C369F"/>
    <w:rsid w:val="002C3A79"/>
    <w:rsid w:val="002C3BA9"/>
    <w:rsid w:val="002C6684"/>
    <w:rsid w:val="002C6840"/>
    <w:rsid w:val="002C6916"/>
    <w:rsid w:val="002C6DC2"/>
    <w:rsid w:val="002C6DDA"/>
    <w:rsid w:val="002C713E"/>
    <w:rsid w:val="002C7F2C"/>
    <w:rsid w:val="002D053D"/>
    <w:rsid w:val="002D0B99"/>
    <w:rsid w:val="002D1936"/>
    <w:rsid w:val="002D1CE8"/>
    <w:rsid w:val="002D2FB2"/>
    <w:rsid w:val="002D3782"/>
    <w:rsid w:val="002D3CE3"/>
    <w:rsid w:val="002D48E6"/>
    <w:rsid w:val="002D4DBC"/>
    <w:rsid w:val="002D5B16"/>
    <w:rsid w:val="002D73F7"/>
    <w:rsid w:val="002D769A"/>
    <w:rsid w:val="002D7789"/>
    <w:rsid w:val="002D77B7"/>
    <w:rsid w:val="002D7CC4"/>
    <w:rsid w:val="002D7DBC"/>
    <w:rsid w:val="002E0C21"/>
    <w:rsid w:val="002E0FA4"/>
    <w:rsid w:val="002E192A"/>
    <w:rsid w:val="002E2471"/>
    <w:rsid w:val="002E2B84"/>
    <w:rsid w:val="002E300A"/>
    <w:rsid w:val="002E30AC"/>
    <w:rsid w:val="002E3543"/>
    <w:rsid w:val="002E3B82"/>
    <w:rsid w:val="002E3C6A"/>
    <w:rsid w:val="002E3C95"/>
    <w:rsid w:val="002E40D7"/>
    <w:rsid w:val="002E4BB3"/>
    <w:rsid w:val="002E5518"/>
    <w:rsid w:val="002E5F0D"/>
    <w:rsid w:val="002E67C6"/>
    <w:rsid w:val="002E6EE7"/>
    <w:rsid w:val="002F0C6B"/>
    <w:rsid w:val="002F1A12"/>
    <w:rsid w:val="002F1CD0"/>
    <w:rsid w:val="002F1D5C"/>
    <w:rsid w:val="002F207F"/>
    <w:rsid w:val="002F24AF"/>
    <w:rsid w:val="002F3259"/>
    <w:rsid w:val="002F32ED"/>
    <w:rsid w:val="002F3799"/>
    <w:rsid w:val="002F43B6"/>
    <w:rsid w:val="002F49F9"/>
    <w:rsid w:val="002F4E60"/>
    <w:rsid w:val="002F515D"/>
    <w:rsid w:val="002F594A"/>
    <w:rsid w:val="002F6673"/>
    <w:rsid w:val="002F66DB"/>
    <w:rsid w:val="002F689E"/>
    <w:rsid w:val="002F7A05"/>
    <w:rsid w:val="002F7EB8"/>
    <w:rsid w:val="00300047"/>
    <w:rsid w:val="0030086D"/>
    <w:rsid w:val="00300D86"/>
    <w:rsid w:val="003017E1"/>
    <w:rsid w:val="00302F6A"/>
    <w:rsid w:val="00303B54"/>
    <w:rsid w:val="003040C0"/>
    <w:rsid w:val="00305CC7"/>
    <w:rsid w:val="00305F62"/>
    <w:rsid w:val="0030688B"/>
    <w:rsid w:val="00306AB8"/>
    <w:rsid w:val="003074FD"/>
    <w:rsid w:val="00307A2D"/>
    <w:rsid w:val="00310204"/>
    <w:rsid w:val="00310272"/>
    <w:rsid w:val="0031058E"/>
    <w:rsid w:val="00310D86"/>
    <w:rsid w:val="00310F34"/>
    <w:rsid w:val="00311FD9"/>
    <w:rsid w:val="00312AF6"/>
    <w:rsid w:val="00312CB7"/>
    <w:rsid w:val="00312E68"/>
    <w:rsid w:val="0031351A"/>
    <w:rsid w:val="00314AF3"/>
    <w:rsid w:val="00315B92"/>
    <w:rsid w:val="003161E5"/>
    <w:rsid w:val="00316C18"/>
    <w:rsid w:val="00317071"/>
    <w:rsid w:val="003170F2"/>
    <w:rsid w:val="0032028C"/>
    <w:rsid w:val="003204DA"/>
    <w:rsid w:val="00320582"/>
    <w:rsid w:val="003206BE"/>
    <w:rsid w:val="00321282"/>
    <w:rsid w:val="0032130E"/>
    <w:rsid w:val="00321461"/>
    <w:rsid w:val="0032187E"/>
    <w:rsid w:val="003218EA"/>
    <w:rsid w:val="00321F93"/>
    <w:rsid w:val="003223D4"/>
    <w:rsid w:val="0032278A"/>
    <w:rsid w:val="0032279E"/>
    <w:rsid w:val="00322A25"/>
    <w:rsid w:val="0032318E"/>
    <w:rsid w:val="0032373F"/>
    <w:rsid w:val="00323BA6"/>
    <w:rsid w:val="003240D0"/>
    <w:rsid w:val="00324A14"/>
    <w:rsid w:val="00325668"/>
    <w:rsid w:val="00326266"/>
    <w:rsid w:val="003262AB"/>
    <w:rsid w:val="0032659C"/>
    <w:rsid w:val="00326E7D"/>
    <w:rsid w:val="00327292"/>
    <w:rsid w:val="003272FD"/>
    <w:rsid w:val="0032744E"/>
    <w:rsid w:val="00327480"/>
    <w:rsid w:val="00327554"/>
    <w:rsid w:val="00330A37"/>
    <w:rsid w:val="00330B81"/>
    <w:rsid w:val="00332EBA"/>
    <w:rsid w:val="00333A15"/>
    <w:rsid w:val="00333A67"/>
    <w:rsid w:val="00333A6D"/>
    <w:rsid w:val="00333F1D"/>
    <w:rsid w:val="00335776"/>
    <w:rsid w:val="00336075"/>
    <w:rsid w:val="003365AA"/>
    <w:rsid w:val="00336AA6"/>
    <w:rsid w:val="0033731A"/>
    <w:rsid w:val="003374B9"/>
    <w:rsid w:val="003375AB"/>
    <w:rsid w:val="003378B1"/>
    <w:rsid w:val="003408E2"/>
    <w:rsid w:val="003415A2"/>
    <w:rsid w:val="0034163B"/>
    <w:rsid w:val="003419D5"/>
    <w:rsid w:val="0034312D"/>
    <w:rsid w:val="0034330F"/>
    <w:rsid w:val="00343669"/>
    <w:rsid w:val="00343C67"/>
    <w:rsid w:val="0034413A"/>
    <w:rsid w:val="00344BA3"/>
    <w:rsid w:val="00344BDC"/>
    <w:rsid w:val="00344D5E"/>
    <w:rsid w:val="00345475"/>
    <w:rsid w:val="00345E41"/>
    <w:rsid w:val="00346AE5"/>
    <w:rsid w:val="00346C56"/>
    <w:rsid w:val="00347159"/>
    <w:rsid w:val="00347782"/>
    <w:rsid w:val="00347D51"/>
    <w:rsid w:val="00347E11"/>
    <w:rsid w:val="00350268"/>
    <w:rsid w:val="00350594"/>
    <w:rsid w:val="00350C56"/>
    <w:rsid w:val="003511D2"/>
    <w:rsid w:val="0035155F"/>
    <w:rsid w:val="003518DC"/>
    <w:rsid w:val="00351DC1"/>
    <w:rsid w:val="00352523"/>
    <w:rsid w:val="00352542"/>
    <w:rsid w:val="00352E7B"/>
    <w:rsid w:val="0035326A"/>
    <w:rsid w:val="0035327A"/>
    <w:rsid w:val="003534CB"/>
    <w:rsid w:val="0035354E"/>
    <w:rsid w:val="00353E65"/>
    <w:rsid w:val="00353FA7"/>
    <w:rsid w:val="00353FC5"/>
    <w:rsid w:val="00354407"/>
    <w:rsid w:val="00354730"/>
    <w:rsid w:val="003547FD"/>
    <w:rsid w:val="0035516A"/>
    <w:rsid w:val="003555CF"/>
    <w:rsid w:val="00355B59"/>
    <w:rsid w:val="0035620E"/>
    <w:rsid w:val="003564B6"/>
    <w:rsid w:val="0035669E"/>
    <w:rsid w:val="003574FA"/>
    <w:rsid w:val="00357518"/>
    <w:rsid w:val="0035773F"/>
    <w:rsid w:val="00357C05"/>
    <w:rsid w:val="00357DE5"/>
    <w:rsid w:val="003600BF"/>
    <w:rsid w:val="0036071E"/>
    <w:rsid w:val="00360B3F"/>
    <w:rsid w:val="00360B9B"/>
    <w:rsid w:val="00360E9D"/>
    <w:rsid w:val="0036394D"/>
    <w:rsid w:val="00363B12"/>
    <w:rsid w:val="00363DC5"/>
    <w:rsid w:val="0036423C"/>
    <w:rsid w:val="003648BB"/>
    <w:rsid w:val="00364A04"/>
    <w:rsid w:val="00364B4C"/>
    <w:rsid w:val="00364B96"/>
    <w:rsid w:val="00364C38"/>
    <w:rsid w:val="00364D59"/>
    <w:rsid w:val="003654BE"/>
    <w:rsid w:val="003654DD"/>
    <w:rsid w:val="00365D2E"/>
    <w:rsid w:val="00365DBB"/>
    <w:rsid w:val="003673E6"/>
    <w:rsid w:val="003675F0"/>
    <w:rsid w:val="00367A90"/>
    <w:rsid w:val="003703EC"/>
    <w:rsid w:val="00370963"/>
    <w:rsid w:val="00370FF7"/>
    <w:rsid w:val="00371009"/>
    <w:rsid w:val="00371BC4"/>
    <w:rsid w:val="003722E8"/>
    <w:rsid w:val="00372733"/>
    <w:rsid w:val="0037280D"/>
    <w:rsid w:val="003728E1"/>
    <w:rsid w:val="00372C4C"/>
    <w:rsid w:val="003735AF"/>
    <w:rsid w:val="00373B9D"/>
    <w:rsid w:val="003745D0"/>
    <w:rsid w:val="00374EA0"/>
    <w:rsid w:val="00375B8A"/>
    <w:rsid w:val="00375E04"/>
    <w:rsid w:val="0037642E"/>
    <w:rsid w:val="00376D72"/>
    <w:rsid w:val="00377897"/>
    <w:rsid w:val="00377D45"/>
    <w:rsid w:val="003801DC"/>
    <w:rsid w:val="00380E15"/>
    <w:rsid w:val="00380E43"/>
    <w:rsid w:val="00380F51"/>
    <w:rsid w:val="00381993"/>
    <w:rsid w:val="00381B3A"/>
    <w:rsid w:val="00381F75"/>
    <w:rsid w:val="0038248C"/>
    <w:rsid w:val="0038294D"/>
    <w:rsid w:val="003832C2"/>
    <w:rsid w:val="00383E24"/>
    <w:rsid w:val="00383F00"/>
    <w:rsid w:val="00384837"/>
    <w:rsid w:val="003856C6"/>
    <w:rsid w:val="00385E50"/>
    <w:rsid w:val="0038685F"/>
    <w:rsid w:val="00386B43"/>
    <w:rsid w:val="00386CBA"/>
    <w:rsid w:val="00386FC4"/>
    <w:rsid w:val="003878B7"/>
    <w:rsid w:val="00387D7F"/>
    <w:rsid w:val="00391901"/>
    <w:rsid w:val="00391AC1"/>
    <w:rsid w:val="00391B2B"/>
    <w:rsid w:val="003923E6"/>
    <w:rsid w:val="00392F45"/>
    <w:rsid w:val="00393FE9"/>
    <w:rsid w:val="0039476B"/>
    <w:rsid w:val="00394841"/>
    <w:rsid w:val="00395161"/>
    <w:rsid w:val="00396113"/>
    <w:rsid w:val="0039618A"/>
    <w:rsid w:val="00396F26"/>
    <w:rsid w:val="003973FD"/>
    <w:rsid w:val="00397413"/>
    <w:rsid w:val="003976E4"/>
    <w:rsid w:val="00397E21"/>
    <w:rsid w:val="00397FDC"/>
    <w:rsid w:val="003A04AE"/>
    <w:rsid w:val="003A0667"/>
    <w:rsid w:val="003A1549"/>
    <w:rsid w:val="003A19D6"/>
    <w:rsid w:val="003A22AE"/>
    <w:rsid w:val="003A2D4E"/>
    <w:rsid w:val="003A3116"/>
    <w:rsid w:val="003A3999"/>
    <w:rsid w:val="003A3B99"/>
    <w:rsid w:val="003A4462"/>
    <w:rsid w:val="003A4663"/>
    <w:rsid w:val="003A4BFF"/>
    <w:rsid w:val="003A4F4E"/>
    <w:rsid w:val="003A5D90"/>
    <w:rsid w:val="003A62DA"/>
    <w:rsid w:val="003A7B14"/>
    <w:rsid w:val="003A7B7B"/>
    <w:rsid w:val="003A7D2A"/>
    <w:rsid w:val="003A7D38"/>
    <w:rsid w:val="003A7EEA"/>
    <w:rsid w:val="003B08CD"/>
    <w:rsid w:val="003B14FD"/>
    <w:rsid w:val="003B2427"/>
    <w:rsid w:val="003B2465"/>
    <w:rsid w:val="003B2D7D"/>
    <w:rsid w:val="003B3E12"/>
    <w:rsid w:val="003B4696"/>
    <w:rsid w:val="003B4E65"/>
    <w:rsid w:val="003B4EB6"/>
    <w:rsid w:val="003B517A"/>
    <w:rsid w:val="003B6031"/>
    <w:rsid w:val="003B6E81"/>
    <w:rsid w:val="003B77E5"/>
    <w:rsid w:val="003B7E05"/>
    <w:rsid w:val="003C02B7"/>
    <w:rsid w:val="003C052A"/>
    <w:rsid w:val="003C0F8F"/>
    <w:rsid w:val="003C131E"/>
    <w:rsid w:val="003C19A5"/>
    <w:rsid w:val="003C1C85"/>
    <w:rsid w:val="003C1F69"/>
    <w:rsid w:val="003C2450"/>
    <w:rsid w:val="003C2FEB"/>
    <w:rsid w:val="003C3A2A"/>
    <w:rsid w:val="003C3BB8"/>
    <w:rsid w:val="003C3E7F"/>
    <w:rsid w:val="003C4482"/>
    <w:rsid w:val="003C47C6"/>
    <w:rsid w:val="003C5260"/>
    <w:rsid w:val="003C553F"/>
    <w:rsid w:val="003C612F"/>
    <w:rsid w:val="003C6468"/>
    <w:rsid w:val="003C76EF"/>
    <w:rsid w:val="003D0AF6"/>
    <w:rsid w:val="003D0BFD"/>
    <w:rsid w:val="003D11D9"/>
    <w:rsid w:val="003D1E5A"/>
    <w:rsid w:val="003D3990"/>
    <w:rsid w:val="003D42B5"/>
    <w:rsid w:val="003D42CB"/>
    <w:rsid w:val="003D43E2"/>
    <w:rsid w:val="003D4B62"/>
    <w:rsid w:val="003D4E9A"/>
    <w:rsid w:val="003D51F4"/>
    <w:rsid w:val="003D5811"/>
    <w:rsid w:val="003D58C5"/>
    <w:rsid w:val="003D5C4A"/>
    <w:rsid w:val="003D6638"/>
    <w:rsid w:val="003D688E"/>
    <w:rsid w:val="003D7786"/>
    <w:rsid w:val="003D7E89"/>
    <w:rsid w:val="003D7FC4"/>
    <w:rsid w:val="003E0354"/>
    <w:rsid w:val="003E08DC"/>
    <w:rsid w:val="003E1248"/>
    <w:rsid w:val="003E184A"/>
    <w:rsid w:val="003E1887"/>
    <w:rsid w:val="003E18C9"/>
    <w:rsid w:val="003E19E2"/>
    <w:rsid w:val="003E2538"/>
    <w:rsid w:val="003E278F"/>
    <w:rsid w:val="003E2E55"/>
    <w:rsid w:val="003E3370"/>
    <w:rsid w:val="003E4296"/>
    <w:rsid w:val="003E43C8"/>
    <w:rsid w:val="003E450F"/>
    <w:rsid w:val="003E4B5F"/>
    <w:rsid w:val="003E530F"/>
    <w:rsid w:val="003E5A33"/>
    <w:rsid w:val="003E65FD"/>
    <w:rsid w:val="003E69CF"/>
    <w:rsid w:val="003E6DA0"/>
    <w:rsid w:val="003E6F17"/>
    <w:rsid w:val="003E72DA"/>
    <w:rsid w:val="003F02A3"/>
    <w:rsid w:val="003F031C"/>
    <w:rsid w:val="003F0912"/>
    <w:rsid w:val="003F099E"/>
    <w:rsid w:val="003F1622"/>
    <w:rsid w:val="003F1AA3"/>
    <w:rsid w:val="003F25EF"/>
    <w:rsid w:val="003F3277"/>
    <w:rsid w:val="003F3C9B"/>
    <w:rsid w:val="003F4733"/>
    <w:rsid w:val="003F4C79"/>
    <w:rsid w:val="003F4E06"/>
    <w:rsid w:val="003F4FA4"/>
    <w:rsid w:val="003F4FF2"/>
    <w:rsid w:val="003F506A"/>
    <w:rsid w:val="003F562C"/>
    <w:rsid w:val="003F5E3F"/>
    <w:rsid w:val="003F6463"/>
    <w:rsid w:val="003F67CB"/>
    <w:rsid w:val="003F6A4A"/>
    <w:rsid w:val="003F759C"/>
    <w:rsid w:val="003F7DBA"/>
    <w:rsid w:val="00401CD0"/>
    <w:rsid w:val="00402608"/>
    <w:rsid w:val="00402A5A"/>
    <w:rsid w:val="00403542"/>
    <w:rsid w:val="00403A15"/>
    <w:rsid w:val="00403B73"/>
    <w:rsid w:val="00405461"/>
    <w:rsid w:val="00405477"/>
    <w:rsid w:val="0040566B"/>
    <w:rsid w:val="0040646A"/>
    <w:rsid w:val="004067F1"/>
    <w:rsid w:val="00406C91"/>
    <w:rsid w:val="00410441"/>
    <w:rsid w:val="0041078F"/>
    <w:rsid w:val="00410B78"/>
    <w:rsid w:val="00410ED9"/>
    <w:rsid w:val="0041102C"/>
    <w:rsid w:val="00411154"/>
    <w:rsid w:val="004125D1"/>
    <w:rsid w:val="004127F9"/>
    <w:rsid w:val="00412BDE"/>
    <w:rsid w:val="004146E5"/>
    <w:rsid w:val="00414DE0"/>
    <w:rsid w:val="004150FE"/>
    <w:rsid w:val="0041522E"/>
    <w:rsid w:val="004158A0"/>
    <w:rsid w:val="00415D69"/>
    <w:rsid w:val="00415FAD"/>
    <w:rsid w:val="0041619C"/>
    <w:rsid w:val="00416E51"/>
    <w:rsid w:val="0041747C"/>
    <w:rsid w:val="00417697"/>
    <w:rsid w:val="00417701"/>
    <w:rsid w:val="004178A6"/>
    <w:rsid w:val="00417C68"/>
    <w:rsid w:val="00417D7A"/>
    <w:rsid w:val="004203AA"/>
    <w:rsid w:val="0042099D"/>
    <w:rsid w:val="00420ABF"/>
    <w:rsid w:val="00420BA6"/>
    <w:rsid w:val="0042110F"/>
    <w:rsid w:val="0042121D"/>
    <w:rsid w:val="0042181C"/>
    <w:rsid w:val="00422508"/>
    <w:rsid w:val="0042267A"/>
    <w:rsid w:val="00422C4F"/>
    <w:rsid w:val="00422C59"/>
    <w:rsid w:val="00422CFC"/>
    <w:rsid w:val="00423B44"/>
    <w:rsid w:val="0042412E"/>
    <w:rsid w:val="0042472D"/>
    <w:rsid w:val="00424995"/>
    <w:rsid w:val="0042505E"/>
    <w:rsid w:val="004257A7"/>
    <w:rsid w:val="00425EF9"/>
    <w:rsid w:val="0042784A"/>
    <w:rsid w:val="00430564"/>
    <w:rsid w:val="004305C5"/>
    <w:rsid w:val="00430686"/>
    <w:rsid w:val="00430FEF"/>
    <w:rsid w:val="004318F9"/>
    <w:rsid w:val="0043202F"/>
    <w:rsid w:val="00432859"/>
    <w:rsid w:val="00432B9E"/>
    <w:rsid w:val="004336BA"/>
    <w:rsid w:val="004342CB"/>
    <w:rsid w:val="00434374"/>
    <w:rsid w:val="0043448E"/>
    <w:rsid w:val="00435197"/>
    <w:rsid w:val="004358F0"/>
    <w:rsid w:val="00435AC5"/>
    <w:rsid w:val="0043678E"/>
    <w:rsid w:val="004373AE"/>
    <w:rsid w:val="00437B57"/>
    <w:rsid w:val="00437F88"/>
    <w:rsid w:val="00440CFD"/>
    <w:rsid w:val="004410BC"/>
    <w:rsid w:val="00441164"/>
    <w:rsid w:val="004412C4"/>
    <w:rsid w:val="004414D3"/>
    <w:rsid w:val="00441976"/>
    <w:rsid w:val="00441A6C"/>
    <w:rsid w:val="004420F9"/>
    <w:rsid w:val="004435D7"/>
    <w:rsid w:val="00443C09"/>
    <w:rsid w:val="00444188"/>
    <w:rsid w:val="00444473"/>
    <w:rsid w:val="0044482D"/>
    <w:rsid w:val="00444927"/>
    <w:rsid w:val="00444FEA"/>
    <w:rsid w:val="0044517B"/>
    <w:rsid w:val="00445226"/>
    <w:rsid w:val="00445837"/>
    <w:rsid w:val="004458AB"/>
    <w:rsid w:val="00445C9F"/>
    <w:rsid w:val="00446D64"/>
    <w:rsid w:val="00447C52"/>
    <w:rsid w:val="004503A1"/>
    <w:rsid w:val="00450674"/>
    <w:rsid w:val="0045201A"/>
    <w:rsid w:val="00453DB3"/>
    <w:rsid w:val="00454B8F"/>
    <w:rsid w:val="00454C20"/>
    <w:rsid w:val="004558FA"/>
    <w:rsid w:val="00455CAE"/>
    <w:rsid w:val="00455E9B"/>
    <w:rsid w:val="0045683D"/>
    <w:rsid w:val="00456D15"/>
    <w:rsid w:val="004578E3"/>
    <w:rsid w:val="00457B9A"/>
    <w:rsid w:val="004602D4"/>
    <w:rsid w:val="00460A4B"/>
    <w:rsid w:val="00461252"/>
    <w:rsid w:val="0046159B"/>
    <w:rsid w:val="00461A84"/>
    <w:rsid w:val="00461EAE"/>
    <w:rsid w:val="00462286"/>
    <w:rsid w:val="0046249E"/>
    <w:rsid w:val="00462F25"/>
    <w:rsid w:val="004631A1"/>
    <w:rsid w:val="0046330C"/>
    <w:rsid w:val="00463717"/>
    <w:rsid w:val="00463754"/>
    <w:rsid w:val="004637CD"/>
    <w:rsid w:val="004653AD"/>
    <w:rsid w:val="00465498"/>
    <w:rsid w:val="00465A3C"/>
    <w:rsid w:val="00465F55"/>
    <w:rsid w:val="00466065"/>
    <w:rsid w:val="0046615C"/>
    <w:rsid w:val="004665E5"/>
    <w:rsid w:val="00466742"/>
    <w:rsid w:val="00466AE4"/>
    <w:rsid w:val="0046756D"/>
    <w:rsid w:val="00467B68"/>
    <w:rsid w:val="00471361"/>
    <w:rsid w:val="00472834"/>
    <w:rsid w:val="00472ADA"/>
    <w:rsid w:val="00472AF9"/>
    <w:rsid w:val="00472E87"/>
    <w:rsid w:val="00473CE6"/>
    <w:rsid w:val="004741E2"/>
    <w:rsid w:val="00474322"/>
    <w:rsid w:val="00474620"/>
    <w:rsid w:val="0047548C"/>
    <w:rsid w:val="00475B81"/>
    <w:rsid w:val="00476085"/>
    <w:rsid w:val="00476446"/>
    <w:rsid w:val="004768DB"/>
    <w:rsid w:val="004779AB"/>
    <w:rsid w:val="00477FA2"/>
    <w:rsid w:val="004801BA"/>
    <w:rsid w:val="0048028B"/>
    <w:rsid w:val="0048113B"/>
    <w:rsid w:val="00481C87"/>
    <w:rsid w:val="00482785"/>
    <w:rsid w:val="004828B4"/>
    <w:rsid w:val="00482F94"/>
    <w:rsid w:val="0048329D"/>
    <w:rsid w:val="004840B7"/>
    <w:rsid w:val="00485352"/>
    <w:rsid w:val="0048639E"/>
    <w:rsid w:val="004865B6"/>
    <w:rsid w:val="004876C2"/>
    <w:rsid w:val="004878B6"/>
    <w:rsid w:val="00487D66"/>
    <w:rsid w:val="00490831"/>
    <w:rsid w:val="00491095"/>
    <w:rsid w:val="00491554"/>
    <w:rsid w:val="004918B1"/>
    <w:rsid w:val="00492C56"/>
    <w:rsid w:val="00492F1A"/>
    <w:rsid w:val="00493782"/>
    <w:rsid w:val="00493CF5"/>
    <w:rsid w:val="00493D4F"/>
    <w:rsid w:val="00493E2D"/>
    <w:rsid w:val="00494B2E"/>
    <w:rsid w:val="004952A2"/>
    <w:rsid w:val="0049590C"/>
    <w:rsid w:val="00495D9A"/>
    <w:rsid w:val="004966E0"/>
    <w:rsid w:val="0049688D"/>
    <w:rsid w:val="00496FC7"/>
    <w:rsid w:val="00497D9F"/>
    <w:rsid w:val="004A00D5"/>
    <w:rsid w:val="004A05C0"/>
    <w:rsid w:val="004A0ECC"/>
    <w:rsid w:val="004A1246"/>
    <w:rsid w:val="004A1416"/>
    <w:rsid w:val="004A17FA"/>
    <w:rsid w:val="004A25D9"/>
    <w:rsid w:val="004A2B26"/>
    <w:rsid w:val="004A3F18"/>
    <w:rsid w:val="004A40D9"/>
    <w:rsid w:val="004A4606"/>
    <w:rsid w:val="004A4886"/>
    <w:rsid w:val="004A4D06"/>
    <w:rsid w:val="004A4FC8"/>
    <w:rsid w:val="004A5232"/>
    <w:rsid w:val="004A53D2"/>
    <w:rsid w:val="004A59C2"/>
    <w:rsid w:val="004A76F0"/>
    <w:rsid w:val="004B0A5F"/>
    <w:rsid w:val="004B11AD"/>
    <w:rsid w:val="004B15CE"/>
    <w:rsid w:val="004B2630"/>
    <w:rsid w:val="004B4636"/>
    <w:rsid w:val="004B495E"/>
    <w:rsid w:val="004B4990"/>
    <w:rsid w:val="004B51A3"/>
    <w:rsid w:val="004B534E"/>
    <w:rsid w:val="004B59CB"/>
    <w:rsid w:val="004B6901"/>
    <w:rsid w:val="004B6F05"/>
    <w:rsid w:val="004B7582"/>
    <w:rsid w:val="004B7977"/>
    <w:rsid w:val="004C0712"/>
    <w:rsid w:val="004C08EA"/>
    <w:rsid w:val="004C09C3"/>
    <w:rsid w:val="004C0F0D"/>
    <w:rsid w:val="004C1838"/>
    <w:rsid w:val="004C1CE3"/>
    <w:rsid w:val="004C3144"/>
    <w:rsid w:val="004C380C"/>
    <w:rsid w:val="004C3FD7"/>
    <w:rsid w:val="004C4B3E"/>
    <w:rsid w:val="004C5AA1"/>
    <w:rsid w:val="004C600D"/>
    <w:rsid w:val="004C6374"/>
    <w:rsid w:val="004C64D0"/>
    <w:rsid w:val="004C683A"/>
    <w:rsid w:val="004C6B4F"/>
    <w:rsid w:val="004C6D63"/>
    <w:rsid w:val="004C6DF5"/>
    <w:rsid w:val="004C79D9"/>
    <w:rsid w:val="004D118D"/>
    <w:rsid w:val="004D200F"/>
    <w:rsid w:val="004D25E2"/>
    <w:rsid w:val="004D3A17"/>
    <w:rsid w:val="004D48A7"/>
    <w:rsid w:val="004D4AC2"/>
    <w:rsid w:val="004D5038"/>
    <w:rsid w:val="004D53B3"/>
    <w:rsid w:val="004D5EBD"/>
    <w:rsid w:val="004D6314"/>
    <w:rsid w:val="004D645B"/>
    <w:rsid w:val="004D6A67"/>
    <w:rsid w:val="004D7171"/>
    <w:rsid w:val="004D7312"/>
    <w:rsid w:val="004D7420"/>
    <w:rsid w:val="004D79DD"/>
    <w:rsid w:val="004E054D"/>
    <w:rsid w:val="004E07DA"/>
    <w:rsid w:val="004E0B98"/>
    <w:rsid w:val="004E1454"/>
    <w:rsid w:val="004E1DEA"/>
    <w:rsid w:val="004E1F07"/>
    <w:rsid w:val="004E234B"/>
    <w:rsid w:val="004E2921"/>
    <w:rsid w:val="004E2BC5"/>
    <w:rsid w:val="004E305F"/>
    <w:rsid w:val="004E3C85"/>
    <w:rsid w:val="004E3FB6"/>
    <w:rsid w:val="004E41AF"/>
    <w:rsid w:val="004E4277"/>
    <w:rsid w:val="004E4F95"/>
    <w:rsid w:val="004E53FC"/>
    <w:rsid w:val="004E54A3"/>
    <w:rsid w:val="004E578F"/>
    <w:rsid w:val="004E5A30"/>
    <w:rsid w:val="004E5CF5"/>
    <w:rsid w:val="004E7540"/>
    <w:rsid w:val="004E7FC0"/>
    <w:rsid w:val="004F05B8"/>
    <w:rsid w:val="004F0962"/>
    <w:rsid w:val="004F0F05"/>
    <w:rsid w:val="004F1A7E"/>
    <w:rsid w:val="004F2F35"/>
    <w:rsid w:val="004F3442"/>
    <w:rsid w:val="004F3B0D"/>
    <w:rsid w:val="004F3BE6"/>
    <w:rsid w:val="004F3D20"/>
    <w:rsid w:val="004F3F4C"/>
    <w:rsid w:val="004F4978"/>
    <w:rsid w:val="004F4D72"/>
    <w:rsid w:val="004F4F47"/>
    <w:rsid w:val="004F5124"/>
    <w:rsid w:val="004F56ED"/>
    <w:rsid w:val="004F5D56"/>
    <w:rsid w:val="004F5FA0"/>
    <w:rsid w:val="004F6045"/>
    <w:rsid w:val="004F6147"/>
    <w:rsid w:val="004F614F"/>
    <w:rsid w:val="004F636C"/>
    <w:rsid w:val="004F69FE"/>
    <w:rsid w:val="004F752A"/>
    <w:rsid w:val="004F781C"/>
    <w:rsid w:val="004F7918"/>
    <w:rsid w:val="004F7DEC"/>
    <w:rsid w:val="0050084B"/>
    <w:rsid w:val="0050098F"/>
    <w:rsid w:val="00500CC6"/>
    <w:rsid w:val="0050145C"/>
    <w:rsid w:val="005014A0"/>
    <w:rsid w:val="00501507"/>
    <w:rsid w:val="005029F5"/>
    <w:rsid w:val="00503797"/>
    <w:rsid w:val="0050398F"/>
    <w:rsid w:val="00503F6D"/>
    <w:rsid w:val="005042A5"/>
    <w:rsid w:val="00504FA6"/>
    <w:rsid w:val="005058F0"/>
    <w:rsid w:val="00505B35"/>
    <w:rsid w:val="005064B5"/>
    <w:rsid w:val="005067EB"/>
    <w:rsid w:val="00506B64"/>
    <w:rsid w:val="005111E1"/>
    <w:rsid w:val="0051227C"/>
    <w:rsid w:val="0051254F"/>
    <w:rsid w:val="005130A1"/>
    <w:rsid w:val="00513E25"/>
    <w:rsid w:val="0051430B"/>
    <w:rsid w:val="005144B5"/>
    <w:rsid w:val="00514710"/>
    <w:rsid w:val="00514D31"/>
    <w:rsid w:val="005152A3"/>
    <w:rsid w:val="005152F9"/>
    <w:rsid w:val="0051578D"/>
    <w:rsid w:val="005162F1"/>
    <w:rsid w:val="00516603"/>
    <w:rsid w:val="005169DD"/>
    <w:rsid w:val="0051788F"/>
    <w:rsid w:val="00517F25"/>
    <w:rsid w:val="005209F7"/>
    <w:rsid w:val="005219BF"/>
    <w:rsid w:val="00521C86"/>
    <w:rsid w:val="0052249E"/>
    <w:rsid w:val="0052275F"/>
    <w:rsid w:val="0052297D"/>
    <w:rsid w:val="00522FD1"/>
    <w:rsid w:val="005234BC"/>
    <w:rsid w:val="00523834"/>
    <w:rsid w:val="00523B2F"/>
    <w:rsid w:val="00523D53"/>
    <w:rsid w:val="00523F12"/>
    <w:rsid w:val="00523FCF"/>
    <w:rsid w:val="00524E5B"/>
    <w:rsid w:val="00525285"/>
    <w:rsid w:val="0052553B"/>
    <w:rsid w:val="00525A51"/>
    <w:rsid w:val="00525BBB"/>
    <w:rsid w:val="00526118"/>
    <w:rsid w:val="0052636C"/>
    <w:rsid w:val="005263EB"/>
    <w:rsid w:val="0052648C"/>
    <w:rsid w:val="0052699C"/>
    <w:rsid w:val="0052700A"/>
    <w:rsid w:val="00527A5E"/>
    <w:rsid w:val="00527BA9"/>
    <w:rsid w:val="00530166"/>
    <w:rsid w:val="00530771"/>
    <w:rsid w:val="00530783"/>
    <w:rsid w:val="00530833"/>
    <w:rsid w:val="00530A18"/>
    <w:rsid w:val="00530A47"/>
    <w:rsid w:val="00530DE9"/>
    <w:rsid w:val="005320EA"/>
    <w:rsid w:val="00532334"/>
    <w:rsid w:val="005330E9"/>
    <w:rsid w:val="0053426D"/>
    <w:rsid w:val="0053625D"/>
    <w:rsid w:val="005368B7"/>
    <w:rsid w:val="00536C47"/>
    <w:rsid w:val="00536F59"/>
    <w:rsid w:val="00537507"/>
    <w:rsid w:val="005378D9"/>
    <w:rsid w:val="00537A32"/>
    <w:rsid w:val="0054020B"/>
    <w:rsid w:val="005404C8"/>
    <w:rsid w:val="0054077E"/>
    <w:rsid w:val="00540889"/>
    <w:rsid w:val="00540997"/>
    <w:rsid w:val="005412F3"/>
    <w:rsid w:val="00541413"/>
    <w:rsid w:val="00541D7A"/>
    <w:rsid w:val="005431F0"/>
    <w:rsid w:val="005431FC"/>
    <w:rsid w:val="00544261"/>
    <w:rsid w:val="00544329"/>
    <w:rsid w:val="00544453"/>
    <w:rsid w:val="005446AA"/>
    <w:rsid w:val="005449AC"/>
    <w:rsid w:val="0054597C"/>
    <w:rsid w:val="00545CEB"/>
    <w:rsid w:val="005461C3"/>
    <w:rsid w:val="0054766B"/>
    <w:rsid w:val="00550AA6"/>
    <w:rsid w:val="005516BD"/>
    <w:rsid w:val="00552F3F"/>
    <w:rsid w:val="005530E3"/>
    <w:rsid w:val="00553457"/>
    <w:rsid w:val="00553854"/>
    <w:rsid w:val="005539EC"/>
    <w:rsid w:val="00553A0B"/>
    <w:rsid w:val="00554607"/>
    <w:rsid w:val="00554627"/>
    <w:rsid w:val="005547FF"/>
    <w:rsid w:val="00555DC4"/>
    <w:rsid w:val="00555E12"/>
    <w:rsid w:val="005563C9"/>
    <w:rsid w:val="005563D0"/>
    <w:rsid w:val="005574F9"/>
    <w:rsid w:val="00560031"/>
    <w:rsid w:val="00560624"/>
    <w:rsid w:val="00560C38"/>
    <w:rsid w:val="00560DE2"/>
    <w:rsid w:val="00560FAC"/>
    <w:rsid w:val="005612D4"/>
    <w:rsid w:val="005613A3"/>
    <w:rsid w:val="005613A7"/>
    <w:rsid w:val="005619B7"/>
    <w:rsid w:val="00561A59"/>
    <w:rsid w:val="00561C1C"/>
    <w:rsid w:val="00562A86"/>
    <w:rsid w:val="00562E3D"/>
    <w:rsid w:val="00563ADB"/>
    <w:rsid w:val="00563BCC"/>
    <w:rsid w:val="00563F75"/>
    <w:rsid w:val="005640EB"/>
    <w:rsid w:val="00565514"/>
    <w:rsid w:val="00565A6B"/>
    <w:rsid w:val="00565D52"/>
    <w:rsid w:val="00565D96"/>
    <w:rsid w:val="00565DB8"/>
    <w:rsid w:val="00566845"/>
    <w:rsid w:val="00566900"/>
    <w:rsid w:val="00570531"/>
    <w:rsid w:val="00570584"/>
    <w:rsid w:val="0057070F"/>
    <w:rsid w:val="005712D6"/>
    <w:rsid w:val="00571548"/>
    <w:rsid w:val="00571812"/>
    <w:rsid w:val="00571DCD"/>
    <w:rsid w:val="0057218C"/>
    <w:rsid w:val="00572C81"/>
    <w:rsid w:val="00572E70"/>
    <w:rsid w:val="00573369"/>
    <w:rsid w:val="00573C20"/>
    <w:rsid w:val="0057418A"/>
    <w:rsid w:val="00574923"/>
    <w:rsid w:val="00574D59"/>
    <w:rsid w:val="00575ACD"/>
    <w:rsid w:val="00575C24"/>
    <w:rsid w:val="00576226"/>
    <w:rsid w:val="005762EA"/>
    <w:rsid w:val="005767AE"/>
    <w:rsid w:val="00580390"/>
    <w:rsid w:val="00581240"/>
    <w:rsid w:val="005817B2"/>
    <w:rsid w:val="005819F7"/>
    <w:rsid w:val="00581C35"/>
    <w:rsid w:val="005824C6"/>
    <w:rsid w:val="00582674"/>
    <w:rsid w:val="0058271E"/>
    <w:rsid w:val="00582761"/>
    <w:rsid w:val="0058283F"/>
    <w:rsid w:val="0058380D"/>
    <w:rsid w:val="00583930"/>
    <w:rsid w:val="00583BFE"/>
    <w:rsid w:val="00583D8A"/>
    <w:rsid w:val="005840EF"/>
    <w:rsid w:val="005845A3"/>
    <w:rsid w:val="005848F8"/>
    <w:rsid w:val="00584E2F"/>
    <w:rsid w:val="00585151"/>
    <w:rsid w:val="0058525B"/>
    <w:rsid w:val="00585C03"/>
    <w:rsid w:val="0058619F"/>
    <w:rsid w:val="00586637"/>
    <w:rsid w:val="005867CF"/>
    <w:rsid w:val="00586E8E"/>
    <w:rsid w:val="00587C46"/>
    <w:rsid w:val="00587F56"/>
    <w:rsid w:val="00587FD9"/>
    <w:rsid w:val="005908B9"/>
    <w:rsid w:val="00591265"/>
    <w:rsid w:val="00591283"/>
    <w:rsid w:val="005915A4"/>
    <w:rsid w:val="005922F4"/>
    <w:rsid w:val="005924D3"/>
    <w:rsid w:val="005924F1"/>
    <w:rsid w:val="005925E3"/>
    <w:rsid w:val="00592F32"/>
    <w:rsid w:val="0059304D"/>
    <w:rsid w:val="005933AE"/>
    <w:rsid w:val="00594550"/>
    <w:rsid w:val="00595156"/>
    <w:rsid w:val="00596129"/>
    <w:rsid w:val="00596832"/>
    <w:rsid w:val="00596CCB"/>
    <w:rsid w:val="00596DB6"/>
    <w:rsid w:val="00597753"/>
    <w:rsid w:val="00597E6F"/>
    <w:rsid w:val="005A0203"/>
    <w:rsid w:val="005A052F"/>
    <w:rsid w:val="005A0EFC"/>
    <w:rsid w:val="005A1018"/>
    <w:rsid w:val="005A1099"/>
    <w:rsid w:val="005A12EF"/>
    <w:rsid w:val="005A167F"/>
    <w:rsid w:val="005A1980"/>
    <w:rsid w:val="005A1A26"/>
    <w:rsid w:val="005A1B43"/>
    <w:rsid w:val="005A1C52"/>
    <w:rsid w:val="005A1F74"/>
    <w:rsid w:val="005A23D2"/>
    <w:rsid w:val="005A2593"/>
    <w:rsid w:val="005A3196"/>
    <w:rsid w:val="005A339E"/>
    <w:rsid w:val="005A408B"/>
    <w:rsid w:val="005A6302"/>
    <w:rsid w:val="005A6F80"/>
    <w:rsid w:val="005A7215"/>
    <w:rsid w:val="005A726F"/>
    <w:rsid w:val="005A72E6"/>
    <w:rsid w:val="005A782E"/>
    <w:rsid w:val="005A793B"/>
    <w:rsid w:val="005A79AE"/>
    <w:rsid w:val="005B1731"/>
    <w:rsid w:val="005B1B6F"/>
    <w:rsid w:val="005B1FD1"/>
    <w:rsid w:val="005B2054"/>
    <w:rsid w:val="005B2607"/>
    <w:rsid w:val="005B26FD"/>
    <w:rsid w:val="005B40A1"/>
    <w:rsid w:val="005B429E"/>
    <w:rsid w:val="005B44D0"/>
    <w:rsid w:val="005B4C41"/>
    <w:rsid w:val="005B4CD8"/>
    <w:rsid w:val="005B5179"/>
    <w:rsid w:val="005B5B11"/>
    <w:rsid w:val="005B60BD"/>
    <w:rsid w:val="005B6837"/>
    <w:rsid w:val="005B74F6"/>
    <w:rsid w:val="005B75BF"/>
    <w:rsid w:val="005B78D4"/>
    <w:rsid w:val="005B7BE6"/>
    <w:rsid w:val="005C0607"/>
    <w:rsid w:val="005C0A76"/>
    <w:rsid w:val="005C0F51"/>
    <w:rsid w:val="005C0F98"/>
    <w:rsid w:val="005C11E6"/>
    <w:rsid w:val="005C1F3B"/>
    <w:rsid w:val="005C208C"/>
    <w:rsid w:val="005C2E67"/>
    <w:rsid w:val="005C2E85"/>
    <w:rsid w:val="005C35ED"/>
    <w:rsid w:val="005C35FA"/>
    <w:rsid w:val="005C3CEA"/>
    <w:rsid w:val="005C482F"/>
    <w:rsid w:val="005C48AC"/>
    <w:rsid w:val="005C4D24"/>
    <w:rsid w:val="005C4DD7"/>
    <w:rsid w:val="005C539A"/>
    <w:rsid w:val="005C549E"/>
    <w:rsid w:val="005C5CAB"/>
    <w:rsid w:val="005C6236"/>
    <w:rsid w:val="005C667F"/>
    <w:rsid w:val="005C778A"/>
    <w:rsid w:val="005C794A"/>
    <w:rsid w:val="005C7B1F"/>
    <w:rsid w:val="005D03CD"/>
    <w:rsid w:val="005D074C"/>
    <w:rsid w:val="005D0923"/>
    <w:rsid w:val="005D1034"/>
    <w:rsid w:val="005D12BF"/>
    <w:rsid w:val="005D130B"/>
    <w:rsid w:val="005D14E9"/>
    <w:rsid w:val="005D1B75"/>
    <w:rsid w:val="005D1C71"/>
    <w:rsid w:val="005D21A6"/>
    <w:rsid w:val="005D29D5"/>
    <w:rsid w:val="005D2A36"/>
    <w:rsid w:val="005D3E97"/>
    <w:rsid w:val="005D4095"/>
    <w:rsid w:val="005D4641"/>
    <w:rsid w:val="005D49FF"/>
    <w:rsid w:val="005D4D0A"/>
    <w:rsid w:val="005D5695"/>
    <w:rsid w:val="005D5F69"/>
    <w:rsid w:val="005D63D6"/>
    <w:rsid w:val="005D67CD"/>
    <w:rsid w:val="005D7ED3"/>
    <w:rsid w:val="005E0862"/>
    <w:rsid w:val="005E1375"/>
    <w:rsid w:val="005E147F"/>
    <w:rsid w:val="005E1CEB"/>
    <w:rsid w:val="005E218F"/>
    <w:rsid w:val="005E2A30"/>
    <w:rsid w:val="005E2FF1"/>
    <w:rsid w:val="005E3850"/>
    <w:rsid w:val="005E3DEF"/>
    <w:rsid w:val="005E4507"/>
    <w:rsid w:val="005E4E97"/>
    <w:rsid w:val="005E5C65"/>
    <w:rsid w:val="005E5DFA"/>
    <w:rsid w:val="005E682E"/>
    <w:rsid w:val="005E6F86"/>
    <w:rsid w:val="005E7479"/>
    <w:rsid w:val="005E7892"/>
    <w:rsid w:val="005E7AE2"/>
    <w:rsid w:val="005F0245"/>
    <w:rsid w:val="005F0652"/>
    <w:rsid w:val="005F07BE"/>
    <w:rsid w:val="005F1146"/>
    <w:rsid w:val="005F3CEA"/>
    <w:rsid w:val="005F42D4"/>
    <w:rsid w:val="005F4A97"/>
    <w:rsid w:val="005F4E85"/>
    <w:rsid w:val="005F546F"/>
    <w:rsid w:val="005F5479"/>
    <w:rsid w:val="005F5B32"/>
    <w:rsid w:val="005F5CD6"/>
    <w:rsid w:val="005F6568"/>
    <w:rsid w:val="005F66DC"/>
    <w:rsid w:val="005F6D4B"/>
    <w:rsid w:val="005F731B"/>
    <w:rsid w:val="005F7D47"/>
    <w:rsid w:val="005F7E3B"/>
    <w:rsid w:val="005F7E8D"/>
    <w:rsid w:val="0060009D"/>
    <w:rsid w:val="006002D9"/>
    <w:rsid w:val="0060130C"/>
    <w:rsid w:val="006013FB"/>
    <w:rsid w:val="00601F1A"/>
    <w:rsid w:val="00602746"/>
    <w:rsid w:val="0060294C"/>
    <w:rsid w:val="00603073"/>
    <w:rsid w:val="00603128"/>
    <w:rsid w:val="006036E2"/>
    <w:rsid w:val="006037C5"/>
    <w:rsid w:val="00604154"/>
    <w:rsid w:val="006041D5"/>
    <w:rsid w:val="00604F65"/>
    <w:rsid w:val="00604F87"/>
    <w:rsid w:val="006052B9"/>
    <w:rsid w:val="00605607"/>
    <w:rsid w:val="00605E4D"/>
    <w:rsid w:val="00606050"/>
    <w:rsid w:val="00606458"/>
    <w:rsid w:val="00606CC5"/>
    <w:rsid w:val="00607141"/>
    <w:rsid w:val="00607B23"/>
    <w:rsid w:val="00611189"/>
    <w:rsid w:val="006125C5"/>
    <w:rsid w:val="006126C4"/>
    <w:rsid w:val="0061278B"/>
    <w:rsid w:val="00612EA9"/>
    <w:rsid w:val="006136B7"/>
    <w:rsid w:val="006144BB"/>
    <w:rsid w:val="00614943"/>
    <w:rsid w:val="00616900"/>
    <w:rsid w:val="00616ACC"/>
    <w:rsid w:val="00616B2A"/>
    <w:rsid w:val="00616B3B"/>
    <w:rsid w:val="0061744E"/>
    <w:rsid w:val="0061780F"/>
    <w:rsid w:val="0061799E"/>
    <w:rsid w:val="00617BBF"/>
    <w:rsid w:val="00617CDA"/>
    <w:rsid w:val="006204D9"/>
    <w:rsid w:val="006205AD"/>
    <w:rsid w:val="00621934"/>
    <w:rsid w:val="00622007"/>
    <w:rsid w:val="00622295"/>
    <w:rsid w:val="006223E7"/>
    <w:rsid w:val="00622B34"/>
    <w:rsid w:val="00623836"/>
    <w:rsid w:val="00623D94"/>
    <w:rsid w:val="00623F1D"/>
    <w:rsid w:val="00624B58"/>
    <w:rsid w:val="00624D93"/>
    <w:rsid w:val="00624E2A"/>
    <w:rsid w:val="006251EF"/>
    <w:rsid w:val="006254B1"/>
    <w:rsid w:val="00630007"/>
    <w:rsid w:val="006305AE"/>
    <w:rsid w:val="00630940"/>
    <w:rsid w:val="00630B6A"/>
    <w:rsid w:val="006312F7"/>
    <w:rsid w:val="006320CB"/>
    <w:rsid w:val="0063262B"/>
    <w:rsid w:val="00632656"/>
    <w:rsid w:val="00632F67"/>
    <w:rsid w:val="00633FD3"/>
    <w:rsid w:val="00634285"/>
    <w:rsid w:val="006345ED"/>
    <w:rsid w:val="006345EE"/>
    <w:rsid w:val="00635971"/>
    <w:rsid w:val="00640005"/>
    <w:rsid w:val="006403E0"/>
    <w:rsid w:val="0064043A"/>
    <w:rsid w:val="0064099A"/>
    <w:rsid w:val="00641627"/>
    <w:rsid w:val="00641758"/>
    <w:rsid w:val="00641DF1"/>
    <w:rsid w:val="00641F32"/>
    <w:rsid w:val="00642B83"/>
    <w:rsid w:val="0064341D"/>
    <w:rsid w:val="00643C4B"/>
    <w:rsid w:val="00645164"/>
    <w:rsid w:val="0064691C"/>
    <w:rsid w:val="006469A2"/>
    <w:rsid w:val="00646AB8"/>
    <w:rsid w:val="00646D0D"/>
    <w:rsid w:val="006471F9"/>
    <w:rsid w:val="006475BE"/>
    <w:rsid w:val="0064768C"/>
    <w:rsid w:val="0064782E"/>
    <w:rsid w:val="006507E9"/>
    <w:rsid w:val="00650822"/>
    <w:rsid w:val="006508E9"/>
    <w:rsid w:val="00650A98"/>
    <w:rsid w:val="00651614"/>
    <w:rsid w:val="00652863"/>
    <w:rsid w:val="0065290E"/>
    <w:rsid w:val="00652921"/>
    <w:rsid w:val="00653C4B"/>
    <w:rsid w:val="00653D6D"/>
    <w:rsid w:val="00654978"/>
    <w:rsid w:val="00655EA5"/>
    <w:rsid w:val="006560A2"/>
    <w:rsid w:val="00656401"/>
    <w:rsid w:val="00656989"/>
    <w:rsid w:val="006572C7"/>
    <w:rsid w:val="00657499"/>
    <w:rsid w:val="006578FA"/>
    <w:rsid w:val="0066025F"/>
    <w:rsid w:val="0066047B"/>
    <w:rsid w:val="00660BD7"/>
    <w:rsid w:val="00660E13"/>
    <w:rsid w:val="0066141F"/>
    <w:rsid w:val="00661B9D"/>
    <w:rsid w:val="0066243B"/>
    <w:rsid w:val="00662E8A"/>
    <w:rsid w:val="00663136"/>
    <w:rsid w:val="00663BB8"/>
    <w:rsid w:val="0066419D"/>
    <w:rsid w:val="0066434A"/>
    <w:rsid w:val="00664610"/>
    <w:rsid w:val="00664DBC"/>
    <w:rsid w:val="006655C3"/>
    <w:rsid w:val="006661AE"/>
    <w:rsid w:val="006661E7"/>
    <w:rsid w:val="0066711D"/>
    <w:rsid w:val="0066735E"/>
    <w:rsid w:val="006674AF"/>
    <w:rsid w:val="00667690"/>
    <w:rsid w:val="00667861"/>
    <w:rsid w:val="00667980"/>
    <w:rsid w:val="00667EF3"/>
    <w:rsid w:val="00667FEE"/>
    <w:rsid w:val="006701A1"/>
    <w:rsid w:val="006707CC"/>
    <w:rsid w:val="00670E7B"/>
    <w:rsid w:val="00670ECD"/>
    <w:rsid w:val="00671D6C"/>
    <w:rsid w:val="00671E51"/>
    <w:rsid w:val="0067398D"/>
    <w:rsid w:val="00673BC8"/>
    <w:rsid w:val="00673BEE"/>
    <w:rsid w:val="006740EF"/>
    <w:rsid w:val="006746D0"/>
    <w:rsid w:val="00675115"/>
    <w:rsid w:val="006757FE"/>
    <w:rsid w:val="00675FA0"/>
    <w:rsid w:val="00676A77"/>
    <w:rsid w:val="00677B79"/>
    <w:rsid w:val="00677FAC"/>
    <w:rsid w:val="006801FA"/>
    <w:rsid w:val="00680580"/>
    <w:rsid w:val="00680B1F"/>
    <w:rsid w:val="00680E20"/>
    <w:rsid w:val="0068129F"/>
    <w:rsid w:val="00681688"/>
    <w:rsid w:val="00681A87"/>
    <w:rsid w:val="00681D97"/>
    <w:rsid w:val="00681F24"/>
    <w:rsid w:val="006826D6"/>
    <w:rsid w:val="00682E85"/>
    <w:rsid w:val="00682F49"/>
    <w:rsid w:val="006838FF"/>
    <w:rsid w:val="00683A6F"/>
    <w:rsid w:val="00683AED"/>
    <w:rsid w:val="006840C7"/>
    <w:rsid w:val="0068441B"/>
    <w:rsid w:val="0068476F"/>
    <w:rsid w:val="00684771"/>
    <w:rsid w:val="00684C89"/>
    <w:rsid w:val="00685028"/>
    <w:rsid w:val="0068553C"/>
    <w:rsid w:val="00686E4A"/>
    <w:rsid w:val="00686F72"/>
    <w:rsid w:val="0068744E"/>
    <w:rsid w:val="00687644"/>
    <w:rsid w:val="00687A58"/>
    <w:rsid w:val="00687A88"/>
    <w:rsid w:val="00687B8D"/>
    <w:rsid w:val="00687CF6"/>
    <w:rsid w:val="00687D00"/>
    <w:rsid w:val="006900BA"/>
    <w:rsid w:val="0069098B"/>
    <w:rsid w:val="006914F0"/>
    <w:rsid w:val="006930F8"/>
    <w:rsid w:val="00693912"/>
    <w:rsid w:val="00693BDB"/>
    <w:rsid w:val="006940D3"/>
    <w:rsid w:val="006940F0"/>
    <w:rsid w:val="00694113"/>
    <w:rsid w:val="006949CD"/>
    <w:rsid w:val="00694BA0"/>
    <w:rsid w:val="00695222"/>
    <w:rsid w:val="00695C9D"/>
    <w:rsid w:val="006966DF"/>
    <w:rsid w:val="006A0747"/>
    <w:rsid w:val="006A18E6"/>
    <w:rsid w:val="006A1DBF"/>
    <w:rsid w:val="006A29F8"/>
    <w:rsid w:val="006A427A"/>
    <w:rsid w:val="006A4552"/>
    <w:rsid w:val="006A4C49"/>
    <w:rsid w:val="006A55B0"/>
    <w:rsid w:val="006A6C1F"/>
    <w:rsid w:val="006A7279"/>
    <w:rsid w:val="006A77AB"/>
    <w:rsid w:val="006A7D09"/>
    <w:rsid w:val="006B0723"/>
    <w:rsid w:val="006B0794"/>
    <w:rsid w:val="006B14B4"/>
    <w:rsid w:val="006B1692"/>
    <w:rsid w:val="006B2437"/>
    <w:rsid w:val="006B25B8"/>
    <w:rsid w:val="006B3E1A"/>
    <w:rsid w:val="006B3F37"/>
    <w:rsid w:val="006B51B9"/>
    <w:rsid w:val="006B75B6"/>
    <w:rsid w:val="006B7772"/>
    <w:rsid w:val="006B7896"/>
    <w:rsid w:val="006C0484"/>
    <w:rsid w:val="006C05A9"/>
    <w:rsid w:val="006C067B"/>
    <w:rsid w:val="006C179E"/>
    <w:rsid w:val="006C1850"/>
    <w:rsid w:val="006C231A"/>
    <w:rsid w:val="006C367E"/>
    <w:rsid w:val="006C3AB5"/>
    <w:rsid w:val="006C41A1"/>
    <w:rsid w:val="006C541F"/>
    <w:rsid w:val="006C562C"/>
    <w:rsid w:val="006C5A85"/>
    <w:rsid w:val="006C61A8"/>
    <w:rsid w:val="006C65A0"/>
    <w:rsid w:val="006C6811"/>
    <w:rsid w:val="006C6E11"/>
    <w:rsid w:val="006C6E7A"/>
    <w:rsid w:val="006C70B8"/>
    <w:rsid w:val="006C7607"/>
    <w:rsid w:val="006C76C7"/>
    <w:rsid w:val="006C7EC3"/>
    <w:rsid w:val="006D0598"/>
    <w:rsid w:val="006D0793"/>
    <w:rsid w:val="006D0851"/>
    <w:rsid w:val="006D0C71"/>
    <w:rsid w:val="006D0F97"/>
    <w:rsid w:val="006D348B"/>
    <w:rsid w:val="006D3522"/>
    <w:rsid w:val="006D3530"/>
    <w:rsid w:val="006D3751"/>
    <w:rsid w:val="006D4415"/>
    <w:rsid w:val="006D4716"/>
    <w:rsid w:val="006D47F4"/>
    <w:rsid w:val="006D5683"/>
    <w:rsid w:val="006D5B1D"/>
    <w:rsid w:val="006D60C9"/>
    <w:rsid w:val="006D68DC"/>
    <w:rsid w:val="006D7B59"/>
    <w:rsid w:val="006D7EAC"/>
    <w:rsid w:val="006E0011"/>
    <w:rsid w:val="006E035A"/>
    <w:rsid w:val="006E0F39"/>
    <w:rsid w:val="006E17E8"/>
    <w:rsid w:val="006E1A47"/>
    <w:rsid w:val="006E2F04"/>
    <w:rsid w:val="006E462D"/>
    <w:rsid w:val="006E4782"/>
    <w:rsid w:val="006E530D"/>
    <w:rsid w:val="006E566E"/>
    <w:rsid w:val="006E6469"/>
    <w:rsid w:val="006E6D01"/>
    <w:rsid w:val="006E6FDA"/>
    <w:rsid w:val="006E737E"/>
    <w:rsid w:val="006E74B2"/>
    <w:rsid w:val="006E7CBD"/>
    <w:rsid w:val="006F003B"/>
    <w:rsid w:val="006F179A"/>
    <w:rsid w:val="006F27E3"/>
    <w:rsid w:val="006F28FB"/>
    <w:rsid w:val="006F2FE8"/>
    <w:rsid w:val="006F316D"/>
    <w:rsid w:val="006F39CD"/>
    <w:rsid w:val="006F3DAA"/>
    <w:rsid w:val="006F7DDF"/>
    <w:rsid w:val="00700123"/>
    <w:rsid w:val="007004A0"/>
    <w:rsid w:val="00700E90"/>
    <w:rsid w:val="0070109F"/>
    <w:rsid w:val="00701447"/>
    <w:rsid w:val="007016D3"/>
    <w:rsid w:val="00701979"/>
    <w:rsid w:val="00701F65"/>
    <w:rsid w:val="007021DE"/>
    <w:rsid w:val="007023A5"/>
    <w:rsid w:val="00702F78"/>
    <w:rsid w:val="00702F7F"/>
    <w:rsid w:val="00703C9A"/>
    <w:rsid w:val="00703E2E"/>
    <w:rsid w:val="00703FAC"/>
    <w:rsid w:val="00704A0E"/>
    <w:rsid w:val="00705495"/>
    <w:rsid w:val="007055DE"/>
    <w:rsid w:val="007056E8"/>
    <w:rsid w:val="007058C0"/>
    <w:rsid w:val="00705BC6"/>
    <w:rsid w:val="0070698D"/>
    <w:rsid w:val="00706F45"/>
    <w:rsid w:val="00706FCE"/>
    <w:rsid w:val="00707316"/>
    <w:rsid w:val="007075CF"/>
    <w:rsid w:val="00707892"/>
    <w:rsid w:val="007104DD"/>
    <w:rsid w:val="00710869"/>
    <w:rsid w:val="00711196"/>
    <w:rsid w:val="00711B3F"/>
    <w:rsid w:val="007121B4"/>
    <w:rsid w:val="00712886"/>
    <w:rsid w:val="00714306"/>
    <w:rsid w:val="00714C50"/>
    <w:rsid w:val="007150D4"/>
    <w:rsid w:val="00715DE1"/>
    <w:rsid w:val="00717B75"/>
    <w:rsid w:val="00717ECB"/>
    <w:rsid w:val="00717FE8"/>
    <w:rsid w:val="007203E3"/>
    <w:rsid w:val="00720A06"/>
    <w:rsid w:val="00720C72"/>
    <w:rsid w:val="007213E4"/>
    <w:rsid w:val="0072163E"/>
    <w:rsid w:val="007223EB"/>
    <w:rsid w:val="00723ABC"/>
    <w:rsid w:val="00723F70"/>
    <w:rsid w:val="0072430C"/>
    <w:rsid w:val="0072437A"/>
    <w:rsid w:val="00724531"/>
    <w:rsid w:val="0072578A"/>
    <w:rsid w:val="0072662E"/>
    <w:rsid w:val="00730355"/>
    <w:rsid w:val="00730A23"/>
    <w:rsid w:val="00730CB1"/>
    <w:rsid w:val="0073147D"/>
    <w:rsid w:val="0073158E"/>
    <w:rsid w:val="0073172A"/>
    <w:rsid w:val="00732773"/>
    <w:rsid w:val="00732EBC"/>
    <w:rsid w:val="00733672"/>
    <w:rsid w:val="0073379C"/>
    <w:rsid w:val="00733FFC"/>
    <w:rsid w:val="0073414D"/>
    <w:rsid w:val="00734289"/>
    <w:rsid w:val="007345C7"/>
    <w:rsid w:val="00735263"/>
    <w:rsid w:val="00735626"/>
    <w:rsid w:val="00735AA3"/>
    <w:rsid w:val="00735AB7"/>
    <w:rsid w:val="00735C2D"/>
    <w:rsid w:val="0073604D"/>
    <w:rsid w:val="007363B4"/>
    <w:rsid w:val="00736733"/>
    <w:rsid w:val="00736761"/>
    <w:rsid w:val="00736B6F"/>
    <w:rsid w:val="007371A6"/>
    <w:rsid w:val="00737264"/>
    <w:rsid w:val="00737BA6"/>
    <w:rsid w:val="007409B2"/>
    <w:rsid w:val="00741510"/>
    <w:rsid w:val="00742156"/>
    <w:rsid w:val="00743ADC"/>
    <w:rsid w:val="007443A1"/>
    <w:rsid w:val="00744416"/>
    <w:rsid w:val="00744493"/>
    <w:rsid w:val="00744534"/>
    <w:rsid w:val="0074455E"/>
    <w:rsid w:val="00744C97"/>
    <w:rsid w:val="007462EC"/>
    <w:rsid w:val="00746589"/>
    <w:rsid w:val="0074663B"/>
    <w:rsid w:val="00746766"/>
    <w:rsid w:val="00746DF1"/>
    <w:rsid w:val="00747577"/>
    <w:rsid w:val="0074789C"/>
    <w:rsid w:val="00747A16"/>
    <w:rsid w:val="00750613"/>
    <w:rsid w:val="0075090A"/>
    <w:rsid w:val="00750B94"/>
    <w:rsid w:val="00751195"/>
    <w:rsid w:val="007518EA"/>
    <w:rsid w:val="007522AF"/>
    <w:rsid w:val="00753347"/>
    <w:rsid w:val="007533C9"/>
    <w:rsid w:val="007539CB"/>
    <w:rsid w:val="007544A9"/>
    <w:rsid w:val="0075471A"/>
    <w:rsid w:val="00755D9A"/>
    <w:rsid w:val="00756B31"/>
    <w:rsid w:val="00756D76"/>
    <w:rsid w:val="00756E62"/>
    <w:rsid w:val="007572BA"/>
    <w:rsid w:val="00757425"/>
    <w:rsid w:val="007576A8"/>
    <w:rsid w:val="00760428"/>
    <w:rsid w:val="00760C90"/>
    <w:rsid w:val="00761442"/>
    <w:rsid w:val="00761AC8"/>
    <w:rsid w:val="00761E92"/>
    <w:rsid w:val="0076206F"/>
    <w:rsid w:val="00762CF0"/>
    <w:rsid w:val="00762F5B"/>
    <w:rsid w:val="007632E0"/>
    <w:rsid w:val="00764453"/>
    <w:rsid w:val="00764801"/>
    <w:rsid w:val="00764891"/>
    <w:rsid w:val="00764C4A"/>
    <w:rsid w:val="0076515D"/>
    <w:rsid w:val="007655AA"/>
    <w:rsid w:val="007655FA"/>
    <w:rsid w:val="007658E5"/>
    <w:rsid w:val="00765AA7"/>
    <w:rsid w:val="007662DE"/>
    <w:rsid w:val="00766779"/>
    <w:rsid w:val="007679EB"/>
    <w:rsid w:val="00770D94"/>
    <w:rsid w:val="00771631"/>
    <w:rsid w:val="0077193B"/>
    <w:rsid w:val="00771F9B"/>
    <w:rsid w:val="0077261D"/>
    <w:rsid w:val="0077271B"/>
    <w:rsid w:val="00772ADE"/>
    <w:rsid w:val="007735A5"/>
    <w:rsid w:val="007752E2"/>
    <w:rsid w:val="007759FE"/>
    <w:rsid w:val="007762CD"/>
    <w:rsid w:val="0077710D"/>
    <w:rsid w:val="00777290"/>
    <w:rsid w:val="007777C3"/>
    <w:rsid w:val="00780273"/>
    <w:rsid w:val="00780956"/>
    <w:rsid w:val="0078233F"/>
    <w:rsid w:val="00782D8F"/>
    <w:rsid w:val="00782F00"/>
    <w:rsid w:val="00782FC5"/>
    <w:rsid w:val="007834E3"/>
    <w:rsid w:val="0078357E"/>
    <w:rsid w:val="0078385A"/>
    <w:rsid w:val="007839E7"/>
    <w:rsid w:val="00783F2E"/>
    <w:rsid w:val="007841FF"/>
    <w:rsid w:val="00785009"/>
    <w:rsid w:val="00785E26"/>
    <w:rsid w:val="00785EFF"/>
    <w:rsid w:val="007865FC"/>
    <w:rsid w:val="00786824"/>
    <w:rsid w:val="00786C48"/>
    <w:rsid w:val="0078724C"/>
    <w:rsid w:val="007872AD"/>
    <w:rsid w:val="00787C9D"/>
    <w:rsid w:val="007906CA"/>
    <w:rsid w:val="00791503"/>
    <w:rsid w:val="00791C71"/>
    <w:rsid w:val="007934D4"/>
    <w:rsid w:val="00793789"/>
    <w:rsid w:val="007939BD"/>
    <w:rsid w:val="00793C16"/>
    <w:rsid w:val="00793FBD"/>
    <w:rsid w:val="00795610"/>
    <w:rsid w:val="00795792"/>
    <w:rsid w:val="0079630D"/>
    <w:rsid w:val="00796AC3"/>
    <w:rsid w:val="00796C5E"/>
    <w:rsid w:val="0079775B"/>
    <w:rsid w:val="00797D70"/>
    <w:rsid w:val="007A0692"/>
    <w:rsid w:val="007A0A3F"/>
    <w:rsid w:val="007A0B62"/>
    <w:rsid w:val="007A11B0"/>
    <w:rsid w:val="007A1236"/>
    <w:rsid w:val="007A1D32"/>
    <w:rsid w:val="007A21A0"/>
    <w:rsid w:val="007A2A69"/>
    <w:rsid w:val="007A2A6F"/>
    <w:rsid w:val="007A2D6D"/>
    <w:rsid w:val="007A32ED"/>
    <w:rsid w:val="007A39D3"/>
    <w:rsid w:val="007A3BDD"/>
    <w:rsid w:val="007A3E4D"/>
    <w:rsid w:val="007A40B3"/>
    <w:rsid w:val="007A4506"/>
    <w:rsid w:val="007A4EA2"/>
    <w:rsid w:val="007A57AE"/>
    <w:rsid w:val="007A6E20"/>
    <w:rsid w:val="007A737B"/>
    <w:rsid w:val="007A73DA"/>
    <w:rsid w:val="007A74B2"/>
    <w:rsid w:val="007A7922"/>
    <w:rsid w:val="007B07C4"/>
    <w:rsid w:val="007B0B94"/>
    <w:rsid w:val="007B11EC"/>
    <w:rsid w:val="007B1798"/>
    <w:rsid w:val="007B1956"/>
    <w:rsid w:val="007B1F57"/>
    <w:rsid w:val="007B4597"/>
    <w:rsid w:val="007B47A0"/>
    <w:rsid w:val="007B4B28"/>
    <w:rsid w:val="007B4B84"/>
    <w:rsid w:val="007B5174"/>
    <w:rsid w:val="007B5336"/>
    <w:rsid w:val="007B55C5"/>
    <w:rsid w:val="007B57D2"/>
    <w:rsid w:val="007B5E43"/>
    <w:rsid w:val="007B70FB"/>
    <w:rsid w:val="007B74DB"/>
    <w:rsid w:val="007C02CB"/>
    <w:rsid w:val="007C0482"/>
    <w:rsid w:val="007C123C"/>
    <w:rsid w:val="007C1DC9"/>
    <w:rsid w:val="007C1FC0"/>
    <w:rsid w:val="007C20FE"/>
    <w:rsid w:val="007C212C"/>
    <w:rsid w:val="007C2678"/>
    <w:rsid w:val="007C2F6E"/>
    <w:rsid w:val="007C3435"/>
    <w:rsid w:val="007C376A"/>
    <w:rsid w:val="007C39D4"/>
    <w:rsid w:val="007C3E04"/>
    <w:rsid w:val="007C4936"/>
    <w:rsid w:val="007C4A77"/>
    <w:rsid w:val="007C522D"/>
    <w:rsid w:val="007C55BE"/>
    <w:rsid w:val="007C5AB5"/>
    <w:rsid w:val="007C5CCF"/>
    <w:rsid w:val="007C6869"/>
    <w:rsid w:val="007C766F"/>
    <w:rsid w:val="007C7AD6"/>
    <w:rsid w:val="007C7C59"/>
    <w:rsid w:val="007C7DC7"/>
    <w:rsid w:val="007D0BB9"/>
    <w:rsid w:val="007D2593"/>
    <w:rsid w:val="007D2A26"/>
    <w:rsid w:val="007D40F5"/>
    <w:rsid w:val="007D4419"/>
    <w:rsid w:val="007D46D8"/>
    <w:rsid w:val="007D4892"/>
    <w:rsid w:val="007D48E9"/>
    <w:rsid w:val="007D53CB"/>
    <w:rsid w:val="007D564C"/>
    <w:rsid w:val="007D5857"/>
    <w:rsid w:val="007D6380"/>
    <w:rsid w:val="007D6F86"/>
    <w:rsid w:val="007D72EB"/>
    <w:rsid w:val="007D7CD6"/>
    <w:rsid w:val="007D7E01"/>
    <w:rsid w:val="007E06FB"/>
    <w:rsid w:val="007E0C3A"/>
    <w:rsid w:val="007E0F8F"/>
    <w:rsid w:val="007E2DD6"/>
    <w:rsid w:val="007E317C"/>
    <w:rsid w:val="007E3623"/>
    <w:rsid w:val="007E3E82"/>
    <w:rsid w:val="007E44F9"/>
    <w:rsid w:val="007E46B8"/>
    <w:rsid w:val="007E5E79"/>
    <w:rsid w:val="007E5ED9"/>
    <w:rsid w:val="007E5EDC"/>
    <w:rsid w:val="007E5F31"/>
    <w:rsid w:val="007E6646"/>
    <w:rsid w:val="007E6C51"/>
    <w:rsid w:val="007E7232"/>
    <w:rsid w:val="007E72AB"/>
    <w:rsid w:val="007E7A42"/>
    <w:rsid w:val="007F0378"/>
    <w:rsid w:val="007F0684"/>
    <w:rsid w:val="007F06B6"/>
    <w:rsid w:val="007F06E8"/>
    <w:rsid w:val="007F08B2"/>
    <w:rsid w:val="007F0AF8"/>
    <w:rsid w:val="007F219A"/>
    <w:rsid w:val="007F226D"/>
    <w:rsid w:val="007F2450"/>
    <w:rsid w:val="007F2841"/>
    <w:rsid w:val="007F2A83"/>
    <w:rsid w:val="007F3A6F"/>
    <w:rsid w:val="007F3F16"/>
    <w:rsid w:val="007F4981"/>
    <w:rsid w:val="007F5C57"/>
    <w:rsid w:val="007F65DB"/>
    <w:rsid w:val="007F6761"/>
    <w:rsid w:val="007F6BC4"/>
    <w:rsid w:val="007F70D4"/>
    <w:rsid w:val="007F76B6"/>
    <w:rsid w:val="0080009A"/>
    <w:rsid w:val="00800120"/>
    <w:rsid w:val="0080073F"/>
    <w:rsid w:val="008009AF"/>
    <w:rsid w:val="008009DA"/>
    <w:rsid w:val="0080123D"/>
    <w:rsid w:val="00801CB1"/>
    <w:rsid w:val="00802AA7"/>
    <w:rsid w:val="00802B6F"/>
    <w:rsid w:val="00802BED"/>
    <w:rsid w:val="00802C04"/>
    <w:rsid w:val="00803ACE"/>
    <w:rsid w:val="00805B99"/>
    <w:rsid w:val="0080611F"/>
    <w:rsid w:val="008064DA"/>
    <w:rsid w:val="00806E9B"/>
    <w:rsid w:val="00807090"/>
    <w:rsid w:val="008071F1"/>
    <w:rsid w:val="00807926"/>
    <w:rsid w:val="00807A15"/>
    <w:rsid w:val="00807AB5"/>
    <w:rsid w:val="008100A2"/>
    <w:rsid w:val="008107F5"/>
    <w:rsid w:val="00810E30"/>
    <w:rsid w:val="00810ED7"/>
    <w:rsid w:val="00812164"/>
    <w:rsid w:val="008136E9"/>
    <w:rsid w:val="00813AEB"/>
    <w:rsid w:val="00813FF1"/>
    <w:rsid w:val="00814CAD"/>
    <w:rsid w:val="00814F7D"/>
    <w:rsid w:val="00815CC8"/>
    <w:rsid w:val="00816377"/>
    <w:rsid w:val="008167F3"/>
    <w:rsid w:val="00817D96"/>
    <w:rsid w:val="00817F9A"/>
    <w:rsid w:val="008227FA"/>
    <w:rsid w:val="008229A2"/>
    <w:rsid w:val="00823049"/>
    <w:rsid w:val="0082443D"/>
    <w:rsid w:val="00824A9E"/>
    <w:rsid w:val="00824AA5"/>
    <w:rsid w:val="00825852"/>
    <w:rsid w:val="00825EA0"/>
    <w:rsid w:val="00825F58"/>
    <w:rsid w:val="00826756"/>
    <w:rsid w:val="008268CF"/>
    <w:rsid w:val="008270EE"/>
    <w:rsid w:val="00827497"/>
    <w:rsid w:val="0083026B"/>
    <w:rsid w:val="00830356"/>
    <w:rsid w:val="008313E6"/>
    <w:rsid w:val="00831472"/>
    <w:rsid w:val="008329FF"/>
    <w:rsid w:val="00832ECB"/>
    <w:rsid w:val="00833526"/>
    <w:rsid w:val="008340EC"/>
    <w:rsid w:val="008344B2"/>
    <w:rsid w:val="00834B47"/>
    <w:rsid w:val="00834D0C"/>
    <w:rsid w:val="00835459"/>
    <w:rsid w:val="00836F1A"/>
    <w:rsid w:val="008373A3"/>
    <w:rsid w:val="00837C41"/>
    <w:rsid w:val="00837C92"/>
    <w:rsid w:val="00837F0F"/>
    <w:rsid w:val="008416E5"/>
    <w:rsid w:val="0084210C"/>
    <w:rsid w:val="00842BBA"/>
    <w:rsid w:val="00842CB6"/>
    <w:rsid w:val="00842D41"/>
    <w:rsid w:val="00843029"/>
    <w:rsid w:val="00843420"/>
    <w:rsid w:val="00843B5D"/>
    <w:rsid w:val="008447D4"/>
    <w:rsid w:val="0084506C"/>
    <w:rsid w:val="008454BD"/>
    <w:rsid w:val="00845BDC"/>
    <w:rsid w:val="008463F3"/>
    <w:rsid w:val="00846D76"/>
    <w:rsid w:val="00847B3C"/>
    <w:rsid w:val="0085005F"/>
    <w:rsid w:val="0085062F"/>
    <w:rsid w:val="008506AC"/>
    <w:rsid w:val="00851059"/>
    <w:rsid w:val="00851307"/>
    <w:rsid w:val="008515B1"/>
    <w:rsid w:val="00852508"/>
    <w:rsid w:val="00852B17"/>
    <w:rsid w:val="00852E5B"/>
    <w:rsid w:val="00853677"/>
    <w:rsid w:val="008536B3"/>
    <w:rsid w:val="00853ACD"/>
    <w:rsid w:val="00853ACF"/>
    <w:rsid w:val="00853F1F"/>
    <w:rsid w:val="008544D3"/>
    <w:rsid w:val="008551DC"/>
    <w:rsid w:val="008558A1"/>
    <w:rsid w:val="0085642F"/>
    <w:rsid w:val="008573AF"/>
    <w:rsid w:val="00857645"/>
    <w:rsid w:val="00857D80"/>
    <w:rsid w:val="008602FC"/>
    <w:rsid w:val="0086083C"/>
    <w:rsid w:val="00860989"/>
    <w:rsid w:val="00860CF9"/>
    <w:rsid w:val="00861DDC"/>
    <w:rsid w:val="008622D3"/>
    <w:rsid w:val="0086268A"/>
    <w:rsid w:val="008639A2"/>
    <w:rsid w:val="00863BBB"/>
    <w:rsid w:val="00863D0B"/>
    <w:rsid w:val="008640FD"/>
    <w:rsid w:val="0086426C"/>
    <w:rsid w:val="0086564F"/>
    <w:rsid w:val="00865681"/>
    <w:rsid w:val="00866618"/>
    <w:rsid w:val="008668AB"/>
    <w:rsid w:val="00867985"/>
    <w:rsid w:val="00867B6B"/>
    <w:rsid w:val="00870AFC"/>
    <w:rsid w:val="0087132F"/>
    <w:rsid w:val="008715CC"/>
    <w:rsid w:val="008719F7"/>
    <w:rsid w:val="00872589"/>
    <w:rsid w:val="00872770"/>
    <w:rsid w:val="00873754"/>
    <w:rsid w:val="00873AD5"/>
    <w:rsid w:val="0087455C"/>
    <w:rsid w:val="008751B8"/>
    <w:rsid w:val="008752FC"/>
    <w:rsid w:val="00875FA4"/>
    <w:rsid w:val="008763C8"/>
    <w:rsid w:val="00877D6E"/>
    <w:rsid w:val="00877E35"/>
    <w:rsid w:val="0088014E"/>
    <w:rsid w:val="00880BAB"/>
    <w:rsid w:val="008817FF"/>
    <w:rsid w:val="008819B1"/>
    <w:rsid w:val="00881CC6"/>
    <w:rsid w:val="00881D3D"/>
    <w:rsid w:val="00882284"/>
    <w:rsid w:val="0088239C"/>
    <w:rsid w:val="00882745"/>
    <w:rsid w:val="008828F7"/>
    <w:rsid w:val="00882A65"/>
    <w:rsid w:val="00882E58"/>
    <w:rsid w:val="008835B1"/>
    <w:rsid w:val="00883B3F"/>
    <w:rsid w:val="00884CE3"/>
    <w:rsid w:val="008851BE"/>
    <w:rsid w:val="00885538"/>
    <w:rsid w:val="00885691"/>
    <w:rsid w:val="00886188"/>
    <w:rsid w:val="00886AF1"/>
    <w:rsid w:val="00887063"/>
    <w:rsid w:val="00887F1B"/>
    <w:rsid w:val="008900CF"/>
    <w:rsid w:val="00890ADA"/>
    <w:rsid w:val="00891E35"/>
    <w:rsid w:val="008922CF"/>
    <w:rsid w:val="008923D1"/>
    <w:rsid w:val="008925B9"/>
    <w:rsid w:val="008937CB"/>
    <w:rsid w:val="0089427B"/>
    <w:rsid w:val="0089483C"/>
    <w:rsid w:val="00894A6B"/>
    <w:rsid w:val="00894A7F"/>
    <w:rsid w:val="00895815"/>
    <w:rsid w:val="00895E4B"/>
    <w:rsid w:val="00895E5A"/>
    <w:rsid w:val="00896642"/>
    <w:rsid w:val="00896E3B"/>
    <w:rsid w:val="00897502"/>
    <w:rsid w:val="00897855"/>
    <w:rsid w:val="00897E32"/>
    <w:rsid w:val="008A0432"/>
    <w:rsid w:val="008A0E63"/>
    <w:rsid w:val="008A125D"/>
    <w:rsid w:val="008A173F"/>
    <w:rsid w:val="008A1EFD"/>
    <w:rsid w:val="008A2149"/>
    <w:rsid w:val="008A2790"/>
    <w:rsid w:val="008A2C5D"/>
    <w:rsid w:val="008A3C32"/>
    <w:rsid w:val="008A3CB8"/>
    <w:rsid w:val="008A40AB"/>
    <w:rsid w:val="008A414F"/>
    <w:rsid w:val="008A4F57"/>
    <w:rsid w:val="008A52CE"/>
    <w:rsid w:val="008A574C"/>
    <w:rsid w:val="008A6A25"/>
    <w:rsid w:val="008B0BA7"/>
    <w:rsid w:val="008B0D11"/>
    <w:rsid w:val="008B1E06"/>
    <w:rsid w:val="008B20A4"/>
    <w:rsid w:val="008B2A3F"/>
    <w:rsid w:val="008B2F1A"/>
    <w:rsid w:val="008B31AD"/>
    <w:rsid w:val="008B331F"/>
    <w:rsid w:val="008B3A87"/>
    <w:rsid w:val="008B3C1F"/>
    <w:rsid w:val="008B4243"/>
    <w:rsid w:val="008B4953"/>
    <w:rsid w:val="008B4E19"/>
    <w:rsid w:val="008B4F72"/>
    <w:rsid w:val="008B585B"/>
    <w:rsid w:val="008B5F58"/>
    <w:rsid w:val="008B6367"/>
    <w:rsid w:val="008B63AD"/>
    <w:rsid w:val="008B6F61"/>
    <w:rsid w:val="008B7546"/>
    <w:rsid w:val="008B7636"/>
    <w:rsid w:val="008B79D4"/>
    <w:rsid w:val="008C0557"/>
    <w:rsid w:val="008C0771"/>
    <w:rsid w:val="008C0845"/>
    <w:rsid w:val="008C127F"/>
    <w:rsid w:val="008C1715"/>
    <w:rsid w:val="008C1779"/>
    <w:rsid w:val="008C1DC1"/>
    <w:rsid w:val="008C28B3"/>
    <w:rsid w:val="008C2919"/>
    <w:rsid w:val="008C3434"/>
    <w:rsid w:val="008C3591"/>
    <w:rsid w:val="008C3A88"/>
    <w:rsid w:val="008C3AC1"/>
    <w:rsid w:val="008C4EB8"/>
    <w:rsid w:val="008C61B0"/>
    <w:rsid w:val="008C6FD3"/>
    <w:rsid w:val="008C702F"/>
    <w:rsid w:val="008C70EB"/>
    <w:rsid w:val="008C7A27"/>
    <w:rsid w:val="008C7FA7"/>
    <w:rsid w:val="008D03A3"/>
    <w:rsid w:val="008D155D"/>
    <w:rsid w:val="008D15E6"/>
    <w:rsid w:val="008D229E"/>
    <w:rsid w:val="008D24C5"/>
    <w:rsid w:val="008D25A1"/>
    <w:rsid w:val="008D36D2"/>
    <w:rsid w:val="008D3FE4"/>
    <w:rsid w:val="008D415F"/>
    <w:rsid w:val="008D4B1B"/>
    <w:rsid w:val="008D5506"/>
    <w:rsid w:val="008D56FC"/>
    <w:rsid w:val="008D5744"/>
    <w:rsid w:val="008D5DAB"/>
    <w:rsid w:val="008D5FB0"/>
    <w:rsid w:val="008D6641"/>
    <w:rsid w:val="008D6644"/>
    <w:rsid w:val="008D6847"/>
    <w:rsid w:val="008D6968"/>
    <w:rsid w:val="008D6C68"/>
    <w:rsid w:val="008D71F3"/>
    <w:rsid w:val="008D7AFD"/>
    <w:rsid w:val="008D7E3E"/>
    <w:rsid w:val="008D7EA6"/>
    <w:rsid w:val="008E0029"/>
    <w:rsid w:val="008E01BA"/>
    <w:rsid w:val="008E0219"/>
    <w:rsid w:val="008E08E9"/>
    <w:rsid w:val="008E0DE2"/>
    <w:rsid w:val="008E1A04"/>
    <w:rsid w:val="008E1CA4"/>
    <w:rsid w:val="008E2796"/>
    <w:rsid w:val="008E2BCC"/>
    <w:rsid w:val="008E3B01"/>
    <w:rsid w:val="008E3F5C"/>
    <w:rsid w:val="008E4594"/>
    <w:rsid w:val="008E5A4E"/>
    <w:rsid w:val="008E6D37"/>
    <w:rsid w:val="008E6F6B"/>
    <w:rsid w:val="008E7155"/>
    <w:rsid w:val="008E71FB"/>
    <w:rsid w:val="008E7365"/>
    <w:rsid w:val="008E7B7F"/>
    <w:rsid w:val="008E7E42"/>
    <w:rsid w:val="008E7F33"/>
    <w:rsid w:val="008F0248"/>
    <w:rsid w:val="008F07B8"/>
    <w:rsid w:val="008F0932"/>
    <w:rsid w:val="008F0EF5"/>
    <w:rsid w:val="008F1238"/>
    <w:rsid w:val="008F1B93"/>
    <w:rsid w:val="008F1BA0"/>
    <w:rsid w:val="008F232D"/>
    <w:rsid w:val="008F2435"/>
    <w:rsid w:val="008F257A"/>
    <w:rsid w:val="008F35D9"/>
    <w:rsid w:val="008F3793"/>
    <w:rsid w:val="008F3E4F"/>
    <w:rsid w:val="008F4363"/>
    <w:rsid w:val="008F438C"/>
    <w:rsid w:val="008F465B"/>
    <w:rsid w:val="008F4AA0"/>
    <w:rsid w:val="008F525C"/>
    <w:rsid w:val="008F540C"/>
    <w:rsid w:val="008F57F7"/>
    <w:rsid w:val="008F6060"/>
    <w:rsid w:val="008F6426"/>
    <w:rsid w:val="008F660A"/>
    <w:rsid w:val="008F67F1"/>
    <w:rsid w:val="008F6B8B"/>
    <w:rsid w:val="008F6EA1"/>
    <w:rsid w:val="008F74F0"/>
    <w:rsid w:val="00900C3B"/>
    <w:rsid w:val="00901038"/>
    <w:rsid w:val="009013A1"/>
    <w:rsid w:val="0090146E"/>
    <w:rsid w:val="00901587"/>
    <w:rsid w:val="00901D9F"/>
    <w:rsid w:val="00901E4D"/>
    <w:rsid w:val="0090218B"/>
    <w:rsid w:val="00902295"/>
    <w:rsid w:val="00903424"/>
    <w:rsid w:val="00903553"/>
    <w:rsid w:val="0090368C"/>
    <w:rsid w:val="00904206"/>
    <w:rsid w:val="00904595"/>
    <w:rsid w:val="0090491E"/>
    <w:rsid w:val="009049B3"/>
    <w:rsid w:val="00904D8C"/>
    <w:rsid w:val="00905456"/>
    <w:rsid w:val="009054D6"/>
    <w:rsid w:val="009058F9"/>
    <w:rsid w:val="0090621C"/>
    <w:rsid w:val="00906618"/>
    <w:rsid w:val="00906C4A"/>
    <w:rsid w:val="00910866"/>
    <w:rsid w:val="009110AD"/>
    <w:rsid w:val="009110CA"/>
    <w:rsid w:val="009111CC"/>
    <w:rsid w:val="009114FF"/>
    <w:rsid w:val="00911A79"/>
    <w:rsid w:val="00911D8B"/>
    <w:rsid w:val="00912180"/>
    <w:rsid w:val="009127CC"/>
    <w:rsid w:val="00914099"/>
    <w:rsid w:val="00914797"/>
    <w:rsid w:val="009158B9"/>
    <w:rsid w:val="00915938"/>
    <w:rsid w:val="00915AFA"/>
    <w:rsid w:val="0091620A"/>
    <w:rsid w:val="00916863"/>
    <w:rsid w:val="00916C2B"/>
    <w:rsid w:val="009171B3"/>
    <w:rsid w:val="00917458"/>
    <w:rsid w:val="00917EF4"/>
    <w:rsid w:val="0092096D"/>
    <w:rsid w:val="00921E56"/>
    <w:rsid w:val="009221ED"/>
    <w:rsid w:val="0092259C"/>
    <w:rsid w:val="00922AB8"/>
    <w:rsid w:val="00923106"/>
    <w:rsid w:val="0092330D"/>
    <w:rsid w:val="00923D98"/>
    <w:rsid w:val="00923FFB"/>
    <w:rsid w:val="00924CAD"/>
    <w:rsid w:val="0092605B"/>
    <w:rsid w:val="00926F12"/>
    <w:rsid w:val="00927309"/>
    <w:rsid w:val="00927334"/>
    <w:rsid w:val="009278F2"/>
    <w:rsid w:val="00927DE3"/>
    <w:rsid w:val="00930591"/>
    <w:rsid w:val="00930609"/>
    <w:rsid w:val="00930A59"/>
    <w:rsid w:val="00930B72"/>
    <w:rsid w:val="0093196E"/>
    <w:rsid w:val="00931A58"/>
    <w:rsid w:val="00932113"/>
    <w:rsid w:val="00932A8D"/>
    <w:rsid w:val="00932AD7"/>
    <w:rsid w:val="00932E71"/>
    <w:rsid w:val="00933C9E"/>
    <w:rsid w:val="00934C06"/>
    <w:rsid w:val="00934FDD"/>
    <w:rsid w:val="009352C5"/>
    <w:rsid w:val="00935534"/>
    <w:rsid w:val="0093562F"/>
    <w:rsid w:val="00935F61"/>
    <w:rsid w:val="009360BB"/>
    <w:rsid w:val="00936B1F"/>
    <w:rsid w:val="009379F0"/>
    <w:rsid w:val="00937A67"/>
    <w:rsid w:val="00941E03"/>
    <w:rsid w:val="00942B2E"/>
    <w:rsid w:val="009431FA"/>
    <w:rsid w:val="00943238"/>
    <w:rsid w:val="00943CFE"/>
    <w:rsid w:val="00943F96"/>
    <w:rsid w:val="00943FA2"/>
    <w:rsid w:val="0094494D"/>
    <w:rsid w:val="00944E59"/>
    <w:rsid w:val="00945401"/>
    <w:rsid w:val="009459F4"/>
    <w:rsid w:val="00945ABE"/>
    <w:rsid w:val="00945E58"/>
    <w:rsid w:val="00946127"/>
    <w:rsid w:val="00946907"/>
    <w:rsid w:val="009508FB"/>
    <w:rsid w:val="00950CAE"/>
    <w:rsid w:val="00951256"/>
    <w:rsid w:val="009512EC"/>
    <w:rsid w:val="009515E2"/>
    <w:rsid w:val="009519A8"/>
    <w:rsid w:val="00951F0B"/>
    <w:rsid w:val="0095315A"/>
    <w:rsid w:val="009534DD"/>
    <w:rsid w:val="009535C2"/>
    <w:rsid w:val="00953A5D"/>
    <w:rsid w:val="00953A73"/>
    <w:rsid w:val="00954D5A"/>
    <w:rsid w:val="009551A8"/>
    <w:rsid w:val="0095597C"/>
    <w:rsid w:val="00956098"/>
    <w:rsid w:val="00956B6C"/>
    <w:rsid w:val="00957210"/>
    <w:rsid w:val="00957B5B"/>
    <w:rsid w:val="009601CB"/>
    <w:rsid w:val="0096059A"/>
    <w:rsid w:val="0096081E"/>
    <w:rsid w:val="00960D39"/>
    <w:rsid w:val="00960F7E"/>
    <w:rsid w:val="009611A5"/>
    <w:rsid w:val="00961742"/>
    <w:rsid w:val="0096193B"/>
    <w:rsid w:val="00961BF0"/>
    <w:rsid w:val="00961C92"/>
    <w:rsid w:val="00963188"/>
    <w:rsid w:val="00963240"/>
    <w:rsid w:val="00963B82"/>
    <w:rsid w:val="00964338"/>
    <w:rsid w:val="00964475"/>
    <w:rsid w:val="00964A6E"/>
    <w:rsid w:val="00964FB4"/>
    <w:rsid w:val="0096563E"/>
    <w:rsid w:val="00965A82"/>
    <w:rsid w:val="009663B0"/>
    <w:rsid w:val="009666BD"/>
    <w:rsid w:val="0096670E"/>
    <w:rsid w:val="00966BFB"/>
    <w:rsid w:val="009670AC"/>
    <w:rsid w:val="00967CDA"/>
    <w:rsid w:val="00970048"/>
    <w:rsid w:val="00971831"/>
    <w:rsid w:val="0097216D"/>
    <w:rsid w:val="00972D8F"/>
    <w:rsid w:val="0097363C"/>
    <w:rsid w:val="00973C2B"/>
    <w:rsid w:val="0097437B"/>
    <w:rsid w:val="009743E4"/>
    <w:rsid w:val="0097441E"/>
    <w:rsid w:val="0097556A"/>
    <w:rsid w:val="00975FB0"/>
    <w:rsid w:val="009762C7"/>
    <w:rsid w:val="009766E7"/>
    <w:rsid w:val="0097670F"/>
    <w:rsid w:val="00976C4A"/>
    <w:rsid w:val="00976C61"/>
    <w:rsid w:val="0097729C"/>
    <w:rsid w:val="0098021F"/>
    <w:rsid w:val="009803EC"/>
    <w:rsid w:val="00980D74"/>
    <w:rsid w:val="00981215"/>
    <w:rsid w:val="009812FC"/>
    <w:rsid w:val="009813BF"/>
    <w:rsid w:val="009819CD"/>
    <w:rsid w:val="00981D8D"/>
    <w:rsid w:val="009829F3"/>
    <w:rsid w:val="00982C0D"/>
    <w:rsid w:val="00983D98"/>
    <w:rsid w:val="009844B4"/>
    <w:rsid w:val="0098453B"/>
    <w:rsid w:val="0098462A"/>
    <w:rsid w:val="00984D82"/>
    <w:rsid w:val="009854EF"/>
    <w:rsid w:val="0098572B"/>
    <w:rsid w:val="009859BF"/>
    <w:rsid w:val="00985CDA"/>
    <w:rsid w:val="0098603A"/>
    <w:rsid w:val="00986137"/>
    <w:rsid w:val="00986B96"/>
    <w:rsid w:val="0098740B"/>
    <w:rsid w:val="00987C6F"/>
    <w:rsid w:val="00987E5E"/>
    <w:rsid w:val="0099018C"/>
    <w:rsid w:val="00990708"/>
    <w:rsid w:val="00990C3D"/>
    <w:rsid w:val="0099199D"/>
    <w:rsid w:val="00991B9A"/>
    <w:rsid w:val="009921CE"/>
    <w:rsid w:val="0099331F"/>
    <w:rsid w:val="00993499"/>
    <w:rsid w:val="009934DB"/>
    <w:rsid w:val="009939CB"/>
    <w:rsid w:val="00993CFF"/>
    <w:rsid w:val="00993D95"/>
    <w:rsid w:val="009948FE"/>
    <w:rsid w:val="00994D09"/>
    <w:rsid w:val="00994EAB"/>
    <w:rsid w:val="00995756"/>
    <w:rsid w:val="00995AE2"/>
    <w:rsid w:val="00996AFE"/>
    <w:rsid w:val="00997125"/>
    <w:rsid w:val="009978F4"/>
    <w:rsid w:val="009A0208"/>
    <w:rsid w:val="009A0B05"/>
    <w:rsid w:val="009A0FE2"/>
    <w:rsid w:val="009A1B80"/>
    <w:rsid w:val="009A21EE"/>
    <w:rsid w:val="009A253B"/>
    <w:rsid w:val="009A2F7C"/>
    <w:rsid w:val="009A3C6E"/>
    <w:rsid w:val="009A472B"/>
    <w:rsid w:val="009A4CC5"/>
    <w:rsid w:val="009A640C"/>
    <w:rsid w:val="009A657D"/>
    <w:rsid w:val="009A667C"/>
    <w:rsid w:val="009A6A04"/>
    <w:rsid w:val="009A6A34"/>
    <w:rsid w:val="009A7344"/>
    <w:rsid w:val="009A7741"/>
    <w:rsid w:val="009A78A6"/>
    <w:rsid w:val="009B01AE"/>
    <w:rsid w:val="009B04F2"/>
    <w:rsid w:val="009B074F"/>
    <w:rsid w:val="009B0A43"/>
    <w:rsid w:val="009B123D"/>
    <w:rsid w:val="009B1C1B"/>
    <w:rsid w:val="009B1E55"/>
    <w:rsid w:val="009B35BF"/>
    <w:rsid w:val="009B4C3E"/>
    <w:rsid w:val="009B4D2F"/>
    <w:rsid w:val="009B5038"/>
    <w:rsid w:val="009B55FE"/>
    <w:rsid w:val="009B56BE"/>
    <w:rsid w:val="009B573C"/>
    <w:rsid w:val="009B6E0F"/>
    <w:rsid w:val="009B708C"/>
    <w:rsid w:val="009B7356"/>
    <w:rsid w:val="009B78AF"/>
    <w:rsid w:val="009B7A8A"/>
    <w:rsid w:val="009C099B"/>
    <w:rsid w:val="009C0B86"/>
    <w:rsid w:val="009C1604"/>
    <w:rsid w:val="009C1ADB"/>
    <w:rsid w:val="009C1F3C"/>
    <w:rsid w:val="009C25AE"/>
    <w:rsid w:val="009C37BF"/>
    <w:rsid w:val="009C398A"/>
    <w:rsid w:val="009C442E"/>
    <w:rsid w:val="009C4676"/>
    <w:rsid w:val="009C4D9E"/>
    <w:rsid w:val="009C52A3"/>
    <w:rsid w:val="009C5FC3"/>
    <w:rsid w:val="009C6046"/>
    <w:rsid w:val="009C60E9"/>
    <w:rsid w:val="009C619B"/>
    <w:rsid w:val="009C6629"/>
    <w:rsid w:val="009C7896"/>
    <w:rsid w:val="009D0530"/>
    <w:rsid w:val="009D0C23"/>
    <w:rsid w:val="009D0CF4"/>
    <w:rsid w:val="009D0D52"/>
    <w:rsid w:val="009D140A"/>
    <w:rsid w:val="009D1460"/>
    <w:rsid w:val="009D1A74"/>
    <w:rsid w:val="009D2398"/>
    <w:rsid w:val="009D23B8"/>
    <w:rsid w:val="009D2988"/>
    <w:rsid w:val="009D2B87"/>
    <w:rsid w:val="009D3160"/>
    <w:rsid w:val="009D39E1"/>
    <w:rsid w:val="009D3D90"/>
    <w:rsid w:val="009D43C4"/>
    <w:rsid w:val="009D4760"/>
    <w:rsid w:val="009D484C"/>
    <w:rsid w:val="009D4C5D"/>
    <w:rsid w:val="009D59CA"/>
    <w:rsid w:val="009D6254"/>
    <w:rsid w:val="009D645F"/>
    <w:rsid w:val="009D6D3F"/>
    <w:rsid w:val="009D7410"/>
    <w:rsid w:val="009D7601"/>
    <w:rsid w:val="009D7622"/>
    <w:rsid w:val="009E05DA"/>
    <w:rsid w:val="009E075E"/>
    <w:rsid w:val="009E1908"/>
    <w:rsid w:val="009E1ECF"/>
    <w:rsid w:val="009E2463"/>
    <w:rsid w:val="009E28F8"/>
    <w:rsid w:val="009E2A45"/>
    <w:rsid w:val="009E2B4C"/>
    <w:rsid w:val="009E2C55"/>
    <w:rsid w:val="009E2E3F"/>
    <w:rsid w:val="009E2FAC"/>
    <w:rsid w:val="009E3197"/>
    <w:rsid w:val="009E391D"/>
    <w:rsid w:val="009E44A4"/>
    <w:rsid w:val="009E4A34"/>
    <w:rsid w:val="009E4E3B"/>
    <w:rsid w:val="009E4F7F"/>
    <w:rsid w:val="009E53DF"/>
    <w:rsid w:val="009E59F4"/>
    <w:rsid w:val="009E61B0"/>
    <w:rsid w:val="009E63F0"/>
    <w:rsid w:val="009E716C"/>
    <w:rsid w:val="009E7A47"/>
    <w:rsid w:val="009E7BCD"/>
    <w:rsid w:val="009F012F"/>
    <w:rsid w:val="009F05AC"/>
    <w:rsid w:val="009F086C"/>
    <w:rsid w:val="009F142C"/>
    <w:rsid w:val="009F1443"/>
    <w:rsid w:val="009F14F3"/>
    <w:rsid w:val="009F1778"/>
    <w:rsid w:val="009F1EEE"/>
    <w:rsid w:val="009F239C"/>
    <w:rsid w:val="009F282A"/>
    <w:rsid w:val="009F2E88"/>
    <w:rsid w:val="009F37FA"/>
    <w:rsid w:val="009F4825"/>
    <w:rsid w:val="009F49FF"/>
    <w:rsid w:val="009F5CE6"/>
    <w:rsid w:val="009F60E0"/>
    <w:rsid w:val="009F68A3"/>
    <w:rsid w:val="009F6B75"/>
    <w:rsid w:val="009F6C90"/>
    <w:rsid w:val="009F6DD9"/>
    <w:rsid w:val="009F74DB"/>
    <w:rsid w:val="009F77DF"/>
    <w:rsid w:val="009F7813"/>
    <w:rsid w:val="009F783F"/>
    <w:rsid w:val="009F7CB3"/>
    <w:rsid w:val="00A00221"/>
    <w:rsid w:val="00A00271"/>
    <w:rsid w:val="00A00437"/>
    <w:rsid w:val="00A00DDA"/>
    <w:rsid w:val="00A01385"/>
    <w:rsid w:val="00A01B9D"/>
    <w:rsid w:val="00A02C0A"/>
    <w:rsid w:val="00A03652"/>
    <w:rsid w:val="00A03A2A"/>
    <w:rsid w:val="00A03D17"/>
    <w:rsid w:val="00A0480E"/>
    <w:rsid w:val="00A04844"/>
    <w:rsid w:val="00A064E2"/>
    <w:rsid w:val="00A06ED8"/>
    <w:rsid w:val="00A07570"/>
    <w:rsid w:val="00A07B97"/>
    <w:rsid w:val="00A10103"/>
    <w:rsid w:val="00A10707"/>
    <w:rsid w:val="00A11137"/>
    <w:rsid w:val="00A111EA"/>
    <w:rsid w:val="00A11235"/>
    <w:rsid w:val="00A1135E"/>
    <w:rsid w:val="00A11447"/>
    <w:rsid w:val="00A115F3"/>
    <w:rsid w:val="00A11B67"/>
    <w:rsid w:val="00A11C28"/>
    <w:rsid w:val="00A11DEE"/>
    <w:rsid w:val="00A1240A"/>
    <w:rsid w:val="00A12B28"/>
    <w:rsid w:val="00A12F3C"/>
    <w:rsid w:val="00A137E6"/>
    <w:rsid w:val="00A13C3A"/>
    <w:rsid w:val="00A13EAB"/>
    <w:rsid w:val="00A151EB"/>
    <w:rsid w:val="00A162DF"/>
    <w:rsid w:val="00A16324"/>
    <w:rsid w:val="00A17013"/>
    <w:rsid w:val="00A1745E"/>
    <w:rsid w:val="00A175C6"/>
    <w:rsid w:val="00A17AF1"/>
    <w:rsid w:val="00A17B4D"/>
    <w:rsid w:val="00A17B91"/>
    <w:rsid w:val="00A20220"/>
    <w:rsid w:val="00A20CAE"/>
    <w:rsid w:val="00A216BF"/>
    <w:rsid w:val="00A21A16"/>
    <w:rsid w:val="00A21C7C"/>
    <w:rsid w:val="00A22A9E"/>
    <w:rsid w:val="00A23269"/>
    <w:rsid w:val="00A238E0"/>
    <w:rsid w:val="00A23F95"/>
    <w:rsid w:val="00A24010"/>
    <w:rsid w:val="00A24CF6"/>
    <w:rsid w:val="00A25E6E"/>
    <w:rsid w:val="00A26462"/>
    <w:rsid w:val="00A26700"/>
    <w:rsid w:val="00A26B21"/>
    <w:rsid w:val="00A274E2"/>
    <w:rsid w:val="00A2766F"/>
    <w:rsid w:val="00A27B4F"/>
    <w:rsid w:val="00A30B97"/>
    <w:rsid w:val="00A30BDB"/>
    <w:rsid w:val="00A31193"/>
    <w:rsid w:val="00A312FC"/>
    <w:rsid w:val="00A31F9A"/>
    <w:rsid w:val="00A3288D"/>
    <w:rsid w:val="00A3307A"/>
    <w:rsid w:val="00A34BDA"/>
    <w:rsid w:val="00A358DC"/>
    <w:rsid w:val="00A35AFC"/>
    <w:rsid w:val="00A3607A"/>
    <w:rsid w:val="00A362FE"/>
    <w:rsid w:val="00A37093"/>
    <w:rsid w:val="00A375F6"/>
    <w:rsid w:val="00A400B2"/>
    <w:rsid w:val="00A405AF"/>
    <w:rsid w:val="00A4164A"/>
    <w:rsid w:val="00A417AB"/>
    <w:rsid w:val="00A41898"/>
    <w:rsid w:val="00A4189A"/>
    <w:rsid w:val="00A41C3D"/>
    <w:rsid w:val="00A41F2E"/>
    <w:rsid w:val="00A42475"/>
    <w:rsid w:val="00A42B38"/>
    <w:rsid w:val="00A42D5D"/>
    <w:rsid w:val="00A432A0"/>
    <w:rsid w:val="00A4354B"/>
    <w:rsid w:val="00A43F0A"/>
    <w:rsid w:val="00A43FF9"/>
    <w:rsid w:val="00A44220"/>
    <w:rsid w:val="00A44627"/>
    <w:rsid w:val="00A4578C"/>
    <w:rsid w:val="00A463FC"/>
    <w:rsid w:val="00A463FD"/>
    <w:rsid w:val="00A465E9"/>
    <w:rsid w:val="00A4661A"/>
    <w:rsid w:val="00A46A4B"/>
    <w:rsid w:val="00A47774"/>
    <w:rsid w:val="00A47BC1"/>
    <w:rsid w:val="00A47CAA"/>
    <w:rsid w:val="00A505E0"/>
    <w:rsid w:val="00A5072C"/>
    <w:rsid w:val="00A50899"/>
    <w:rsid w:val="00A512A2"/>
    <w:rsid w:val="00A51DF0"/>
    <w:rsid w:val="00A5216F"/>
    <w:rsid w:val="00A52254"/>
    <w:rsid w:val="00A52401"/>
    <w:rsid w:val="00A5287D"/>
    <w:rsid w:val="00A52AD2"/>
    <w:rsid w:val="00A52BBB"/>
    <w:rsid w:val="00A532D8"/>
    <w:rsid w:val="00A536F1"/>
    <w:rsid w:val="00A53753"/>
    <w:rsid w:val="00A539C0"/>
    <w:rsid w:val="00A550F7"/>
    <w:rsid w:val="00A55E33"/>
    <w:rsid w:val="00A562BE"/>
    <w:rsid w:val="00A56A4F"/>
    <w:rsid w:val="00A56B98"/>
    <w:rsid w:val="00A56DDE"/>
    <w:rsid w:val="00A56EA0"/>
    <w:rsid w:val="00A5787F"/>
    <w:rsid w:val="00A57E73"/>
    <w:rsid w:val="00A60436"/>
    <w:rsid w:val="00A607D9"/>
    <w:rsid w:val="00A60C3A"/>
    <w:rsid w:val="00A621B7"/>
    <w:rsid w:val="00A63037"/>
    <w:rsid w:val="00A6323E"/>
    <w:rsid w:val="00A637BA"/>
    <w:rsid w:val="00A639B6"/>
    <w:rsid w:val="00A63AF3"/>
    <w:rsid w:val="00A63FB6"/>
    <w:rsid w:val="00A6419E"/>
    <w:rsid w:val="00A64E8C"/>
    <w:rsid w:val="00A64EF8"/>
    <w:rsid w:val="00A656A4"/>
    <w:rsid w:val="00A65E01"/>
    <w:rsid w:val="00A664B6"/>
    <w:rsid w:val="00A6677B"/>
    <w:rsid w:val="00A6771B"/>
    <w:rsid w:val="00A67D1C"/>
    <w:rsid w:val="00A710AC"/>
    <w:rsid w:val="00A717AD"/>
    <w:rsid w:val="00A7186E"/>
    <w:rsid w:val="00A71FC9"/>
    <w:rsid w:val="00A725DB"/>
    <w:rsid w:val="00A72EFB"/>
    <w:rsid w:val="00A72FB6"/>
    <w:rsid w:val="00A73335"/>
    <w:rsid w:val="00A73738"/>
    <w:rsid w:val="00A73D7C"/>
    <w:rsid w:val="00A73E8F"/>
    <w:rsid w:val="00A747DC"/>
    <w:rsid w:val="00A74D4E"/>
    <w:rsid w:val="00A753BD"/>
    <w:rsid w:val="00A761EE"/>
    <w:rsid w:val="00A76B33"/>
    <w:rsid w:val="00A76E5B"/>
    <w:rsid w:val="00A77933"/>
    <w:rsid w:val="00A77F98"/>
    <w:rsid w:val="00A80813"/>
    <w:rsid w:val="00A80EA4"/>
    <w:rsid w:val="00A819BA"/>
    <w:rsid w:val="00A819DD"/>
    <w:rsid w:val="00A81B13"/>
    <w:rsid w:val="00A81B4E"/>
    <w:rsid w:val="00A81C95"/>
    <w:rsid w:val="00A82734"/>
    <w:rsid w:val="00A83A16"/>
    <w:rsid w:val="00A83CA5"/>
    <w:rsid w:val="00A84336"/>
    <w:rsid w:val="00A84863"/>
    <w:rsid w:val="00A84EBD"/>
    <w:rsid w:val="00A84EDD"/>
    <w:rsid w:val="00A84F34"/>
    <w:rsid w:val="00A85382"/>
    <w:rsid w:val="00A857EF"/>
    <w:rsid w:val="00A8620E"/>
    <w:rsid w:val="00A864E9"/>
    <w:rsid w:val="00A86CC9"/>
    <w:rsid w:val="00A87906"/>
    <w:rsid w:val="00A87958"/>
    <w:rsid w:val="00A87E9E"/>
    <w:rsid w:val="00A901BE"/>
    <w:rsid w:val="00A904E2"/>
    <w:rsid w:val="00A90D2E"/>
    <w:rsid w:val="00A912E7"/>
    <w:rsid w:val="00A91E97"/>
    <w:rsid w:val="00A92BCF"/>
    <w:rsid w:val="00A92E1F"/>
    <w:rsid w:val="00A93095"/>
    <w:rsid w:val="00A9407D"/>
    <w:rsid w:val="00A948C8"/>
    <w:rsid w:val="00A96085"/>
    <w:rsid w:val="00A96424"/>
    <w:rsid w:val="00A978D8"/>
    <w:rsid w:val="00A978E7"/>
    <w:rsid w:val="00AA0795"/>
    <w:rsid w:val="00AA19A6"/>
    <w:rsid w:val="00AA1AED"/>
    <w:rsid w:val="00AA20B1"/>
    <w:rsid w:val="00AA262E"/>
    <w:rsid w:val="00AA2C89"/>
    <w:rsid w:val="00AA336E"/>
    <w:rsid w:val="00AA3451"/>
    <w:rsid w:val="00AA3908"/>
    <w:rsid w:val="00AA3FF0"/>
    <w:rsid w:val="00AA43BD"/>
    <w:rsid w:val="00AA46E6"/>
    <w:rsid w:val="00AA48C1"/>
    <w:rsid w:val="00AA60A4"/>
    <w:rsid w:val="00AA6240"/>
    <w:rsid w:val="00AA73A8"/>
    <w:rsid w:val="00AA7B3F"/>
    <w:rsid w:val="00AB006F"/>
    <w:rsid w:val="00AB1A9F"/>
    <w:rsid w:val="00AB3037"/>
    <w:rsid w:val="00AB3184"/>
    <w:rsid w:val="00AB33F9"/>
    <w:rsid w:val="00AB3CEC"/>
    <w:rsid w:val="00AB3E8B"/>
    <w:rsid w:val="00AB4AFF"/>
    <w:rsid w:val="00AB537C"/>
    <w:rsid w:val="00AB5887"/>
    <w:rsid w:val="00AB5B81"/>
    <w:rsid w:val="00AB5C13"/>
    <w:rsid w:val="00AB5D24"/>
    <w:rsid w:val="00AB6154"/>
    <w:rsid w:val="00AB626D"/>
    <w:rsid w:val="00AB64E5"/>
    <w:rsid w:val="00AB6606"/>
    <w:rsid w:val="00AB6B8F"/>
    <w:rsid w:val="00AB6C31"/>
    <w:rsid w:val="00AB703C"/>
    <w:rsid w:val="00AB7213"/>
    <w:rsid w:val="00AB7442"/>
    <w:rsid w:val="00AC0FA9"/>
    <w:rsid w:val="00AC1226"/>
    <w:rsid w:val="00AC1686"/>
    <w:rsid w:val="00AC179A"/>
    <w:rsid w:val="00AC24F6"/>
    <w:rsid w:val="00AC299E"/>
    <w:rsid w:val="00AC2DD1"/>
    <w:rsid w:val="00AC5281"/>
    <w:rsid w:val="00AC52D3"/>
    <w:rsid w:val="00AC5C6A"/>
    <w:rsid w:val="00AC65AF"/>
    <w:rsid w:val="00AC7052"/>
    <w:rsid w:val="00AC7703"/>
    <w:rsid w:val="00AC7E57"/>
    <w:rsid w:val="00AD00D9"/>
    <w:rsid w:val="00AD0558"/>
    <w:rsid w:val="00AD0964"/>
    <w:rsid w:val="00AD10E5"/>
    <w:rsid w:val="00AD1EAE"/>
    <w:rsid w:val="00AD1FF4"/>
    <w:rsid w:val="00AD23CC"/>
    <w:rsid w:val="00AD2719"/>
    <w:rsid w:val="00AD31EC"/>
    <w:rsid w:val="00AD339F"/>
    <w:rsid w:val="00AD35A4"/>
    <w:rsid w:val="00AD37F0"/>
    <w:rsid w:val="00AD3BF1"/>
    <w:rsid w:val="00AD3C2A"/>
    <w:rsid w:val="00AD3E6B"/>
    <w:rsid w:val="00AD4379"/>
    <w:rsid w:val="00AD4659"/>
    <w:rsid w:val="00AD4797"/>
    <w:rsid w:val="00AD4817"/>
    <w:rsid w:val="00AD4FA6"/>
    <w:rsid w:val="00AD5107"/>
    <w:rsid w:val="00AD5162"/>
    <w:rsid w:val="00AD5D9A"/>
    <w:rsid w:val="00AD6676"/>
    <w:rsid w:val="00AD6833"/>
    <w:rsid w:val="00AD6997"/>
    <w:rsid w:val="00AD715B"/>
    <w:rsid w:val="00AD77E3"/>
    <w:rsid w:val="00AD77FA"/>
    <w:rsid w:val="00AE0E90"/>
    <w:rsid w:val="00AE0ED0"/>
    <w:rsid w:val="00AE1212"/>
    <w:rsid w:val="00AE1923"/>
    <w:rsid w:val="00AE1D4C"/>
    <w:rsid w:val="00AE2257"/>
    <w:rsid w:val="00AE24A2"/>
    <w:rsid w:val="00AE252A"/>
    <w:rsid w:val="00AE2D96"/>
    <w:rsid w:val="00AE4168"/>
    <w:rsid w:val="00AE48A4"/>
    <w:rsid w:val="00AE4F38"/>
    <w:rsid w:val="00AE507F"/>
    <w:rsid w:val="00AE6873"/>
    <w:rsid w:val="00AE6D21"/>
    <w:rsid w:val="00AE7F9B"/>
    <w:rsid w:val="00AF0979"/>
    <w:rsid w:val="00AF1DE2"/>
    <w:rsid w:val="00AF2806"/>
    <w:rsid w:val="00AF3277"/>
    <w:rsid w:val="00AF3D49"/>
    <w:rsid w:val="00AF406C"/>
    <w:rsid w:val="00AF428A"/>
    <w:rsid w:val="00AF436B"/>
    <w:rsid w:val="00AF498E"/>
    <w:rsid w:val="00AF4AF0"/>
    <w:rsid w:val="00AF4E90"/>
    <w:rsid w:val="00AF4FCC"/>
    <w:rsid w:val="00AF5912"/>
    <w:rsid w:val="00AF5D8B"/>
    <w:rsid w:val="00AF7135"/>
    <w:rsid w:val="00AF7341"/>
    <w:rsid w:val="00B0063B"/>
    <w:rsid w:val="00B00F17"/>
    <w:rsid w:val="00B01DB9"/>
    <w:rsid w:val="00B01E36"/>
    <w:rsid w:val="00B0346B"/>
    <w:rsid w:val="00B039CC"/>
    <w:rsid w:val="00B04AB9"/>
    <w:rsid w:val="00B04C10"/>
    <w:rsid w:val="00B0575B"/>
    <w:rsid w:val="00B068E4"/>
    <w:rsid w:val="00B068FF"/>
    <w:rsid w:val="00B07451"/>
    <w:rsid w:val="00B10CE6"/>
    <w:rsid w:val="00B115ED"/>
    <w:rsid w:val="00B117CB"/>
    <w:rsid w:val="00B117D7"/>
    <w:rsid w:val="00B11A82"/>
    <w:rsid w:val="00B12211"/>
    <w:rsid w:val="00B12732"/>
    <w:rsid w:val="00B1288F"/>
    <w:rsid w:val="00B13785"/>
    <w:rsid w:val="00B13B8E"/>
    <w:rsid w:val="00B142E0"/>
    <w:rsid w:val="00B150A3"/>
    <w:rsid w:val="00B15237"/>
    <w:rsid w:val="00B15612"/>
    <w:rsid w:val="00B166DD"/>
    <w:rsid w:val="00B17A45"/>
    <w:rsid w:val="00B21AAB"/>
    <w:rsid w:val="00B21F97"/>
    <w:rsid w:val="00B231BC"/>
    <w:rsid w:val="00B23573"/>
    <w:rsid w:val="00B23ABE"/>
    <w:rsid w:val="00B23B67"/>
    <w:rsid w:val="00B24B78"/>
    <w:rsid w:val="00B26443"/>
    <w:rsid w:val="00B26797"/>
    <w:rsid w:val="00B26C98"/>
    <w:rsid w:val="00B26E4F"/>
    <w:rsid w:val="00B271E8"/>
    <w:rsid w:val="00B275D8"/>
    <w:rsid w:val="00B3111B"/>
    <w:rsid w:val="00B313F6"/>
    <w:rsid w:val="00B32506"/>
    <w:rsid w:val="00B32F66"/>
    <w:rsid w:val="00B33678"/>
    <w:rsid w:val="00B33DDF"/>
    <w:rsid w:val="00B33FD6"/>
    <w:rsid w:val="00B34AFD"/>
    <w:rsid w:val="00B3512D"/>
    <w:rsid w:val="00B354E2"/>
    <w:rsid w:val="00B358C1"/>
    <w:rsid w:val="00B36705"/>
    <w:rsid w:val="00B37073"/>
    <w:rsid w:val="00B40037"/>
    <w:rsid w:val="00B40C0D"/>
    <w:rsid w:val="00B41861"/>
    <w:rsid w:val="00B41A1A"/>
    <w:rsid w:val="00B41FDB"/>
    <w:rsid w:val="00B42107"/>
    <w:rsid w:val="00B42342"/>
    <w:rsid w:val="00B429CA"/>
    <w:rsid w:val="00B433C5"/>
    <w:rsid w:val="00B437D9"/>
    <w:rsid w:val="00B43D84"/>
    <w:rsid w:val="00B440D1"/>
    <w:rsid w:val="00B44A28"/>
    <w:rsid w:val="00B45088"/>
    <w:rsid w:val="00B453BC"/>
    <w:rsid w:val="00B457F9"/>
    <w:rsid w:val="00B45BBA"/>
    <w:rsid w:val="00B462D8"/>
    <w:rsid w:val="00B46347"/>
    <w:rsid w:val="00B46444"/>
    <w:rsid w:val="00B4762E"/>
    <w:rsid w:val="00B4785D"/>
    <w:rsid w:val="00B507E3"/>
    <w:rsid w:val="00B52633"/>
    <w:rsid w:val="00B528BF"/>
    <w:rsid w:val="00B52EAD"/>
    <w:rsid w:val="00B52F36"/>
    <w:rsid w:val="00B5474A"/>
    <w:rsid w:val="00B54B53"/>
    <w:rsid w:val="00B54B97"/>
    <w:rsid w:val="00B55825"/>
    <w:rsid w:val="00B5594B"/>
    <w:rsid w:val="00B55E9E"/>
    <w:rsid w:val="00B56439"/>
    <w:rsid w:val="00B57320"/>
    <w:rsid w:val="00B574FC"/>
    <w:rsid w:val="00B577AE"/>
    <w:rsid w:val="00B57E55"/>
    <w:rsid w:val="00B60AAA"/>
    <w:rsid w:val="00B60E24"/>
    <w:rsid w:val="00B61068"/>
    <w:rsid w:val="00B61183"/>
    <w:rsid w:val="00B6118D"/>
    <w:rsid w:val="00B6199F"/>
    <w:rsid w:val="00B62312"/>
    <w:rsid w:val="00B63653"/>
    <w:rsid w:val="00B6487A"/>
    <w:rsid w:val="00B64CDE"/>
    <w:rsid w:val="00B652A4"/>
    <w:rsid w:val="00B6563B"/>
    <w:rsid w:val="00B67088"/>
    <w:rsid w:val="00B674BE"/>
    <w:rsid w:val="00B67A5D"/>
    <w:rsid w:val="00B67BF5"/>
    <w:rsid w:val="00B70240"/>
    <w:rsid w:val="00B70478"/>
    <w:rsid w:val="00B706E0"/>
    <w:rsid w:val="00B70A9B"/>
    <w:rsid w:val="00B70E68"/>
    <w:rsid w:val="00B71BEA"/>
    <w:rsid w:val="00B71D0E"/>
    <w:rsid w:val="00B71D2A"/>
    <w:rsid w:val="00B71D57"/>
    <w:rsid w:val="00B7236B"/>
    <w:rsid w:val="00B72616"/>
    <w:rsid w:val="00B731A4"/>
    <w:rsid w:val="00B7351F"/>
    <w:rsid w:val="00B7410C"/>
    <w:rsid w:val="00B743DF"/>
    <w:rsid w:val="00B74B06"/>
    <w:rsid w:val="00B74B6F"/>
    <w:rsid w:val="00B752A3"/>
    <w:rsid w:val="00B75640"/>
    <w:rsid w:val="00B75690"/>
    <w:rsid w:val="00B77355"/>
    <w:rsid w:val="00B77E94"/>
    <w:rsid w:val="00B80265"/>
    <w:rsid w:val="00B80321"/>
    <w:rsid w:val="00B81FA5"/>
    <w:rsid w:val="00B82B5E"/>
    <w:rsid w:val="00B863E7"/>
    <w:rsid w:val="00B8737B"/>
    <w:rsid w:val="00B8778B"/>
    <w:rsid w:val="00B87DD5"/>
    <w:rsid w:val="00B9031C"/>
    <w:rsid w:val="00B90653"/>
    <w:rsid w:val="00B925DB"/>
    <w:rsid w:val="00B92679"/>
    <w:rsid w:val="00B9333B"/>
    <w:rsid w:val="00B93360"/>
    <w:rsid w:val="00B938E4"/>
    <w:rsid w:val="00B93E85"/>
    <w:rsid w:val="00B947BF"/>
    <w:rsid w:val="00B94CF7"/>
    <w:rsid w:val="00B94E55"/>
    <w:rsid w:val="00B94F87"/>
    <w:rsid w:val="00B951C1"/>
    <w:rsid w:val="00B95516"/>
    <w:rsid w:val="00B9556E"/>
    <w:rsid w:val="00B95DC7"/>
    <w:rsid w:val="00B96C53"/>
    <w:rsid w:val="00B975CF"/>
    <w:rsid w:val="00BA0F89"/>
    <w:rsid w:val="00BA1049"/>
    <w:rsid w:val="00BA104D"/>
    <w:rsid w:val="00BA108A"/>
    <w:rsid w:val="00BA179D"/>
    <w:rsid w:val="00BA1AFD"/>
    <w:rsid w:val="00BA217B"/>
    <w:rsid w:val="00BA25A4"/>
    <w:rsid w:val="00BA2A85"/>
    <w:rsid w:val="00BA3CDC"/>
    <w:rsid w:val="00BA4159"/>
    <w:rsid w:val="00BA4525"/>
    <w:rsid w:val="00BA4BFB"/>
    <w:rsid w:val="00BA50C8"/>
    <w:rsid w:val="00BA51F6"/>
    <w:rsid w:val="00BA5B47"/>
    <w:rsid w:val="00BA5ED6"/>
    <w:rsid w:val="00BA648B"/>
    <w:rsid w:val="00BA6818"/>
    <w:rsid w:val="00BA73A7"/>
    <w:rsid w:val="00BA77DE"/>
    <w:rsid w:val="00BA782E"/>
    <w:rsid w:val="00BA7A25"/>
    <w:rsid w:val="00BA7CB5"/>
    <w:rsid w:val="00BB05F4"/>
    <w:rsid w:val="00BB0630"/>
    <w:rsid w:val="00BB12F6"/>
    <w:rsid w:val="00BB13AC"/>
    <w:rsid w:val="00BB1AA6"/>
    <w:rsid w:val="00BB27E2"/>
    <w:rsid w:val="00BB2F06"/>
    <w:rsid w:val="00BB3274"/>
    <w:rsid w:val="00BB3436"/>
    <w:rsid w:val="00BB3A7C"/>
    <w:rsid w:val="00BB3D9E"/>
    <w:rsid w:val="00BB4053"/>
    <w:rsid w:val="00BB48F9"/>
    <w:rsid w:val="00BB4AAA"/>
    <w:rsid w:val="00BB507A"/>
    <w:rsid w:val="00BB51DC"/>
    <w:rsid w:val="00BB5776"/>
    <w:rsid w:val="00BB5B56"/>
    <w:rsid w:val="00BB6157"/>
    <w:rsid w:val="00BB6172"/>
    <w:rsid w:val="00BB62E8"/>
    <w:rsid w:val="00BB6853"/>
    <w:rsid w:val="00BB6B0B"/>
    <w:rsid w:val="00BB6C0B"/>
    <w:rsid w:val="00BB6DEB"/>
    <w:rsid w:val="00BB6F1C"/>
    <w:rsid w:val="00BB725C"/>
    <w:rsid w:val="00BB772D"/>
    <w:rsid w:val="00BC091B"/>
    <w:rsid w:val="00BC0969"/>
    <w:rsid w:val="00BC13E1"/>
    <w:rsid w:val="00BC23C0"/>
    <w:rsid w:val="00BC24B2"/>
    <w:rsid w:val="00BC265E"/>
    <w:rsid w:val="00BC2978"/>
    <w:rsid w:val="00BC3563"/>
    <w:rsid w:val="00BC3677"/>
    <w:rsid w:val="00BC39D7"/>
    <w:rsid w:val="00BC6480"/>
    <w:rsid w:val="00BC6725"/>
    <w:rsid w:val="00BC6794"/>
    <w:rsid w:val="00BC68F0"/>
    <w:rsid w:val="00BC730B"/>
    <w:rsid w:val="00BC7C23"/>
    <w:rsid w:val="00BD0750"/>
    <w:rsid w:val="00BD0E33"/>
    <w:rsid w:val="00BD1B59"/>
    <w:rsid w:val="00BD1D83"/>
    <w:rsid w:val="00BD2555"/>
    <w:rsid w:val="00BD35F1"/>
    <w:rsid w:val="00BD37BA"/>
    <w:rsid w:val="00BD383C"/>
    <w:rsid w:val="00BD3897"/>
    <w:rsid w:val="00BD4A43"/>
    <w:rsid w:val="00BD4CCC"/>
    <w:rsid w:val="00BD4D8D"/>
    <w:rsid w:val="00BD5A96"/>
    <w:rsid w:val="00BD5F56"/>
    <w:rsid w:val="00BD601C"/>
    <w:rsid w:val="00BD673C"/>
    <w:rsid w:val="00BD70AE"/>
    <w:rsid w:val="00BD7B76"/>
    <w:rsid w:val="00BD7FDA"/>
    <w:rsid w:val="00BE0398"/>
    <w:rsid w:val="00BE057C"/>
    <w:rsid w:val="00BE0DCB"/>
    <w:rsid w:val="00BE1859"/>
    <w:rsid w:val="00BE1BF8"/>
    <w:rsid w:val="00BE24E9"/>
    <w:rsid w:val="00BE2D0C"/>
    <w:rsid w:val="00BE3B5B"/>
    <w:rsid w:val="00BE3D89"/>
    <w:rsid w:val="00BE5199"/>
    <w:rsid w:val="00BE538C"/>
    <w:rsid w:val="00BE638D"/>
    <w:rsid w:val="00BE6738"/>
    <w:rsid w:val="00BE756C"/>
    <w:rsid w:val="00BE7822"/>
    <w:rsid w:val="00BE7934"/>
    <w:rsid w:val="00BE7AC2"/>
    <w:rsid w:val="00BF01F1"/>
    <w:rsid w:val="00BF04AD"/>
    <w:rsid w:val="00BF07D6"/>
    <w:rsid w:val="00BF1740"/>
    <w:rsid w:val="00BF183E"/>
    <w:rsid w:val="00BF2184"/>
    <w:rsid w:val="00BF381C"/>
    <w:rsid w:val="00BF3CF1"/>
    <w:rsid w:val="00BF4733"/>
    <w:rsid w:val="00BF498B"/>
    <w:rsid w:val="00BF4EB8"/>
    <w:rsid w:val="00BF5D42"/>
    <w:rsid w:val="00BF6690"/>
    <w:rsid w:val="00BF7E99"/>
    <w:rsid w:val="00C00469"/>
    <w:rsid w:val="00C0047B"/>
    <w:rsid w:val="00C010FA"/>
    <w:rsid w:val="00C01BB0"/>
    <w:rsid w:val="00C03B67"/>
    <w:rsid w:val="00C03FC3"/>
    <w:rsid w:val="00C042FB"/>
    <w:rsid w:val="00C05422"/>
    <w:rsid w:val="00C05541"/>
    <w:rsid w:val="00C0591B"/>
    <w:rsid w:val="00C05BBD"/>
    <w:rsid w:val="00C0643E"/>
    <w:rsid w:val="00C06FD8"/>
    <w:rsid w:val="00C07AE4"/>
    <w:rsid w:val="00C10E4A"/>
    <w:rsid w:val="00C10F84"/>
    <w:rsid w:val="00C11958"/>
    <w:rsid w:val="00C11E76"/>
    <w:rsid w:val="00C1213D"/>
    <w:rsid w:val="00C129C1"/>
    <w:rsid w:val="00C12C2C"/>
    <w:rsid w:val="00C13EC6"/>
    <w:rsid w:val="00C14145"/>
    <w:rsid w:val="00C14D49"/>
    <w:rsid w:val="00C15346"/>
    <w:rsid w:val="00C153CC"/>
    <w:rsid w:val="00C15E18"/>
    <w:rsid w:val="00C161D2"/>
    <w:rsid w:val="00C16A23"/>
    <w:rsid w:val="00C16DA8"/>
    <w:rsid w:val="00C175F1"/>
    <w:rsid w:val="00C17671"/>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3CD"/>
    <w:rsid w:val="00C247FF"/>
    <w:rsid w:val="00C24886"/>
    <w:rsid w:val="00C24A19"/>
    <w:rsid w:val="00C24A20"/>
    <w:rsid w:val="00C24A93"/>
    <w:rsid w:val="00C25770"/>
    <w:rsid w:val="00C26063"/>
    <w:rsid w:val="00C262DD"/>
    <w:rsid w:val="00C2636E"/>
    <w:rsid w:val="00C268C6"/>
    <w:rsid w:val="00C26F90"/>
    <w:rsid w:val="00C27BD1"/>
    <w:rsid w:val="00C27BEB"/>
    <w:rsid w:val="00C27F83"/>
    <w:rsid w:val="00C3003D"/>
    <w:rsid w:val="00C3074B"/>
    <w:rsid w:val="00C30904"/>
    <w:rsid w:val="00C318AF"/>
    <w:rsid w:val="00C321FC"/>
    <w:rsid w:val="00C324F0"/>
    <w:rsid w:val="00C3267E"/>
    <w:rsid w:val="00C327BC"/>
    <w:rsid w:val="00C3385B"/>
    <w:rsid w:val="00C34193"/>
    <w:rsid w:val="00C35323"/>
    <w:rsid w:val="00C35747"/>
    <w:rsid w:val="00C35A2D"/>
    <w:rsid w:val="00C35E84"/>
    <w:rsid w:val="00C3671C"/>
    <w:rsid w:val="00C368B2"/>
    <w:rsid w:val="00C368FB"/>
    <w:rsid w:val="00C36FB7"/>
    <w:rsid w:val="00C37102"/>
    <w:rsid w:val="00C37709"/>
    <w:rsid w:val="00C37A49"/>
    <w:rsid w:val="00C40622"/>
    <w:rsid w:val="00C4227F"/>
    <w:rsid w:val="00C434FF"/>
    <w:rsid w:val="00C43770"/>
    <w:rsid w:val="00C43DB2"/>
    <w:rsid w:val="00C43F3C"/>
    <w:rsid w:val="00C44B2F"/>
    <w:rsid w:val="00C4508E"/>
    <w:rsid w:val="00C46905"/>
    <w:rsid w:val="00C46B0A"/>
    <w:rsid w:val="00C4786D"/>
    <w:rsid w:val="00C47DE2"/>
    <w:rsid w:val="00C50543"/>
    <w:rsid w:val="00C505BA"/>
    <w:rsid w:val="00C5092D"/>
    <w:rsid w:val="00C50D2A"/>
    <w:rsid w:val="00C512A3"/>
    <w:rsid w:val="00C5157D"/>
    <w:rsid w:val="00C52CEE"/>
    <w:rsid w:val="00C530B7"/>
    <w:rsid w:val="00C53C97"/>
    <w:rsid w:val="00C53EE3"/>
    <w:rsid w:val="00C5409B"/>
    <w:rsid w:val="00C55138"/>
    <w:rsid w:val="00C56DA7"/>
    <w:rsid w:val="00C56EA1"/>
    <w:rsid w:val="00C56EEA"/>
    <w:rsid w:val="00C57A60"/>
    <w:rsid w:val="00C57AE0"/>
    <w:rsid w:val="00C57C31"/>
    <w:rsid w:val="00C61102"/>
    <w:rsid w:val="00C617AE"/>
    <w:rsid w:val="00C61CEC"/>
    <w:rsid w:val="00C620C3"/>
    <w:rsid w:val="00C62211"/>
    <w:rsid w:val="00C624A9"/>
    <w:rsid w:val="00C62B22"/>
    <w:rsid w:val="00C63304"/>
    <w:rsid w:val="00C63BC0"/>
    <w:rsid w:val="00C63D7F"/>
    <w:rsid w:val="00C64BB8"/>
    <w:rsid w:val="00C64D09"/>
    <w:rsid w:val="00C6554F"/>
    <w:rsid w:val="00C6582D"/>
    <w:rsid w:val="00C65AE0"/>
    <w:rsid w:val="00C661CD"/>
    <w:rsid w:val="00C66925"/>
    <w:rsid w:val="00C66FFA"/>
    <w:rsid w:val="00C6779C"/>
    <w:rsid w:val="00C67A83"/>
    <w:rsid w:val="00C67BA4"/>
    <w:rsid w:val="00C7042B"/>
    <w:rsid w:val="00C7112E"/>
    <w:rsid w:val="00C71A7E"/>
    <w:rsid w:val="00C71C06"/>
    <w:rsid w:val="00C7346A"/>
    <w:rsid w:val="00C736A6"/>
    <w:rsid w:val="00C73BEB"/>
    <w:rsid w:val="00C73F09"/>
    <w:rsid w:val="00C74352"/>
    <w:rsid w:val="00C75061"/>
    <w:rsid w:val="00C7524C"/>
    <w:rsid w:val="00C766FC"/>
    <w:rsid w:val="00C76D6D"/>
    <w:rsid w:val="00C77636"/>
    <w:rsid w:val="00C776FD"/>
    <w:rsid w:val="00C80129"/>
    <w:rsid w:val="00C8020F"/>
    <w:rsid w:val="00C804E2"/>
    <w:rsid w:val="00C81842"/>
    <w:rsid w:val="00C8225E"/>
    <w:rsid w:val="00C83948"/>
    <w:rsid w:val="00C83C7D"/>
    <w:rsid w:val="00C83FC0"/>
    <w:rsid w:val="00C84351"/>
    <w:rsid w:val="00C848BA"/>
    <w:rsid w:val="00C84F98"/>
    <w:rsid w:val="00C852CD"/>
    <w:rsid w:val="00C85810"/>
    <w:rsid w:val="00C85A03"/>
    <w:rsid w:val="00C85DF0"/>
    <w:rsid w:val="00C86128"/>
    <w:rsid w:val="00C86A07"/>
    <w:rsid w:val="00C8751E"/>
    <w:rsid w:val="00C8799A"/>
    <w:rsid w:val="00C901FF"/>
    <w:rsid w:val="00C903B9"/>
    <w:rsid w:val="00C906AF"/>
    <w:rsid w:val="00C91C46"/>
    <w:rsid w:val="00C92372"/>
    <w:rsid w:val="00C93087"/>
    <w:rsid w:val="00C9333D"/>
    <w:rsid w:val="00C93944"/>
    <w:rsid w:val="00C9424C"/>
    <w:rsid w:val="00C94660"/>
    <w:rsid w:val="00C94796"/>
    <w:rsid w:val="00C94C8D"/>
    <w:rsid w:val="00C953D7"/>
    <w:rsid w:val="00C955D7"/>
    <w:rsid w:val="00C95C81"/>
    <w:rsid w:val="00C95D19"/>
    <w:rsid w:val="00C95F4E"/>
    <w:rsid w:val="00C96502"/>
    <w:rsid w:val="00C971AB"/>
    <w:rsid w:val="00CA043B"/>
    <w:rsid w:val="00CA062B"/>
    <w:rsid w:val="00CA0CFC"/>
    <w:rsid w:val="00CA1D40"/>
    <w:rsid w:val="00CA2076"/>
    <w:rsid w:val="00CA2E6A"/>
    <w:rsid w:val="00CA301A"/>
    <w:rsid w:val="00CA3981"/>
    <w:rsid w:val="00CA4024"/>
    <w:rsid w:val="00CA4192"/>
    <w:rsid w:val="00CA46A4"/>
    <w:rsid w:val="00CA4B8E"/>
    <w:rsid w:val="00CA4CB1"/>
    <w:rsid w:val="00CA59F3"/>
    <w:rsid w:val="00CA5A78"/>
    <w:rsid w:val="00CA68D4"/>
    <w:rsid w:val="00CA71A9"/>
    <w:rsid w:val="00CA7BBD"/>
    <w:rsid w:val="00CB0479"/>
    <w:rsid w:val="00CB0705"/>
    <w:rsid w:val="00CB0A16"/>
    <w:rsid w:val="00CB100F"/>
    <w:rsid w:val="00CB1696"/>
    <w:rsid w:val="00CB1DCD"/>
    <w:rsid w:val="00CB1E2D"/>
    <w:rsid w:val="00CB2774"/>
    <w:rsid w:val="00CB2A32"/>
    <w:rsid w:val="00CB4562"/>
    <w:rsid w:val="00CB4650"/>
    <w:rsid w:val="00CB47F9"/>
    <w:rsid w:val="00CB486A"/>
    <w:rsid w:val="00CB5079"/>
    <w:rsid w:val="00CB5679"/>
    <w:rsid w:val="00CB5713"/>
    <w:rsid w:val="00CB68A2"/>
    <w:rsid w:val="00CB6A96"/>
    <w:rsid w:val="00CB731B"/>
    <w:rsid w:val="00CB7F3B"/>
    <w:rsid w:val="00CC01EB"/>
    <w:rsid w:val="00CC0A7F"/>
    <w:rsid w:val="00CC150E"/>
    <w:rsid w:val="00CC1EB3"/>
    <w:rsid w:val="00CC25FD"/>
    <w:rsid w:val="00CC27B8"/>
    <w:rsid w:val="00CC2CA2"/>
    <w:rsid w:val="00CC31EA"/>
    <w:rsid w:val="00CC327F"/>
    <w:rsid w:val="00CC474A"/>
    <w:rsid w:val="00CC4C03"/>
    <w:rsid w:val="00CC4DEB"/>
    <w:rsid w:val="00CC4E98"/>
    <w:rsid w:val="00CC61AA"/>
    <w:rsid w:val="00CC71A0"/>
    <w:rsid w:val="00CC75C2"/>
    <w:rsid w:val="00CC778A"/>
    <w:rsid w:val="00CC7F41"/>
    <w:rsid w:val="00CD0246"/>
    <w:rsid w:val="00CD0842"/>
    <w:rsid w:val="00CD0F57"/>
    <w:rsid w:val="00CD157B"/>
    <w:rsid w:val="00CD1995"/>
    <w:rsid w:val="00CD200C"/>
    <w:rsid w:val="00CD23D6"/>
    <w:rsid w:val="00CD24F6"/>
    <w:rsid w:val="00CD2656"/>
    <w:rsid w:val="00CD365A"/>
    <w:rsid w:val="00CD3F18"/>
    <w:rsid w:val="00CD3F88"/>
    <w:rsid w:val="00CD45E3"/>
    <w:rsid w:val="00CD4B8D"/>
    <w:rsid w:val="00CD5857"/>
    <w:rsid w:val="00CD5A3F"/>
    <w:rsid w:val="00CD5E3F"/>
    <w:rsid w:val="00CD5FFD"/>
    <w:rsid w:val="00CD688F"/>
    <w:rsid w:val="00CE02E6"/>
    <w:rsid w:val="00CE0C9A"/>
    <w:rsid w:val="00CE0E91"/>
    <w:rsid w:val="00CE1043"/>
    <w:rsid w:val="00CE1724"/>
    <w:rsid w:val="00CE1A3B"/>
    <w:rsid w:val="00CE1A6D"/>
    <w:rsid w:val="00CE1F54"/>
    <w:rsid w:val="00CE26DC"/>
    <w:rsid w:val="00CE30FD"/>
    <w:rsid w:val="00CE31E5"/>
    <w:rsid w:val="00CE3564"/>
    <w:rsid w:val="00CE381B"/>
    <w:rsid w:val="00CE4819"/>
    <w:rsid w:val="00CE4935"/>
    <w:rsid w:val="00CE6342"/>
    <w:rsid w:val="00CE6528"/>
    <w:rsid w:val="00CE6B16"/>
    <w:rsid w:val="00CE6BB0"/>
    <w:rsid w:val="00CE6F27"/>
    <w:rsid w:val="00CE79FE"/>
    <w:rsid w:val="00CE7E16"/>
    <w:rsid w:val="00CF010F"/>
    <w:rsid w:val="00CF022E"/>
    <w:rsid w:val="00CF072B"/>
    <w:rsid w:val="00CF0ADD"/>
    <w:rsid w:val="00CF0AFE"/>
    <w:rsid w:val="00CF0D20"/>
    <w:rsid w:val="00CF1AA8"/>
    <w:rsid w:val="00CF28EE"/>
    <w:rsid w:val="00CF3159"/>
    <w:rsid w:val="00CF402D"/>
    <w:rsid w:val="00CF431B"/>
    <w:rsid w:val="00CF548A"/>
    <w:rsid w:val="00CF5577"/>
    <w:rsid w:val="00CF62A8"/>
    <w:rsid w:val="00CF6DF4"/>
    <w:rsid w:val="00CF6EA7"/>
    <w:rsid w:val="00CF7020"/>
    <w:rsid w:val="00CF7244"/>
    <w:rsid w:val="00CF7654"/>
    <w:rsid w:val="00CF7684"/>
    <w:rsid w:val="00D00DEF"/>
    <w:rsid w:val="00D01366"/>
    <w:rsid w:val="00D0212E"/>
    <w:rsid w:val="00D02657"/>
    <w:rsid w:val="00D04F62"/>
    <w:rsid w:val="00D04F7B"/>
    <w:rsid w:val="00D0512C"/>
    <w:rsid w:val="00D05B9C"/>
    <w:rsid w:val="00D06211"/>
    <w:rsid w:val="00D06E9F"/>
    <w:rsid w:val="00D06FFF"/>
    <w:rsid w:val="00D0757E"/>
    <w:rsid w:val="00D07B7D"/>
    <w:rsid w:val="00D109A9"/>
    <w:rsid w:val="00D10CDF"/>
    <w:rsid w:val="00D113E7"/>
    <w:rsid w:val="00D116F0"/>
    <w:rsid w:val="00D119B8"/>
    <w:rsid w:val="00D11B26"/>
    <w:rsid w:val="00D122BD"/>
    <w:rsid w:val="00D12A77"/>
    <w:rsid w:val="00D12E24"/>
    <w:rsid w:val="00D13CD4"/>
    <w:rsid w:val="00D13FF6"/>
    <w:rsid w:val="00D14332"/>
    <w:rsid w:val="00D15178"/>
    <w:rsid w:val="00D1522A"/>
    <w:rsid w:val="00D15337"/>
    <w:rsid w:val="00D15B0C"/>
    <w:rsid w:val="00D167E6"/>
    <w:rsid w:val="00D16F9B"/>
    <w:rsid w:val="00D17611"/>
    <w:rsid w:val="00D17D94"/>
    <w:rsid w:val="00D17E36"/>
    <w:rsid w:val="00D17F53"/>
    <w:rsid w:val="00D203A5"/>
    <w:rsid w:val="00D21482"/>
    <w:rsid w:val="00D21A5A"/>
    <w:rsid w:val="00D22170"/>
    <w:rsid w:val="00D22491"/>
    <w:rsid w:val="00D225E0"/>
    <w:rsid w:val="00D22863"/>
    <w:rsid w:val="00D22A36"/>
    <w:rsid w:val="00D23502"/>
    <w:rsid w:val="00D23F03"/>
    <w:rsid w:val="00D23F9F"/>
    <w:rsid w:val="00D24213"/>
    <w:rsid w:val="00D24778"/>
    <w:rsid w:val="00D25322"/>
    <w:rsid w:val="00D25ADF"/>
    <w:rsid w:val="00D25BE6"/>
    <w:rsid w:val="00D25C2E"/>
    <w:rsid w:val="00D25FFA"/>
    <w:rsid w:val="00D2620A"/>
    <w:rsid w:val="00D264A4"/>
    <w:rsid w:val="00D269E6"/>
    <w:rsid w:val="00D26DF4"/>
    <w:rsid w:val="00D26E87"/>
    <w:rsid w:val="00D27086"/>
    <w:rsid w:val="00D2765A"/>
    <w:rsid w:val="00D27CDB"/>
    <w:rsid w:val="00D30458"/>
    <w:rsid w:val="00D30B67"/>
    <w:rsid w:val="00D30D2F"/>
    <w:rsid w:val="00D30E9F"/>
    <w:rsid w:val="00D31529"/>
    <w:rsid w:val="00D3190D"/>
    <w:rsid w:val="00D329FC"/>
    <w:rsid w:val="00D3345B"/>
    <w:rsid w:val="00D33974"/>
    <w:rsid w:val="00D33C7E"/>
    <w:rsid w:val="00D346EB"/>
    <w:rsid w:val="00D35DEF"/>
    <w:rsid w:val="00D362D1"/>
    <w:rsid w:val="00D36FEC"/>
    <w:rsid w:val="00D3723B"/>
    <w:rsid w:val="00D377B1"/>
    <w:rsid w:val="00D37996"/>
    <w:rsid w:val="00D37DF7"/>
    <w:rsid w:val="00D405B2"/>
    <w:rsid w:val="00D4101C"/>
    <w:rsid w:val="00D4115A"/>
    <w:rsid w:val="00D411AB"/>
    <w:rsid w:val="00D41602"/>
    <w:rsid w:val="00D41BD7"/>
    <w:rsid w:val="00D41E32"/>
    <w:rsid w:val="00D41F47"/>
    <w:rsid w:val="00D42078"/>
    <w:rsid w:val="00D421C9"/>
    <w:rsid w:val="00D42731"/>
    <w:rsid w:val="00D42CC1"/>
    <w:rsid w:val="00D42F6C"/>
    <w:rsid w:val="00D43A1F"/>
    <w:rsid w:val="00D44755"/>
    <w:rsid w:val="00D45EB8"/>
    <w:rsid w:val="00D45EDA"/>
    <w:rsid w:val="00D46126"/>
    <w:rsid w:val="00D46268"/>
    <w:rsid w:val="00D465EF"/>
    <w:rsid w:val="00D508A9"/>
    <w:rsid w:val="00D50DFF"/>
    <w:rsid w:val="00D512A4"/>
    <w:rsid w:val="00D5138A"/>
    <w:rsid w:val="00D51A7A"/>
    <w:rsid w:val="00D52002"/>
    <w:rsid w:val="00D521C2"/>
    <w:rsid w:val="00D52582"/>
    <w:rsid w:val="00D52BC1"/>
    <w:rsid w:val="00D53401"/>
    <w:rsid w:val="00D5370C"/>
    <w:rsid w:val="00D53A72"/>
    <w:rsid w:val="00D53B37"/>
    <w:rsid w:val="00D54213"/>
    <w:rsid w:val="00D54F96"/>
    <w:rsid w:val="00D5509A"/>
    <w:rsid w:val="00D55A92"/>
    <w:rsid w:val="00D56291"/>
    <w:rsid w:val="00D57027"/>
    <w:rsid w:val="00D57380"/>
    <w:rsid w:val="00D57713"/>
    <w:rsid w:val="00D578DF"/>
    <w:rsid w:val="00D57D43"/>
    <w:rsid w:val="00D57D99"/>
    <w:rsid w:val="00D60147"/>
    <w:rsid w:val="00D60DEF"/>
    <w:rsid w:val="00D611D1"/>
    <w:rsid w:val="00D61D9D"/>
    <w:rsid w:val="00D6217D"/>
    <w:rsid w:val="00D6231B"/>
    <w:rsid w:val="00D62D79"/>
    <w:rsid w:val="00D62DFA"/>
    <w:rsid w:val="00D637D9"/>
    <w:rsid w:val="00D63ACC"/>
    <w:rsid w:val="00D65822"/>
    <w:rsid w:val="00D6664E"/>
    <w:rsid w:val="00D66949"/>
    <w:rsid w:val="00D670F8"/>
    <w:rsid w:val="00D672E0"/>
    <w:rsid w:val="00D67A60"/>
    <w:rsid w:val="00D67CAF"/>
    <w:rsid w:val="00D70016"/>
    <w:rsid w:val="00D70178"/>
    <w:rsid w:val="00D701D4"/>
    <w:rsid w:val="00D7100B"/>
    <w:rsid w:val="00D71336"/>
    <w:rsid w:val="00D71461"/>
    <w:rsid w:val="00D71471"/>
    <w:rsid w:val="00D71C56"/>
    <w:rsid w:val="00D71FF8"/>
    <w:rsid w:val="00D72473"/>
    <w:rsid w:val="00D72E14"/>
    <w:rsid w:val="00D73C72"/>
    <w:rsid w:val="00D73DDB"/>
    <w:rsid w:val="00D7519D"/>
    <w:rsid w:val="00D75281"/>
    <w:rsid w:val="00D756DF"/>
    <w:rsid w:val="00D75B25"/>
    <w:rsid w:val="00D75FC5"/>
    <w:rsid w:val="00D7657C"/>
    <w:rsid w:val="00D76BAD"/>
    <w:rsid w:val="00D76E8B"/>
    <w:rsid w:val="00D7706C"/>
    <w:rsid w:val="00D77433"/>
    <w:rsid w:val="00D776E4"/>
    <w:rsid w:val="00D80F0E"/>
    <w:rsid w:val="00D810BB"/>
    <w:rsid w:val="00D81801"/>
    <w:rsid w:val="00D8205D"/>
    <w:rsid w:val="00D82A69"/>
    <w:rsid w:val="00D844C1"/>
    <w:rsid w:val="00D846EA"/>
    <w:rsid w:val="00D846FB"/>
    <w:rsid w:val="00D84E58"/>
    <w:rsid w:val="00D8567A"/>
    <w:rsid w:val="00D860C6"/>
    <w:rsid w:val="00D8643D"/>
    <w:rsid w:val="00D86512"/>
    <w:rsid w:val="00D86695"/>
    <w:rsid w:val="00D867A8"/>
    <w:rsid w:val="00D86A06"/>
    <w:rsid w:val="00D86ABB"/>
    <w:rsid w:val="00D86AD8"/>
    <w:rsid w:val="00D87080"/>
    <w:rsid w:val="00D87115"/>
    <w:rsid w:val="00D879C1"/>
    <w:rsid w:val="00D87C32"/>
    <w:rsid w:val="00D901C9"/>
    <w:rsid w:val="00D90A77"/>
    <w:rsid w:val="00D90BA1"/>
    <w:rsid w:val="00D90EA9"/>
    <w:rsid w:val="00D91911"/>
    <w:rsid w:val="00D91B8A"/>
    <w:rsid w:val="00D91D48"/>
    <w:rsid w:val="00D9376B"/>
    <w:rsid w:val="00D93E53"/>
    <w:rsid w:val="00D93F56"/>
    <w:rsid w:val="00D9449B"/>
    <w:rsid w:val="00D94A33"/>
    <w:rsid w:val="00D952A7"/>
    <w:rsid w:val="00D97CB3"/>
    <w:rsid w:val="00DA037D"/>
    <w:rsid w:val="00DA182E"/>
    <w:rsid w:val="00DA1E23"/>
    <w:rsid w:val="00DA2519"/>
    <w:rsid w:val="00DA32AF"/>
    <w:rsid w:val="00DA33EF"/>
    <w:rsid w:val="00DA35AD"/>
    <w:rsid w:val="00DA3A33"/>
    <w:rsid w:val="00DA3EAD"/>
    <w:rsid w:val="00DA4370"/>
    <w:rsid w:val="00DA43C4"/>
    <w:rsid w:val="00DA44F1"/>
    <w:rsid w:val="00DA477A"/>
    <w:rsid w:val="00DA4973"/>
    <w:rsid w:val="00DA4FAC"/>
    <w:rsid w:val="00DA5172"/>
    <w:rsid w:val="00DA5259"/>
    <w:rsid w:val="00DA545B"/>
    <w:rsid w:val="00DA56A9"/>
    <w:rsid w:val="00DA6381"/>
    <w:rsid w:val="00DA65CE"/>
    <w:rsid w:val="00DA67B4"/>
    <w:rsid w:val="00DA689E"/>
    <w:rsid w:val="00DA6B61"/>
    <w:rsid w:val="00DA6CF4"/>
    <w:rsid w:val="00DA70E8"/>
    <w:rsid w:val="00DA73AF"/>
    <w:rsid w:val="00DA7CFE"/>
    <w:rsid w:val="00DB0056"/>
    <w:rsid w:val="00DB016D"/>
    <w:rsid w:val="00DB0DD9"/>
    <w:rsid w:val="00DB149A"/>
    <w:rsid w:val="00DB30F4"/>
    <w:rsid w:val="00DB3A12"/>
    <w:rsid w:val="00DB3AC3"/>
    <w:rsid w:val="00DB3D95"/>
    <w:rsid w:val="00DB49CD"/>
    <w:rsid w:val="00DB59FC"/>
    <w:rsid w:val="00DB6E07"/>
    <w:rsid w:val="00DB6E98"/>
    <w:rsid w:val="00DB73D7"/>
    <w:rsid w:val="00DB7E6A"/>
    <w:rsid w:val="00DB7ED2"/>
    <w:rsid w:val="00DC0D2B"/>
    <w:rsid w:val="00DC1528"/>
    <w:rsid w:val="00DC168D"/>
    <w:rsid w:val="00DC1926"/>
    <w:rsid w:val="00DC1C01"/>
    <w:rsid w:val="00DC1DE3"/>
    <w:rsid w:val="00DC1E36"/>
    <w:rsid w:val="00DC2886"/>
    <w:rsid w:val="00DC390F"/>
    <w:rsid w:val="00DC3A85"/>
    <w:rsid w:val="00DC5DB6"/>
    <w:rsid w:val="00DC6B92"/>
    <w:rsid w:val="00DC7465"/>
    <w:rsid w:val="00DC7C54"/>
    <w:rsid w:val="00DD2301"/>
    <w:rsid w:val="00DD2520"/>
    <w:rsid w:val="00DD28FB"/>
    <w:rsid w:val="00DD2AC9"/>
    <w:rsid w:val="00DD30CB"/>
    <w:rsid w:val="00DD3791"/>
    <w:rsid w:val="00DD3820"/>
    <w:rsid w:val="00DD38C1"/>
    <w:rsid w:val="00DD3A1E"/>
    <w:rsid w:val="00DD4752"/>
    <w:rsid w:val="00DD488F"/>
    <w:rsid w:val="00DD4D46"/>
    <w:rsid w:val="00DD4DAF"/>
    <w:rsid w:val="00DD52AB"/>
    <w:rsid w:val="00DD5948"/>
    <w:rsid w:val="00DD5CE2"/>
    <w:rsid w:val="00DD6294"/>
    <w:rsid w:val="00DD67E5"/>
    <w:rsid w:val="00DD6A57"/>
    <w:rsid w:val="00DD6DE4"/>
    <w:rsid w:val="00DD72B7"/>
    <w:rsid w:val="00DD7848"/>
    <w:rsid w:val="00DD7EAF"/>
    <w:rsid w:val="00DE0FBE"/>
    <w:rsid w:val="00DE14EC"/>
    <w:rsid w:val="00DE1B18"/>
    <w:rsid w:val="00DE1D5F"/>
    <w:rsid w:val="00DE20F1"/>
    <w:rsid w:val="00DE21F5"/>
    <w:rsid w:val="00DE2445"/>
    <w:rsid w:val="00DE2792"/>
    <w:rsid w:val="00DE2EB4"/>
    <w:rsid w:val="00DE2F3D"/>
    <w:rsid w:val="00DE3203"/>
    <w:rsid w:val="00DE34E7"/>
    <w:rsid w:val="00DE357C"/>
    <w:rsid w:val="00DE38E9"/>
    <w:rsid w:val="00DE3A21"/>
    <w:rsid w:val="00DE3CE5"/>
    <w:rsid w:val="00DE4063"/>
    <w:rsid w:val="00DE472C"/>
    <w:rsid w:val="00DE6EB9"/>
    <w:rsid w:val="00DE7B6E"/>
    <w:rsid w:val="00DF074F"/>
    <w:rsid w:val="00DF0A20"/>
    <w:rsid w:val="00DF12B3"/>
    <w:rsid w:val="00DF1A16"/>
    <w:rsid w:val="00DF1ACA"/>
    <w:rsid w:val="00DF1C08"/>
    <w:rsid w:val="00DF21F4"/>
    <w:rsid w:val="00DF2583"/>
    <w:rsid w:val="00DF26B1"/>
    <w:rsid w:val="00DF2CE5"/>
    <w:rsid w:val="00DF2E7F"/>
    <w:rsid w:val="00DF3158"/>
    <w:rsid w:val="00DF3219"/>
    <w:rsid w:val="00DF3DA5"/>
    <w:rsid w:val="00DF4355"/>
    <w:rsid w:val="00DF4FB9"/>
    <w:rsid w:val="00DF553C"/>
    <w:rsid w:val="00DF6037"/>
    <w:rsid w:val="00DF6922"/>
    <w:rsid w:val="00E0085F"/>
    <w:rsid w:val="00E00B69"/>
    <w:rsid w:val="00E01CA7"/>
    <w:rsid w:val="00E02E95"/>
    <w:rsid w:val="00E033BA"/>
    <w:rsid w:val="00E03692"/>
    <w:rsid w:val="00E0382F"/>
    <w:rsid w:val="00E03980"/>
    <w:rsid w:val="00E041EC"/>
    <w:rsid w:val="00E04715"/>
    <w:rsid w:val="00E047AD"/>
    <w:rsid w:val="00E056A7"/>
    <w:rsid w:val="00E058EE"/>
    <w:rsid w:val="00E061C0"/>
    <w:rsid w:val="00E06220"/>
    <w:rsid w:val="00E06676"/>
    <w:rsid w:val="00E06A0D"/>
    <w:rsid w:val="00E06DF1"/>
    <w:rsid w:val="00E06EFB"/>
    <w:rsid w:val="00E073D9"/>
    <w:rsid w:val="00E075DE"/>
    <w:rsid w:val="00E07AA3"/>
    <w:rsid w:val="00E07AB5"/>
    <w:rsid w:val="00E11DB0"/>
    <w:rsid w:val="00E1213E"/>
    <w:rsid w:val="00E1249C"/>
    <w:rsid w:val="00E12CBB"/>
    <w:rsid w:val="00E12D6C"/>
    <w:rsid w:val="00E12EDF"/>
    <w:rsid w:val="00E1448C"/>
    <w:rsid w:val="00E14B7B"/>
    <w:rsid w:val="00E14D04"/>
    <w:rsid w:val="00E1520B"/>
    <w:rsid w:val="00E15B76"/>
    <w:rsid w:val="00E15F03"/>
    <w:rsid w:val="00E16150"/>
    <w:rsid w:val="00E16787"/>
    <w:rsid w:val="00E16B28"/>
    <w:rsid w:val="00E16D2F"/>
    <w:rsid w:val="00E17B40"/>
    <w:rsid w:val="00E17D6E"/>
    <w:rsid w:val="00E17F71"/>
    <w:rsid w:val="00E21224"/>
    <w:rsid w:val="00E22E87"/>
    <w:rsid w:val="00E2360B"/>
    <w:rsid w:val="00E23C52"/>
    <w:rsid w:val="00E23C67"/>
    <w:rsid w:val="00E23CEF"/>
    <w:rsid w:val="00E240A6"/>
    <w:rsid w:val="00E24BE7"/>
    <w:rsid w:val="00E2574A"/>
    <w:rsid w:val="00E2631F"/>
    <w:rsid w:val="00E26A6B"/>
    <w:rsid w:val="00E27665"/>
    <w:rsid w:val="00E278AC"/>
    <w:rsid w:val="00E27BEE"/>
    <w:rsid w:val="00E3052B"/>
    <w:rsid w:val="00E314C0"/>
    <w:rsid w:val="00E31710"/>
    <w:rsid w:val="00E31AD7"/>
    <w:rsid w:val="00E32188"/>
    <w:rsid w:val="00E32490"/>
    <w:rsid w:val="00E32616"/>
    <w:rsid w:val="00E328D8"/>
    <w:rsid w:val="00E32CE2"/>
    <w:rsid w:val="00E32D37"/>
    <w:rsid w:val="00E33C12"/>
    <w:rsid w:val="00E33C67"/>
    <w:rsid w:val="00E33F65"/>
    <w:rsid w:val="00E34142"/>
    <w:rsid w:val="00E3420B"/>
    <w:rsid w:val="00E3495E"/>
    <w:rsid w:val="00E35F46"/>
    <w:rsid w:val="00E37667"/>
    <w:rsid w:val="00E4022B"/>
    <w:rsid w:val="00E406DA"/>
    <w:rsid w:val="00E40ADA"/>
    <w:rsid w:val="00E40B89"/>
    <w:rsid w:val="00E415FC"/>
    <w:rsid w:val="00E4170E"/>
    <w:rsid w:val="00E41BE9"/>
    <w:rsid w:val="00E41D81"/>
    <w:rsid w:val="00E43398"/>
    <w:rsid w:val="00E435C9"/>
    <w:rsid w:val="00E43FB8"/>
    <w:rsid w:val="00E44214"/>
    <w:rsid w:val="00E44A83"/>
    <w:rsid w:val="00E44BFF"/>
    <w:rsid w:val="00E44C59"/>
    <w:rsid w:val="00E44E8D"/>
    <w:rsid w:val="00E4549D"/>
    <w:rsid w:val="00E45BF2"/>
    <w:rsid w:val="00E45DEA"/>
    <w:rsid w:val="00E47684"/>
    <w:rsid w:val="00E50C4C"/>
    <w:rsid w:val="00E51829"/>
    <w:rsid w:val="00E51E11"/>
    <w:rsid w:val="00E528AD"/>
    <w:rsid w:val="00E5372D"/>
    <w:rsid w:val="00E54291"/>
    <w:rsid w:val="00E5459C"/>
    <w:rsid w:val="00E549C2"/>
    <w:rsid w:val="00E557B5"/>
    <w:rsid w:val="00E559A7"/>
    <w:rsid w:val="00E56127"/>
    <w:rsid w:val="00E56BD8"/>
    <w:rsid w:val="00E56DC2"/>
    <w:rsid w:val="00E56F3C"/>
    <w:rsid w:val="00E56F48"/>
    <w:rsid w:val="00E57B6A"/>
    <w:rsid w:val="00E60952"/>
    <w:rsid w:val="00E60DB2"/>
    <w:rsid w:val="00E61E23"/>
    <w:rsid w:val="00E620A6"/>
    <w:rsid w:val="00E6210D"/>
    <w:rsid w:val="00E62171"/>
    <w:rsid w:val="00E62768"/>
    <w:rsid w:val="00E6462C"/>
    <w:rsid w:val="00E658EB"/>
    <w:rsid w:val="00E65BCA"/>
    <w:rsid w:val="00E66365"/>
    <w:rsid w:val="00E666EB"/>
    <w:rsid w:val="00E66F2C"/>
    <w:rsid w:val="00E6726B"/>
    <w:rsid w:val="00E676F1"/>
    <w:rsid w:val="00E676F9"/>
    <w:rsid w:val="00E67882"/>
    <w:rsid w:val="00E70455"/>
    <w:rsid w:val="00E71702"/>
    <w:rsid w:val="00E719D3"/>
    <w:rsid w:val="00E71D9C"/>
    <w:rsid w:val="00E71E37"/>
    <w:rsid w:val="00E720FE"/>
    <w:rsid w:val="00E72A86"/>
    <w:rsid w:val="00E72C29"/>
    <w:rsid w:val="00E73583"/>
    <w:rsid w:val="00E74EE7"/>
    <w:rsid w:val="00E76782"/>
    <w:rsid w:val="00E76956"/>
    <w:rsid w:val="00E76B49"/>
    <w:rsid w:val="00E77030"/>
    <w:rsid w:val="00E777A7"/>
    <w:rsid w:val="00E779CB"/>
    <w:rsid w:val="00E8050E"/>
    <w:rsid w:val="00E80B80"/>
    <w:rsid w:val="00E811AD"/>
    <w:rsid w:val="00E814BC"/>
    <w:rsid w:val="00E81603"/>
    <w:rsid w:val="00E81A4E"/>
    <w:rsid w:val="00E81C41"/>
    <w:rsid w:val="00E81D46"/>
    <w:rsid w:val="00E83B3D"/>
    <w:rsid w:val="00E83D1B"/>
    <w:rsid w:val="00E8420B"/>
    <w:rsid w:val="00E84AB4"/>
    <w:rsid w:val="00E84B48"/>
    <w:rsid w:val="00E84EBF"/>
    <w:rsid w:val="00E8590A"/>
    <w:rsid w:val="00E85F38"/>
    <w:rsid w:val="00E85F64"/>
    <w:rsid w:val="00E861A8"/>
    <w:rsid w:val="00E86216"/>
    <w:rsid w:val="00E86A89"/>
    <w:rsid w:val="00E86ED2"/>
    <w:rsid w:val="00E8754C"/>
    <w:rsid w:val="00E87629"/>
    <w:rsid w:val="00E87846"/>
    <w:rsid w:val="00E87853"/>
    <w:rsid w:val="00E90423"/>
    <w:rsid w:val="00E9047F"/>
    <w:rsid w:val="00E90630"/>
    <w:rsid w:val="00E90C42"/>
    <w:rsid w:val="00E91621"/>
    <w:rsid w:val="00E91759"/>
    <w:rsid w:val="00E91C47"/>
    <w:rsid w:val="00E91D47"/>
    <w:rsid w:val="00E92935"/>
    <w:rsid w:val="00E936FA"/>
    <w:rsid w:val="00E94496"/>
    <w:rsid w:val="00E949D3"/>
    <w:rsid w:val="00E94C45"/>
    <w:rsid w:val="00E953C0"/>
    <w:rsid w:val="00E95E30"/>
    <w:rsid w:val="00E96473"/>
    <w:rsid w:val="00E9686D"/>
    <w:rsid w:val="00E97928"/>
    <w:rsid w:val="00E97A5E"/>
    <w:rsid w:val="00EA0D57"/>
    <w:rsid w:val="00EA0E45"/>
    <w:rsid w:val="00EA1EAD"/>
    <w:rsid w:val="00EA205B"/>
    <w:rsid w:val="00EA4907"/>
    <w:rsid w:val="00EA4974"/>
    <w:rsid w:val="00EA4A2E"/>
    <w:rsid w:val="00EA5490"/>
    <w:rsid w:val="00EA5618"/>
    <w:rsid w:val="00EA5CB4"/>
    <w:rsid w:val="00EA5FF7"/>
    <w:rsid w:val="00EA6303"/>
    <w:rsid w:val="00EA6872"/>
    <w:rsid w:val="00EA6B90"/>
    <w:rsid w:val="00EA6EA1"/>
    <w:rsid w:val="00EA7A0F"/>
    <w:rsid w:val="00EA7FDA"/>
    <w:rsid w:val="00EB01A1"/>
    <w:rsid w:val="00EB04B5"/>
    <w:rsid w:val="00EB0B41"/>
    <w:rsid w:val="00EB1073"/>
    <w:rsid w:val="00EB199B"/>
    <w:rsid w:val="00EB19BD"/>
    <w:rsid w:val="00EB210B"/>
    <w:rsid w:val="00EB269D"/>
    <w:rsid w:val="00EB2979"/>
    <w:rsid w:val="00EB2D46"/>
    <w:rsid w:val="00EB39F9"/>
    <w:rsid w:val="00EB3BCE"/>
    <w:rsid w:val="00EB47E5"/>
    <w:rsid w:val="00EB5877"/>
    <w:rsid w:val="00EB5CAD"/>
    <w:rsid w:val="00EB621E"/>
    <w:rsid w:val="00EB65A1"/>
    <w:rsid w:val="00EB6633"/>
    <w:rsid w:val="00EB6833"/>
    <w:rsid w:val="00EB684B"/>
    <w:rsid w:val="00EB7367"/>
    <w:rsid w:val="00EB7939"/>
    <w:rsid w:val="00EB7C89"/>
    <w:rsid w:val="00EC04FD"/>
    <w:rsid w:val="00EC0DD2"/>
    <w:rsid w:val="00EC0E73"/>
    <w:rsid w:val="00EC1543"/>
    <w:rsid w:val="00EC23B5"/>
    <w:rsid w:val="00EC25DC"/>
    <w:rsid w:val="00EC2C2F"/>
    <w:rsid w:val="00EC2CF2"/>
    <w:rsid w:val="00EC3159"/>
    <w:rsid w:val="00EC323A"/>
    <w:rsid w:val="00EC34E3"/>
    <w:rsid w:val="00EC3D4A"/>
    <w:rsid w:val="00EC4304"/>
    <w:rsid w:val="00EC4820"/>
    <w:rsid w:val="00EC56F1"/>
    <w:rsid w:val="00EC5DD1"/>
    <w:rsid w:val="00EC63D9"/>
    <w:rsid w:val="00EC70F7"/>
    <w:rsid w:val="00EC7EB7"/>
    <w:rsid w:val="00ED053F"/>
    <w:rsid w:val="00ED1A2D"/>
    <w:rsid w:val="00ED1CAE"/>
    <w:rsid w:val="00ED21B4"/>
    <w:rsid w:val="00ED241C"/>
    <w:rsid w:val="00ED28D4"/>
    <w:rsid w:val="00ED2F2E"/>
    <w:rsid w:val="00ED3A50"/>
    <w:rsid w:val="00ED4235"/>
    <w:rsid w:val="00ED45A5"/>
    <w:rsid w:val="00ED46D7"/>
    <w:rsid w:val="00ED542F"/>
    <w:rsid w:val="00ED6A8D"/>
    <w:rsid w:val="00ED6B2E"/>
    <w:rsid w:val="00ED710B"/>
    <w:rsid w:val="00ED7133"/>
    <w:rsid w:val="00ED788F"/>
    <w:rsid w:val="00EE0223"/>
    <w:rsid w:val="00EE11F8"/>
    <w:rsid w:val="00EE27E2"/>
    <w:rsid w:val="00EE2819"/>
    <w:rsid w:val="00EE2AE0"/>
    <w:rsid w:val="00EE2EC4"/>
    <w:rsid w:val="00EE31A8"/>
    <w:rsid w:val="00EE33D3"/>
    <w:rsid w:val="00EE38B4"/>
    <w:rsid w:val="00EE392A"/>
    <w:rsid w:val="00EE3F23"/>
    <w:rsid w:val="00EE526B"/>
    <w:rsid w:val="00EE59ED"/>
    <w:rsid w:val="00EE60CE"/>
    <w:rsid w:val="00EE6168"/>
    <w:rsid w:val="00EE6853"/>
    <w:rsid w:val="00EE6C9F"/>
    <w:rsid w:val="00EE7E5F"/>
    <w:rsid w:val="00EF0038"/>
    <w:rsid w:val="00EF04B9"/>
    <w:rsid w:val="00EF067D"/>
    <w:rsid w:val="00EF1038"/>
    <w:rsid w:val="00EF105D"/>
    <w:rsid w:val="00EF24F5"/>
    <w:rsid w:val="00EF2565"/>
    <w:rsid w:val="00EF27D0"/>
    <w:rsid w:val="00EF28B1"/>
    <w:rsid w:val="00EF2DE8"/>
    <w:rsid w:val="00EF32F6"/>
    <w:rsid w:val="00EF4580"/>
    <w:rsid w:val="00EF539F"/>
    <w:rsid w:val="00EF5810"/>
    <w:rsid w:val="00EF5C4F"/>
    <w:rsid w:val="00EF662C"/>
    <w:rsid w:val="00EF6928"/>
    <w:rsid w:val="00F016E4"/>
    <w:rsid w:val="00F038E3"/>
    <w:rsid w:val="00F03C06"/>
    <w:rsid w:val="00F04097"/>
    <w:rsid w:val="00F045E2"/>
    <w:rsid w:val="00F04F56"/>
    <w:rsid w:val="00F05409"/>
    <w:rsid w:val="00F0550C"/>
    <w:rsid w:val="00F063ED"/>
    <w:rsid w:val="00F0689B"/>
    <w:rsid w:val="00F06E52"/>
    <w:rsid w:val="00F06F62"/>
    <w:rsid w:val="00F07279"/>
    <w:rsid w:val="00F07EC3"/>
    <w:rsid w:val="00F100E0"/>
    <w:rsid w:val="00F10625"/>
    <w:rsid w:val="00F1079D"/>
    <w:rsid w:val="00F10A53"/>
    <w:rsid w:val="00F11209"/>
    <w:rsid w:val="00F11C39"/>
    <w:rsid w:val="00F11CEB"/>
    <w:rsid w:val="00F1239B"/>
    <w:rsid w:val="00F1248F"/>
    <w:rsid w:val="00F1264C"/>
    <w:rsid w:val="00F13573"/>
    <w:rsid w:val="00F14673"/>
    <w:rsid w:val="00F1469A"/>
    <w:rsid w:val="00F147BE"/>
    <w:rsid w:val="00F1480E"/>
    <w:rsid w:val="00F149A3"/>
    <w:rsid w:val="00F14FB0"/>
    <w:rsid w:val="00F15443"/>
    <w:rsid w:val="00F159C3"/>
    <w:rsid w:val="00F15BD1"/>
    <w:rsid w:val="00F1677E"/>
    <w:rsid w:val="00F1767B"/>
    <w:rsid w:val="00F20E6E"/>
    <w:rsid w:val="00F20F17"/>
    <w:rsid w:val="00F20FC7"/>
    <w:rsid w:val="00F211C1"/>
    <w:rsid w:val="00F21EEB"/>
    <w:rsid w:val="00F23077"/>
    <w:rsid w:val="00F234F2"/>
    <w:rsid w:val="00F23B62"/>
    <w:rsid w:val="00F23BCE"/>
    <w:rsid w:val="00F25F15"/>
    <w:rsid w:val="00F26877"/>
    <w:rsid w:val="00F26C20"/>
    <w:rsid w:val="00F27165"/>
    <w:rsid w:val="00F27A80"/>
    <w:rsid w:val="00F27D16"/>
    <w:rsid w:val="00F30562"/>
    <w:rsid w:val="00F30CB3"/>
    <w:rsid w:val="00F312E0"/>
    <w:rsid w:val="00F3163A"/>
    <w:rsid w:val="00F31A97"/>
    <w:rsid w:val="00F31E33"/>
    <w:rsid w:val="00F320EB"/>
    <w:rsid w:val="00F32803"/>
    <w:rsid w:val="00F3289C"/>
    <w:rsid w:val="00F32E30"/>
    <w:rsid w:val="00F3344A"/>
    <w:rsid w:val="00F3372C"/>
    <w:rsid w:val="00F33FEC"/>
    <w:rsid w:val="00F35842"/>
    <w:rsid w:val="00F36501"/>
    <w:rsid w:val="00F36694"/>
    <w:rsid w:val="00F36CD4"/>
    <w:rsid w:val="00F36EE4"/>
    <w:rsid w:val="00F3767D"/>
    <w:rsid w:val="00F37B21"/>
    <w:rsid w:val="00F37E07"/>
    <w:rsid w:val="00F4093E"/>
    <w:rsid w:val="00F4170C"/>
    <w:rsid w:val="00F41879"/>
    <w:rsid w:val="00F41CFF"/>
    <w:rsid w:val="00F4207A"/>
    <w:rsid w:val="00F4243B"/>
    <w:rsid w:val="00F424F1"/>
    <w:rsid w:val="00F42646"/>
    <w:rsid w:val="00F42EA6"/>
    <w:rsid w:val="00F43598"/>
    <w:rsid w:val="00F43A0D"/>
    <w:rsid w:val="00F43F6D"/>
    <w:rsid w:val="00F43FDE"/>
    <w:rsid w:val="00F45A39"/>
    <w:rsid w:val="00F4667C"/>
    <w:rsid w:val="00F46963"/>
    <w:rsid w:val="00F47047"/>
    <w:rsid w:val="00F4722A"/>
    <w:rsid w:val="00F501D2"/>
    <w:rsid w:val="00F50392"/>
    <w:rsid w:val="00F50828"/>
    <w:rsid w:val="00F50A95"/>
    <w:rsid w:val="00F50AA7"/>
    <w:rsid w:val="00F511C1"/>
    <w:rsid w:val="00F51C83"/>
    <w:rsid w:val="00F52B07"/>
    <w:rsid w:val="00F53002"/>
    <w:rsid w:val="00F53EB8"/>
    <w:rsid w:val="00F54714"/>
    <w:rsid w:val="00F54BA2"/>
    <w:rsid w:val="00F54BD5"/>
    <w:rsid w:val="00F54F48"/>
    <w:rsid w:val="00F558D4"/>
    <w:rsid w:val="00F55FFC"/>
    <w:rsid w:val="00F56F60"/>
    <w:rsid w:val="00F571CE"/>
    <w:rsid w:val="00F577C6"/>
    <w:rsid w:val="00F57800"/>
    <w:rsid w:val="00F603F5"/>
    <w:rsid w:val="00F6185D"/>
    <w:rsid w:val="00F62238"/>
    <w:rsid w:val="00F62391"/>
    <w:rsid w:val="00F62A2D"/>
    <w:rsid w:val="00F6306A"/>
    <w:rsid w:val="00F6350B"/>
    <w:rsid w:val="00F63856"/>
    <w:rsid w:val="00F63A0E"/>
    <w:rsid w:val="00F642E8"/>
    <w:rsid w:val="00F64B72"/>
    <w:rsid w:val="00F64FC3"/>
    <w:rsid w:val="00F6516D"/>
    <w:rsid w:val="00F65A96"/>
    <w:rsid w:val="00F65B4B"/>
    <w:rsid w:val="00F66F43"/>
    <w:rsid w:val="00F679A1"/>
    <w:rsid w:val="00F7113A"/>
    <w:rsid w:val="00F7132A"/>
    <w:rsid w:val="00F71859"/>
    <w:rsid w:val="00F721EA"/>
    <w:rsid w:val="00F72B0E"/>
    <w:rsid w:val="00F72BF8"/>
    <w:rsid w:val="00F72D40"/>
    <w:rsid w:val="00F72F42"/>
    <w:rsid w:val="00F731D2"/>
    <w:rsid w:val="00F73A5D"/>
    <w:rsid w:val="00F73C9D"/>
    <w:rsid w:val="00F73CF7"/>
    <w:rsid w:val="00F73E94"/>
    <w:rsid w:val="00F7493A"/>
    <w:rsid w:val="00F74FA0"/>
    <w:rsid w:val="00F75044"/>
    <w:rsid w:val="00F75320"/>
    <w:rsid w:val="00F75913"/>
    <w:rsid w:val="00F76222"/>
    <w:rsid w:val="00F766A0"/>
    <w:rsid w:val="00F76D63"/>
    <w:rsid w:val="00F77748"/>
    <w:rsid w:val="00F77E2A"/>
    <w:rsid w:val="00F8050A"/>
    <w:rsid w:val="00F80C8A"/>
    <w:rsid w:val="00F81169"/>
    <w:rsid w:val="00F8129E"/>
    <w:rsid w:val="00F81908"/>
    <w:rsid w:val="00F8204F"/>
    <w:rsid w:val="00F82251"/>
    <w:rsid w:val="00F83339"/>
    <w:rsid w:val="00F83651"/>
    <w:rsid w:val="00F84776"/>
    <w:rsid w:val="00F84CA9"/>
    <w:rsid w:val="00F85A8A"/>
    <w:rsid w:val="00F85E5F"/>
    <w:rsid w:val="00F8681C"/>
    <w:rsid w:val="00F86A87"/>
    <w:rsid w:val="00F86C07"/>
    <w:rsid w:val="00F86FC8"/>
    <w:rsid w:val="00F87678"/>
    <w:rsid w:val="00F87A7C"/>
    <w:rsid w:val="00F90622"/>
    <w:rsid w:val="00F912FF"/>
    <w:rsid w:val="00F91577"/>
    <w:rsid w:val="00F91AC5"/>
    <w:rsid w:val="00F933AD"/>
    <w:rsid w:val="00F9431A"/>
    <w:rsid w:val="00F94CF3"/>
    <w:rsid w:val="00F957C9"/>
    <w:rsid w:val="00F96182"/>
    <w:rsid w:val="00F963DA"/>
    <w:rsid w:val="00F9643D"/>
    <w:rsid w:val="00F96646"/>
    <w:rsid w:val="00F967F7"/>
    <w:rsid w:val="00F969B9"/>
    <w:rsid w:val="00F973D4"/>
    <w:rsid w:val="00FA106A"/>
    <w:rsid w:val="00FA1EC5"/>
    <w:rsid w:val="00FA2240"/>
    <w:rsid w:val="00FA27B3"/>
    <w:rsid w:val="00FA5B44"/>
    <w:rsid w:val="00FA6223"/>
    <w:rsid w:val="00FA68B5"/>
    <w:rsid w:val="00FA711F"/>
    <w:rsid w:val="00FA7753"/>
    <w:rsid w:val="00FA77BD"/>
    <w:rsid w:val="00FB023F"/>
    <w:rsid w:val="00FB0560"/>
    <w:rsid w:val="00FB1834"/>
    <w:rsid w:val="00FB188E"/>
    <w:rsid w:val="00FB20FB"/>
    <w:rsid w:val="00FB21C9"/>
    <w:rsid w:val="00FB240E"/>
    <w:rsid w:val="00FB280F"/>
    <w:rsid w:val="00FB3415"/>
    <w:rsid w:val="00FB35FD"/>
    <w:rsid w:val="00FB416C"/>
    <w:rsid w:val="00FB44B4"/>
    <w:rsid w:val="00FB5009"/>
    <w:rsid w:val="00FB5309"/>
    <w:rsid w:val="00FB536C"/>
    <w:rsid w:val="00FB5814"/>
    <w:rsid w:val="00FB645F"/>
    <w:rsid w:val="00FB6F5B"/>
    <w:rsid w:val="00FB791F"/>
    <w:rsid w:val="00FB7943"/>
    <w:rsid w:val="00FB7C6D"/>
    <w:rsid w:val="00FB7F47"/>
    <w:rsid w:val="00FC0C9A"/>
    <w:rsid w:val="00FC1B2C"/>
    <w:rsid w:val="00FC2034"/>
    <w:rsid w:val="00FC247E"/>
    <w:rsid w:val="00FC24E9"/>
    <w:rsid w:val="00FC251E"/>
    <w:rsid w:val="00FC2C6F"/>
    <w:rsid w:val="00FC2DF9"/>
    <w:rsid w:val="00FC317E"/>
    <w:rsid w:val="00FC3FA0"/>
    <w:rsid w:val="00FC49E2"/>
    <w:rsid w:val="00FC4C5F"/>
    <w:rsid w:val="00FC503A"/>
    <w:rsid w:val="00FC58F4"/>
    <w:rsid w:val="00FC6D9B"/>
    <w:rsid w:val="00FC74D0"/>
    <w:rsid w:val="00FC7517"/>
    <w:rsid w:val="00FC799F"/>
    <w:rsid w:val="00FD0020"/>
    <w:rsid w:val="00FD007A"/>
    <w:rsid w:val="00FD071E"/>
    <w:rsid w:val="00FD11D9"/>
    <w:rsid w:val="00FD11F8"/>
    <w:rsid w:val="00FD1613"/>
    <w:rsid w:val="00FD18ED"/>
    <w:rsid w:val="00FD1B7C"/>
    <w:rsid w:val="00FD335A"/>
    <w:rsid w:val="00FD36F8"/>
    <w:rsid w:val="00FD3A87"/>
    <w:rsid w:val="00FD3E09"/>
    <w:rsid w:val="00FD3F57"/>
    <w:rsid w:val="00FD4326"/>
    <w:rsid w:val="00FD4BC6"/>
    <w:rsid w:val="00FD54D1"/>
    <w:rsid w:val="00FD56DD"/>
    <w:rsid w:val="00FD5C7D"/>
    <w:rsid w:val="00FD6A99"/>
    <w:rsid w:val="00FD6EFD"/>
    <w:rsid w:val="00FD70DF"/>
    <w:rsid w:val="00FE084A"/>
    <w:rsid w:val="00FE098C"/>
    <w:rsid w:val="00FE0AF5"/>
    <w:rsid w:val="00FE0BAC"/>
    <w:rsid w:val="00FE0D21"/>
    <w:rsid w:val="00FE162B"/>
    <w:rsid w:val="00FE21E9"/>
    <w:rsid w:val="00FE28DD"/>
    <w:rsid w:val="00FE2D16"/>
    <w:rsid w:val="00FE31B2"/>
    <w:rsid w:val="00FE3665"/>
    <w:rsid w:val="00FE3716"/>
    <w:rsid w:val="00FE3D20"/>
    <w:rsid w:val="00FE4D74"/>
    <w:rsid w:val="00FE4FCE"/>
    <w:rsid w:val="00FE5172"/>
    <w:rsid w:val="00FE5355"/>
    <w:rsid w:val="00FE559F"/>
    <w:rsid w:val="00FE6B63"/>
    <w:rsid w:val="00FE6C1B"/>
    <w:rsid w:val="00FE7473"/>
    <w:rsid w:val="00FE77A6"/>
    <w:rsid w:val="00FE78C0"/>
    <w:rsid w:val="00FE7B51"/>
    <w:rsid w:val="00FE7E3F"/>
    <w:rsid w:val="00FE7EED"/>
    <w:rsid w:val="00FF032A"/>
    <w:rsid w:val="00FF0CD1"/>
    <w:rsid w:val="00FF0F4C"/>
    <w:rsid w:val="00FF2079"/>
    <w:rsid w:val="00FF2648"/>
    <w:rsid w:val="00FF2CF2"/>
    <w:rsid w:val="00FF33A9"/>
    <w:rsid w:val="00FF3582"/>
    <w:rsid w:val="00FF3907"/>
    <w:rsid w:val="00FF3BC9"/>
    <w:rsid w:val="00FF42B1"/>
    <w:rsid w:val="00FF4F68"/>
    <w:rsid w:val="00FF5044"/>
    <w:rsid w:val="00FF52DE"/>
    <w:rsid w:val="00FF565C"/>
    <w:rsid w:val="00FF5F0C"/>
    <w:rsid w:val="00FF601C"/>
    <w:rsid w:val="00FF61B2"/>
    <w:rsid w:val="00FF64BE"/>
    <w:rsid w:val="00FF70B5"/>
    <w:rsid w:val="00FF7189"/>
    <w:rsid w:val="00FF7721"/>
    <w:rsid w:val="00FF7B15"/>
    <w:rsid w:val="00FF7F30"/>
    <w:rsid w:val="011A11A4"/>
    <w:rsid w:val="014B5B44"/>
    <w:rsid w:val="018C5F7F"/>
    <w:rsid w:val="01BE4069"/>
    <w:rsid w:val="01BE5800"/>
    <w:rsid w:val="01C66FA2"/>
    <w:rsid w:val="01E46F65"/>
    <w:rsid w:val="02E536DD"/>
    <w:rsid w:val="03F06C42"/>
    <w:rsid w:val="041B3357"/>
    <w:rsid w:val="04334135"/>
    <w:rsid w:val="04C34346"/>
    <w:rsid w:val="04CD34EE"/>
    <w:rsid w:val="04E30437"/>
    <w:rsid w:val="05F41FAA"/>
    <w:rsid w:val="063A1C66"/>
    <w:rsid w:val="063B78DC"/>
    <w:rsid w:val="072B1256"/>
    <w:rsid w:val="076E0F6D"/>
    <w:rsid w:val="07E84F31"/>
    <w:rsid w:val="07FD7C91"/>
    <w:rsid w:val="0839529D"/>
    <w:rsid w:val="08A56D4F"/>
    <w:rsid w:val="08BB2B43"/>
    <w:rsid w:val="08E646CC"/>
    <w:rsid w:val="08ED6980"/>
    <w:rsid w:val="09974C33"/>
    <w:rsid w:val="09B82947"/>
    <w:rsid w:val="0A1F0BF2"/>
    <w:rsid w:val="0A6B5FA5"/>
    <w:rsid w:val="0AB5719A"/>
    <w:rsid w:val="0B5A5032"/>
    <w:rsid w:val="0BF958C7"/>
    <w:rsid w:val="0C143CD0"/>
    <w:rsid w:val="0C330DC8"/>
    <w:rsid w:val="0C395F54"/>
    <w:rsid w:val="0C3F3332"/>
    <w:rsid w:val="0C5A09A9"/>
    <w:rsid w:val="0CDB719E"/>
    <w:rsid w:val="0DBF1DD7"/>
    <w:rsid w:val="0E0812B7"/>
    <w:rsid w:val="0E0A4418"/>
    <w:rsid w:val="0E224E3C"/>
    <w:rsid w:val="0EAB6A73"/>
    <w:rsid w:val="0F4D0707"/>
    <w:rsid w:val="0FBA2A45"/>
    <w:rsid w:val="0FC41654"/>
    <w:rsid w:val="0FC76907"/>
    <w:rsid w:val="0FDE7285"/>
    <w:rsid w:val="11107786"/>
    <w:rsid w:val="11280AE6"/>
    <w:rsid w:val="118C2ED5"/>
    <w:rsid w:val="11B83D31"/>
    <w:rsid w:val="123F6BB3"/>
    <w:rsid w:val="12795B29"/>
    <w:rsid w:val="129E47A6"/>
    <w:rsid w:val="12F62B63"/>
    <w:rsid w:val="13656661"/>
    <w:rsid w:val="13686C97"/>
    <w:rsid w:val="13696837"/>
    <w:rsid w:val="13B31AEC"/>
    <w:rsid w:val="13FE3FBA"/>
    <w:rsid w:val="140E1568"/>
    <w:rsid w:val="14404369"/>
    <w:rsid w:val="145A1B30"/>
    <w:rsid w:val="14930855"/>
    <w:rsid w:val="16461969"/>
    <w:rsid w:val="175D674F"/>
    <w:rsid w:val="17CD2550"/>
    <w:rsid w:val="17D2720A"/>
    <w:rsid w:val="18114189"/>
    <w:rsid w:val="181311C9"/>
    <w:rsid w:val="18454928"/>
    <w:rsid w:val="187C6497"/>
    <w:rsid w:val="18A92683"/>
    <w:rsid w:val="18C91208"/>
    <w:rsid w:val="18D90CE5"/>
    <w:rsid w:val="18F06F2D"/>
    <w:rsid w:val="1930528D"/>
    <w:rsid w:val="19421A22"/>
    <w:rsid w:val="19AD7F51"/>
    <w:rsid w:val="19C060B2"/>
    <w:rsid w:val="19E46B61"/>
    <w:rsid w:val="1BA50D14"/>
    <w:rsid w:val="1BA677E7"/>
    <w:rsid w:val="1C625D30"/>
    <w:rsid w:val="1C7671E3"/>
    <w:rsid w:val="1C777601"/>
    <w:rsid w:val="1C797204"/>
    <w:rsid w:val="1C8A493E"/>
    <w:rsid w:val="1C9E0249"/>
    <w:rsid w:val="1CCB6998"/>
    <w:rsid w:val="1CD6623F"/>
    <w:rsid w:val="1CF90898"/>
    <w:rsid w:val="1CFA0FE7"/>
    <w:rsid w:val="1D082136"/>
    <w:rsid w:val="1D0D31E0"/>
    <w:rsid w:val="1D8C69C4"/>
    <w:rsid w:val="1DCD6699"/>
    <w:rsid w:val="1E1C7C6C"/>
    <w:rsid w:val="1E5E3E10"/>
    <w:rsid w:val="1E786F00"/>
    <w:rsid w:val="1F1F65F5"/>
    <w:rsid w:val="1F2956AB"/>
    <w:rsid w:val="1F343C02"/>
    <w:rsid w:val="1FAC7E53"/>
    <w:rsid w:val="1FB7496C"/>
    <w:rsid w:val="1FC517F2"/>
    <w:rsid w:val="203E7119"/>
    <w:rsid w:val="20517FE3"/>
    <w:rsid w:val="205E17D1"/>
    <w:rsid w:val="20CE2C18"/>
    <w:rsid w:val="20E43141"/>
    <w:rsid w:val="216A5341"/>
    <w:rsid w:val="2173168F"/>
    <w:rsid w:val="217C1DAF"/>
    <w:rsid w:val="218220DE"/>
    <w:rsid w:val="21D53029"/>
    <w:rsid w:val="22130B27"/>
    <w:rsid w:val="222C76C6"/>
    <w:rsid w:val="22466CF3"/>
    <w:rsid w:val="228429B1"/>
    <w:rsid w:val="22A344E7"/>
    <w:rsid w:val="22DE3197"/>
    <w:rsid w:val="230E0741"/>
    <w:rsid w:val="23C60E4E"/>
    <w:rsid w:val="23F63E16"/>
    <w:rsid w:val="243A32C2"/>
    <w:rsid w:val="24601849"/>
    <w:rsid w:val="25093A3B"/>
    <w:rsid w:val="25236D0D"/>
    <w:rsid w:val="252F645D"/>
    <w:rsid w:val="258858A9"/>
    <w:rsid w:val="26757E2C"/>
    <w:rsid w:val="26760048"/>
    <w:rsid w:val="26790701"/>
    <w:rsid w:val="273508EE"/>
    <w:rsid w:val="27483692"/>
    <w:rsid w:val="276F6E45"/>
    <w:rsid w:val="278066D7"/>
    <w:rsid w:val="27827B0F"/>
    <w:rsid w:val="27886287"/>
    <w:rsid w:val="27F53526"/>
    <w:rsid w:val="27FA5E76"/>
    <w:rsid w:val="28690FE5"/>
    <w:rsid w:val="288E2BD2"/>
    <w:rsid w:val="28DC50AB"/>
    <w:rsid w:val="28E55271"/>
    <w:rsid w:val="2923374B"/>
    <w:rsid w:val="29BD796F"/>
    <w:rsid w:val="29FE1B0B"/>
    <w:rsid w:val="2AAC3644"/>
    <w:rsid w:val="2B563448"/>
    <w:rsid w:val="2B8946FF"/>
    <w:rsid w:val="2C0A4741"/>
    <w:rsid w:val="2CF86E08"/>
    <w:rsid w:val="2D9B15EF"/>
    <w:rsid w:val="2E304308"/>
    <w:rsid w:val="2EB26D79"/>
    <w:rsid w:val="2F180BE3"/>
    <w:rsid w:val="2F7145F4"/>
    <w:rsid w:val="30580298"/>
    <w:rsid w:val="30646F90"/>
    <w:rsid w:val="30CB0402"/>
    <w:rsid w:val="313E17FE"/>
    <w:rsid w:val="31B059BE"/>
    <w:rsid w:val="31E26B4F"/>
    <w:rsid w:val="324D2681"/>
    <w:rsid w:val="326947F9"/>
    <w:rsid w:val="328E7E27"/>
    <w:rsid w:val="32CC59DA"/>
    <w:rsid w:val="32D237FE"/>
    <w:rsid w:val="330B1488"/>
    <w:rsid w:val="34457450"/>
    <w:rsid w:val="345346F9"/>
    <w:rsid w:val="35373F98"/>
    <w:rsid w:val="363B7932"/>
    <w:rsid w:val="36BC1EF3"/>
    <w:rsid w:val="36D15C2A"/>
    <w:rsid w:val="36FA4BBC"/>
    <w:rsid w:val="371D61FE"/>
    <w:rsid w:val="374B5AC3"/>
    <w:rsid w:val="37556BD7"/>
    <w:rsid w:val="3793414D"/>
    <w:rsid w:val="38187E4F"/>
    <w:rsid w:val="3820445B"/>
    <w:rsid w:val="38210467"/>
    <w:rsid w:val="38401B73"/>
    <w:rsid w:val="384B1D2A"/>
    <w:rsid w:val="384E1A82"/>
    <w:rsid w:val="39780BBB"/>
    <w:rsid w:val="39D617F2"/>
    <w:rsid w:val="3A0844B9"/>
    <w:rsid w:val="3A1E77FC"/>
    <w:rsid w:val="3A8A1884"/>
    <w:rsid w:val="3AA107FF"/>
    <w:rsid w:val="3B731AB5"/>
    <w:rsid w:val="3B833738"/>
    <w:rsid w:val="3B874762"/>
    <w:rsid w:val="3BE463D9"/>
    <w:rsid w:val="3C2527C5"/>
    <w:rsid w:val="3D3F3F96"/>
    <w:rsid w:val="3D6F75C9"/>
    <w:rsid w:val="3DE90F01"/>
    <w:rsid w:val="3E266E35"/>
    <w:rsid w:val="3EA17E71"/>
    <w:rsid w:val="3F014E8A"/>
    <w:rsid w:val="3F7F04D5"/>
    <w:rsid w:val="40A005F0"/>
    <w:rsid w:val="417360D7"/>
    <w:rsid w:val="417E1386"/>
    <w:rsid w:val="422B6BF4"/>
    <w:rsid w:val="42347713"/>
    <w:rsid w:val="43B00A8F"/>
    <w:rsid w:val="45511B47"/>
    <w:rsid w:val="45A15DDB"/>
    <w:rsid w:val="45B22926"/>
    <w:rsid w:val="4681712C"/>
    <w:rsid w:val="468B6718"/>
    <w:rsid w:val="473B23EB"/>
    <w:rsid w:val="47652830"/>
    <w:rsid w:val="47B32EAB"/>
    <w:rsid w:val="47C258F7"/>
    <w:rsid w:val="47C40E8C"/>
    <w:rsid w:val="47E00753"/>
    <w:rsid w:val="482A664E"/>
    <w:rsid w:val="48B1218F"/>
    <w:rsid w:val="48B14AB0"/>
    <w:rsid w:val="48D6123C"/>
    <w:rsid w:val="49150F51"/>
    <w:rsid w:val="49480BD4"/>
    <w:rsid w:val="499F04DF"/>
    <w:rsid w:val="49B7777D"/>
    <w:rsid w:val="49CB3BFF"/>
    <w:rsid w:val="4A2E50F5"/>
    <w:rsid w:val="4AA4619B"/>
    <w:rsid w:val="4B284D77"/>
    <w:rsid w:val="4BEC1507"/>
    <w:rsid w:val="4C0E3E5E"/>
    <w:rsid w:val="4CC91D6B"/>
    <w:rsid w:val="4CD363C9"/>
    <w:rsid w:val="4CEC7770"/>
    <w:rsid w:val="4D7F6702"/>
    <w:rsid w:val="4F123950"/>
    <w:rsid w:val="4F134C73"/>
    <w:rsid w:val="50646C06"/>
    <w:rsid w:val="507519D9"/>
    <w:rsid w:val="50EC442B"/>
    <w:rsid w:val="52127D7D"/>
    <w:rsid w:val="52412A63"/>
    <w:rsid w:val="52DB291F"/>
    <w:rsid w:val="53763D4D"/>
    <w:rsid w:val="54135280"/>
    <w:rsid w:val="543E52E0"/>
    <w:rsid w:val="5526139C"/>
    <w:rsid w:val="552777BD"/>
    <w:rsid w:val="552B2D26"/>
    <w:rsid w:val="554E1470"/>
    <w:rsid w:val="55986D51"/>
    <w:rsid w:val="55D42624"/>
    <w:rsid w:val="55DB4F23"/>
    <w:rsid w:val="56133CA0"/>
    <w:rsid w:val="56A01573"/>
    <w:rsid w:val="56DD4ABD"/>
    <w:rsid w:val="5703231E"/>
    <w:rsid w:val="57116442"/>
    <w:rsid w:val="573D0CDB"/>
    <w:rsid w:val="5761145F"/>
    <w:rsid w:val="578D3493"/>
    <w:rsid w:val="586A7A45"/>
    <w:rsid w:val="588F7387"/>
    <w:rsid w:val="58914C8B"/>
    <w:rsid w:val="58E3423E"/>
    <w:rsid w:val="58F23ED5"/>
    <w:rsid w:val="5921524A"/>
    <w:rsid w:val="593B5F4A"/>
    <w:rsid w:val="5956205C"/>
    <w:rsid w:val="59774744"/>
    <w:rsid w:val="599E6CB8"/>
    <w:rsid w:val="59C72015"/>
    <w:rsid w:val="59E031E2"/>
    <w:rsid w:val="5AA974E8"/>
    <w:rsid w:val="5B8340E7"/>
    <w:rsid w:val="5B8D0599"/>
    <w:rsid w:val="5B937814"/>
    <w:rsid w:val="5BA627EA"/>
    <w:rsid w:val="5BAA125C"/>
    <w:rsid w:val="5BDD1EE5"/>
    <w:rsid w:val="5C6E79F1"/>
    <w:rsid w:val="5C8657B1"/>
    <w:rsid w:val="5CA73484"/>
    <w:rsid w:val="5CCF372E"/>
    <w:rsid w:val="5CE5499C"/>
    <w:rsid w:val="5D77243C"/>
    <w:rsid w:val="5DBD16F0"/>
    <w:rsid w:val="5E2F13E4"/>
    <w:rsid w:val="5EBA540F"/>
    <w:rsid w:val="5EC546B7"/>
    <w:rsid w:val="5EE01513"/>
    <w:rsid w:val="5FA9036D"/>
    <w:rsid w:val="5FE20A6A"/>
    <w:rsid w:val="5FE5609B"/>
    <w:rsid w:val="5FE80DF1"/>
    <w:rsid w:val="60394F33"/>
    <w:rsid w:val="607A028C"/>
    <w:rsid w:val="60AC7415"/>
    <w:rsid w:val="60F46D90"/>
    <w:rsid w:val="61904268"/>
    <w:rsid w:val="61922827"/>
    <w:rsid w:val="61985AAE"/>
    <w:rsid w:val="619B21A0"/>
    <w:rsid w:val="61C95215"/>
    <w:rsid w:val="620863D2"/>
    <w:rsid w:val="626058BD"/>
    <w:rsid w:val="62D70238"/>
    <w:rsid w:val="634E5810"/>
    <w:rsid w:val="63862B63"/>
    <w:rsid w:val="63A81226"/>
    <w:rsid w:val="63A85CAB"/>
    <w:rsid w:val="63E44C6E"/>
    <w:rsid w:val="63F30E72"/>
    <w:rsid w:val="647C485B"/>
    <w:rsid w:val="64D175B1"/>
    <w:rsid w:val="650A079C"/>
    <w:rsid w:val="651D2E62"/>
    <w:rsid w:val="65DF7362"/>
    <w:rsid w:val="65E5355A"/>
    <w:rsid w:val="674A3D4F"/>
    <w:rsid w:val="679006E0"/>
    <w:rsid w:val="67C06124"/>
    <w:rsid w:val="6864772D"/>
    <w:rsid w:val="68BA7AE6"/>
    <w:rsid w:val="68BC6A3B"/>
    <w:rsid w:val="68D80FB0"/>
    <w:rsid w:val="69742F7B"/>
    <w:rsid w:val="6A121AD7"/>
    <w:rsid w:val="6A3C248C"/>
    <w:rsid w:val="6A7B6A1C"/>
    <w:rsid w:val="6AD23B35"/>
    <w:rsid w:val="6B385C9F"/>
    <w:rsid w:val="6C176453"/>
    <w:rsid w:val="6C3226C6"/>
    <w:rsid w:val="6C4E553D"/>
    <w:rsid w:val="6C545FF5"/>
    <w:rsid w:val="6C591BE2"/>
    <w:rsid w:val="6D0C6D61"/>
    <w:rsid w:val="6DEB533E"/>
    <w:rsid w:val="6E0A4A26"/>
    <w:rsid w:val="6E5E1B6C"/>
    <w:rsid w:val="6EEF71D1"/>
    <w:rsid w:val="6F021A16"/>
    <w:rsid w:val="6F1D40CE"/>
    <w:rsid w:val="6FB80A6E"/>
    <w:rsid w:val="7037009A"/>
    <w:rsid w:val="7051517A"/>
    <w:rsid w:val="70D85BD1"/>
    <w:rsid w:val="71003FE0"/>
    <w:rsid w:val="71124305"/>
    <w:rsid w:val="715B338A"/>
    <w:rsid w:val="716A7ADC"/>
    <w:rsid w:val="71DE2E53"/>
    <w:rsid w:val="72014278"/>
    <w:rsid w:val="721F39FF"/>
    <w:rsid w:val="72952672"/>
    <w:rsid w:val="729E121E"/>
    <w:rsid w:val="72CD0809"/>
    <w:rsid w:val="72E23A7A"/>
    <w:rsid w:val="72F6179B"/>
    <w:rsid w:val="738003CA"/>
    <w:rsid w:val="73C56EED"/>
    <w:rsid w:val="73F2038F"/>
    <w:rsid w:val="74B3343C"/>
    <w:rsid w:val="758D4AB4"/>
    <w:rsid w:val="75A569F5"/>
    <w:rsid w:val="75D12961"/>
    <w:rsid w:val="763B5101"/>
    <w:rsid w:val="765941C5"/>
    <w:rsid w:val="76AE0997"/>
    <w:rsid w:val="773B6CD4"/>
    <w:rsid w:val="77AA6597"/>
    <w:rsid w:val="77E30949"/>
    <w:rsid w:val="77F06BBC"/>
    <w:rsid w:val="77F16A53"/>
    <w:rsid w:val="783525A0"/>
    <w:rsid w:val="786F12BD"/>
    <w:rsid w:val="786F1AA9"/>
    <w:rsid w:val="7872551D"/>
    <w:rsid w:val="7920071D"/>
    <w:rsid w:val="79C52BC7"/>
    <w:rsid w:val="79C747F6"/>
    <w:rsid w:val="7A36659D"/>
    <w:rsid w:val="7A6027C1"/>
    <w:rsid w:val="7A854A12"/>
    <w:rsid w:val="7AE64955"/>
    <w:rsid w:val="7B237820"/>
    <w:rsid w:val="7B974622"/>
    <w:rsid w:val="7BDE67A2"/>
    <w:rsid w:val="7C3F3BAE"/>
    <w:rsid w:val="7D4E72F0"/>
    <w:rsid w:val="7DA34510"/>
    <w:rsid w:val="7E9219F9"/>
    <w:rsid w:val="7EB50A4D"/>
    <w:rsid w:val="7EF87B3E"/>
    <w:rsid w:val="7F924DA0"/>
    <w:rsid w:val="7FDC6E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9"/>
    <w:pPr>
      <w:keepNext/>
      <w:keepLines/>
      <w:spacing w:line="576" w:lineRule="auto"/>
      <w:outlineLvl w:val="0"/>
    </w:pPr>
    <w:rPr>
      <w:b/>
      <w:bCs/>
      <w:kern w:val="44"/>
      <w:sz w:val="44"/>
      <w:szCs w:val="44"/>
    </w:rPr>
  </w:style>
  <w:style w:type="paragraph" w:styleId="3">
    <w:name w:val="heading 2"/>
    <w:basedOn w:val="1"/>
    <w:next w:val="1"/>
    <w:link w:val="60"/>
    <w:qFormat/>
    <w:uiPriority w:val="0"/>
    <w:pPr>
      <w:keepNext/>
      <w:keepLines/>
      <w:spacing w:line="413" w:lineRule="auto"/>
      <w:outlineLvl w:val="1"/>
    </w:pPr>
    <w:rPr>
      <w:rFonts w:ascii="Arial" w:hAnsi="Arial" w:eastAsia="黑体"/>
      <w:b/>
      <w:bCs/>
      <w:sz w:val="32"/>
      <w:szCs w:val="32"/>
    </w:rPr>
  </w:style>
  <w:style w:type="paragraph" w:styleId="4">
    <w:name w:val="heading 3"/>
    <w:basedOn w:val="1"/>
    <w:next w:val="1"/>
    <w:link w:val="61"/>
    <w:qFormat/>
    <w:uiPriority w:val="0"/>
    <w:pPr>
      <w:keepNext/>
      <w:keepLines/>
      <w:spacing w:line="413" w:lineRule="auto"/>
      <w:outlineLvl w:val="2"/>
    </w:pPr>
    <w:rPr>
      <w:b/>
      <w:bCs/>
      <w:sz w:val="32"/>
      <w:szCs w:val="32"/>
    </w:rPr>
  </w:style>
  <w:style w:type="paragraph" w:styleId="5">
    <w:name w:val="heading 4"/>
    <w:basedOn w:val="1"/>
    <w:next w:val="1"/>
    <w:link w:val="62"/>
    <w:qFormat/>
    <w:uiPriority w:val="0"/>
    <w:pPr>
      <w:keepNext/>
      <w:keepLines/>
      <w:widowControl/>
      <w:spacing w:line="360" w:lineRule="auto"/>
      <w:jc w:val="center"/>
      <w:outlineLvl w:val="3"/>
    </w:pPr>
    <w:rPr>
      <w:rFonts w:ascii="Arial" w:hAnsi="Arial" w:eastAsia="黑体"/>
      <w:kern w:val="0"/>
      <w:sz w:val="28"/>
      <w:szCs w:val="20"/>
    </w:rPr>
  </w:style>
  <w:style w:type="paragraph" w:styleId="6">
    <w:name w:val="heading 5"/>
    <w:basedOn w:val="1"/>
    <w:next w:val="7"/>
    <w:link w:val="63"/>
    <w:qFormat/>
    <w:uiPriority w:val="0"/>
    <w:pPr>
      <w:keepNext/>
      <w:keepLines/>
      <w:spacing w:before="280" w:after="290" w:line="372" w:lineRule="auto"/>
      <w:outlineLvl w:val="4"/>
    </w:pPr>
    <w:rPr>
      <w:b/>
      <w:sz w:val="28"/>
    </w:rPr>
  </w:style>
  <w:style w:type="paragraph" w:styleId="8">
    <w:name w:val="heading 6"/>
    <w:basedOn w:val="1"/>
    <w:next w:val="7"/>
    <w:link w:val="64"/>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7"/>
    <w:link w:val="65"/>
    <w:qFormat/>
    <w:uiPriority w:val="0"/>
    <w:pPr>
      <w:keepNext/>
      <w:keepLines/>
      <w:spacing w:before="240" w:after="64" w:line="317" w:lineRule="auto"/>
      <w:outlineLvl w:val="6"/>
    </w:pPr>
    <w:rPr>
      <w:b/>
      <w:sz w:val="24"/>
    </w:rPr>
  </w:style>
  <w:style w:type="paragraph" w:styleId="10">
    <w:name w:val="heading 8"/>
    <w:basedOn w:val="1"/>
    <w:next w:val="7"/>
    <w:link w:val="66"/>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7"/>
    <w:link w:val="67"/>
    <w:qFormat/>
    <w:uiPriority w:val="0"/>
    <w:pPr>
      <w:keepNext/>
      <w:keepLines/>
      <w:spacing w:before="240" w:after="64" w:line="317" w:lineRule="auto"/>
      <w:outlineLvl w:val="8"/>
    </w:pPr>
    <w:rPr>
      <w:rFonts w:ascii="Arial" w:hAnsi="Arial" w:eastAsia="黑体"/>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link w:val="68"/>
    <w:qFormat/>
    <w:uiPriority w:val="0"/>
    <w:pPr>
      <w:shd w:val="clear" w:color="auto" w:fill="000080"/>
      <w:adjustRightInd w:val="0"/>
      <w:spacing w:line="312" w:lineRule="atLeast"/>
      <w:textAlignment w:val="baseline"/>
    </w:pPr>
    <w:rPr>
      <w:kern w:val="0"/>
      <w:szCs w:val="20"/>
    </w:rPr>
  </w:style>
  <w:style w:type="paragraph" w:styleId="17">
    <w:name w:val="annotation text"/>
    <w:basedOn w:val="1"/>
    <w:link w:val="69"/>
    <w:qFormat/>
    <w:uiPriority w:val="0"/>
    <w:pPr>
      <w:jc w:val="left"/>
    </w:pPr>
  </w:style>
  <w:style w:type="paragraph" w:styleId="18">
    <w:name w:val="Body Text 3"/>
    <w:basedOn w:val="1"/>
    <w:link w:val="70"/>
    <w:qFormat/>
    <w:uiPriority w:val="0"/>
    <w:pPr>
      <w:spacing w:line="500" w:lineRule="exact"/>
    </w:pPr>
    <w:rPr>
      <w:b/>
      <w:bCs/>
      <w:sz w:val="24"/>
    </w:rPr>
  </w:style>
  <w:style w:type="paragraph" w:styleId="19">
    <w:name w:val="Body Text"/>
    <w:basedOn w:val="1"/>
    <w:link w:val="71"/>
    <w:qFormat/>
    <w:uiPriority w:val="99"/>
    <w:pPr>
      <w:spacing w:line="380" w:lineRule="exact"/>
    </w:pPr>
    <w:rPr>
      <w:sz w:val="24"/>
    </w:rPr>
  </w:style>
  <w:style w:type="paragraph" w:styleId="20">
    <w:name w:val="Body Text Indent"/>
    <w:basedOn w:val="1"/>
    <w:link w:val="72"/>
    <w:qFormat/>
    <w:uiPriority w:val="99"/>
    <w:pPr>
      <w:ind w:firstLine="830" w:firstLineChars="352"/>
    </w:pPr>
    <w:rPr>
      <w:rFonts w:ascii="仿宋_GB2312" w:eastAsia="仿宋_GB2312"/>
      <w:sz w:val="32"/>
      <w:szCs w:val="20"/>
    </w:rPr>
  </w:style>
  <w:style w:type="paragraph" w:styleId="21">
    <w:name w:val="List Number 3"/>
    <w:basedOn w:val="1"/>
    <w:qFormat/>
    <w:uiPriority w:val="0"/>
    <w:pPr>
      <w:tabs>
        <w:tab w:val="left" w:pos="1200"/>
      </w:tabs>
      <w:ind w:left="1200" w:leftChars="400" w:hanging="360" w:hangingChars="20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5">
    <w:name w:val="toc 3"/>
    <w:basedOn w:val="1"/>
    <w:next w:val="1"/>
    <w:qFormat/>
    <w:uiPriority w:val="39"/>
    <w:pPr>
      <w:ind w:left="840" w:leftChars="400"/>
    </w:pPr>
  </w:style>
  <w:style w:type="paragraph" w:styleId="26">
    <w:name w:val="Plain Text"/>
    <w:basedOn w:val="1"/>
    <w:link w:val="73"/>
    <w:qFormat/>
    <w:uiPriority w:val="99"/>
    <w:rPr>
      <w:rFonts w:ascii="宋体" w:hAnsi="Courier New" w:cs="Courier New"/>
      <w:szCs w:val="21"/>
    </w:rPr>
  </w:style>
  <w:style w:type="paragraph" w:styleId="27">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28">
    <w:name w:val="Date"/>
    <w:basedOn w:val="1"/>
    <w:next w:val="1"/>
    <w:link w:val="74"/>
    <w:qFormat/>
    <w:uiPriority w:val="0"/>
    <w:pPr>
      <w:ind w:left="100" w:leftChars="2500"/>
    </w:pPr>
    <w:rPr>
      <w:rFonts w:ascii="宋体" w:hAnsi="Courier New"/>
      <w:szCs w:val="21"/>
    </w:rPr>
  </w:style>
  <w:style w:type="paragraph" w:styleId="29">
    <w:name w:val="Body Text Indent 2"/>
    <w:basedOn w:val="1"/>
    <w:link w:val="75"/>
    <w:qFormat/>
    <w:uiPriority w:val="0"/>
    <w:pPr>
      <w:ind w:firstLine="630"/>
    </w:pPr>
    <w:rPr>
      <w:sz w:val="32"/>
      <w:szCs w:val="20"/>
    </w:rPr>
  </w:style>
  <w:style w:type="paragraph" w:styleId="30">
    <w:name w:val="Balloon Text"/>
    <w:basedOn w:val="1"/>
    <w:link w:val="76"/>
    <w:qFormat/>
    <w:uiPriority w:val="0"/>
    <w:rPr>
      <w:sz w:val="18"/>
      <w:szCs w:val="18"/>
    </w:rPr>
  </w:style>
  <w:style w:type="paragraph" w:styleId="31">
    <w:name w:val="footer"/>
    <w:basedOn w:val="1"/>
    <w:next w:val="1"/>
    <w:link w:val="77"/>
    <w:qFormat/>
    <w:uiPriority w:val="0"/>
    <w:pPr>
      <w:tabs>
        <w:tab w:val="center" w:pos="4153"/>
        <w:tab w:val="right" w:pos="8306"/>
      </w:tabs>
      <w:snapToGrid w:val="0"/>
      <w:jc w:val="left"/>
    </w:pPr>
    <w:rPr>
      <w:sz w:val="18"/>
      <w:szCs w:val="18"/>
    </w:rPr>
  </w:style>
  <w:style w:type="paragraph" w:styleId="32">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398"/>
      </w:tabs>
      <w:ind w:firstLine="240" w:firstLineChars="100"/>
      <w:jc w:val="left"/>
    </w:pPr>
    <w:rPr>
      <w:rFonts w:ascii="宋体" w:hAnsi="宋体"/>
      <w:b/>
      <w:bCs/>
      <w:caps/>
      <w:sz w:val="24"/>
    </w:rPr>
  </w:style>
  <w:style w:type="paragraph" w:styleId="34">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37">
    <w:name w:val="List 5"/>
    <w:basedOn w:val="1"/>
    <w:qFormat/>
    <w:uiPriority w:val="0"/>
    <w:pPr>
      <w:ind w:left="2100" w:hanging="420"/>
    </w:pPr>
    <w:rPr>
      <w:szCs w:val="20"/>
    </w:rPr>
  </w:style>
  <w:style w:type="paragraph" w:styleId="38">
    <w:name w:val="Body Text Indent 3"/>
    <w:basedOn w:val="1"/>
    <w:link w:val="79"/>
    <w:qFormat/>
    <w:uiPriority w:val="0"/>
    <w:pPr>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1">
    <w:name w:val="Body Text 2"/>
    <w:basedOn w:val="1"/>
    <w:link w:val="80"/>
    <w:qFormat/>
    <w:uiPriority w:val="0"/>
    <w:pPr>
      <w:spacing w:line="480" w:lineRule="auto"/>
    </w:pPr>
  </w:style>
  <w:style w:type="paragraph" w:styleId="42">
    <w:name w:val="List 4"/>
    <w:basedOn w:val="1"/>
    <w:qFormat/>
    <w:uiPriority w:val="0"/>
    <w:pPr>
      <w:ind w:left="100" w:leftChars="600" w:hanging="200" w:hangingChars="200"/>
    </w:pPr>
  </w:style>
  <w:style w:type="paragraph" w:styleId="43">
    <w:name w:val="List Continue 2"/>
    <w:basedOn w:val="1"/>
    <w:qFormat/>
    <w:uiPriority w:val="0"/>
    <w:pPr>
      <w:ind w:left="840" w:leftChars="400"/>
    </w:pPr>
  </w:style>
  <w:style w:type="paragraph" w:styleId="44">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5">
    <w:name w:val="Normal (Web)"/>
    <w:basedOn w:val="1"/>
    <w:qFormat/>
    <w:uiPriority w:val="0"/>
    <w:pPr>
      <w:widowControl/>
      <w:spacing w:beforeAutospacing="1" w:afterAutospacing="1"/>
      <w:jc w:val="left"/>
    </w:pPr>
    <w:rPr>
      <w:rFonts w:ascii="宋体" w:hAnsi="宋体"/>
      <w:kern w:val="0"/>
      <w:sz w:val="24"/>
    </w:rPr>
  </w:style>
  <w:style w:type="paragraph" w:styleId="46">
    <w:name w:val="index 1"/>
    <w:basedOn w:val="1"/>
    <w:next w:val="1"/>
    <w:qFormat/>
    <w:uiPriority w:val="0"/>
    <w:pPr>
      <w:spacing w:line="400" w:lineRule="exact"/>
      <w:ind w:firstLine="420" w:firstLineChars="200"/>
    </w:pPr>
    <w:rPr>
      <w:rFonts w:ascii="宋体" w:hAnsi="Courier New"/>
      <w:b/>
      <w:szCs w:val="20"/>
    </w:rPr>
  </w:style>
  <w:style w:type="paragraph" w:styleId="47">
    <w:name w:val="Title"/>
    <w:basedOn w:val="1"/>
    <w:link w:val="82"/>
    <w:qFormat/>
    <w:uiPriority w:val="0"/>
    <w:pPr>
      <w:jc w:val="center"/>
    </w:pPr>
    <w:rPr>
      <w:sz w:val="30"/>
    </w:rPr>
  </w:style>
  <w:style w:type="paragraph" w:styleId="48">
    <w:name w:val="annotation subject"/>
    <w:basedOn w:val="17"/>
    <w:next w:val="17"/>
    <w:link w:val="83"/>
    <w:qFormat/>
    <w:uiPriority w:val="0"/>
    <w:rPr>
      <w:b/>
      <w:bCs/>
    </w:rPr>
  </w:style>
  <w:style w:type="paragraph" w:styleId="49">
    <w:name w:val="Body Text First Indent"/>
    <w:basedOn w:val="19"/>
    <w:link w:val="84"/>
    <w:qFormat/>
    <w:uiPriority w:val="0"/>
    <w:pPr>
      <w:spacing w:line="240" w:lineRule="auto"/>
      <w:ind w:firstLine="420" w:firstLineChars="100"/>
    </w:pPr>
    <w:rPr>
      <w:sz w:val="21"/>
    </w:rPr>
  </w:style>
  <w:style w:type="paragraph" w:styleId="50">
    <w:name w:val="Body Text First Indent 2"/>
    <w:basedOn w:val="20"/>
    <w:link w:val="85"/>
    <w:qFormat/>
    <w:uiPriority w:val="0"/>
    <w:pPr>
      <w:ind w:left="420" w:leftChars="200" w:firstLine="420" w:firstLineChars="200"/>
    </w:pPr>
    <w:rPr>
      <w:rFonts w:ascii="Times New Roman" w:eastAsia="宋体"/>
      <w:sz w:val="21"/>
      <w:szCs w:val="24"/>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99"/>
    <w:rPr>
      <w:color w:val="800080"/>
      <w:u w:val="single"/>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1 Char"/>
    <w:link w:val="2"/>
    <w:qFormat/>
    <w:uiPriority w:val="9"/>
    <w:rPr>
      <w:rFonts w:eastAsia="宋体"/>
      <w:b/>
      <w:bCs/>
      <w:kern w:val="44"/>
      <w:sz w:val="44"/>
      <w:szCs w:val="44"/>
      <w:lang w:val="en-US" w:eastAsia="zh-CN" w:bidi="ar-SA"/>
    </w:rPr>
  </w:style>
  <w:style w:type="character" w:customStyle="1" w:styleId="60">
    <w:name w:val="标题 2 Char"/>
    <w:link w:val="3"/>
    <w:qFormat/>
    <w:uiPriority w:val="0"/>
    <w:rPr>
      <w:rFonts w:ascii="Arial" w:hAnsi="Arial" w:eastAsia="黑体"/>
      <w:b/>
      <w:bCs/>
      <w:kern w:val="2"/>
      <w:sz w:val="32"/>
      <w:szCs w:val="32"/>
    </w:rPr>
  </w:style>
  <w:style w:type="character" w:customStyle="1" w:styleId="61">
    <w:name w:val="标题 3 Char"/>
    <w:link w:val="4"/>
    <w:qFormat/>
    <w:uiPriority w:val="0"/>
    <w:rPr>
      <w:b/>
      <w:bCs/>
      <w:kern w:val="2"/>
      <w:sz w:val="32"/>
      <w:szCs w:val="32"/>
    </w:rPr>
  </w:style>
  <w:style w:type="character" w:customStyle="1" w:styleId="62">
    <w:name w:val="标题 4 Char"/>
    <w:link w:val="5"/>
    <w:qFormat/>
    <w:uiPriority w:val="0"/>
    <w:rPr>
      <w:rFonts w:ascii="Arial" w:hAnsi="Arial" w:eastAsia="黑体"/>
      <w:sz w:val="28"/>
    </w:rPr>
  </w:style>
  <w:style w:type="character" w:customStyle="1" w:styleId="63">
    <w:name w:val="标题 5 Char"/>
    <w:link w:val="6"/>
    <w:qFormat/>
    <w:uiPriority w:val="0"/>
    <w:rPr>
      <w:b/>
      <w:kern w:val="2"/>
      <w:sz w:val="28"/>
      <w:szCs w:val="24"/>
    </w:rPr>
  </w:style>
  <w:style w:type="character" w:customStyle="1" w:styleId="64">
    <w:name w:val="标题 6 Char"/>
    <w:link w:val="8"/>
    <w:qFormat/>
    <w:uiPriority w:val="0"/>
    <w:rPr>
      <w:rFonts w:ascii="Arial" w:hAnsi="Arial" w:eastAsia="黑体"/>
      <w:b/>
      <w:kern w:val="2"/>
      <w:sz w:val="24"/>
      <w:szCs w:val="24"/>
    </w:rPr>
  </w:style>
  <w:style w:type="character" w:customStyle="1" w:styleId="65">
    <w:name w:val="标题 7 Char"/>
    <w:link w:val="9"/>
    <w:qFormat/>
    <w:uiPriority w:val="0"/>
    <w:rPr>
      <w:b/>
      <w:kern w:val="2"/>
      <w:sz w:val="24"/>
      <w:szCs w:val="24"/>
    </w:rPr>
  </w:style>
  <w:style w:type="character" w:customStyle="1" w:styleId="66">
    <w:name w:val="标题 8 Char"/>
    <w:link w:val="10"/>
    <w:qFormat/>
    <w:uiPriority w:val="0"/>
    <w:rPr>
      <w:rFonts w:ascii="Arial" w:hAnsi="Arial" w:eastAsia="黑体"/>
      <w:kern w:val="2"/>
      <w:sz w:val="24"/>
      <w:szCs w:val="24"/>
    </w:rPr>
  </w:style>
  <w:style w:type="character" w:customStyle="1" w:styleId="67">
    <w:name w:val="标题 9 Char"/>
    <w:link w:val="11"/>
    <w:qFormat/>
    <w:uiPriority w:val="0"/>
    <w:rPr>
      <w:rFonts w:ascii="Arial" w:hAnsi="Arial" w:eastAsia="黑体"/>
      <w:kern w:val="2"/>
      <w:sz w:val="21"/>
      <w:szCs w:val="24"/>
    </w:rPr>
  </w:style>
  <w:style w:type="character" w:customStyle="1" w:styleId="68">
    <w:name w:val="文档结构图 Char"/>
    <w:link w:val="16"/>
    <w:qFormat/>
    <w:uiPriority w:val="0"/>
    <w:rPr>
      <w:sz w:val="21"/>
      <w:shd w:val="clear" w:color="auto" w:fill="000080"/>
    </w:rPr>
  </w:style>
  <w:style w:type="character" w:customStyle="1" w:styleId="69">
    <w:name w:val="批注文字 Char"/>
    <w:link w:val="17"/>
    <w:qFormat/>
    <w:uiPriority w:val="0"/>
    <w:rPr>
      <w:kern w:val="2"/>
      <w:sz w:val="21"/>
      <w:szCs w:val="24"/>
    </w:rPr>
  </w:style>
  <w:style w:type="character" w:customStyle="1" w:styleId="70">
    <w:name w:val="正文文本 3 Char"/>
    <w:link w:val="18"/>
    <w:qFormat/>
    <w:uiPriority w:val="0"/>
    <w:rPr>
      <w:b/>
      <w:bCs/>
      <w:kern w:val="2"/>
      <w:sz w:val="24"/>
      <w:szCs w:val="24"/>
    </w:rPr>
  </w:style>
  <w:style w:type="character" w:customStyle="1" w:styleId="71">
    <w:name w:val="正文文本 Char"/>
    <w:link w:val="19"/>
    <w:qFormat/>
    <w:uiPriority w:val="99"/>
    <w:rPr>
      <w:kern w:val="2"/>
      <w:sz w:val="24"/>
      <w:szCs w:val="24"/>
    </w:rPr>
  </w:style>
  <w:style w:type="character" w:customStyle="1" w:styleId="72">
    <w:name w:val="正文文本缩进 Char"/>
    <w:link w:val="20"/>
    <w:qFormat/>
    <w:uiPriority w:val="99"/>
    <w:rPr>
      <w:rFonts w:ascii="仿宋_GB2312" w:eastAsia="仿宋_GB2312"/>
      <w:kern w:val="2"/>
      <w:sz w:val="32"/>
    </w:rPr>
  </w:style>
  <w:style w:type="character" w:customStyle="1" w:styleId="73">
    <w:name w:val="纯文本 Char"/>
    <w:link w:val="26"/>
    <w:qFormat/>
    <w:uiPriority w:val="99"/>
    <w:rPr>
      <w:rFonts w:ascii="宋体" w:hAnsi="Courier New" w:eastAsia="宋体" w:cs="Courier New"/>
      <w:kern w:val="2"/>
      <w:sz w:val="21"/>
      <w:szCs w:val="21"/>
      <w:lang w:val="en-US" w:eastAsia="zh-CN" w:bidi="ar-SA"/>
    </w:rPr>
  </w:style>
  <w:style w:type="character" w:customStyle="1" w:styleId="74">
    <w:name w:val="日期 Char"/>
    <w:link w:val="28"/>
    <w:qFormat/>
    <w:uiPriority w:val="0"/>
    <w:rPr>
      <w:rFonts w:ascii="宋体" w:hAnsi="Courier New" w:cs="Courier New"/>
      <w:kern w:val="2"/>
      <w:sz w:val="21"/>
      <w:szCs w:val="21"/>
    </w:rPr>
  </w:style>
  <w:style w:type="character" w:customStyle="1" w:styleId="75">
    <w:name w:val="正文文本缩进 2 Char"/>
    <w:link w:val="29"/>
    <w:qFormat/>
    <w:uiPriority w:val="0"/>
    <w:rPr>
      <w:kern w:val="2"/>
      <w:sz w:val="32"/>
    </w:rPr>
  </w:style>
  <w:style w:type="character" w:customStyle="1" w:styleId="76">
    <w:name w:val="批注框文本 Char"/>
    <w:link w:val="30"/>
    <w:qFormat/>
    <w:uiPriority w:val="0"/>
    <w:rPr>
      <w:kern w:val="2"/>
      <w:sz w:val="18"/>
      <w:szCs w:val="18"/>
    </w:rPr>
  </w:style>
  <w:style w:type="character" w:customStyle="1" w:styleId="77">
    <w:name w:val="页脚 Char"/>
    <w:link w:val="31"/>
    <w:qFormat/>
    <w:uiPriority w:val="0"/>
    <w:rPr>
      <w:kern w:val="2"/>
      <w:sz w:val="18"/>
      <w:szCs w:val="18"/>
    </w:rPr>
  </w:style>
  <w:style w:type="character" w:customStyle="1" w:styleId="78">
    <w:name w:val="页眉 Char"/>
    <w:link w:val="32"/>
    <w:qFormat/>
    <w:uiPriority w:val="99"/>
    <w:rPr>
      <w:kern w:val="2"/>
      <w:sz w:val="18"/>
      <w:szCs w:val="18"/>
    </w:rPr>
  </w:style>
  <w:style w:type="character" w:customStyle="1" w:styleId="79">
    <w:name w:val="正文文本缩进 3 Char"/>
    <w:link w:val="38"/>
    <w:qFormat/>
    <w:uiPriority w:val="0"/>
    <w:rPr>
      <w:kern w:val="2"/>
      <w:sz w:val="16"/>
      <w:szCs w:val="16"/>
    </w:rPr>
  </w:style>
  <w:style w:type="character" w:customStyle="1" w:styleId="80">
    <w:name w:val="正文文本 2 Char"/>
    <w:link w:val="41"/>
    <w:qFormat/>
    <w:uiPriority w:val="0"/>
    <w:rPr>
      <w:kern w:val="2"/>
      <w:sz w:val="21"/>
      <w:szCs w:val="24"/>
    </w:rPr>
  </w:style>
  <w:style w:type="character" w:customStyle="1" w:styleId="81">
    <w:name w:val="HTML 预设格式 Char"/>
    <w:link w:val="44"/>
    <w:qFormat/>
    <w:uiPriority w:val="0"/>
    <w:rPr>
      <w:rFonts w:ascii="黑体" w:hAnsi="Courier New" w:eastAsia="黑体" w:cs="Courier New"/>
    </w:rPr>
  </w:style>
  <w:style w:type="character" w:customStyle="1" w:styleId="82">
    <w:name w:val="标题 Char"/>
    <w:link w:val="47"/>
    <w:qFormat/>
    <w:uiPriority w:val="0"/>
    <w:rPr>
      <w:kern w:val="2"/>
      <w:sz w:val="30"/>
      <w:szCs w:val="24"/>
    </w:rPr>
  </w:style>
  <w:style w:type="character" w:customStyle="1" w:styleId="83">
    <w:name w:val="批注主题 Char"/>
    <w:link w:val="48"/>
    <w:qFormat/>
    <w:uiPriority w:val="0"/>
    <w:rPr>
      <w:b/>
      <w:bCs/>
      <w:kern w:val="2"/>
      <w:sz w:val="21"/>
      <w:szCs w:val="24"/>
    </w:rPr>
  </w:style>
  <w:style w:type="character" w:customStyle="1" w:styleId="84">
    <w:name w:val="正文首行缩进 Char"/>
    <w:link w:val="49"/>
    <w:qFormat/>
    <w:uiPriority w:val="0"/>
    <w:rPr>
      <w:kern w:val="2"/>
      <w:sz w:val="21"/>
      <w:szCs w:val="24"/>
    </w:rPr>
  </w:style>
  <w:style w:type="character" w:customStyle="1" w:styleId="85">
    <w:name w:val="正文首行缩进 2 Char"/>
    <w:link w:val="50"/>
    <w:qFormat/>
    <w:uiPriority w:val="0"/>
    <w:rPr>
      <w:kern w:val="2"/>
      <w:sz w:val="21"/>
      <w:szCs w:val="24"/>
    </w:rPr>
  </w:style>
  <w:style w:type="character" w:customStyle="1" w:styleId="86">
    <w:name w:val="white"/>
    <w:basedOn w:val="53"/>
    <w:qFormat/>
    <w:uiPriority w:val="0"/>
  </w:style>
  <w:style w:type="character" w:customStyle="1" w:styleId="87">
    <w:name w:val="style11"/>
    <w:qFormat/>
    <w:uiPriority w:val="0"/>
    <w:rPr>
      <w:rFonts w:hint="default" w:ascii="Arial" w:hAnsi="Arial" w:cs="Arial"/>
    </w:rPr>
  </w:style>
  <w:style w:type="character" w:customStyle="1" w:styleId="88">
    <w:name w:val="z-窗体顶端 Char"/>
    <w:link w:val="89"/>
    <w:qFormat/>
    <w:uiPriority w:val="0"/>
    <w:rPr>
      <w:rFonts w:ascii="Arial"/>
      <w:vanish/>
      <w:kern w:val="2"/>
      <w:sz w:val="16"/>
      <w:szCs w:val="24"/>
    </w:rPr>
  </w:style>
  <w:style w:type="paragraph" w:customStyle="1" w:styleId="89">
    <w:name w:val="_Style 88"/>
    <w:basedOn w:val="1"/>
    <w:next w:val="1"/>
    <w:link w:val="88"/>
    <w:qFormat/>
    <w:uiPriority w:val="0"/>
    <w:pPr>
      <w:pBdr>
        <w:bottom w:val="single" w:color="auto" w:sz="6" w:space="1"/>
      </w:pBdr>
      <w:jc w:val="center"/>
    </w:pPr>
    <w:rPr>
      <w:rFonts w:ascii="Arial"/>
      <w:vanish/>
      <w:sz w:val="16"/>
    </w:rPr>
  </w:style>
  <w:style w:type="character" w:customStyle="1" w:styleId="90">
    <w:name w:val="f151"/>
    <w:qFormat/>
    <w:uiPriority w:val="0"/>
    <w:rPr>
      <w:sz w:val="23"/>
      <w:szCs w:val="23"/>
    </w:rPr>
  </w:style>
  <w:style w:type="character" w:customStyle="1" w:styleId="91">
    <w:name w:val="1ji Char"/>
    <w:link w:val="92"/>
    <w:qFormat/>
    <w:uiPriority w:val="0"/>
    <w:rPr>
      <w:rFonts w:ascii="宋体" w:hAnsi="宋体" w:eastAsia="宋体"/>
      <w:b/>
      <w:bCs/>
      <w:kern w:val="44"/>
      <w:sz w:val="36"/>
      <w:szCs w:val="44"/>
      <w:lang w:val="en-US" w:eastAsia="zh-CN" w:bidi="ar-SA"/>
    </w:rPr>
  </w:style>
  <w:style w:type="paragraph" w:customStyle="1" w:styleId="92">
    <w:name w:val="1ji"/>
    <w:basedOn w:val="2"/>
    <w:link w:val="91"/>
    <w:qFormat/>
    <w:uiPriority w:val="0"/>
    <w:pPr>
      <w:keepLines w:val="0"/>
      <w:widowControl/>
      <w:spacing w:line="240" w:lineRule="auto"/>
      <w:jc w:val="center"/>
    </w:pPr>
    <w:rPr>
      <w:rFonts w:ascii="宋体" w:hAnsi="宋体"/>
      <w:sz w:val="36"/>
    </w:rPr>
  </w:style>
  <w:style w:type="character" w:customStyle="1" w:styleId="93">
    <w:name w:val="apple-converted-space"/>
    <w:qFormat/>
    <w:uiPriority w:val="0"/>
  </w:style>
  <w:style w:type="character" w:customStyle="1" w:styleId="94">
    <w:name w:val="unnamed3"/>
    <w:basedOn w:val="53"/>
    <w:qFormat/>
    <w:uiPriority w:val="0"/>
  </w:style>
  <w:style w:type="character" w:customStyle="1" w:styleId="95">
    <w:name w:val="case31"/>
    <w:qFormat/>
    <w:uiPriority w:val="0"/>
    <w:rPr>
      <w:rFonts w:hint="default" w:ascii="_x000B__x000C_" w:hAnsi="_x000B__x000C_"/>
      <w:sz w:val="21"/>
      <w:szCs w:val="21"/>
    </w:rPr>
  </w:style>
  <w:style w:type="character" w:customStyle="1" w:styleId="96">
    <w:name w:val="gray12"/>
    <w:basedOn w:val="53"/>
    <w:qFormat/>
    <w:uiPriority w:val="0"/>
  </w:style>
  <w:style w:type="character" w:customStyle="1" w:styleId="97">
    <w:name w:val="text11"/>
    <w:qFormat/>
    <w:uiPriority w:val="0"/>
    <w:rPr>
      <w:rFonts w:hint="default" w:ascii="Verdana" w:hAnsi="Verdana"/>
      <w:color w:val="4E4E4E"/>
      <w:sz w:val="18"/>
      <w:szCs w:val="18"/>
    </w:rPr>
  </w:style>
  <w:style w:type="character" w:customStyle="1" w:styleId="98">
    <w:name w:val="style21"/>
    <w:qFormat/>
    <w:uiPriority w:val="0"/>
    <w:rPr>
      <w:sz w:val="17"/>
      <w:szCs w:val="17"/>
    </w:rPr>
  </w:style>
  <w:style w:type="character" w:customStyle="1" w:styleId="99">
    <w:name w:val="mark8"/>
    <w:qFormat/>
    <w:uiPriority w:val="0"/>
    <w:rPr>
      <w:b/>
      <w:bCs/>
      <w:sz w:val="21"/>
      <w:szCs w:val="21"/>
    </w:rPr>
  </w:style>
  <w:style w:type="character" w:customStyle="1" w:styleId="100">
    <w:name w:val="font01"/>
    <w:qFormat/>
    <w:uiPriority w:val="0"/>
    <w:rPr>
      <w:rFonts w:hint="eastAsia" w:ascii="宋体" w:hAnsi="宋体" w:eastAsia="宋体"/>
      <w:color w:val="000000"/>
      <w:sz w:val="22"/>
      <w:szCs w:val="22"/>
      <w:u w:val="none"/>
    </w:rPr>
  </w:style>
  <w:style w:type="character" w:customStyle="1" w:styleId="101">
    <w:name w:val="content2"/>
    <w:basedOn w:val="53"/>
    <w:qFormat/>
    <w:uiPriority w:val="0"/>
  </w:style>
  <w:style w:type="character" w:customStyle="1" w:styleId="102">
    <w:name w:val="1051"/>
    <w:qFormat/>
    <w:uiPriority w:val="0"/>
    <w:rPr>
      <w:sz w:val="21"/>
      <w:szCs w:val="21"/>
    </w:rPr>
  </w:style>
  <w:style w:type="character" w:customStyle="1" w:styleId="103">
    <w:name w:val="062"/>
    <w:qFormat/>
    <w:uiPriority w:val="0"/>
    <w:rPr>
      <w:rFonts w:ascii="宋体" w:hAnsi="宋体"/>
      <w:b/>
      <w:bCs/>
      <w:sz w:val="32"/>
    </w:rPr>
  </w:style>
  <w:style w:type="character" w:customStyle="1" w:styleId="104">
    <w:name w:val="标题3 Char"/>
    <w:link w:val="105"/>
    <w:qFormat/>
    <w:uiPriority w:val="0"/>
    <w:rPr>
      <w:rFonts w:ascii="宋体" w:hAnsi="宋体"/>
      <w:b/>
      <w:bCs/>
      <w:kern w:val="44"/>
      <w:sz w:val="24"/>
      <w:szCs w:val="24"/>
    </w:rPr>
  </w:style>
  <w:style w:type="paragraph" w:customStyle="1" w:styleId="105">
    <w:name w:val="标题3"/>
    <w:basedOn w:val="2"/>
    <w:link w:val="104"/>
    <w:qFormat/>
    <w:uiPriority w:val="0"/>
    <w:pPr>
      <w:spacing w:beforeLines="50" w:afterLines="50" w:line="400" w:lineRule="exact"/>
    </w:pPr>
    <w:rPr>
      <w:rFonts w:ascii="宋体" w:hAnsi="宋体"/>
      <w:sz w:val="24"/>
      <w:szCs w:val="24"/>
    </w:rPr>
  </w:style>
  <w:style w:type="character" w:customStyle="1" w:styleId="106">
    <w:name w:val="small"/>
    <w:basedOn w:val="53"/>
    <w:qFormat/>
    <w:uiPriority w:val="0"/>
  </w:style>
  <w:style w:type="character" w:customStyle="1" w:styleId="107">
    <w:name w:val="纯文本 Char1"/>
    <w:qFormat/>
    <w:uiPriority w:val="0"/>
    <w:rPr>
      <w:rFonts w:ascii="宋体" w:hAnsi="Courier New" w:eastAsia="宋体" w:cs="Courier New"/>
      <w:kern w:val="2"/>
      <w:sz w:val="21"/>
      <w:szCs w:val="21"/>
      <w:lang w:val="en-US" w:eastAsia="zh-CN" w:bidi="ar-SA"/>
    </w:rPr>
  </w:style>
  <w:style w:type="character" w:customStyle="1" w:styleId="108">
    <w:name w:val="short_text1"/>
    <w:qFormat/>
    <w:uiPriority w:val="0"/>
    <w:rPr>
      <w:sz w:val="26"/>
    </w:rPr>
  </w:style>
  <w:style w:type="character" w:customStyle="1" w:styleId="109">
    <w:name w:val="graytext1"/>
    <w:qFormat/>
    <w:uiPriority w:val="0"/>
    <w:rPr>
      <w:color w:val="666666"/>
    </w:rPr>
  </w:style>
  <w:style w:type="paragraph" w:customStyle="1" w:styleId="110">
    <w:name w:val="a9"/>
    <w:basedOn w:val="1"/>
    <w:qFormat/>
    <w:uiPriority w:val="0"/>
    <w:pPr>
      <w:widowControl/>
      <w:spacing w:beforeAutospacing="1" w:afterAutospacing="1"/>
      <w:jc w:val="left"/>
    </w:pPr>
    <w:rPr>
      <w:rFonts w:ascii="宋体" w:hAnsi="宋体" w:cs="宋体"/>
      <w:kern w:val="0"/>
      <w:sz w:val="24"/>
    </w:rPr>
  </w:style>
  <w:style w:type="paragraph" w:customStyle="1" w:styleId="111">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1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13">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114">
    <w:name w:val="样式 首行缩进:  2 字符"/>
    <w:basedOn w:val="1"/>
    <w:qFormat/>
    <w:uiPriority w:val="0"/>
    <w:pPr>
      <w:spacing w:line="400" w:lineRule="exact"/>
      <w:ind w:firstLine="200" w:firstLineChars="200"/>
    </w:pPr>
    <w:rPr>
      <w:rFonts w:cs="宋体"/>
      <w:sz w:val="24"/>
    </w:rPr>
  </w:style>
  <w:style w:type="paragraph" w:customStyle="1" w:styleId="115">
    <w:name w:val="_Style 114"/>
    <w:unhideWhenUsed/>
    <w:qFormat/>
    <w:uiPriority w:val="99"/>
    <w:rPr>
      <w:rFonts w:ascii="Times New Roman" w:hAnsi="Times New Roman" w:eastAsia="宋体" w:cs="Times New Roman"/>
      <w:kern w:val="2"/>
      <w:sz w:val="21"/>
      <w:szCs w:val="24"/>
      <w:lang w:val="en-US" w:eastAsia="zh-CN" w:bidi="ar-SA"/>
    </w:rPr>
  </w:style>
  <w:style w:type="paragraph" w:customStyle="1" w:styleId="116">
    <w:name w:val="_Style 115"/>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styleId="117">
    <w:name w:val="List Paragraph"/>
    <w:basedOn w:val="1"/>
    <w:qFormat/>
    <w:uiPriority w:val="99"/>
    <w:pPr>
      <w:ind w:firstLine="420" w:firstLineChars="200"/>
    </w:pPr>
    <w:rPr>
      <w:rFonts w:ascii="Calibri" w:hAnsi="Calibri"/>
      <w:szCs w:val="22"/>
    </w:rPr>
  </w:style>
  <w:style w:type="paragraph" w:customStyle="1" w:styleId="118">
    <w:name w:val="缺省文本"/>
    <w:basedOn w:val="1"/>
    <w:qFormat/>
    <w:uiPriority w:val="0"/>
    <w:pPr>
      <w:autoSpaceDE w:val="0"/>
      <w:autoSpaceDN w:val="0"/>
      <w:adjustRightInd w:val="0"/>
      <w:spacing w:line="360" w:lineRule="auto"/>
      <w:jc w:val="left"/>
    </w:pPr>
    <w:rPr>
      <w:kern w:val="0"/>
      <w:sz w:val="24"/>
      <w:szCs w:val="20"/>
    </w:rPr>
  </w:style>
  <w:style w:type="paragraph" w:customStyle="1" w:styleId="119">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20">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2">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23">
    <w:name w:val="Char1"/>
    <w:basedOn w:val="1"/>
    <w:qFormat/>
    <w:uiPriority w:val="0"/>
    <w:rPr>
      <w:szCs w:val="21"/>
    </w:rPr>
  </w:style>
  <w:style w:type="paragraph" w:customStyle="1" w:styleId="124">
    <w:name w:val="Char Char Char Char Char Char Char Char Char Char Char Char Char Char Char Char11"/>
    <w:basedOn w:val="1"/>
    <w:qFormat/>
    <w:uiPriority w:val="0"/>
    <w:pPr>
      <w:tabs>
        <w:tab w:val="left" w:pos="360"/>
      </w:tabs>
      <w:spacing w:line="360" w:lineRule="auto"/>
      <w:ind w:left="482" w:firstLine="200" w:firstLineChars="200"/>
    </w:pPr>
    <w:rPr>
      <w:rFonts w:ascii="宋体"/>
      <w:sz w:val="24"/>
    </w:rPr>
  </w:style>
  <w:style w:type="paragraph" w:customStyle="1" w:styleId="125">
    <w:name w:val="xl30"/>
    <w:basedOn w:val="1"/>
    <w:qFormat/>
    <w:uiPriority w:val="0"/>
    <w:pPr>
      <w:widowControl/>
      <w:pBdr>
        <w:left w:val="single" w:color="auto" w:sz="4" w:space="0"/>
        <w:bottom w:val="single" w:color="auto" w:sz="4" w:space="0"/>
        <w:right w:val="single" w:color="auto" w:sz="4" w:space="0"/>
      </w:pBdr>
      <w:spacing w:beforeAutospacing="1" w:afterAutospacing="1"/>
      <w:jc w:val="center"/>
    </w:pPr>
    <w:rPr>
      <w:kern w:val="0"/>
      <w:szCs w:val="21"/>
    </w:rPr>
  </w:style>
  <w:style w:type="paragraph" w:customStyle="1" w:styleId="126">
    <w:name w:val="正文首行缩进两字符"/>
    <w:basedOn w:val="1"/>
    <w:qFormat/>
    <w:uiPriority w:val="0"/>
    <w:pPr>
      <w:spacing w:line="360" w:lineRule="auto"/>
      <w:ind w:firstLine="200" w:firstLineChars="200"/>
    </w:pPr>
  </w:style>
  <w:style w:type="paragraph" w:customStyle="1" w:styleId="127">
    <w:name w:val="Char2"/>
    <w:basedOn w:val="1"/>
    <w:qFormat/>
    <w:uiPriority w:val="0"/>
    <w:pPr>
      <w:widowControl/>
      <w:spacing w:line="240" w:lineRule="exact"/>
      <w:jc w:val="left"/>
    </w:pPr>
    <w:rPr>
      <w:rFonts w:ascii="Verdana" w:hAnsi="Verdana"/>
      <w:kern w:val="0"/>
      <w:szCs w:val="20"/>
      <w:lang w:eastAsia="en-US"/>
    </w:rPr>
  </w:style>
  <w:style w:type="paragraph" w:customStyle="1" w:styleId="128">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129">
    <w:name w:val="表内文字"/>
    <w:basedOn w:val="1"/>
    <w:qFormat/>
    <w:uiPriority w:val="0"/>
    <w:pPr>
      <w:snapToGrid w:val="0"/>
      <w:jc w:val="center"/>
    </w:pPr>
    <w:rPr>
      <w:rFonts w:ascii="仿宋_GB2312" w:hAnsi="宋体" w:eastAsia="仿宋_GB2312"/>
      <w:b/>
      <w:color w:val="000000"/>
      <w:sz w:val="32"/>
      <w:szCs w:val="32"/>
    </w:rPr>
  </w:style>
  <w:style w:type="paragraph" w:customStyle="1" w:styleId="130">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31">
    <w:name w:val="Char Char Char"/>
    <w:basedOn w:val="1"/>
    <w:qFormat/>
    <w:uiPriority w:val="0"/>
    <w:rPr>
      <w:rFonts w:ascii="Tahoma" w:hAnsi="Tahoma"/>
      <w:sz w:val="24"/>
      <w:szCs w:val="20"/>
    </w:rPr>
  </w:style>
  <w:style w:type="paragraph" w:customStyle="1" w:styleId="132">
    <w:name w:val="表格"/>
    <w:basedOn w:val="1"/>
    <w:qFormat/>
    <w:uiPriority w:val="0"/>
    <w:pPr>
      <w:spacing w:line="400" w:lineRule="exact"/>
    </w:pPr>
    <w:rPr>
      <w:sz w:val="24"/>
    </w:rPr>
  </w:style>
  <w:style w:type="paragraph" w:customStyle="1" w:styleId="13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4">
    <w:name w:val="Char Char Char Char Char Char Char"/>
    <w:basedOn w:val="1"/>
    <w:qFormat/>
    <w:uiPriority w:val="0"/>
  </w:style>
  <w:style w:type="paragraph" w:customStyle="1" w:styleId="135">
    <w:name w:val="Char41"/>
    <w:basedOn w:val="1"/>
    <w:qFormat/>
    <w:uiPriority w:val="0"/>
    <w:pPr>
      <w:tabs>
        <w:tab w:val="left" w:pos="360"/>
      </w:tabs>
      <w:ind w:left="252" w:hanging="252" w:hangingChars="140"/>
    </w:pPr>
    <w:rPr>
      <w:rFonts w:ascii="宋体"/>
      <w:sz w:val="18"/>
      <w:szCs w:val="18"/>
    </w:rPr>
  </w:style>
  <w:style w:type="paragraph" w:customStyle="1" w:styleId="136">
    <w:name w:val="Char Char Char11"/>
    <w:basedOn w:val="16"/>
    <w:qFormat/>
    <w:uiPriority w:val="0"/>
    <w:pPr>
      <w:adjustRightInd/>
      <w:spacing w:line="240" w:lineRule="auto"/>
      <w:textAlignment w:val="auto"/>
    </w:pPr>
    <w:rPr>
      <w:rFonts w:ascii="Tahoma" w:hAnsi="Tahoma"/>
      <w:kern w:val="2"/>
      <w:sz w:val="24"/>
      <w:szCs w:val="24"/>
    </w:rPr>
  </w:style>
  <w:style w:type="paragraph" w:customStyle="1" w:styleId="137">
    <w:name w:val="样式1"/>
    <w:basedOn w:val="1"/>
    <w:qFormat/>
    <w:uiPriority w:val="0"/>
    <w:pPr>
      <w:spacing w:line="300" w:lineRule="auto"/>
    </w:pPr>
    <w:rPr>
      <w:rFonts w:ascii="宋体" w:hAnsi="宋体"/>
      <w:b/>
      <w:sz w:val="24"/>
      <w:szCs w:val="20"/>
    </w:rPr>
  </w:style>
  <w:style w:type="paragraph" w:customStyle="1" w:styleId="138">
    <w:name w:val="xl26"/>
    <w:basedOn w:val="1"/>
    <w:qFormat/>
    <w:uiPriority w:val="0"/>
    <w:pPr>
      <w:widowControl/>
      <w:pBdr>
        <w:left w:val="single" w:color="auto" w:sz="4" w:space="0"/>
        <w:bottom w:val="single" w:color="auto" w:sz="4" w:space="0"/>
        <w:right w:val="single" w:color="auto" w:sz="4" w:space="0"/>
      </w:pBdr>
      <w:spacing w:beforeAutospacing="1" w:afterAutospacing="1"/>
    </w:pPr>
    <w:rPr>
      <w:kern w:val="0"/>
      <w:szCs w:val="21"/>
    </w:rPr>
  </w:style>
  <w:style w:type="paragraph" w:customStyle="1" w:styleId="139">
    <w:name w:val="Char Char Char Char Char Char Char11"/>
    <w:basedOn w:val="1"/>
    <w:qFormat/>
    <w:uiPriority w:val="0"/>
  </w:style>
  <w:style w:type="paragraph" w:customStyle="1" w:styleId="140">
    <w:name w:val="xl31"/>
    <w:basedOn w:val="1"/>
    <w:qFormat/>
    <w:uiPriority w:val="0"/>
    <w:pPr>
      <w:widowControl/>
      <w:pBdr>
        <w:bottom w:val="single" w:color="auto" w:sz="4" w:space="0"/>
        <w:right w:val="single" w:color="auto" w:sz="4" w:space="0"/>
      </w:pBdr>
      <w:spacing w:beforeAutospacing="1" w:afterAutospacing="1"/>
      <w:jc w:val="center"/>
    </w:pPr>
    <w:rPr>
      <w:rFonts w:ascii="宋体" w:hAnsi="宋体"/>
      <w:kern w:val="0"/>
      <w:szCs w:val="21"/>
    </w:rPr>
  </w:style>
  <w:style w:type="paragraph" w:customStyle="1" w:styleId="141">
    <w:name w:val="次小点说明 Char"/>
    <w:basedOn w:val="7"/>
    <w:qFormat/>
    <w:uiPriority w:val="0"/>
    <w:pPr>
      <w:ind w:firstLine="0"/>
    </w:pPr>
    <w:rPr>
      <w:sz w:val="24"/>
      <w:szCs w:val="24"/>
    </w:rPr>
  </w:style>
  <w:style w:type="paragraph" w:customStyle="1" w:styleId="142">
    <w:name w:val="五号正文（标准）"/>
    <w:basedOn w:val="1"/>
    <w:qFormat/>
    <w:uiPriority w:val="0"/>
    <w:pPr>
      <w:spacing w:line="360" w:lineRule="auto"/>
      <w:ind w:right="55" w:firstLine="560" w:firstLineChars="200"/>
    </w:pPr>
    <w:rPr>
      <w:rFonts w:eastAsia="仿宋_GB2312"/>
      <w:sz w:val="28"/>
      <w:szCs w:val="20"/>
    </w:rPr>
  </w:style>
  <w:style w:type="paragraph" w:customStyle="1" w:styleId="143">
    <w:name w:val="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44">
    <w:name w:val="Char211"/>
    <w:basedOn w:val="1"/>
    <w:qFormat/>
    <w:uiPriority w:val="0"/>
    <w:pPr>
      <w:widowControl/>
      <w:spacing w:after="160" w:line="240" w:lineRule="exact"/>
      <w:jc w:val="left"/>
    </w:pPr>
    <w:rPr>
      <w:rFonts w:ascii="Verdana" w:hAnsi="Verdana"/>
      <w:kern w:val="0"/>
      <w:szCs w:val="20"/>
      <w:lang w:eastAsia="en-US"/>
    </w:rPr>
  </w:style>
  <w:style w:type="paragraph" w:customStyle="1" w:styleId="145">
    <w:name w:val="默认段落字体 Para Char Char Char Char Char Char Char Char Char1 Char Char Char Char"/>
    <w:basedOn w:val="1"/>
    <w:qFormat/>
    <w:uiPriority w:val="0"/>
    <w:rPr>
      <w:rFonts w:ascii="Tahoma" w:hAnsi="Tahoma"/>
      <w:sz w:val="24"/>
      <w:szCs w:val="20"/>
    </w:rPr>
  </w:style>
  <w:style w:type="paragraph" w:customStyle="1" w:styleId="14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7">
    <w:name w:val="Char Char Char 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8">
    <w:name w:val="Char Char Char Char Char Char Char Char Char Char Char Char Char11"/>
    <w:basedOn w:val="16"/>
    <w:qFormat/>
    <w:uiPriority w:val="0"/>
    <w:pPr>
      <w:adjustRightInd/>
      <w:spacing w:line="240" w:lineRule="auto"/>
      <w:textAlignment w:val="auto"/>
    </w:pPr>
    <w:rPr>
      <w:rFonts w:ascii="Tahoma" w:hAnsi="Tahoma"/>
      <w:kern w:val="2"/>
      <w:sz w:val="24"/>
      <w:szCs w:val="24"/>
    </w:rPr>
  </w:style>
  <w:style w:type="paragraph" w:customStyle="1" w:styleId="149">
    <w:name w:val="图"/>
    <w:basedOn w:val="1"/>
    <w:qFormat/>
    <w:uiPriority w:val="0"/>
    <w:pPr>
      <w:keepNext/>
      <w:adjustRightInd w:val="0"/>
      <w:snapToGrid w:val="0"/>
      <w:spacing w:line="300" w:lineRule="auto"/>
      <w:jc w:val="center"/>
    </w:pPr>
    <w:rPr>
      <w:spacing w:val="20"/>
      <w:kern w:val="0"/>
      <w:sz w:val="24"/>
      <w:szCs w:val="20"/>
    </w:rPr>
  </w:style>
  <w:style w:type="paragraph" w:customStyle="1" w:styleId="150">
    <w:name w:val="Char Char Char Char Char Char1 Char11"/>
    <w:basedOn w:val="1"/>
    <w:qFormat/>
    <w:uiPriority w:val="0"/>
    <w:pPr>
      <w:widowControl/>
      <w:spacing w:line="240" w:lineRule="exact"/>
      <w:jc w:val="left"/>
    </w:pPr>
    <w:rPr>
      <w:rFonts w:ascii="Arial" w:hAnsi="Arial" w:eastAsia="Times New Roman" w:cs="Verdana"/>
      <w:b/>
      <w:kern w:val="0"/>
      <w:sz w:val="24"/>
      <w:szCs w:val="20"/>
      <w:lang w:eastAsia="en-US"/>
    </w:rPr>
  </w:style>
  <w:style w:type="paragraph" w:customStyle="1" w:styleId="151">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52">
    <w:name w:val="F2"/>
    <w:basedOn w:val="1"/>
    <w:qFormat/>
    <w:uiPriority w:val="0"/>
    <w:pPr>
      <w:autoSpaceDE w:val="0"/>
      <w:autoSpaceDN w:val="0"/>
      <w:adjustRightInd w:val="0"/>
      <w:ind w:firstLine="601"/>
      <w:textAlignment w:val="baseline"/>
    </w:pPr>
    <w:rPr>
      <w:kern w:val="0"/>
      <w:sz w:val="24"/>
      <w:szCs w:val="20"/>
    </w:rPr>
  </w:style>
  <w:style w:type="paragraph" w:customStyle="1" w:styleId="153">
    <w:name w:val="xl21"/>
    <w:basedOn w:val="1"/>
    <w:qFormat/>
    <w:uiPriority w:val="0"/>
    <w:pPr>
      <w:widowControl/>
      <w:spacing w:beforeAutospacing="1" w:afterAutospacing="1"/>
      <w:jc w:val="center"/>
    </w:pPr>
    <w:rPr>
      <w:rFonts w:ascii="宋体" w:hAnsi="宋体"/>
      <w:b/>
      <w:bCs/>
      <w:kern w:val="0"/>
      <w:sz w:val="28"/>
      <w:szCs w:val="28"/>
    </w:rPr>
  </w:style>
  <w:style w:type="paragraph" w:customStyle="1" w:styleId="154">
    <w:name w:val="List Paragraph1"/>
    <w:basedOn w:val="1"/>
    <w:qFormat/>
    <w:uiPriority w:val="0"/>
    <w:pPr>
      <w:ind w:firstLine="420" w:firstLineChars="200"/>
    </w:pPr>
    <w:rPr>
      <w:rFonts w:ascii="Calibri" w:hAnsi="Calibri"/>
      <w:szCs w:val="22"/>
    </w:rPr>
  </w:style>
  <w:style w:type="paragraph" w:customStyle="1" w:styleId="155">
    <w:name w:val="普通 (Web)"/>
    <w:basedOn w:val="1"/>
    <w:qFormat/>
    <w:uiPriority w:val="0"/>
    <w:pPr>
      <w:widowControl/>
      <w:spacing w:beforeAutospacing="1" w:afterAutospacing="1"/>
      <w:jc w:val="left"/>
    </w:pPr>
    <w:rPr>
      <w:rFonts w:ascii="宋体" w:hAnsi="宋体"/>
      <w:kern w:val="0"/>
      <w:sz w:val="24"/>
    </w:rPr>
  </w:style>
  <w:style w:type="paragraph" w:customStyle="1" w:styleId="156">
    <w:name w:val="默认段落字体 Para Char"/>
    <w:basedOn w:val="1"/>
    <w:qFormat/>
    <w:uiPriority w:val="0"/>
    <w:pPr>
      <w:adjustRightInd w:val="0"/>
      <w:spacing w:line="360" w:lineRule="auto"/>
    </w:pPr>
    <w:rPr>
      <w:kern w:val="0"/>
      <w:sz w:val="24"/>
      <w:szCs w:val="20"/>
    </w:rPr>
  </w:style>
  <w:style w:type="paragraph" w:customStyle="1" w:styleId="157">
    <w:name w:val="xl23"/>
    <w:basedOn w:val="1"/>
    <w:qFormat/>
    <w:uiPriority w:val="0"/>
    <w:pPr>
      <w:widowControl/>
      <w:pBdr>
        <w:top w:val="single" w:color="auto" w:sz="4" w:space="0"/>
        <w:left w:val="single" w:color="auto" w:sz="4" w:space="0"/>
        <w:bottom w:val="single" w:color="auto" w:sz="4" w:space="0"/>
        <w:right w:val="single" w:color="auto" w:sz="4" w:space="0"/>
      </w:pBdr>
      <w:spacing w:beforeAutospacing="1" w:afterAutospacing="1"/>
      <w:jc w:val="center"/>
      <w:textAlignment w:val="center"/>
    </w:pPr>
    <w:rPr>
      <w:rFonts w:ascii="宋体" w:hAnsi="宋体"/>
      <w:b/>
      <w:bCs/>
      <w:kern w:val="0"/>
      <w:sz w:val="24"/>
    </w:rPr>
  </w:style>
  <w:style w:type="paragraph" w:customStyle="1" w:styleId="15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59">
    <w:name w:val="tgt1"/>
    <w:basedOn w:val="1"/>
    <w:qFormat/>
    <w:uiPriority w:val="0"/>
    <w:pPr>
      <w:widowControl/>
      <w:jc w:val="left"/>
    </w:pPr>
    <w:rPr>
      <w:rFonts w:ascii="宋体" w:hAnsi="宋体" w:cs="宋体"/>
      <w:kern w:val="0"/>
      <w:sz w:val="24"/>
    </w:rPr>
  </w:style>
  <w:style w:type="paragraph" w:customStyle="1" w:styleId="160">
    <w:name w:val="正文段"/>
    <w:basedOn w:val="1"/>
    <w:qFormat/>
    <w:uiPriority w:val="0"/>
    <w:pPr>
      <w:widowControl/>
      <w:snapToGrid w:val="0"/>
      <w:spacing w:afterLines="50"/>
      <w:ind w:firstLine="200" w:firstLineChars="200"/>
    </w:pPr>
    <w:rPr>
      <w:kern w:val="0"/>
      <w:sz w:val="24"/>
      <w:szCs w:val="20"/>
    </w:rPr>
  </w:style>
  <w:style w:type="paragraph" w:customStyle="1" w:styleId="161">
    <w:name w:val="1"/>
    <w:basedOn w:val="1"/>
    <w:next w:val="26"/>
    <w:qFormat/>
    <w:uiPriority w:val="0"/>
    <w:rPr>
      <w:rFonts w:ascii="宋体" w:hAnsi="Courier New"/>
      <w:szCs w:val="20"/>
    </w:rPr>
  </w:style>
  <w:style w:type="paragraph" w:customStyle="1" w:styleId="162">
    <w:name w:val="2ji"/>
    <w:basedOn w:val="3"/>
    <w:qFormat/>
    <w:uiPriority w:val="0"/>
    <w:pPr>
      <w:adjustRightInd w:val="0"/>
      <w:spacing w:line="360" w:lineRule="auto"/>
      <w:textAlignment w:val="baseline"/>
    </w:pPr>
    <w:rPr>
      <w:rFonts w:ascii="宋体" w:hAnsi="宋体" w:eastAsia="宋体"/>
      <w:kern w:val="0"/>
      <w:sz w:val="21"/>
      <w:szCs w:val="21"/>
    </w:rPr>
  </w:style>
  <w:style w:type="paragraph" w:customStyle="1" w:styleId="163">
    <w:name w:val="2-2ji"/>
    <w:basedOn w:val="3"/>
    <w:qFormat/>
    <w:uiPriority w:val="0"/>
    <w:pPr>
      <w:adjustRightInd w:val="0"/>
      <w:spacing w:line="360" w:lineRule="auto"/>
      <w:jc w:val="center"/>
      <w:textAlignment w:val="baseline"/>
    </w:pPr>
    <w:rPr>
      <w:rFonts w:ascii="宋体" w:hAnsi="宋体" w:eastAsia="宋体"/>
      <w:bCs w:val="0"/>
      <w:kern w:val="0"/>
      <w:sz w:val="36"/>
    </w:rPr>
  </w:style>
  <w:style w:type="paragraph" w:customStyle="1" w:styleId="164">
    <w:name w:val="444"/>
    <w:basedOn w:val="1"/>
    <w:qFormat/>
    <w:uiPriority w:val="0"/>
    <w:pPr>
      <w:adjustRightInd w:val="0"/>
      <w:spacing w:line="312" w:lineRule="atLeast"/>
      <w:jc w:val="center"/>
      <w:textAlignment w:val="baseline"/>
    </w:pPr>
    <w:rPr>
      <w:b/>
      <w:kern w:val="0"/>
      <w:sz w:val="36"/>
      <w:szCs w:val="36"/>
    </w:rPr>
  </w:style>
  <w:style w:type="character" w:customStyle="1" w:styleId="165">
    <w:name w:val="_Style 164"/>
    <w:unhideWhenUsed/>
    <w:qFormat/>
    <w:uiPriority w:val="99"/>
    <w:rPr>
      <w:color w:val="605E5C"/>
      <w:shd w:val="clear" w:color="auto" w:fill="E1DFDD"/>
    </w:rPr>
  </w:style>
  <w:style w:type="character" w:customStyle="1" w:styleId="166">
    <w:name w:val="批注文字 字符1"/>
    <w:qFormat/>
    <w:uiPriority w:val="0"/>
    <w:rPr>
      <w:kern w:val="2"/>
      <w:sz w:val="21"/>
      <w:szCs w:val="24"/>
    </w:rPr>
  </w:style>
  <w:style w:type="character" w:customStyle="1" w:styleId="167">
    <w:name w:val="纯文本 字符1"/>
    <w:qFormat/>
    <w:uiPriority w:val="99"/>
    <w:rPr>
      <w:rFonts w:ascii="宋体" w:hAnsi="Courier New" w:eastAsia="宋体" w:cs="Courier New"/>
      <w:kern w:val="2"/>
      <w:sz w:val="21"/>
      <w:szCs w:val="21"/>
      <w:lang w:val="en-US" w:eastAsia="zh-CN" w:bidi="ar-SA"/>
    </w:rPr>
  </w:style>
  <w:style w:type="character" w:customStyle="1" w:styleId="168">
    <w:name w:val="正文文本 字符1"/>
    <w:qFormat/>
    <w:uiPriority w:val="99"/>
    <w:rPr>
      <w:kern w:val="2"/>
      <w:sz w:val="24"/>
      <w:szCs w:val="24"/>
    </w:rPr>
  </w:style>
  <w:style w:type="paragraph" w:customStyle="1" w:styleId="169">
    <w:name w:val="正文-2字符首行缩进"/>
    <w:basedOn w:val="1"/>
    <w:link w:val="170"/>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170">
    <w:name w:val="正文-2字符首行缩进 Char"/>
    <w:link w:val="169"/>
    <w:qFormat/>
    <w:uiPriority w:val="0"/>
    <w:rPr>
      <w:rFonts w:ascii="仿宋_GB2312" w:hAnsi="Calibri" w:eastAsia="仿宋_GB2312"/>
      <w:sz w:val="28"/>
      <w:szCs w:val="22"/>
    </w:rPr>
  </w:style>
  <w:style w:type="character" w:customStyle="1" w:styleId="171">
    <w:name w:val="标题 5 字符"/>
    <w:semiHidden/>
    <w:qFormat/>
    <w:uiPriority w:val="9"/>
    <w:rPr>
      <w:b/>
      <w:bCs/>
      <w:kern w:val="2"/>
      <w:sz w:val="28"/>
      <w:szCs w:val="28"/>
    </w:rPr>
  </w:style>
  <w:style w:type="paragraph" w:customStyle="1" w:styleId="172">
    <w:name w:val="列出段落1"/>
    <w:basedOn w:val="1"/>
    <w:qFormat/>
    <w:uiPriority w:val="99"/>
    <w:pPr>
      <w:ind w:firstLine="420" w:firstLineChars="200"/>
    </w:pPr>
    <w:rPr>
      <w:rFonts w:ascii="等线" w:hAnsi="等线" w:eastAsia="等线"/>
    </w:rPr>
  </w:style>
  <w:style w:type="character" w:customStyle="1" w:styleId="173">
    <w:name w:val="标题 3 字符1"/>
    <w:qFormat/>
    <w:uiPriority w:val="0"/>
    <w:rPr>
      <w:b/>
      <w:bCs/>
      <w:kern w:val="2"/>
      <w:sz w:val="32"/>
      <w:szCs w:val="32"/>
    </w:rPr>
  </w:style>
  <w:style w:type="character" w:customStyle="1" w:styleId="174">
    <w:name w:val="正文文本 3 字符1"/>
    <w:qFormat/>
    <w:uiPriority w:val="0"/>
    <w:rPr>
      <w:b/>
      <w:bCs/>
      <w:kern w:val="2"/>
      <w:sz w:val="24"/>
      <w:szCs w:val="24"/>
    </w:rPr>
  </w:style>
  <w:style w:type="character" w:customStyle="1" w:styleId="175">
    <w:name w:val="正文文本缩进 字符1"/>
    <w:qFormat/>
    <w:uiPriority w:val="99"/>
    <w:rPr>
      <w:rFonts w:ascii="仿宋_GB2312" w:eastAsia="仿宋_GB2312"/>
      <w:kern w:val="2"/>
      <w:sz w:val="32"/>
    </w:rPr>
  </w:style>
  <w:style w:type="character" w:customStyle="1" w:styleId="176">
    <w:name w:val="标题 4 字符"/>
    <w:semiHidden/>
    <w:qFormat/>
    <w:uiPriority w:val="9"/>
    <w:rPr>
      <w:rFonts w:ascii="等线 Light" w:hAnsi="等线 Light" w:eastAsia="等线 Light" w:cs="Times New Roman"/>
      <w:b/>
      <w:bCs/>
      <w:kern w:val="2"/>
      <w:sz w:val="28"/>
      <w:szCs w:val="28"/>
    </w:rPr>
  </w:style>
  <w:style w:type="character" w:customStyle="1" w:styleId="177">
    <w:name w:val="HTML 预设格式 字符"/>
    <w:semiHidden/>
    <w:qFormat/>
    <w:uiPriority w:val="99"/>
    <w:rPr>
      <w:rFonts w:ascii="Courier New" w:hAnsi="Courier New" w:cs="Courier New"/>
      <w:kern w:val="2"/>
    </w:rPr>
  </w:style>
  <w:style w:type="character" w:customStyle="1" w:styleId="178">
    <w:name w:val="日期 字符1"/>
    <w:qFormat/>
    <w:uiPriority w:val="0"/>
    <w:rPr>
      <w:rFonts w:ascii="宋体" w:hAnsi="Courier New" w:cs="Courier New"/>
      <w:kern w:val="2"/>
      <w:sz w:val="21"/>
      <w:szCs w:val="21"/>
    </w:rPr>
  </w:style>
  <w:style w:type="character" w:customStyle="1" w:styleId="179">
    <w:name w:val="标题 8 字符1"/>
    <w:qFormat/>
    <w:uiPriority w:val="0"/>
    <w:rPr>
      <w:rFonts w:ascii="Arial" w:hAnsi="Arial" w:eastAsia="黑体"/>
      <w:kern w:val="2"/>
      <w:sz w:val="24"/>
      <w:szCs w:val="24"/>
    </w:rPr>
  </w:style>
  <w:style w:type="character" w:customStyle="1" w:styleId="180">
    <w:name w:val="标题 6 字符"/>
    <w:semiHidden/>
    <w:qFormat/>
    <w:uiPriority w:val="9"/>
    <w:rPr>
      <w:rFonts w:ascii="等线 Light" w:hAnsi="等线 Light" w:eastAsia="等线 Light" w:cs="Times New Roman"/>
      <w:b/>
      <w:bCs/>
      <w:kern w:val="2"/>
      <w:sz w:val="24"/>
      <w:szCs w:val="24"/>
    </w:rPr>
  </w:style>
  <w:style w:type="character" w:customStyle="1" w:styleId="181">
    <w:name w:val="标题 7 字符1"/>
    <w:qFormat/>
    <w:uiPriority w:val="0"/>
    <w:rPr>
      <w:b/>
      <w:kern w:val="2"/>
      <w:sz w:val="24"/>
      <w:szCs w:val="24"/>
    </w:rPr>
  </w:style>
  <w:style w:type="character" w:customStyle="1" w:styleId="182">
    <w:name w:val="标题 4 字符1"/>
    <w:qFormat/>
    <w:uiPriority w:val="0"/>
    <w:rPr>
      <w:rFonts w:ascii="Arial" w:hAnsi="Arial" w:eastAsia="黑体"/>
      <w:sz w:val="28"/>
    </w:rPr>
  </w:style>
  <w:style w:type="character" w:customStyle="1" w:styleId="183">
    <w:name w:val="正文文本首行缩进 2 字符1"/>
    <w:qFormat/>
    <w:uiPriority w:val="0"/>
    <w:rPr>
      <w:kern w:val="2"/>
      <w:sz w:val="21"/>
      <w:szCs w:val="24"/>
    </w:rPr>
  </w:style>
  <w:style w:type="character" w:customStyle="1" w:styleId="184">
    <w:name w:val="标题 7 字符"/>
    <w:semiHidden/>
    <w:qFormat/>
    <w:uiPriority w:val="9"/>
    <w:rPr>
      <w:b/>
      <w:bCs/>
      <w:kern w:val="2"/>
      <w:sz w:val="24"/>
      <w:szCs w:val="24"/>
    </w:rPr>
  </w:style>
  <w:style w:type="character" w:customStyle="1" w:styleId="185">
    <w:name w:val="批注主题 字符"/>
    <w:qFormat/>
    <w:uiPriority w:val="0"/>
    <w:rPr>
      <w:b/>
      <w:bCs/>
      <w:kern w:val="2"/>
      <w:sz w:val="21"/>
      <w:szCs w:val="24"/>
    </w:rPr>
  </w:style>
  <w:style w:type="character" w:customStyle="1" w:styleId="186">
    <w:name w:val="批注主题 字符1"/>
    <w:qFormat/>
    <w:uiPriority w:val="0"/>
    <w:rPr>
      <w:b/>
      <w:bCs/>
      <w:kern w:val="2"/>
      <w:sz w:val="21"/>
      <w:szCs w:val="24"/>
    </w:rPr>
  </w:style>
  <w:style w:type="character" w:customStyle="1" w:styleId="187">
    <w:name w:val="正文文本首行缩进 字符"/>
    <w:semiHidden/>
    <w:qFormat/>
    <w:uiPriority w:val="99"/>
  </w:style>
  <w:style w:type="character" w:customStyle="1" w:styleId="188">
    <w:name w:val="正文文本缩进 字符"/>
    <w:semiHidden/>
    <w:qFormat/>
    <w:uiPriority w:val="99"/>
    <w:rPr>
      <w:kern w:val="2"/>
      <w:sz w:val="21"/>
      <w:szCs w:val="24"/>
    </w:rPr>
  </w:style>
  <w:style w:type="character" w:customStyle="1" w:styleId="189">
    <w:name w:val="页眉 字符"/>
    <w:semiHidden/>
    <w:qFormat/>
    <w:uiPriority w:val="99"/>
    <w:rPr>
      <w:kern w:val="2"/>
      <w:sz w:val="18"/>
      <w:szCs w:val="18"/>
    </w:rPr>
  </w:style>
  <w:style w:type="character" w:customStyle="1" w:styleId="190">
    <w:name w:val="标题 字符"/>
    <w:qFormat/>
    <w:uiPriority w:val="10"/>
    <w:rPr>
      <w:rFonts w:ascii="等线 Light" w:hAnsi="等线 Light" w:eastAsia="等线 Light" w:cs="Times New Roman"/>
      <w:b/>
      <w:bCs/>
      <w:kern w:val="2"/>
      <w:sz w:val="32"/>
      <w:szCs w:val="32"/>
    </w:rPr>
  </w:style>
  <w:style w:type="character" w:customStyle="1" w:styleId="191">
    <w:name w:val="批注框文本 字符1"/>
    <w:qFormat/>
    <w:uiPriority w:val="0"/>
    <w:rPr>
      <w:kern w:val="2"/>
      <w:sz w:val="18"/>
      <w:szCs w:val="18"/>
    </w:rPr>
  </w:style>
  <w:style w:type="character" w:customStyle="1" w:styleId="192">
    <w:name w:val="页脚 字符1"/>
    <w:qFormat/>
    <w:uiPriority w:val="0"/>
    <w:rPr>
      <w:kern w:val="2"/>
      <w:sz w:val="18"/>
      <w:szCs w:val="18"/>
    </w:rPr>
  </w:style>
  <w:style w:type="character" w:customStyle="1" w:styleId="193">
    <w:name w:val="批注文字 字符"/>
    <w:qFormat/>
    <w:uiPriority w:val="0"/>
    <w:rPr>
      <w:kern w:val="2"/>
      <w:sz w:val="21"/>
      <w:szCs w:val="24"/>
    </w:rPr>
  </w:style>
  <w:style w:type="character" w:customStyle="1" w:styleId="194">
    <w:name w:val="标题 2 字符"/>
    <w:semiHidden/>
    <w:qFormat/>
    <w:uiPriority w:val="9"/>
    <w:rPr>
      <w:rFonts w:ascii="等线 Light" w:hAnsi="等线 Light" w:eastAsia="等线 Light" w:cs="Times New Roman"/>
      <w:b/>
      <w:bCs/>
      <w:kern w:val="2"/>
      <w:sz w:val="32"/>
      <w:szCs w:val="32"/>
    </w:rPr>
  </w:style>
  <w:style w:type="character" w:customStyle="1" w:styleId="195">
    <w:name w:val="文档结构图 字符"/>
    <w:semiHidden/>
    <w:qFormat/>
    <w:uiPriority w:val="99"/>
    <w:rPr>
      <w:rFonts w:ascii="Microsoft YaHei UI" w:eastAsia="Microsoft YaHei UI"/>
      <w:kern w:val="2"/>
      <w:sz w:val="18"/>
      <w:szCs w:val="18"/>
    </w:rPr>
  </w:style>
  <w:style w:type="character" w:customStyle="1" w:styleId="196">
    <w:name w:val="z-窗体顶端 字符1"/>
    <w:link w:val="197"/>
    <w:qFormat/>
    <w:uiPriority w:val="0"/>
    <w:rPr>
      <w:rFonts w:ascii="Arial"/>
      <w:vanish/>
      <w:kern w:val="2"/>
      <w:sz w:val="16"/>
      <w:szCs w:val="24"/>
    </w:rPr>
  </w:style>
  <w:style w:type="paragraph" w:customStyle="1" w:styleId="197">
    <w:name w:val="z-窗体顶端1"/>
    <w:basedOn w:val="1"/>
    <w:next w:val="1"/>
    <w:link w:val="196"/>
    <w:qFormat/>
    <w:uiPriority w:val="0"/>
    <w:pPr>
      <w:pBdr>
        <w:bottom w:val="single" w:color="auto" w:sz="6" w:space="1"/>
      </w:pBdr>
      <w:jc w:val="center"/>
    </w:pPr>
    <w:rPr>
      <w:rFonts w:ascii="Arial"/>
      <w:vanish/>
      <w:sz w:val="16"/>
    </w:rPr>
  </w:style>
  <w:style w:type="character" w:customStyle="1" w:styleId="198">
    <w:name w:val="highlight"/>
    <w:qFormat/>
    <w:uiPriority w:val="0"/>
  </w:style>
  <w:style w:type="character" w:customStyle="1" w:styleId="199">
    <w:name w:val="标题 字符1"/>
    <w:qFormat/>
    <w:uiPriority w:val="0"/>
    <w:rPr>
      <w:kern w:val="2"/>
      <w:sz w:val="30"/>
      <w:szCs w:val="24"/>
    </w:rPr>
  </w:style>
  <w:style w:type="character" w:customStyle="1" w:styleId="200">
    <w:name w:val="标题 1 字符1"/>
    <w:qFormat/>
    <w:uiPriority w:val="9"/>
    <w:rPr>
      <w:rFonts w:eastAsia="宋体"/>
      <w:b/>
      <w:bCs/>
      <w:kern w:val="44"/>
      <w:sz w:val="44"/>
      <w:szCs w:val="44"/>
      <w:lang w:val="en-US" w:eastAsia="zh-CN" w:bidi="ar-SA"/>
    </w:rPr>
  </w:style>
  <w:style w:type="character" w:customStyle="1" w:styleId="201">
    <w:name w:val="HTML 预设格式 字符1"/>
    <w:qFormat/>
    <w:uiPriority w:val="0"/>
    <w:rPr>
      <w:rFonts w:ascii="黑体" w:hAnsi="Courier New" w:eastAsia="黑体" w:cs="Courier New"/>
    </w:rPr>
  </w:style>
  <w:style w:type="character" w:customStyle="1" w:styleId="202">
    <w:name w:val="批注框文本 字符"/>
    <w:semiHidden/>
    <w:qFormat/>
    <w:uiPriority w:val="99"/>
    <w:rPr>
      <w:kern w:val="2"/>
      <w:sz w:val="18"/>
      <w:szCs w:val="18"/>
    </w:rPr>
  </w:style>
  <w:style w:type="character" w:customStyle="1" w:styleId="203">
    <w:name w:val="正文文本 3 字符"/>
    <w:semiHidden/>
    <w:qFormat/>
    <w:uiPriority w:val="99"/>
    <w:rPr>
      <w:kern w:val="2"/>
      <w:sz w:val="16"/>
      <w:szCs w:val="16"/>
    </w:rPr>
  </w:style>
  <w:style w:type="character" w:customStyle="1" w:styleId="204">
    <w:name w:val="正文文本缩进 3 字符1"/>
    <w:qFormat/>
    <w:uiPriority w:val="0"/>
    <w:rPr>
      <w:kern w:val="2"/>
      <w:sz w:val="16"/>
      <w:szCs w:val="16"/>
    </w:rPr>
  </w:style>
  <w:style w:type="character" w:customStyle="1" w:styleId="205">
    <w:name w:val="fd"/>
    <w:qFormat/>
    <w:uiPriority w:val="0"/>
  </w:style>
  <w:style w:type="character" w:customStyle="1" w:styleId="206">
    <w:name w:val="标题 9 字符"/>
    <w:semiHidden/>
    <w:qFormat/>
    <w:uiPriority w:val="9"/>
    <w:rPr>
      <w:rFonts w:ascii="等线 Light" w:hAnsi="等线 Light" w:eastAsia="等线 Light" w:cs="Times New Roman"/>
      <w:kern w:val="2"/>
      <w:sz w:val="21"/>
      <w:szCs w:val="21"/>
    </w:rPr>
  </w:style>
  <w:style w:type="character" w:customStyle="1" w:styleId="207">
    <w:name w:val="标题 5 字符1"/>
    <w:qFormat/>
    <w:uiPriority w:val="0"/>
    <w:rPr>
      <w:b/>
      <w:kern w:val="2"/>
      <w:sz w:val="28"/>
      <w:szCs w:val="24"/>
    </w:rPr>
  </w:style>
  <w:style w:type="character" w:customStyle="1" w:styleId="208">
    <w:name w:val="标题 2 字符1"/>
    <w:qFormat/>
    <w:uiPriority w:val="0"/>
    <w:rPr>
      <w:rFonts w:ascii="Arial" w:hAnsi="Arial" w:eastAsia="黑体"/>
      <w:b/>
      <w:bCs/>
      <w:kern w:val="2"/>
      <w:sz w:val="32"/>
      <w:szCs w:val="32"/>
    </w:rPr>
  </w:style>
  <w:style w:type="character" w:customStyle="1" w:styleId="209">
    <w:name w:val="正文文本缩进 2 字符"/>
    <w:semiHidden/>
    <w:qFormat/>
    <w:uiPriority w:val="99"/>
    <w:rPr>
      <w:kern w:val="2"/>
      <w:sz w:val="21"/>
      <w:szCs w:val="24"/>
    </w:rPr>
  </w:style>
  <w:style w:type="character" w:customStyle="1" w:styleId="210">
    <w:name w:val="z-窗体顶端 字符"/>
    <w:semiHidden/>
    <w:qFormat/>
    <w:uiPriority w:val="99"/>
    <w:rPr>
      <w:rFonts w:ascii="Arial" w:hAnsi="Arial" w:cs="Arial"/>
      <w:vanish/>
      <w:kern w:val="2"/>
      <w:sz w:val="16"/>
      <w:szCs w:val="16"/>
    </w:rPr>
  </w:style>
  <w:style w:type="character" w:customStyle="1" w:styleId="211">
    <w:name w:val="标题 6 字符1"/>
    <w:qFormat/>
    <w:uiPriority w:val="0"/>
    <w:rPr>
      <w:rFonts w:ascii="Arial" w:hAnsi="Arial" w:eastAsia="黑体"/>
      <w:b/>
      <w:kern w:val="2"/>
      <w:sz w:val="24"/>
      <w:szCs w:val="24"/>
    </w:rPr>
  </w:style>
  <w:style w:type="character" w:customStyle="1" w:styleId="212">
    <w:name w:val="正文文本 2 字符1"/>
    <w:qFormat/>
    <w:uiPriority w:val="0"/>
    <w:rPr>
      <w:kern w:val="2"/>
      <w:sz w:val="21"/>
      <w:szCs w:val="24"/>
    </w:rPr>
  </w:style>
  <w:style w:type="character" w:customStyle="1" w:styleId="213">
    <w:name w:val="标题 3 字符"/>
    <w:semiHidden/>
    <w:qFormat/>
    <w:uiPriority w:val="9"/>
    <w:rPr>
      <w:b/>
      <w:bCs/>
      <w:kern w:val="2"/>
      <w:sz w:val="32"/>
      <w:szCs w:val="32"/>
    </w:rPr>
  </w:style>
  <w:style w:type="character" w:customStyle="1" w:styleId="214">
    <w:name w:val="正文文本 2 字符"/>
    <w:semiHidden/>
    <w:qFormat/>
    <w:uiPriority w:val="99"/>
    <w:rPr>
      <w:kern w:val="2"/>
      <w:sz w:val="21"/>
      <w:szCs w:val="24"/>
    </w:rPr>
  </w:style>
  <w:style w:type="character" w:customStyle="1" w:styleId="215">
    <w:name w:val="标题 1 字符"/>
    <w:qFormat/>
    <w:uiPriority w:val="9"/>
    <w:rPr>
      <w:b/>
      <w:bCs/>
      <w:kern w:val="44"/>
      <w:sz w:val="44"/>
      <w:szCs w:val="44"/>
    </w:rPr>
  </w:style>
  <w:style w:type="character" w:customStyle="1" w:styleId="216">
    <w:name w:val="页脚 字符"/>
    <w:qFormat/>
    <w:uiPriority w:val="99"/>
    <w:rPr>
      <w:kern w:val="2"/>
      <w:sz w:val="18"/>
      <w:szCs w:val="18"/>
    </w:rPr>
  </w:style>
  <w:style w:type="character" w:customStyle="1" w:styleId="217">
    <w:name w:val="正文文本首行缩进 2 字符"/>
    <w:semiHidden/>
    <w:qFormat/>
    <w:uiPriority w:val="99"/>
  </w:style>
  <w:style w:type="character" w:customStyle="1" w:styleId="218">
    <w:name w:val="文档结构图 字符1"/>
    <w:qFormat/>
    <w:uiPriority w:val="0"/>
    <w:rPr>
      <w:sz w:val="21"/>
      <w:shd w:val="clear" w:color="auto" w:fill="000080"/>
    </w:rPr>
  </w:style>
  <w:style w:type="character" w:customStyle="1" w:styleId="219">
    <w:name w:val="正文文本首行缩进 字符1"/>
    <w:qFormat/>
    <w:uiPriority w:val="0"/>
    <w:rPr>
      <w:kern w:val="2"/>
      <w:sz w:val="21"/>
      <w:szCs w:val="24"/>
    </w:rPr>
  </w:style>
  <w:style w:type="character" w:customStyle="1" w:styleId="220">
    <w:name w:val="日期 字符"/>
    <w:semiHidden/>
    <w:qFormat/>
    <w:uiPriority w:val="99"/>
    <w:rPr>
      <w:kern w:val="2"/>
      <w:sz w:val="21"/>
      <w:szCs w:val="24"/>
    </w:rPr>
  </w:style>
  <w:style w:type="character" w:customStyle="1" w:styleId="221">
    <w:name w:val="纯文本 字符"/>
    <w:qFormat/>
    <w:uiPriority w:val="99"/>
    <w:rPr>
      <w:rFonts w:ascii="等线" w:hAnsi="Courier New" w:eastAsia="等线" w:cs="Courier New"/>
      <w:kern w:val="2"/>
      <w:sz w:val="21"/>
      <w:szCs w:val="24"/>
    </w:rPr>
  </w:style>
  <w:style w:type="character" w:customStyle="1" w:styleId="222">
    <w:name w:val="正文文本缩进 2 字符1"/>
    <w:qFormat/>
    <w:uiPriority w:val="0"/>
    <w:rPr>
      <w:kern w:val="2"/>
      <w:sz w:val="32"/>
    </w:rPr>
  </w:style>
  <w:style w:type="character" w:customStyle="1" w:styleId="223">
    <w:name w:val="标题 9 字符1"/>
    <w:qFormat/>
    <w:uiPriority w:val="0"/>
    <w:rPr>
      <w:rFonts w:ascii="Arial" w:hAnsi="Arial" w:eastAsia="黑体"/>
      <w:kern w:val="2"/>
      <w:sz w:val="21"/>
      <w:szCs w:val="24"/>
    </w:rPr>
  </w:style>
  <w:style w:type="character" w:customStyle="1" w:styleId="224">
    <w:name w:val="页眉 字符1"/>
    <w:qFormat/>
    <w:uiPriority w:val="99"/>
    <w:rPr>
      <w:kern w:val="2"/>
      <w:sz w:val="18"/>
      <w:szCs w:val="18"/>
    </w:rPr>
  </w:style>
  <w:style w:type="character" w:customStyle="1" w:styleId="225">
    <w:name w:val="标题 8 字符"/>
    <w:semiHidden/>
    <w:qFormat/>
    <w:uiPriority w:val="9"/>
    <w:rPr>
      <w:rFonts w:ascii="等线 Light" w:hAnsi="等线 Light" w:eastAsia="等线 Light" w:cs="Times New Roman"/>
      <w:kern w:val="2"/>
      <w:sz w:val="24"/>
      <w:szCs w:val="24"/>
    </w:rPr>
  </w:style>
  <w:style w:type="character" w:customStyle="1" w:styleId="226">
    <w:name w:val="正文文本缩进 3 字符"/>
    <w:semiHidden/>
    <w:qFormat/>
    <w:uiPriority w:val="99"/>
    <w:rPr>
      <w:kern w:val="2"/>
      <w:sz w:val="16"/>
      <w:szCs w:val="16"/>
    </w:rPr>
  </w:style>
  <w:style w:type="character" w:customStyle="1" w:styleId="227">
    <w:name w:val="正文文本 字符"/>
    <w:semiHidden/>
    <w:qFormat/>
    <w:uiPriority w:val="99"/>
    <w:rPr>
      <w:kern w:val="2"/>
      <w:sz w:val="21"/>
      <w:szCs w:val="24"/>
    </w:rPr>
  </w:style>
  <w:style w:type="paragraph" w:customStyle="1" w:styleId="228">
    <w:name w:val="TOC 标题1"/>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229">
    <w:name w:val="paragraphindent"/>
    <w:basedOn w:val="1"/>
    <w:qFormat/>
    <w:uiPriority w:val="0"/>
    <w:pPr>
      <w:widowControl/>
      <w:spacing w:before="100" w:beforeAutospacing="1" w:after="100" w:afterAutospacing="1"/>
      <w:jc w:val="left"/>
    </w:pPr>
    <w:rPr>
      <w:rFonts w:ascii="宋体" w:hAnsi="宋体" w:cs="宋体"/>
      <w:kern w:val="0"/>
      <w:sz w:val="24"/>
    </w:rPr>
  </w:style>
  <w:style w:type="paragraph" w:customStyle="1" w:styleId="230">
    <w:name w:val="_Style 109"/>
    <w:basedOn w:val="1"/>
    <w:next w:val="117"/>
    <w:qFormat/>
    <w:uiPriority w:val="34"/>
    <w:pPr>
      <w:ind w:firstLine="420" w:firstLineChars="200"/>
    </w:pPr>
    <w:rPr>
      <w:rFonts w:ascii="Calibri" w:hAnsi="Calibri"/>
      <w:szCs w:val="22"/>
    </w:rPr>
  </w:style>
  <w:style w:type="paragraph" w:customStyle="1" w:styleId="231">
    <w:name w:val="Char Char Char Char Char Char Char1"/>
    <w:basedOn w:val="1"/>
    <w:qFormat/>
    <w:uiPriority w:val="0"/>
  </w:style>
  <w:style w:type="paragraph" w:customStyle="1" w:styleId="232">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233">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234">
    <w:name w:val="Char Char Char Char Char Char Char Char Char Char Char Char Char1"/>
    <w:basedOn w:val="16"/>
    <w:qFormat/>
    <w:uiPriority w:val="0"/>
    <w:pPr>
      <w:adjustRightInd/>
      <w:spacing w:line="240" w:lineRule="auto"/>
      <w:textAlignment w:val="auto"/>
    </w:pPr>
    <w:rPr>
      <w:rFonts w:ascii="Tahoma" w:hAnsi="Tahoma"/>
      <w:kern w:val="2"/>
      <w:sz w:val="24"/>
      <w:szCs w:val="24"/>
    </w:rPr>
  </w:style>
  <w:style w:type="paragraph" w:customStyle="1" w:styleId="235">
    <w:name w:val="Char4"/>
    <w:basedOn w:val="1"/>
    <w:qFormat/>
    <w:uiPriority w:val="0"/>
    <w:pPr>
      <w:tabs>
        <w:tab w:val="left" w:pos="360"/>
      </w:tabs>
      <w:ind w:left="252" w:hanging="252" w:hangingChars="140"/>
    </w:pPr>
    <w:rPr>
      <w:rFonts w:ascii="宋体"/>
      <w:sz w:val="18"/>
      <w:szCs w:val="18"/>
    </w:rPr>
  </w:style>
  <w:style w:type="paragraph" w:customStyle="1" w:styleId="236">
    <w:name w:val="Char Char Char2"/>
    <w:basedOn w:val="1"/>
    <w:qFormat/>
    <w:uiPriority w:val="0"/>
    <w:rPr>
      <w:rFonts w:ascii="Tahoma" w:hAnsi="Tahoma"/>
      <w:sz w:val="24"/>
      <w:szCs w:val="20"/>
    </w:rPr>
  </w:style>
  <w:style w:type="paragraph" w:customStyle="1" w:styleId="23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8">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39">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240">
    <w:name w:val="未处理的提及1"/>
    <w:unhideWhenUsed/>
    <w:qFormat/>
    <w:uiPriority w:val="99"/>
    <w:rPr>
      <w:color w:val="605E5C"/>
      <w:shd w:val="clear" w:color="auto" w:fill="E1DFDD"/>
    </w:rPr>
  </w:style>
  <w:style w:type="character" w:styleId="241">
    <w:name w:val="Placeholder Text"/>
    <w:unhideWhenUsed/>
    <w:qFormat/>
    <w:uiPriority w:val="99"/>
    <w:rPr>
      <w:color w:val="808080"/>
    </w:rPr>
  </w:style>
  <w:style w:type="character" w:customStyle="1" w:styleId="242">
    <w:name w:val="未处理的提及2"/>
    <w:unhideWhenUsed/>
    <w:qFormat/>
    <w:uiPriority w:val="99"/>
    <w:rPr>
      <w:color w:val="605E5C"/>
      <w:shd w:val="clear" w:color="auto" w:fill="E1DFDD"/>
    </w:rPr>
  </w:style>
  <w:style w:type="character" w:customStyle="1" w:styleId="243">
    <w:name w:val="15"/>
    <w:qFormat/>
    <w:uiPriority w:val="0"/>
    <w:rPr>
      <w:rFonts w:hint="eastAsia" w:ascii="宋体" w:hAnsi="宋体" w:eastAsia="宋体"/>
      <w:color w:val="000000"/>
      <w:spacing w:val="0"/>
      <w:sz w:val="22"/>
      <w:szCs w:val="22"/>
    </w:rPr>
  </w:style>
  <w:style w:type="character" w:customStyle="1" w:styleId="244">
    <w:name w:val="批注文字 字符2"/>
    <w:qFormat/>
    <w:uiPriority w:val="0"/>
    <w:rPr>
      <w:kern w:val="2"/>
      <w:sz w:val="21"/>
      <w:szCs w:val="24"/>
    </w:rPr>
  </w:style>
  <w:style w:type="paragraph" w:customStyle="1" w:styleId="245">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4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47">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248">
    <w:name w:val="Table Text"/>
    <w:basedOn w:val="1"/>
    <w:semiHidden/>
    <w:qFormat/>
    <w:uiPriority w:val="0"/>
    <w:rPr>
      <w:rFonts w:ascii="宋体" w:hAnsi="宋体" w:cs="宋体"/>
      <w:sz w:val="18"/>
      <w:szCs w:val="18"/>
      <w:lang w:eastAsia="en-US"/>
    </w:rPr>
  </w:style>
  <w:style w:type="table" w:customStyle="1" w:styleId="249">
    <w:name w:val="Table Normal"/>
    <w:semiHidden/>
    <w:unhideWhenUsed/>
    <w:qFormat/>
    <w:uiPriority w:val="0"/>
    <w:tblPr>
      <w:tblCellMar>
        <w:top w:w="0" w:type="dxa"/>
        <w:left w:w="0" w:type="dxa"/>
        <w:bottom w:w="0" w:type="dxa"/>
        <w:right w:w="0" w:type="dxa"/>
      </w:tblCellMar>
    </w:tblPr>
  </w:style>
  <w:style w:type="character" w:customStyle="1" w:styleId="250">
    <w:name w:val="font12"/>
    <w:basedOn w:val="53"/>
    <w:qFormat/>
    <w:uiPriority w:val="0"/>
    <w:rPr>
      <w:rFonts w:hint="eastAsia" w:ascii="宋体" w:hAnsi="宋体" w:eastAsia="宋体" w:cs="宋体"/>
      <w:color w:val="000000"/>
      <w:sz w:val="16"/>
      <w:szCs w:val="16"/>
      <w:u w:val="none"/>
    </w:rPr>
  </w:style>
  <w:style w:type="character" w:customStyle="1" w:styleId="251">
    <w:name w:val="font101"/>
    <w:basedOn w:val="53"/>
    <w:qFormat/>
    <w:uiPriority w:val="0"/>
    <w:rPr>
      <w:rFonts w:hint="eastAsia" w:ascii="微软雅黑" w:hAnsi="微软雅黑" w:eastAsia="微软雅黑" w:cs="微软雅黑"/>
      <w:color w:val="000000"/>
      <w:sz w:val="18"/>
      <w:szCs w:val="18"/>
      <w:u w:val="none"/>
    </w:rPr>
  </w:style>
  <w:style w:type="character" w:customStyle="1" w:styleId="252">
    <w:name w:val="font112"/>
    <w:basedOn w:val="53"/>
    <w:qFormat/>
    <w:uiPriority w:val="0"/>
    <w:rPr>
      <w:rFonts w:hint="eastAsia" w:ascii="宋体" w:hAnsi="宋体" w:eastAsia="宋体" w:cs="宋体"/>
      <w:color w:val="000000"/>
      <w:sz w:val="18"/>
      <w:szCs w:val="18"/>
      <w:u w:val="none"/>
    </w:rPr>
  </w:style>
  <w:style w:type="character" w:customStyle="1" w:styleId="253">
    <w:name w:val="font121"/>
    <w:basedOn w:val="53"/>
    <w:qFormat/>
    <w:uiPriority w:val="0"/>
    <w:rPr>
      <w:rFonts w:hint="eastAsia" w:ascii="微软雅黑" w:hAnsi="微软雅黑" w:eastAsia="微软雅黑" w:cs="微软雅黑"/>
      <w:color w:val="000000"/>
      <w:sz w:val="24"/>
      <w:szCs w:val="24"/>
      <w:u w:val="none"/>
    </w:rPr>
  </w:style>
  <w:style w:type="character" w:customStyle="1" w:styleId="254">
    <w:name w:val="font131"/>
    <w:basedOn w:val="53"/>
    <w:qFormat/>
    <w:uiPriority w:val="0"/>
    <w:rPr>
      <w:rFonts w:hint="eastAsia" w:ascii="微软雅黑" w:hAnsi="微软雅黑" w:eastAsia="微软雅黑" w:cs="微软雅黑"/>
      <w:i/>
      <w:iCs/>
      <w:color w:val="000000"/>
      <w:sz w:val="24"/>
      <w:szCs w:val="24"/>
      <w:u w:val="none"/>
    </w:rPr>
  </w:style>
  <w:style w:type="character" w:customStyle="1" w:styleId="255">
    <w:name w:val="font141"/>
    <w:basedOn w:val="53"/>
    <w:qFormat/>
    <w:uiPriority w:val="0"/>
    <w:rPr>
      <w:rFonts w:hint="default" w:ascii="Times New Roman" w:hAnsi="Times New Roman" w:cs="Times New Roman"/>
      <w:color w:val="000000"/>
      <w:sz w:val="18"/>
      <w:szCs w:val="18"/>
      <w:u w:val="none"/>
    </w:rPr>
  </w:style>
  <w:style w:type="paragraph" w:customStyle="1" w:styleId="256">
    <w:name w:val="表格文字"/>
    <w:basedOn w:val="1"/>
    <w:qFormat/>
    <w:uiPriority w:val="0"/>
    <w:pPr>
      <w:jc w:val="left"/>
    </w:pPr>
    <w:rPr>
      <w:rFonts w:ascii="Calibri" w:hAnsi="Calibri"/>
      <w:bCs/>
      <w:spacing w:val="10"/>
      <w:kern w:val="0"/>
      <w:sz w:val="24"/>
    </w:rPr>
  </w:style>
  <w:style w:type="character" w:customStyle="1" w:styleId="257">
    <w:name w:val="font161"/>
    <w:basedOn w:val="53"/>
    <w:qFormat/>
    <w:uiPriority w:val="0"/>
    <w:rPr>
      <w:rFonts w:hint="eastAsia" w:ascii="宋体" w:hAnsi="宋体" w:eastAsia="宋体" w:cs="宋体"/>
      <w:i/>
      <w:iCs/>
      <w:color w:val="000000"/>
      <w:sz w:val="21"/>
      <w:szCs w:val="21"/>
      <w:u w:val="none"/>
    </w:rPr>
  </w:style>
  <w:style w:type="character" w:customStyle="1" w:styleId="258">
    <w:name w:val="font171"/>
    <w:basedOn w:val="53"/>
    <w:qFormat/>
    <w:uiPriority w:val="0"/>
    <w:rPr>
      <w:rFonts w:hint="eastAsia" w:ascii="宋体" w:hAnsi="宋体" w:eastAsia="宋体" w:cs="宋体"/>
      <w:color w:val="000000"/>
      <w:sz w:val="18"/>
      <w:szCs w:val="18"/>
      <w:u w:val="none"/>
    </w:rPr>
  </w:style>
  <w:style w:type="character" w:customStyle="1" w:styleId="259">
    <w:name w:val="font181"/>
    <w:basedOn w:val="53"/>
    <w:qFormat/>
    <w:uiPriority w:val="0"/>
    <w:rPr>
      <w:rFonts w:hint="eastAsia" w:ascii="宋体" w:hAnsi="宋体" w:eastAsia="宋体" w:cs="宋体"/>
      <w:color w:val="00B050"/>
      <w:sz w:val="18"/>
      <w:szCs w:val="18"/>
      <w:u w:val="none"/>
    </w:rPr>
  </w:style>
  <w:style w:type="character" w:customStyle="1" w:styleId="260">
    <w:name w:val="font191"/>
    <w:basedOn w:val="53"/>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image" Target="media/image3.emf"/><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header" Target="header13.xml"/><Relationship Id="rId21" Type="http://schemas.openxmlformats.org/officeDocument/2006/relationships/footer" Target="footer7.xml"/><Relationship Id="rId20" Type="http://schemas.openxmlformats.org/officeDocument/2006/relationships/header" Target="header12.xml"/><Relationship Id="rId2" Type="http://schemas.openxmlformats.org/officeDocument/2006/relationships/settings" Target="settings.xml"/><Relationship Id="rId19" Type="http://schemas.openxmlformats.org/officeDocument/2006/relationships/header" Target="header11.xml"/><Relationship Id="rId18" Type="http://schemas.openxmlformats.org/officeDocument/2006/relationships/header" Target="header10.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149</Pages>
  <Words>8226</Words>
  <Characters>11439</Characters>
  <Lines>970</Lines>
  <Paragraphs>273</Paragraphs>
  <TotalTime>13</TotalTime>
  <ScaleCrop>false</ScaleCrop>
  <LinksUpToDate>false</LinksUpToDate>
  <CharactersWithSpaces>12293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2026-09-22T10:22:00Z</dcterms:created>
  <dc:creator>微软用户</dc:creator>
  <cp:lastModifiedBy>WPS_1460455803</cp:lastModifiedBy>
  <cp:lastPrinted>2016-03-22T07:52:00Z</cp:lastPrinted>
  <dcterms:modified xsi:type="dcterms:W3CDTF">2026-09-30T09:28:17Z</dcterms:modified>
  <dc:title>桂财采〔2009〕 号</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KSOTemplateDocerSaveRecord">
    <vt:lpwstr>eyJoZGlkIjoiNDBkYjE0Zjk5NWRjOGM0NTNjN2QyNTkzOTFiMjQwYzYiLCJ1c2VySWQiOiIyMTA4NDg0NzcifQ==</vt:lpwstr>
  </property>
  <property fmtid="{D5CDD505-2E9C-101B-9397-08002B2CF9AE}" pid="13" name="ICV">
    <vt:lpwstr>B3C7D9336B2C4057AE3DAC59ADB84EC1_13</vt:lpwstr>
  </property>
</Properties>
</file>