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1346B8">
      <w:pPr>
        <w:spacing w:line="240" w:lineRule="auto"/>
        <w:jc w:val="center"/>
        <w:outlineLvl w:val="9"/>
        <w:rPr>
          <w:rFonts w:hint="eastAsia" w:ascii="宋体" w:hAnsi="宋体" w:cs="宋体"/>
          <w:b/>
          <w:bCs/>
          <w:color w:val="auto"/>
          <w:spacing w:val="80"/>
          <w:sz w:val="56"/>
          <w:szCs w:val="56"/>
          <w:highlight w:val="none"/>
          <w:lang w:eastAsia="zh-CN"/>
        </w:rPr>
      </w:pPr>
      <w:bookmarkStart w:id="0" w:name="_Toc10319"/>
      <w:bookmarkStart w:id="1" w:name="_Toc7014_WPSOffice_Level1"/>
    </w:p>
    <w:p w14:paraId="6C1D26EF">
      <w:pPr>
        <w:spacing w:line="240" w:lineRule="auto"/>
        <w:jc w:val="center"/>
        <w:outlineLvl w:val="9"/>
        <w:rPr>
          <w:rFonts w:hint="eastAsia" w:ascii="宋体" w:hAnsi="宋体" w:cs="宋体"/>
          <w:b/>
          <w:bCs/>
          <w:color w:val="auto"/>
          <w:spacing w:val="80"/>
          <w:sz w:val="52"/>
          <w:szCs w:val="52"/>
          <w:highlight w:val="none"/>
        </w:rPr>
      </w:pPr>
      <w:r>
        <w:rPr>
          <w:rFonts w:hint="eastAsia" w:ascii="宋体" w:hAnsi="宋体" w:cs="宋体"/>
          <w:b/>
          <w:bCs/>
          <w:color w:val="auto"/>
          <w:spacing w:val="80"/>
          <w:sz w:val="52"/>
          <w:szCs w:val="52"/>
          <w:highlight w:val="none"/>
        </w:rPr>
        <w:t>广西鼎策工程顾问有限责任公司</w:t>
      </w:r>
    </w:p>
    <w:p w14:paraId="5CC17B6A">
      <w:pPr>
        <w:spacing w:line="240" w:lineRule="auto"/>
        <w:jc w:val="center"/>
        <w:outlineLvl w:val="9"/>
        <w:rPr>
          <w:rFonts w:hint="eastAsia" w:ascii="宋体" w:hAnsi="宋体" w:cs="宋体"/>
          <w:b/>
          <w:bCs/>
          <w:color w:val="auto"/>
          <w:spacing w:val="80"/>
          <w:sz w:val="52"/>
          <w:szCs w:val="52"/>
          <w:highlight w:val="none"/>
        </w:rPr>
      </w:pPr>
    </w:p>
    <w:p w14:paraId="1401F5CC">
      <w:pPr>
        <w:spacing w:line="240" w:lineRule="auto"/>
        <w:jc w:val="center"/>
        <w:outlineLvl w:val="9"/>
        <w:rPr>
          <w:rFonts w:ascii="宋体" w:hAnsi="宋体" w:cs="宋体"/>
          <w:color w:val="auto"/>
          <w:sz w:val="52"/>
          <w:szCs w:val="52"/>
          <w:highlight w:val="none"/>
        </w:rPr>
      </w:pPr>
      <w:r>
        <w:rPr>
          <w:color w:val="auto"/>
          <w:highlight w:val="none"/>
        </w:rPr>
        <w:drawing>
          <wp:inline distT="0" distB="0" distL="114300" distR="114300">
            <wp:extent cx="1410335" cy="1693545"/>
            <wp:effectExtent l="0" t="0" r="18415" b="1905"/>
            <wp:docPr id="1" name="图片 1" descr="wps_clip_image-3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wps_clip_image-31599"/>
                    <pic:cNvPicPr>
                      <a:picLocks noChangeAspect="1"/>
                    </pic:cNvPicPr>
                  </pic:nvPicPr>
                  <pic:blipFill>
                    <a:blip r:embed="rId13"/>
                    <a:stretch>
                      <a:fillRect/>
                    </a:stretch>
                  </pic:blipFill>
                  <pic:spPr>
                    <a:xfrm>
                      <a:off x="0" y="0"/>
                      <a:ext cx="1410335" cy="1693545"/>
                    </a:xfrm>
                    <a:prstGeom prst="rect">
                      <a:avLst/>
                    </a:prstGeom>
                    <a:noFill/>
                    <a:ln>
                      <a:noFill/>
                    </a:ln>
                  </pic:spPr>
                </pic:pic>
              </a:graphicData>
            </a:graphic>
          </wp:inline>
        </w:drawing>
      </w:r>
      <w:r>
        <w:rPr>
          <w:rFonts w:hint="eastAsia" w:ascii="宋体" w:hAnsi="宋体" w:cs="宋体"/>
          <w:b/>
          <w:bCs/>
          <w:color w:val="auto"/>
          <w:spacing w:val="80"/>
          <w:sz w:val="56"/>
          <w:szCs w:val="56"/>
          <w:highlight w:val="none"/>
        </w:rPr>
        <w:cr/>
      </w:r>
    </w:p>
    <w:p w14:paraId="63E5EA80">
      <w:pPr>
        <w:spacing w:line="840" w:lineRule="exact"/>
        <w:jc w:val="both"/>
        <w:outlineLvl w:val="9"/>
        <w:rPr>
          <w:rFonts w:hint="eastAsia" w:ascii="宋体" w:hAnsi="宋体" w:eastAsia="宋体" w:cs="宋体"/>
          <w:b/>
          <w:color w:val="auto"/>
          <w:sz w:val="72"/>
          <w:szCs w:val="72"/>
          <w:highlight w:val="none"/>
        </w:rPr>
      </w:pPr>
    </w:p>
    <w:p w14:paraId="249E400C">
      <w:pPr>
        <w:spacing w:line="840" w:lineRule="exact"/>
        <w:jc w:val="center"/>
        <w:outlineLvl w:val="9"/>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竞争性磋商文件</w:t>
      </w:r>
    </w:p>
    <w:p w14:paraId="7A3200AE">
      <w:pPr>
        <w:jc w:val="both"/>
        <w:outlineLvl w:val="9"/>
        <w:rPr>
          <w:rFonts w:hint="eastAsia" w:ascii="宋体" w:hAnsi="宋体" w:eastAsia="宋体" w:cs="宋体"/>
          <w:b/>
          <w:bCs/>
          <w:color w:val="auto"/>
          <w:kern w:val="2"/>
          <w:sz w:val="32"/>
          <w:szCs w:val="32"/>
          <w:highlight w:val="none"/>
          <w:lang w:val="en-US" w:eastAsia="zh-CN" w:bidi="ar-SA"/>
        </w:rPr>
      </w:pPr>
    </w:p>
    <w:p w14:paraId="32A54576">
      <w:pPr>
        <w:ind w:left="2564" w:leftChars="456" w:hanging="1606" w:hangingChars="500"/>
        <w:jc w:val="both"/>
        <w:outlineLvl w:val="9"/>
        <w:rPr>
          <w:rFonts w:hint="eastAsia" w:ascii="宋体" w:hAnsi="宋体" w:eastAsia="宋体" w:cs="宋体"/>
          <w:b/>
          <w:bCs/>
          <w:color w:val="auto"/>
          <w:kern w:val="2"/>
          <w:sz w:val="32"/>
          <w:szCs w:val="32"/>
          <w:highlight w:val="none"/>
          <w:lang w:val="en-US" w:eastAsia="zh-CN" w:bidi="ar-SA"/>
        </w:rPr>
      </w:pPr>
      <w:r>
        <w:rPr>
          <w:rFonts w:hint="eastAsia" w:ascii="宋体" w:hAnsi="宋体" w:eastAsia="宋体" w:cs="宋体"/>
          <w:b/>
          <w:bCs/>
          <w:color w:val="auto"/>
          <w:kern w:val="2"/>
          <w:sz w:val="32"/>
          <w:szCs w:val="32"/>
          <w:highlight w:val="none"/>
          <w:lang w:val="en-US" w:eastAsia="zh-CN" w:bidi="ar-SA"/>
        </w:rPr>
        <w:t>项目名称：</w:t>
      </w:r>
      <w:r>
        <w:rPr>
          <w:rFonts w:hint="eastAsia" w:ascii="宋体" w:hAnsi="宋体" w:cs="宋体"/>
          <w:b/>
          <w:bCs/>
          <w:color w:val="auto"/>
          <w:kern w:val="2"/>
          <w:sz w:val="32"/>
          <w:szCs w:val="32"/>
          <w:highlight w:val="none"/>
          <w:lang w:val="en-US" w:eastAsia="zh-CN" w:bidi="ar-SA"/>
        </w:rPr>
        <w:t>桂林市临桂区两江镇培塘村委、大洲村委、保全村委等美丽宜居村庄整治提升以工代赈项目</w:t>
      </w:r>
    </w:p>
    <w:p w14:paraId="10D20F6F">
      <w:pPr>
        <w:ind w:firstLine="964" w:firstLineChars="300"/>
        <w:jc w:val="both"/>
        <w:outlineLvl w:val="9"/>
        <w:rPr>
          <w:rFonts w:hint="eastAsia" w:ascii="宋体" w:hAnsi="宋体" w:eastAsia="宋体" w:cs="宋体"/>
          <w:b/>
          <w:bCs/>
          <w:color w:val="auto"/>
          <w:kern w:val="2"/>
          <w:sz w:val="32"/>
          <w:szCs w:val="32"/>
          <w:highlight w:val="none"/>
          <w:lang w:val="en-US" w:eastAsia="zh-CN" w:bidi="ar-SA"/>
        </w:rPr>
      </w:pPr>
      <w:r>
        <w:rPr>
          <w:rFonts w:hint="eastAsia" w:ascii="宋体" w:hAnsi="宋体" w:eastAsia="宋体" w:cs="宋体"/>
          <w:b/>
          <w:bCs/>
          <w:color w:val="auto"/>
          <w:kern w:val="2"/>
          <w:sz w:val="32"/>
          <w:szCs w:val="32"/>
          <w:highlight w:val="none"/>
          <w:lang w:val="en-US" w:eastAsia="zh-CN" w:bidi="ar-SA"/>
        </w:rPr>
        <w:t>项目编号：</w:t>
      </w:r>
      <w:bookmarkStart w:id="2" w:name="_Toc30253"/>
      <w:r>
        <w:rPr>
          <w:rFonts w:hint="eastAsia" w:ascii="宋体" w:hAnsi="宋体" w:eastAsia="宋体" w:cs="宋体"/>
          <w:b/>
          <w:bCs/>
          <w:color w:val="auto"/>
          <w:kern w:val="2"/>
          <w:sz w:val="32"/>
          <w:szCs w:val="32"/>
          <w:highlight w:val="none"/>
          <w:lang w:val="en-US" w:eastAsia="zh-CN" w:bidi="ar-SA"/>
        </w:rPr>
        <w:t>GLZC2026-C2-120033-GXDC</w:t>
      </w:r>
      <w:r>
        <w:rPr>
          <w:rFonts w:hint="eastAsia" w:ascii="宋体" w:hAnsi="宋体" w:cs="宋体"/>
          <w:b/>
          <w:bCs/>
          <w:color w:val="auto"/>
          <w:kern w:val="2"/>
          <w:sz w:val="32"/>
          <w:szCs w:val="32"/>
          <w:highlight w:val="none"/>
          <w:lang w:val="en-US" w:eastAsia="zh-CN" w:bidi="ar-SA"/>
        </w:rPr>
        <w:t xml:space="preserve">  </w:t>
      </w:r>
    </w:p>
    <w:p w14:paraId="2632ABAE">
      <w:pPr>
        <w:ind w:firstLine="964" w:firstLineChars="300"/>
        <w:jc w:val="both"/>
        <w:outlineLvl w:val="9"/>
        <w:rPr>
          <w:rFonts w:hint="eastAsia" w:ascii="宋体" w:hAnsi="宋体" w:eastAsia="宋体" w:cs="宋体"/>
          <w:b/>
          <w:bCs/>
          <w:color w:val="auto"/>
          <w:kern w:val="2"/>
          <w:sz w:val="32"/>
          <w:szCs w:val="32"/>
          <w:highlight w:val="none"/>
          <w:lang w:val="en-US" w:eastAsia="zh-CN" w:bidi="ar-SA"/>
        </w:rPr>
      </w:pPr>
      <w:r>
        <w:rPr>
          <w:rFonts w:hint="eastAsia" w:ascii="宋体" w:hAnsi="宋体" w:eastAsia="宋体" w:cs="宋体"/>
          <w:b/>
          <w:bCs/>
          <w:color w:val="auto"/>
          <w:kern w:val="2"/>
          <w:sz w:val="32"/>
          <w:szCs w:val="32"/>
          <w:highlight w:val="none"/>
          <w:lang w:val="en-US" w:eastAsia="zh-CN" w:bidi="ar-SA"/>
        </w:rPr>
        <w:t>采购人：</w:t>
      </w:r>
      <w:bookmarkEnd w:id="2"/>
      <w:r>
        <w:rPr>
          <w:rFonts w:hint="eastAsia" w:ascii="宋体" w:hAnsi="宋体" w:cs="宋体"/>
          <w:b/>
          <w:bCs/>
          <w:color w:val="auto"/>
          <w:kern w:val="2"/>
          <w:sz w:val="32"/>
          <w:szCs w:val="32"/>
          <w:highlight w:val="none"/>
          <w:lang w:val="en-US" w:eastAsia="zh-CN" w:bidi="ar-SA"/>
        </w:rPr>
        <w:t>桂林市临桂区两江镇人民政府</w:t>
      </w:r>
    </w:p>
    <w:p w14:paraId="2D666C36">
      <w:pPr>
        <w:ind w:firstLine="964" w:firstLineChars="300"/>
        <w:jc w:val="both"/>
        <w:outlineLvl w:val="9"/>
        <w:rPr>
          <w:rFonts w:hint="eastAsia" w:ascii="宋体" w:hAnsi="宋体" w:eastAsia="宋体" w:cs="宋体"/>
          <w:b/>
          <w:bCs/>
          <w:color w:val="auto"/>
          <w:kern w:val="2"/>
          <w:sz w:val="32"/>
          <w:szCs w:val="32"/>
          <w:highlight w:val="none"/>
          <w:lang w:val="en-US" w:eastAsia="zh-CN" w:bidi="ar-SA"/>
        </w:rPr>
      </w:pPr>
    </w:p>
    <w:p w14:paraId="482C28FD">
      <w:pPr>
        <w:ind w:firstLine="964" w:firstLineChars="300"/>
        <w:jc w:val="both"/>
        <w:outlineLvl w:val="9"/>
        <w:rPr>
          <w:rFonts w:hint="eastAsia" w:ascii="宋体" w:hAnsi="宋体" w:eastAsia="宋体" w:cs="宋体"/>
          <w:b/>
          <w:bCs/>
          <w:color w:val="auto"/>
          <w:sz w:val="32"/>
          <w:highlight w:val="none"/>
        </w:rPr>
      </w:pPr>
      <w:r>
        <w:rPr>
          <w:rFonts w:hint="eastAsia" w:ascii="宋体" w:hAnsi="宋体" w:eastAsia="宋体" w:cs="宋体"/>
          <w:b/>
          <w:bCs/>
          <w:color w:val="auto"/>
          <w:kern w:val="2"/>
          <w:sz w:val="32"/>
          <w:szCs w:val="32"/>
          <w:highlight w:val="none"/>
          <w:lang w:val="en-US" w:eastAsia="zh-CN" w:bidi="ar-SA"/>
        </w:rPr>
        <w:t>采购代理机构：</w:t>
      </w:r>
      <w:bookmarkStart w:id="3" w:name="_Toc25897"/>
      <w:r>
        <w:rPr>
          <w:rFonts w:hint="eastAsia" w:ascii="宋体" w:hAnsi="宋体" w:cs="宋体"/>
          <w:b/>
          <w:bCs/>
          <w:color w:val="auto"/>
          <w:kern w:val="2"/>
          <w:sz w:val="32"/>
          <w:szCs w:val="32"/>
          <w:highlight w:val="none"/>
          <w:lang w:val="en-US" w:eastAsia="zh-CN" w:bidi="ar-SA"/>
        </w:rPr>
        <w:t>广西鼎策工程顾问有限责任公司</w:t>
      </w:r>
    </w:p>
    <w:p w14:paraId="6273A391">
      <w:pPr>
        <w:jc w:val="center"/>
        <w:outlineLvl w:val="9"/>
        <w:rPr>
          <w:rFonts w:hint="eastAsia" w:ascii="宋体" w:hAnsi="宋体" w:eastAsia="宋体" w:cs="宋体"/>
          <w:b w:val="0"/>
          <w:bCs w:val="0"/>
          <w:color w:val="auto"/>
          <w:sz w:val="32"/>
          <w:highlight w:val="none"/>
        </w:rPr>
      </w:pPr>
    </w:p>
    <w:p w14:paraId="525F7892">
      <w:pPr>
        <w:jc w:val="center"/>
        <w:outlineLvl w:val="9"/>
        <w:rPr>
          <w:rFonts w:hint="eastAsia" w:ascii="宋体" w:hAnsi="宋体" w:eastAsia="宋体" w:cs="宋体"/>
          <w:b/>
          <w:bCs/>
          <w:color w:val="auto"/>
          <w:sz w:val="32"/>
          <w:highlight w:val="none"/>
          <w:lang w:val="en-US" w:eastAsia="zh-CN"/>
        </w:rPr>
      </w:pPr>
      <w:r>
        <w:rPr>
          <w:rFonts w:hint="eastAsia" w:ascii="宋体" w:hAnsi="宋体" w:eastAsia="宋体" w:cs="宋体"/>
          <w:b/>
          <w:bCs/>
          <w:color w:val="auto"/>
          <w:sz w:val="32"/>
          <w:highlight w:val="none"/>
        </w:rPr>
        <w:t>日期：202</w:t>
      </w:r>
      <w:r>
        <w:rPr>
          <w:rFonts w:hint="eastAsia" w:ascii="宋体" w:hAnsi="宋体" w:cs="宋体"/>
          <w:b/>
          <w:bCs/>
          <w:color w:val="auto"/>
          <w:sz w:val="32"/>
          <w:highlight w:val="none"/>
          <w:lang w:val="en-US" w:eastAsia="zh-CN"/>
        </w:rPr>
        <w:t>6</w:t>
      </w:r>
      <w:r>
        <w:rPr>
          <w:rFonts w:hint="eastAsia" w:ascii="宋体" w:hAnsi="宋体" w:eastAsia="宋体" w:cs="宋体"/>
          <w:b/>
          <w:bCs/>
          <w:color w:val="auto"/>
          <w:sz w:val="32"/>
          <w:highlight w:val="none"/>
        </w:rPr>
        <w:t>年</w:t>
      </w:r>
      <w:bookmarkEnd w:id="3"/>
      <w:r>
        <w:rPr>
          <w:rFonts w:hint="eastAsia" w:ascii="宋体" w:hAnsi="宋体" w:cs="宋体"/>
          <w:b/>
          <w:bCs/>
          <w:color w:val="auto"/>
          <w:sz w:val="32"/>
          <w:highlight w:val="none"/>
          <w:lang w:val="en-US" w:eastAsia="zh-CN"/>
        </w:rPr>
        <w:t>8</w:t>
      </w:r>
      <w:r>
        <w:rPr>
          <w:rFonts w:hint="eastAsia" w:ascii="宋体" w:hAnsi="宋体" w:eastAsia="宋体" w:cs="宋体"/>
          <w:b/>
          <w:bCs/>
          <w:color w:val="auto"/>
          <w:sz w:val="32"/>
          <w:highlight w:val="none"/>
          <w:lang w:val="en-US" w:eastAsia="zh-CN"/>
        </w:rPr>
        <w:t>月</w:t>
      </w:r>
      <w:r>
        <w:rPr>
          <w:rFonts w:hint="eastAsia" w:ascii="宋体" w:hAnsi="宋体" w:cs="宋体"/>
          <w:b/>
          <w:bCs/>
          <w:color w:val="auto"/>
          <w:sz w:val="32"/>
          <w:highlight w:val="none"/>
          <w:lang w:val="en-US" w:eastAsia="zh-CN"/>
        </w:rPr>
        <w:t>17</w:t>
      </w:r>
      <w:r>
        <w:rPr>
          <w:rFonts w:hint="eastAsia" w:ascii="宋体" w:hAnsi="宋体" w:eastAsia="宋体" w:cs="宋体"/>
          <w:b/>
          <w:bCs/>
          <w:color w:val="auto"/>
          <w:sz w:val="32"/>
          <w:highlight w:val="none"/>
          <w:lang w:val="en-US" w:eastAsia="zh-CN"/>
        </w:rPr>
        <w:t>日</w:t>
      </w:r>
    </w:p>
    <w:p w14:paraId="21785B46">
      <w:pPr>
        <w:jc w:val="center"/>
        <w:outlineLvl w:val="9"/>
        <w:rPr>
          <w:rFonts w:hint="eastAsia" w:ascii="宋体" w:hAnsi="宋体" w:eastAsia="宋体" w:cs="宋体"/>
          <w:b/>
          <w:bCs/>
          <w:color w:val="auto"/>
          <w:sz w:val="32"/>
          <w:highlight w:val="none"/>
          <w:lang w:val="en-US" w:eastAsia="zh-CN"/>
        </w:rPr>
      </w:pPr>
    </w:p>
    <w:p w14:paraId="370794F3">
      <w:pPr>
        <w:jc w:val="center"/>
        <w:outlineLvl w:val="9"/>
        <w:rPr>
          <w:rFonts w:hint="eastAsia" w:ascii="宋体" w:hAnsi="宋体" w:eastAsia="宋体" w:cs="宋体"/>
          <w:color w:val="auto"/>
          <w:highlight w:val="none"/>
          <w:shd w:val="clear" w:color="auto" w:fill="auto"/>
          <w:lang w:val="zh-CN"/>
        </w:rPr>
      </w:pPr>
      <w:r>
        <w:rPr>
          <w:rFonts w:hint="eastAsia" w:ascii="宋体" w:hAnsi="宋体" w:eastAsia="宋体" w:cs="宋体"/>
          <w:b/>
          <w:bCs/>
          <w:color w:val="auto"/>
          <w:sz w:val="36"/>
          <w:szCs w:val="36"/>
          <w:highlight w:val="none"/>
          <w:shd w:val="clear" w:color="auto" w:fill="auto"/>
          <w:lang w:val="zh-CN"/>
        </w:rPr>
        <w:t>目</w:t>
      </w:r>
      <w:r>
        <w:rPr>
          <w:rFonts w:hint="eastAsia" w:ascii="宋体" w:hAnsi="宋体" w:eastAsia="宋体" w:cs="宋体"/>
          <w:b/>
          <w:bCs/>
          <w:color w:val="auto"/>
          <w:sz w:val="36"/>
          <w:szCs w:val="36"/>
          <w:highlight w:val="none"/>
          <w:shd w:val="clear" w:color="auto" w:fill="auto"/>
        </w:rPr>
        <w:t xml:space="preserve"> </w:t>
      </w:r>
      <w:r>
        <w:rPr>
          <w:rFonts w:hint="eastAsia" w:ascii="宋体" w:hAnsi="宋体" w:eastAsia="宋体" w:cs="宋体"/>
          <w:b/>
          <w:bCs/>
          <w:color w:val="auto"/>
          <w:sz w:val="36"/>
          <w:szCs w:val="36"/>
          <w:highlight w:val="none"/>
          <w:shd w:val="clear" w:color="auto" w:fill="auto"/>
          <w:lang w:val="en-US" w:eastAsia="zh-CN"/>
        </w:rPr>
        <w:t xml:space="preserve"> </w:t>
      </w:r>
      <w:r>
        <w:rPr>
          <w:rFonts w:hint="eastAsia" w:ascii="宋体" w:hAnsi="宋体" w:eastAsia="宋体" w:cs="宋体"/>
          <w:b/>
          <w:bCs/>
          <w:color w:val="auto"/>
          <w:sz w:val="36"/>
          <w:szCs w:val="36"/>
          <w:highlight w:val="none"/>
          <w:shd w:val="clear" w:color="auto" w:fill="auto"/>
        </w:rPr>
        <w:t xml:space="preserve"> </w:t>
      </w:r>
      <w:r>
        <w:rPr>
          <w:rFonts w:hint="eastAsia" w:ascii="宋体" w:hAnsi="宋体" w:eastAsia="宋体" w:cs="宋体"/>
          <w:b/>
          <w:bCs/>
          <w:color w:val="auto"/>
          <w:sz w:val="36"/>
          <w:szCs w:val="36"/>
          <w:highlight w:val="none"/>
          <w:shd w:val="clear" w:color="auto" w:fill="auto"/>
          <w:lang w:val="zh-CN"/>
        </w:rPr>
        <w:t>录</w:t>
      </w:r>
    </w:p>
    <w:p w14:paraId="173FB304">
      <w:pPr>
        <w:outlineLvl w:val="9"/>
        <w:rPr>
          <w:rFonts w:hint="eastAsia" w:ascii="宋体" w:hAnsi="宋体" w:eastAsia="宋体" w:cs="宋体"/>
          <w:color w:val="auto"/>
          <w:highlight w:val="none"/>
          <w:shd w:val="clear" w:color="auto" w:fill="auto"/>
          <w:lang w:val="zh-CN"/>
        </w:rPr>
      </w:pPr>
    </w:p>
    <w:p w14:paraId="5B63C91E">
      <w:pPr>
        <w:pStyle w:val="28"/>
        <w:keepNext w:val="0"/>
        <w:keepLines w:val="0"/>
        <w:pageBreakBefore w:val="0"/>
        <w:widowControl w:val="0"/>
        <w:tabs>
          <w:tab w:val="right" w:leader="dot" w:pos="9739"/>
        </w:tabs>
        <w:kinsoku/>
        <w:wordWrap/>
        <w:overflowPunct/>
        <w:topLinePunct w:val="0"/>
        <w:autoSpaceDE/>
        <w:autoSpaceDN/>
        <w:bidi w:val="0"/>
        <w:adjustRightInd/>
        <w:snapToGrid/>
        <w:spacing w:line="480" w:lineRule="auto"/>
        <w:textAlignment w:val="auto"/>
        <w:rPr>
          <w:b w:val="0"/>
          <w:bCs/>
          <w:sz w:val="24"/>
          <w:szCs w:val="32"/>
        </w:rPr>
      </w:pPr>
      <w:r>
        <w:rPr>
          <w:rFonts w:hint="eastAsia" w:ascii="宋体" w:hAnsi="宋体" w:eastAsia="宋体" w:cs="宋体"/>
          <w:b w:val="0"/>
          <w:bCs/>
          <w:color w:val="auto"/>
          <w:sz w:val="36"/>
          <w:szCs w:val="36"/>
          <w:highlight w:val="none"/>
          <w:shd w:val="clear" w:color="auto" w:fill="auto"/>
        </w:rPr>
        <w:fldChar w:fldCharType="begin"/>
      </w:r>
      <w:r>
        <w:rPr>
          <w:rFonts w:hint="eastAsia" w:ascii="宋体" w:hAnsi="宋体" w:eastAsia="宋体" w:cs="宋体"/>
          <w:b w:val="0"/>
          <w:bCs/>
          <w:color w:val="auto"/>
          <w:sz w:val="36"/>
          <w:szCs w:val="36"/>
          <w:highlight w:val="none"/>
          <w:shd w:val="clear" w:color="auto" w:fill="auto"/>
        </w:rPr>
        <w:instrText xml:space="preserve">TOC \o "1-1" \h \u </w:instrText>
      </w:r>
      <w:r>
        <w:rPr>
          <w:rFonts w:hint="eastAsia" w:ascii="宋体" w:hAnsi="宋体" w:eastAsia="宋体" w:cs="宋体"/>
          <w:b w:val="0"/>
          <w:bCs/>
          <w:color w:val="auto"/>
          <w:sz w:val="36"/>
          <w:szCs w:val="36"/>
          <w:highlight w:val="none"/>
          <w:shd w:val="clear" w:color="auto" w:fill="auto"/>
        </w:rPr>
        <w:fldChar w:fldCharType="separate"/>
      </w:r>
      <w:r>
        <w:rPr>
          <w:rFonts w:hint="eastAsia" w:ascii="宋体" w:hAnsi="宋体" w:eastAsia="宋体" w:cs="宋体"/>
          <w:b w:val="0"/>
          <w:bCs/>
          <w:color w:val="auto"/>
          <w:sz w:val="24"/>
          <w:szCs w:val="36"/>
          <w:highlight w:val="none"/>
          <w:shd w:val="clear" w:color="auto" w:fill="auto"/>
        </w:rPr>
        <w:fldChar w:fldCharType="begin"/>
      </w:r>
      <w:r>
        <w:rPr>
          <w:rFonts w:hint="eastAsia" w:ascii="宋体" w:hAnsi="宋体" w:eastAsia="宋体" w:cs="宋体"/>
          <w:b w:val="0"/>
          <w:bCs/>
          <w:sz w:val="24"/>
          <w:szCs w:val="36"/>
          <w:highlight w:val="none"/>
          <w:shd w:val="clear" w:color="auto" w:fill="auto"/>
        </w:rPr>
        <w:instrText xml:space="preserve"> HYPERLINK \l _Toc26227 </w:instrText>
      </w:r>
      <w:r>
        <w:rPr>
          <w:rFonts w:hint="eastAsia" w:ascii="宋体" w:hAnsi="宋体" w:eastAsia="宋体" w:cs="宋体"/>
          <w:b w:val="0"/>
          <w:bCs/>
          <w:sz w:val="24"/>
          <w:szCs w:val="36"/>
          <w:highlight w:val="none"/>
          <w:shd w:val="clear" w:color="auto" w:fill="auto"/>
        </w:rPr>
        <w:fldChar w:fldCharType="separate"/>
      </w:r>
      <w:r>
        <w:rPr>
          <w:rFonts w:hint="eastAsia" w:ascii="宋体" w:hAnsi="宋体" w:eastAsia="宋体" w:cs="宋体"/>
          <w:b w:val="0"/>
          <w:bCs/>
          <w:sz w:val="24"/>
          <w:szCs w:val="40"/>
          <w:highlight w:val="none"/>
          <w:shd w:val="clear" w:color="auto" w:fill="auto"/>
        </w:rPr>
        <w:t>第一章  竞争性磋商公告</w:t>
      </w:r>
      <w:r>
        <w:rPr>
          <w:b w:val="0"/>
          <w:bCs/>
          <w:sz w:val="24"/>
          <w:szCs w:val="32"/>
        </w:rPr>
        <w:tab/>
      </w:r>
      <w:r>
        <w:rPr>
          <w:b w:val="0"/>
          <w:bCs/>
          <w:sz w:val="24"/>
          <w:szCs w:val="32"/>
        </w:rPr>
        <w:fldChar w:fldCharType="begin"/>
      </w:r>
      <w:r>
        <w:rPr>
          <w:b w:val="0"/>
          <w:bCs/>
          <w:sz w:val="24"/>
          <w:szCs w:val="32"/>
        </w:rPr>
        <w:instrText xml:space="preserve"> PAGEREF _Toc26227 \h </w:instrText>
      </w:r>
      <w:r>
        <w:rPr>
          <w:b w:val="0"/>
          <w:bCs/>
          <w:sz w:val="24"/>
          <w:szCs w:val="32"/>
        </w:rPr>
        <w:fldChar w:fldCharType="separate"/>
      </w:r>
      <w:r>
        <w:rPr>
          <w:b w:val="0"/>
          <w:bCs/>
          <w:sz w:val="24"/>
          <w:szCs w:val="32"/>
        </w:rPr>
        <w:t>1</w:t>
      </w:r>
      <w:r>
        <w:rPr>
          <w:b w:val="0"/>
          <w:bCs/>
          <w:sz w:val="24"/>
          <w:szCs w:val="32"/>
        </w:rPr>
        <w:fldChar w:fldCharType="end"/>
      </w:r>
      <w:r>
        <w:rPr>
          <w:rFonts w:hint="eastAsia" w:ascii="宋体" w:hAnsi="宋体" w:eastAsia="宋体" w:cs="宋体"/>
          <w:b w:val="0"/>
          <w:bCs/>
          <w:color w:val="auto"/>
          <w:sz w:val="24"/>
          <w:szCs w:val="36"/>
          <w:highlight w:val="none"/>
          <w:shd w:val="clear" w:color="auto" w:fill="auto"/>
        </w:rPr>
        <w:fldChar w:fldCharType="end"/>
      </w:r>
    </w:p>
    <w:p w14:paraId="586729AA">
      <w:pPr>
        <w:pStyle w:val="28"/>
        <w:keepNext w:val="0"/>
        <w:keepLines w:val="0"/>
        <w:pageBreakBefore w:val="0"/>
        <w:widowControl w:val="0"/>
        <w:tabs>
          <w:tab w:val="right" w:leader="dot" w:pos="9739"/>
        </w:tabs>
        <w:kinsoku/>
        <w:wordWrap/>
        <w:overflowPunct/>
        <w:topLinePunct w:val="0"/>
        <w:autoSpaceDE/>
        <w:autoSpaceDN/>
        <w:bidi w:val="0"/>
        <w:adjustRightInd/>
        <w:snapToGrid/>
        <w:spacing w:line="480" w:lineRule="auto"/>
        <w:textAlignment w:val="auto"/>
        <w:rPr>
          <w:b w:val="0"/>
          <w:bCs/>
          <w:sz w:val="24"/>
          <w:szCs w:val="32"/>
        </w:rPr>
      </w:pPr>
      <w:r>
        <w:rPr>
          <w:rFonts w:hint="eastAsia" w:ascii="宋体" w:hAnsi="宋体" w:eastAsia="宋体" w:cs="宋体"/>
          <w:b w:val="0"/>
          <w:bCs/>
          <w:color w:val="auto"/>
          <w:sz w:val="24"/>
          <w:szCs w:val="36"/>
          <w:highlight w:val="none"/>
          <w:shd w:val="clear" w:color="auto" w:fill="auto"/>
        </w:rPr>
        <w:fldChar w:fldCharType="begin"/>
      </w:r>
      <w:r>
        <w:rPr>
          <w:rFonts w:hint="eastAsia" w:ascii="宋体" w:hAnsi="宋体" w:eastAsia="宋体" w:cs="宋体"/>
          <w:b w:val="0"/>
          <w:bCs/>
          <w:sz w:val="24"/>
          <w:szCs w:val="36"/>
          <w:highlight w:val="none"/>
          <w:shd w:val="clear" w:color="auto" w:fill="auto"/>
        </w:rPr>
        <w:instrText xml:space="preserve"> HYPERLINK \l _Toc14132 </w:instrText>
      </w:r>
      <w:r>
        <w:rPr>
          <w:rFonts w:hint="eastAsia" w:ascii="宋体" w:hAnsi="宋体" w:eastAsia="宋体" w:cs="宋体"/>
          <w:b w:val="0"/>
          <w:bCs/>
          <w:sz w:val="24"/>
          <w:szCs w:val="36"/>
          <w:highlight w:val="none"/>
          <w:shd w:val="clear" w:color="auto" w:fill="auto"/>
        </w:rPr>
        <w:fldChar w:fldCharType="separate"/>
      </w:r>
      <w:r>
        <w:rPr>
          <w:rFonts w:hint="eastAsia" w:ascii="宋体" w:hAnsi="宋体" w:eastAsia="宋体" w:cs="宋体"/>
          <w:b w:val="0"/>
          <w:bCs/>
          <w:sz w:val="24"/>
          <w:szCs w:val="40"/>
          <w:highlight w:val="none"/>
          <w:shd w:val="clear" w:color="auto" w:fill="auto"/>
        </w:rPr>
        <w:t>第二章  供应商须知</w:t>
      </w:r>
      <w:r>
        <w:rPr>
          <w:b w:val="0"/>
          <w:bCs/>
          <w:sz w:val="24"/>
          <w:szCs w:val="32"/>
        </w:rPr>
        <w:tab/>
      </w:r>
      <w:r>
        <w:rPr>
          <w:b w:val="0"/>
          <w:bCs/>
          <w:sz w:val="24"/>
          <w:szCs w:val="32"/>
        </w:rPr>
        <w:fldChar w:fldCharType="begin"/>
      </w:r>
      <w:r>
        <w:rPr>
          <w:b w:val="0"/>
          <w:bCs/>
          <w:sz w:val="24"/>
          <w:szCs w:val="32"/>
        </w:rPr>
        <w:instrText xml:space="preserve"> PAGEREF _Toc14132 \h </w:instrText>
      </w:r>
      <w:r>
        <w:rPr>
          <w:b w:val="0"/>
          <w:bCs/>
          <w:sz w:val="24"/>
          <w:szCs w:val="32"/>
        </w:rPr>
        <w:fldChar w:fldCharType="separate"/>
      </w:r>
      <w:r>
        <w:rPr>
          <w:b w:val="0"/>
          <w:bCs/>
          <w:sz w:val="24"/>
          <w:szCs w:val="32"/>
        </w:rPr>
        <w:t>5</w:t>
      </w:r>
      <w:r>
        <w:rPr>
          <w:b w:val="0"/>
          <w:bCs/>
          <w:sz w:val="24"/>
          <w:szCs w:val="32"/>
        </w:rPr>
        <w:fldChar w:fldCharType="end"/>
      </w:r>
      <w:r>
        <w:rPr>
          <w:rFonts w:hint="eastAsia" w:ascii="宋体" w:hAnsi="宋体" w:eastAsia="宋体" w:cs="宋体"/>
          <w:b w:val="0"/>
          <w:bCs/>
          <w:color w:val="auto"/>
          <w:sz w:val="24"/>
          <w:szCs w:val="36"/>
          <w:highlight w:val="none"/>
          <w:shd w:val="clear" w:color="auto" w:fill="auto"/>
        </w:rPr>
        <w:fldChar w:fldCharType="end"/>
      </w:r>
    </w:p>
    <w:p w14:paraId="070320F7">
      <w:pPr>
        <w:pStyle w:val="28"/>
        <w:keepNext w:val="0"/>
        <w:keepLines w:val="0"/>
        <w:pageBreakBefore w:val="0"/>
        <w:widowControl w:val="0"/>
        <w:tabs>
          <w:tab w:val="right" w:leader="dot" w:pos="9739"/>
        </w:tabs>
        <w:kinsoku/>
        <w:wordWrap/>
        <w:overflowPunct/>
        <w:topLinePunct w:val="0"/>
        <w:autoSpaceDE/>
        <w:autoSpaceDN/>
        <w:bidi w:val="0"/>
        <w:adjustRightInd/>
        <w:snapToGrid/>
        <w:spacing w:line="480" w:lineRule="auto"/>
        <w:textAlignment w:val="auto"/>
        <w:rPr>
          <w:b w:val="0"/>
          <w:bCs/>
          <w:sz w:val="24"/>
          <w:szCs w:val="32"/>
        </w:rPr>
      </w:pPr>
      <w:r>
        <w:rPr>
          <w:rFonts w:hint="eastAsia" w:ascii="宋体" w:hAnsi="宋体" w:eastAsia="宋体" w:cs="宋体"/>
          <w:b w:val="0"/>
          <w:bCs/>
          <w:color w:val="auto"/>
          <w:sz w:val="24"/>
          <w:szCs w:val="36"/>
          <w:highlight w:val="none"/>
          <w:shd w:val="clear" w:color="auto" w:fill="auto"/>
        </w:rPr>
        <w:fldChar w:fldCharType="begin"/>
      </w:r>
      <w:r>
        <w:rPr>
          <w:rFonts w:hint="eastAsia" w:ascii="宋体" w:hAnsi="宋体" w:eastAsia="宋体" w:cs="宋体"/>
          <w:b w:val="0"/>
          <w:bCs/>
          <w:sz w:val="24"/>
          <w:szCs w:val="36"/>
          <w:highlight w:val="none"/>
          <w:shd w:val="clear" w:color="auto" w:fill="auto"/>
        </w:rPr>
        <w:instrText xml:space="preserve"> HYPERLINK \l _Toc2273 </w:instrText>
      </w:r>
      <w:r>
        <w:rPr>
          <w:rFonts w:hint="eastAsia" w:ascii="宋体" w:hAnsi="宋体" w:eastAsia="宋体" w:cs="宋体"/>
          <w:b w:val="0"/>
          <w:bCs/>
          <w:sz w:val="24"/>
          <w:szCs w:val="36"/>
          <w:highlight w:val="none"/>
          <w:shd w:val="clear" w:color="auto" w:fill="auto"/>
        </w:rPr>
        <w:fldChar w:fldCharType="separate"/>
      </w:r>
      <w:r>
        <w:rPr>
          <w:rFonts w:hint="eastAsia" w:ascii="宋体" w:hAnsi="宋体" w:eastAsia="宋体" w:cs="宋体"/>
          <w:b w:val="0"/>
          <w:bCs/>
          <w:sz w:val="24"/>
          <w:szCs w:val="40"/>
          <w:highlight w:val="none"/>
          <w:shd w:val="clear" w:color="auto" w:fill="auto"/>
        </w:rPr>
        <w:t>第三章  工程量清单（另册发放）</w:t>
      </w:r>
      <w:r>
        <w:rPr>
          <w:b w:val="0"/>
          <w:bCs/>
          <w:sz w:val="24"/>
          <w:szCs w:val="32"/>
        </w:rPr>
        <w:tab/>
      </w:r>
      <w:r>
        <w:rPr>
          <w:b w:val="0"/>
          <w:bCs/>
          <w:sz w:val="24"/>
          <w:szCs w:val="32"/>
        </w:rPr>
        <w:fldChar w:fldCharType="begin"/>
      </w:r>
      <w:r>
        <w:rPr>
          <w:b w:val="0"/>
          <w:bCs/>
          <w:sz w:val="24"/>
          <w:szCs w:val="32"/>
        </w:rPr>
        <w:instrText xml:space="preserve"> PAGEREF _Toc2273 \h </w:instrText>
      </w:r>
      <w:r>
        <w:rPr>
          <w:b w:val="0"/>
          <w:bCs/>
          <w:sz w:val="24"/>
          <w:szCs w:val="32"/>
        </w:rPr>
        <w:fldChar w:fldCharType="separate"/>
      </w:r>
      <w:r>
        <w:rPr>
          <w:b w:val="0"/>
          <w:bCs/>
          <w:sz w:val="24"/>
          <w:szCs w:val="32"/>
        </w:rPr>
        <w:t>31</w:t>
      </w:r>
      <w:r>
        <w:rPr>
          <w:b w:val="0"/>
          <w:bCs/>
          <w:sz w:val="24"/>
          <w:szCs w:val="32"/>
        </w:rPr>
        <w:fldChar w:fldCharType="end"/>
      </w:r>
      <w:r>
        <w:rPr>
          <w:rFonts w:hint="eastAsia" w:ascii="宋体" w:hAnsi="宋体" w:eastAsia="宋体" w:cs="宋体"/>
          <w:b w:val="0"/>
          <w:bCs/>
          <w:color w:val="auto"/>
          <w:sz w:val="24"/>
          <w:szCs w:val="36"/>
          <w:highlight w:val="none"/>
          <w:shd w:val="clear" w:color="auto" w:fill="auto"/>
        </w:rPr>
        <w:fldChar w:fldCharType="end"/>
      </w:r>
    </w:p>
    <w:p w14:paraId="5AF57CB8">
      <w:pPr>
        <w:pStyle w:val="28"/>
        <w:keepNext w:val="0"/>
        <w:keepLines w:val="0"/>
        <w:pageBreakBefore w:val="0"/>
        <w:widowControl w:val="0"/>
        <w:tabs>
          <w:tab w:val="right" w:leader="dot" w:pos="9739"/>
        </w:tabs>
        <w:kinsoku/>
        <w:wordWrap/>
        <w:overflowPunct/>
        <w:topLinePunct w:val="0"/>
        <w:autoSpaceDE/>
        <w:autoSpaceDN/>
        <w:bidi w:val="0"/>
        <w:adjustRightInd/>
        <w:snapToGrid/>
        <w:spacing w:line="480" w:lineRule="auto"/>
        <w:textAlignment w:val="auto"/>
        <w:rPr>
          <w:b w:val="0"/>
          <w:bCs/>
          <w:sz w:val="24"/>
          <w:szCs w:val="32"/>
        </w:rPr>
      </w:pPr>
      <w:r>
        <w:rPr>
          <w:rFonts w:hint="eastAsia" w:ascii="宋体" w:hAnsi="宋体" w:eastAsia="宋体" w:cs="宋体"/>
          <w:b w:val="0"/>
          <w:bCs/>
          <w:color w:val="auto"/>
          <w:sz w:val="24"/>
          <w:szCs w:val="36"/>
          <w:highlight w:val="none"/>
          <w:shd w:val="clear" w:color="auto" w:fill="auto"/>
        </w:rPr>
        <w:fldChar w:fldCharType="begin"/>
      </w:r>
      <w:r>
        <w:rPr>
          <w:rFonts w:hint="eastAsia" w:ascii="宋体" w:hAnsi="宋体" w:eastAsia="宋体" w:cs="宋体"/>
          <w:b w:val="0"/>
          <w:bCs/>
          <w:sz w:val="24"/>
          <w:szCs w:val="36"/>
          <w:highlight w:val="none"/>
          <w:shd w:val="clear" w:color="auto" w:fill="auto"/>
        </w:rPr>
        <w:instrText xml:space="preserve"> HYPERLINK \l _Toc30140 </w:instrText>
      </w:r>
      <w:r>
        <w:rPr>
          <w:rFonts w:hint="eastAsia" w:ascii="宋体" w:hAnsi="宋体" w:eastAsia="宋体" w:cs="宋体"/>
          <w:b w:val="0"/>
          <w:bCs/>
          <w:sz w:val="24"/>
          <w:szCs w:val="36"/>
          <w:highlight w:val="none"/>
          <w:shd w:val="clear" w:color="auto" w:fill="auto"/>
        </w:rPr>
        <w:fldChar w:fldCharType="separate"/>
      </w:r>
      <w:r>
        <w:rPr>
          <w:rFonts w:hint="eastAsia" w:ascii="宋体" w:hAnsi="宋体" w:eastAsia="宋体" w:cs="宋体"/>
          <w:b w:val="0"/>
          <w:bCs/>
          <w:sz w:val="24"/>
          <w:szCs w:val="40"/>
          <w:highlight w:val="none"/>
          <w:shd w:val="clear" w:color="auto" w:fill="auto"/>
          <w:lang w:eastAsia="zh-CN"/>
        </w:rPr>
        <w:t>第四章</w:t>
      </w:r>
      <w:r>
        <w:rPr>
          <w:rFonts w:hint="eastAsia" w:ascii="宋体" w:hAnsi="宋体" w:eastAsia="宋体" w:cs="宋体"/>
          <w:b w:val="0"/>
          <w:bCs/>
          <w:sz w:val="24"/>
          <w:szCs w:val="40"/>
          <w:highlight w:val="none"/>
          <w:shd w:val="clear" w:color="auto" w:fill="auto"/>
          <w:lang w:val="en-US" w:eastAsia="zh-CN"/>
        </w:rPr>
        <w:t xml:space="preserve">  </w:t>
      </w:r>
      <w:r>
        <w:rPr>
          <w:rFonts w:hint="eastAsia" w:ascii="宋体" w:hAnsi="宋体" w:eastAsia="宋体" w:cs="宋体"/>
          <w:b w:val="0"/>
          <w:bCs/>
          <w:sz w:val="24"/>
          <w:szCs w:val="40"/>
          <w:highlight w:val="none"/>
          <w:shd w:val="clear" w:color="auto" w:fill="auto"/>
        </w:rPr>
        <w:t>评审办法</w:t>
      </w:r>
      <w:r>
        <w:rPr>
          <w:b w:val="0"/>
          <w:bCs/>
          <w:sz w:val="24"/>
          <w:szCs w:val="32"/>
        </w:rPr>
        <w:tab/>
      </w:r>
      <w:r>
        <w:rPr>
          <w:b w:val="0"/>
          <w:bCs/>
          <w:sz w:val="24"/>
          <w:szCs w:val="32"/>
        </w:rPr>
        <w:fldChar w:fldCharType="begin"/>
      </w:r>
      <w:r>
        <w:rPr>
          <w:b w:val="0"/>
          <w:bCs/>
          <w:sz w:val="24"/>
          <w:szCs w:val="32"/>
        </w:rPr>
        <w:instrText xml:space="preserve"> PAGEREF _Toc30140 \h </w:instrText>
      </w:r>
      <w:r>
        <w:rPr>
          <w:b w:val="0"/>
          <w:bCs/>
          <w:sz w:val="24"/>
          <w:szCs w:val="32"/>
        </w:rPr>
        <w:fldChar w:fldCharType="separate"/>
      </w:r>
      <w:r>
        <w:rPr>
          <w:b w:val="0"/>
          <w:bCs/>
          <w:sz w:val="24"/>
          <w:szCs w:val="32"/>
        </w:rPr>
        <w:t>33</w:t>
      </w:r>
      <w:r>
        <w:rPr>
          <w:b w:val="0"/>
          <w:bCs/>
          <w:sz w:val="24"/>
          <w:szCs w:val="32"/>
        </w:rPr>
        <w:fldChar w:fldCharType="end"/>
      </w:r>
      <w:r>
        <w:rPr>
          <w:rFonts w:hint="eastAsia" w:ascii="宋体" w:hAnsi="宋体" w:eastAsia="宋体" w:cs="宋体"/>
          <w:b w:val="0"/>
          <w:bCs/>
          <w:color w:val="auto"/>
          <w:sz w:val="24"/>
          <w:szCs w:val="36"/>
          <w:highlight w:val="none"/>
          <w:shd w:val="clear" w:color="auto" w:fill="auto"/>
        </w:rPr>
        <w:fldChar w:fldCharType="end"/>
      </w:r>
    </w:p>
    <w:p w14:paraId="0C04B9E5">
      <w:pPr>
        <w:pStyle w:val="28"/>
        <w:keepNext w:val="0"/>
        <w:keepLines w:val="0"/>
        <w:pageBreakBefore w:val="0"/>
        <w:widowControl w:val="0"/>
        <w:tabs>
          <w:tab w:val="right" w:leader="dot" w:pos="9739"/>
        </w:tabs>
        <w:kinsoku/>
        <w:wordWrap/>
        <w:overflowPunct/>
        <w:topLinePunct w:val="0"/>
        <w:autoSpaceDE/>
        <w:autoSpaceDN/>
        <w:bidi w:val="0"/>
        <w:adjustRightInd/>
        <w:snapToGrid/>
        <w:spacing w:line="480" w:lineRule="auto"/>
        <w:textAlignment w:val="auto"/>
        <w:rPr>
          <w:b w:val="0"/>
          <w:bCs/>
          <w:sz w:val="24"/>
          <w:szCs w:val="32"/>
        </w:rPr>
      </w:pPr>
      <w:r>
        <w:rPr>
          <w:rFonts w:hint="eastAsia" w:ascii="宋体" w:hAnsi="宋体" w:eastAsia="宋体" w:cs="宋体"/>
          <w:b w:val="0"/>
          <w:bCs/>
          <w:color w:val="auto"/>
          <w:sz w:val="24"/>
          <w:szCs w:val="36"/>
          <w:highlight w:val="none"/>
          <w:shd w:val="clear" w:color="auto" w:fill="auto"/>
        </w:rPr>
        <w:fldChar w:fldCharType="begin"/>
      </w:r>
      <w:r>
        <w:rPr>
          <w:rFonts w:hint="eastAsia" w:ascii="宋体" w:hAnsi="宋体" w:eastAsia="宋体" w:cs="宋体"/>
          <w:b w:val="0"/>
          <w:bCs/>
          <w:sz w:val="24"/>
          <w:szCs w:val="36"/>
          <w:highlight w:val="none"/>
          <w:shd w:val="clear" w:color="auto" w:fill="auto"/>
        </w:rPr>
        <w:instrText xml:space="preserve"> HYPERLINK \l _Toc16504 </w:instrText>
      </w:r>
      <w:r>
        <w:rPr>
          <w:rFonts w:hint="eastAsia" w:ascii="宋体" w:hAnsi="宋体" w:eastAsia="宋体" w:cs="宋体"/>
          <w:b w:val="0"/>
          <w:bCs/>
          <w:sz w:val="24"/>
          <w:szCs w:val="36"/>
          <w:highlight w:val="none"/>
          <w:shd w:val="clear" w:color="auto" w:fill="auto"/>
        </w:rPr>
        <w:fldChar w:fldCharType="separate"/>
      </w:r>
      <w:r>
        <w:rPr>
          <w:rFonts w:hint="eastAsia" w:ascii="宋体" w:hAnsi="宋体" w:eastAsia="宋体" w:cs="宋体"/>
          <w:b w:val="0"/>
          <w:bCs/>
          <w:kern w:val="44"/>
          <w:sz w:val="24"/>
          <w:szCs w:val="52"/>
          <w:highlight w:val="none"/>
          <w:lang w:val="en-US" w:eastAsia="zh-CN" w:bidi="ar-SA"/>
        </w:rPr>
        <w:t>第五章  合同条款及格式</w:t>
      </w:r>
      <w:r>
        <w:rPr>
          <w:b w:val="0"/>
          <w:bCs/>
          <w:sz w:val="24"/>
          <w:szCs w:val="32"/>
        </w:rPr>
        <w:tab/>
      </w:r>
      <w:r>
        <w:rPr>
          <w:b w:val="0"/>
          <w:bCs/>
          <w:sz w:val="24"/>
          <w:szCs w:val="32"/>
        </w:rPr>
        <w:fldChar w:fldCharType="begin"/>
      </w:r>
      <w:r>
        <w:rPr>
          <w:b w:val="0"/>
          <w:bCs/>
          <w:sz w:val="24"/>
          <w:szCs w:val="32"/>
        </w:rPr>
        <w:instrText xml:space="preserve"> PAGEREF _Toc16504 \h </w:instrText>
      </w:r>
      <w:r>
        <w:rPr>
          <w:b w:val="0"/>
          <w:bCs/>
          <w:sz w:val="24"/>
          <w:szCs w:val="32"/>
        </w:rPr>
        <w:fldChar w:fldCharType="separate"/>
      </w:r>
      <w:r>
        <w:rPr>
          <w:b w:val="0"/>
          <w:bCs/>
          <w:sz w:val="24"/>
          <w:szCs w:val="32"/>
        </w:rPr>
        <w:t>40</w:t>
      </w:r>
      <w:r>
        <w:rPr>
          <w:b w:val="0"/>
          <w:bCs/>
          <w:sz w:val="24"/>
          <w:szCs w:val="32"/>
        </w:rPr>
        <w:fldChar w:fldCharType="end"/>
      </w:r>
      <w:r>
        <w:rPr>
          <w:rFonts w:hint="eastAsia" w:ascii="宋体" w:hAnsi="宋体" w:eastAsia="宋体" w:cs="宋体"/>
          <w:b w:val="0"/>
          <w:bCs/>
          <w:color w:val="auto"/>
          <w:sz w:val="24"/>
          <w:szCs w:val="36"/>
          <w:highlight w:val="none"/>
          <w:shd w:val="clear" w:color="auto" w:fill="auto"/>
        </w:rPr>
        <w:fldChar w:fldCharType="end"/>
      </w:r>
    </w:p>
    <w:p w14:paraId="2EC4C220">
      <w:pPr>
        <w:pStyle w:val="28"/>
        <w:keepNext w:val="0"/>
        <w:keepLines w:val="0"/>
        <w:pageBreakBefore w:val="0"/>
        <w:widowControl w:val="0"/>
        <w:tabs>
          <w:tab w:val="right" w:leader="dot" w:pos="9739"/>
        </w:tabs>
        <w:kinsoku/>
        <w:wordWrap/>
        <w:overflowPunct/>
        <w:topLinePunct w:val="0"/>
        <w:autoSpaceDE/>
        <w:autoSpaceDN/>
        <w:bidi w:val="0"/>
        <w:adjustRightInd/>
        <w:snapToGrid/>
        <w:spacing w:line="480" w:lineRule="auto"/>
        <w:textAlignment w:val="auto"/>
        <w:rPr>
          <w:b w:val="0"/>
          <w:bCs/>
          <w:sz w:val="24"/>
          <w:szCs w:val="32"/>
        </w:rPr>
      </w:pPr>
      <w:r>
        <w:rPr>
          <w:rFonts w:hint="eastAsia" w:ascii="宋体" w:hAnsi="宋体" w:eastAsia="宋体" w:cs="宋体"/>
          <w:b w:val="0"/>
          <w:bCs/>
          <w:color w:val="auto"/>
          <w:sz w:val="24"/>
          <w:szCs w:val="36"/>
          <w:highlight w:val="none"/>
          <w:shd w:val="clear" w:color="auto" w:fill="auto"/>
        </w:rPr>
        <w:fldChar w:fldCharType="begin"/>
      </w:r>
      <w:r>
        <w:rPr>
          <w:rFonts w:hint="eastAsia" w:ascii="宋体" w:hAnsi="宋体" w:eastAsia="宋体" w:cs="宋体"/>
          <w:b w:val="0"/>
          <w:bCs/>
          <w:sz w:val="24"/>
          <w:szCs w:val="36"/>
          <w:highlight w:val="none"/>
          <w:shd w:val="clear" w:color="auto" w:fill="auto"/>
        </w:rPr>
        <w:instrText xml:space="preserve"> HYPERLINK \l _Toc4935 </w:instrText>
      </w:r>
      <w:r>
        <w:rPr>
          <w:rFonts w:hint="eastAsia" w:ascii="宋体" w:hAnsi="宋体" w:eastAsia="宋体" w:cs="宋体"/>
          <w:b w:val="0"/>
          <w:bCs/>
          <w:sz w:val="24"/>
          <w:szCs w:val="36"/>
          <w:highlight w:val="none"/>
          <w:shd w:val="clear" w:color="auto" w:fill="auto"/>
        </w:rPr>
        <w:fldChar w:fldCharType="separate"/>
      </w:r>
      <w:r>
        <w:rPr>
          <w:rFonts w:hint="eastAsia" w:hAnsi="宋体" w:cs="宋体"/>
          <w:b w:val="0"/>
          <w:bCs/>
          <w:sz w:val="24"/>
          <w:szCs w:val="32"/>
          <w:highlight w:val="none"/>
          <w:lang w:eastAsia="zh-CN"/>
        </w:rPr>
        <w:t>第六章</w:t>
      </w:r>
      <w:r>
        <w:rPr>
          <w:rFonts w:hint="eastAsia" w:hAnsi="宋体" w:cs="宋体"/>
          <w:b w:val="0"/>
          <w:bCs/>
          <w:sz w:val="24"/>
          <w:szCs w:val="32"/>
          <w:highlight w:val="none"/>
          <w:lang w:val="en-US" w:eastAsia="zh-CN"/>
        </w:rPr>
        <w:t xml:space="preserve">  </w:t>
      </w:r>
      <w:r>
        <w:rPr>
          <w:rFonts w:hint="eastAsia" w:hAnsi="宋体" w:cs="宋体"/>
          <w:b w:val="0"/>
          <w:bCs/>
          <w:sz w:val="24"/>
          <w:szCs w:val="32"/>
          <w:highlight w:val="none"/>
          <w:lang w:eastAsia="zh-CN"/>
        </w:rPr>
        <w:t>响应文件（格式）</w:t>
      </w:r>
      <w:r>
        <w:rPr>
          <w:b w:val="0"/>
          <w:bCs/>
          <w:sz w:val="24"/>
          <w:szCs w:val="32"/>
        </w:rPr>
        <w:tab/>
      </w:r>
      <w:r>
        <w:rPr>
          <w:b w:val="0"/>
          <w:bCs/>
          <w:sz w:val="24"/>
          <w:szCs w:val="32"/>
        </w:rPr>
        <w:fldChar w:fldCharType="begin"/>
      </w:r>
      <w:r>
        <w:rPr>
          <w:b w:val="0"/>
          <w:bCs/>
          <w:sz w:val="24"/>
          <w:szCs w:val="32"/>
        </w:rPr>
        <w:instrText xml:space="preserve"> PAGEREF _Toc4935 \h </w:instrText>
      </w:r>
      <w:r>
        <w:rPr>
          <w:b w:val="0"/>
          <w:bCs/>
          <w:sz w:val="24"/>
          <w:szCs w:val="32"/>
        </w:rPr>
        <w:fldChar w:fldCharType="separate"/>
      </w:r>
      <w:r>
        <w:rPr>
          <w:b w:val="0"/>
          <w:bCs/>
          <w:sz w:val="24"/>
          <w:szCs w:val="32"/>
        </w:rPr>
        <w:t>119</w:t>
      </w:r>
      <w:r>
        <w:rPr>
          <w:b w:val="0"/>
          <w:bCs/>
          <w:sz w:val="24"/>
          <w:szCs w:val="32"/>
        </w:rPr>
        <w:fldChar w:fldCharType="end"/>
      </w:r>
      <w:r>
        <w:rPr>
          <w:rFonts w:hint="eastAsia" w:ascii="宋体" w:hAnsi="宋体" w:eastAsia="宋体" w:cs="宋体"/>
          <w:b w:val="0"/>
          <w:bCs/>
          <w:color w:val="auto"/>
          <w:sz w:val="24"/>
          <w:szCs w:val="36"/>
          <w:highlight w:val="none"/>
          <w:shd w:val="clear" w:color="auto" w:fill="auto"/>
        </w:rPr>
        <w:fldChar w:fldCharType="end"/>
      </w:r>
    </w:p>
    <w:p w14:paraId="7D95AEEB">
      <w:pPr>
        <w:pStyle w:val="28"/>
        <w:keepNext w:val="0"/>
        <w:keepLines w:val="0"/>
        <w:pageBreakBefore w:val="0"/>
        <w:widowControl w:val="0"/>
        <w:tabs>
          <w:tab w:val="right" w:leader="dot" w:pos="9739"/>
        </w:tabs>
        <w:kinsoku/>
        <w:wordWrap/>
        <w:overflowPunct/>
        <w:topLinePunct w:val="0"/>
        <w:autoSpaceDE/>
        <w:autoSpaceDN/>
        <w:bidi w:val="0"/>
        <w:adjustRightInd/>
        <w:snapToGrid/>
        <w:spacing w:line="480" w:lineRule="auto"/>
        <w:textAlignment w:val="auto"/>
        <w:rPr>
          <w:b w:val="0"/>
          <w:bCs/>
          <w:sz w:val="24"/>
          <w:szCs w:val="32"/>
        </w:rPr>
      </w:pPr>
      <w:r>
        <w:rPr>
          <w:rFonts w:hint="eastAsia" w:ascii="宋体" w:hAnsi="宋体" w:eastAsia="宋体" w:cs="宋体"/>
          <w:b w:val="0"/>
          <w:bCs/>
          <w:color w:val="auto"/>
          <w:sz w:val="24"/>
          <w:szCs w:val="36"/>
          <w:highlight w:val="none"/>
          <w:shd w:val="clear" w:color="auto" w:fill="auto"/>
        </w:rPr>
        <w:fldChar w:fldCharType="begin"/>
      </w:r>
      <w:r>
        <w:rPr>
          <w:rFonts w:hint="eastAsia" w:ascii="宋体" w:hAnsi="宋体" w:eastAsia="宋体" w:cs="宋体"/>
          <w:b w:val="0"/>
          <w:bCs/>
          <w:sz w:val="24"/>
          <w:szCs w:val="36"/>
          <w:highlight w:val="none"/>
          <w:shd w:val="clear" w:color="auto" w:fill="auto"/>
        </w:rPr>
        <w:instrText xml:space="preserve"> HYPERLINK \l _Toc17182 </w:instrText>
      </w:r>
      <w:r>
        <w:rPr>
          <w:rFonts w:hint="eastAsia" w:ascii="宋体" w:hAnsi="宋体" w:eastAsia="宋体" w:cs="宋体"/>
          <w:b w:val="0"/>
          <w:bCs/>
          <w:sz w:val="24"/>
          <w:szCs w:val="36"/>
          <w:highlight w:val="none"/>
          <w:shd w:val="clear" w:color="auto" w:fill="auto"/>
        </w:rPr>
        <w:fldChar w:fldCharType="separate"/>
      </w:r>
      <w:r>
        <w:rPr>
          <w:rFonts w:hint="eastAsia" w:ascii="宋体" w:hAnsi="宋体" w:eastAsia="宋体" w:cs="宋体"/>
          <w:b w:val="0"/>
          <w:bCs/>
          <w:kern w:val="0"/>
          <w:sz w:val="24"/>
          <w:szCs w:val="32"/>
          <w:highlight w:val="none"/>
          <w:shd w:val="clear" w:color="auto" w:fill="auto"/>
        </w:rPr>
        <w:t>第</w:t>
      </w:r>
      <w:r>
        <w:rPr>
          <w:rFonts w:hint="eastAsia" w:ascii="宋体" w:hAnsi="宋体" w:eastAsia="宋体" w:cs="宋体"/>
          <w:b w:val="0"/>
          <w:bCs/>
          <w:kern w:val="0"/>
          <w:sz w:val="24"/>
          <w:szCs w:val="32"/>
          <w:highlight w:val="none"/>
          <w:shd w:val="clear" w:color="auto" w:fill="auto"/>
          <w:lang w:eastAsia="zh-CN"/>
        </w:rPr>
        <w:t>七</w:t>
      </w:r>
      <w:r>
        <w:rPr>
          <w:rFonts w:hint="eastAsia" w:ascii="宋体" w:hAnsi="宋体" w:eastAsia="宋体" w:cs="宋体"/>
          <w:b w:val="0"/>
          <w:bCs/>
          <w:kern w:val="0"/>
          <w:sz w:val="24"/>
          <w:szCs w:val="32"/>
          <w:highlight w:val="none"/>
          <w:shd w:val="clear" w:color="auto" w:fill="auto"/>
        </w:rPr>
        <w:t xml:space="preserve">章  </w:t>
      </w:r>
      <w:r>
        <w:rPr>
          <w:rFonts w:hint="eastAsia" w:ascii="宋体" w:hAnsi="宋体" w:eastAsia="宋体" w:cs="宋体"/>
          <w:b w:val="0"/>
          <w:bCs/>
          <w:kern w:val="0"/>
          <w:sz w:val="24"/>
          <w:szCs w:val="32"/>
          <w:highlight w:val="none"/>
          <w:shd w:val="clear" w:color="auto" w:fill="auto"/>
          <w:lang w:eastAsia="zh-CN"/>
        </w:rPr>
        <w:t>图纸</w:t>
      </w:r>
      <w:r>
        <w:rPr>
          <w:b w:val="0"/>
          <w:bCs/>
          <w:sz w:val="24"/>
          <w:szCs w:val="32"/>
        </w:rPr>
        <w:tab/>
      </w:r>
      <w:r>
        <w:rPr>
          <w:b w:val="0"/>
          <w:bCs/>
          <w:sz w:val="24"/>
          <w:szCs w:val="32"/>
        </w:rPr>
        <w:fldChar w:fldCharType="begin"/>
      </w:r>
      <w:r>
        <w:rPr>
          <w:b w:val="0"/>
          <w:bCs/>
          <w:sz w:val="24"/>
          <w:szCs w:val="32"/>
        </w:rPr>
        <w:instrText xml:space="preserve"> PAGEREF _Toc17182 \h </w:instrText>
      </w:r>
      <w:r>
        <w:rPr>
          <w:b w:val="0"/>
          <w:bCs/>
          <w:sz w:val="24"/>
          <w:szCs w:val="32"/>
        </w:rPr>
        <w:fldChar w:fldCharType="separate"/>
      </w:r>
      <w:r>
        <w:rPr>
          <w:b w:val="0"/>
          <w:bCs/>
          <w:sz w:val="24"/>
          <w:szCs w:val="32"/>
        </w:rPr>
        <w:t>145</w:t>
      </w:r>
      <w:r>
        <w:rPr>
          <w:b w:val="0"/>
          <w:bCs/>
          <w:sz w:val="24"/>
          <w:szCs w:val="32"/>
        </w:rPr>
        <w:fldChar w:fldCharType="end"/>
      </w:r>
      <w:r>
        <w:rPr>
          <w:rFonts w:hint="eastAsia" w:ascii="宋体" w:hAnsi="宋体" w:eastAsia="宋体" w:cs="宋体"/>
          <w:b w:val="0"/>
          <w:bCs/>
          <w:color w:val="auto"/>
          <w:sz w:val="24"/>
          <w:szCs w:val="36"/>
          <w:highlight w:val="none"/>
          <w:shd w:val="clear" w:color="auto" w:fill="auto"/>
        </w:rPr>
        <w:fldChar w:fldCharType="end"/>
      </w:r>
    </w:p>
    <w:p w14:paraId="6C66F590">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eastAsia" w:ascii="宋体" w:hAnsi="宋体" w:eastAsia="宋体" w:cs="宋体"/>
          <w:b/>
          <w:bCs/>
          <w:color w:val="auto"/>
          <w:sz w:val="28"/>
          <w:szCs w:val="28"/>
          <w:highlight w:val="none"/>
          <w:shd w:val="clear" w:color="auto" w:fill="auto"/>
        </w:rPr>
      </w:pPr>
      <w:r>
        <w:rPr>
          <w:rFonts w:hint="eastAsia" w:ascii="宋体" w:hAnsi="宋体" w:eastAsia="宋体" w:cs="宋体"/>
          <w:b w:val="0"/>
          <w:bCs/>
          <w:color w:val="auto"/>
          <w:sz w:val="24"/>
          <w:szCs w:val="36"/>
          <w:highlight w:val="none"/>
          <w:shd w:val="clear" w:color="auto" w:fill="auto"/>
        </w:rPr>
        <w:fldChar w:fldCharType="end"/>
      </w:r>
    </w:p>
    <w:p w14:paraId="007DBBF2">
      <w:pPr>
        <w:spacing w:line="460" w:lineRule="exact"/>
        <w:jc w:val="center"/>
        <w:outlineLvl w:val="9"/>
        <w:rPr>
          <w:rFonts w:hint="eastAsia" w:ascii="宋体" w:hAnsi="宋体" w:eastAsia="宋体" w:cs="宋体"/>
          <w:b/>
          <w:bCs/>
          <w:color w:val="auto"/>
          <w:sz w:val="32"/>
          <w:szCs w:val="32"/>
          <w:highlight w:val="none"/>
          <w:shd w:val="clear" w:color="auto" w:fill="auto"/>
        </w:rPr>
        <w:sectPr>
          <w:footerReference r:id="rId3" w:type="default"/>
          <w:pgSz w:w="11905" w:h="16838"/>
          <w:pgMar w:top="1134" w:right="1083" w:bottom="1134" w:left="1083" w:header="850" w:footer="992" w:gutter="0"/>
          <w:pgBorders>
            <w:top w:val="none" w:sz="0" w:space="0"/>
            <w:left w:val="none" w:sz="0" w:space="0"/>
            <w:bottom w:val="none" w:sz="0" w:space="0"/>
            <w:right w:val="none" w:sz="0" w:space="0"/>
          </w:pgBorders>
          <w:pgNumType w:start="1"/>
          <w:cols w:space="0" w:num="1"/>
          <w:rtlGutter w:val="0"/>
          <w:docGrid w:type="lines" w:linePitch="324" w:charSpace="0"/>
        </w:sectPr>
      </w:pPr>
    </w:p>
    <w:p w14:paraId="6A641353">
      <w:pPr>
        <w:spacing w:line="360" w:lineRule="auto"/>
        <w:jc w:val="center"/>
        <w:outlineLvl w:val="0"/>
        <w:rPr>
          <w:rFonts w:hint="eastAsia" w:ascii="宋体" w:hAnsi="宋体" w:eastAsia="宋体" w:cs="宋体"/>
          <w:b/>
          <w:bCs/>
          <w:color w:val="auto"/>
          <w:sz w:val="32"/>
          <w:szCs w:val="32"/>
          <w:highlight w:val="none"/>
          <w:shd w:val="clear" w:color="auto" w:fill="auto"/>
        </w:rPr>
      </w:pPr>
      <w:bookmarkStart w:id="4" w:name="_Toc35393797"/>
      <w:bookmarkStart w:id="5" w:name="_Toc26809"/>
      <w:bookmarkStart w:id="6" w:name="_Toc32295"/>
      <w:bookmarkStart w:id="7" w:name="_Toc30170"/>
      <w:bookmarkStart w:id="8" w:name="_Toc26227"/>
      <w:bookmarkStart w:id="9" w:name="_Toc28359011"/>
      <w:bookmarkStart w:id="10" w:name="_Toc1521"/>
      <w:r>
        <w:rPr>
          <w:rFonts w:hint="eastAsia" w:ascii="宋体" w:hAnsi="宋体" w:eastAsia="宋体" w:cs="宋体"/>
          <w:b/>
          <w:bCs/>
          <w:color w:val="auto"/>
          <w:sz w:val="32"/>
          <w:szCs w:val="32"/>
          <w:highlight w:val="none"/>
          <w:shd w:val="clear" w:color="auto" w:fill="auto"/>
        </w:rPr>
        <w:t>第一章  竞争性磋商公告</w:t>
      </w:r>
      <w:bookmarkEnd w:id="4"/>
      <w:bookmarkEnd w:id="5"/>
      <w:bookmarkEnd w:id="6"/>
      <w:bookmarkEnd w:id="7"/>
      <w:bookmarkEnd w:id="8"/>
      <w:bookmarkEnd w:id="9"/>
      <w:bookmarkEnd w:id="10"/>
    </w:p>
    <w:tbl>
      <w:tblPr>
        <w:tblStyle w:val="37"/>
        <w:tblpPr w:leftFromText="180" w:rightFromText="180" w:vertAnchor="text" w:tblpX="70" w:tblpY="13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0"/>
      </w:tblGrid>
      <w:tr w14:paraId="37995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6" w:hRule="atLeast"/>
        </w:trPr>
        <w:tc>
          <w:tcPr>
            <w:tcW w:w="9920" w:type="dxa"/>
            <w:noWrap w:val="0"/>
            <w:vAlign w:val="top"/>
          </w:tcPr>
          <w:p w14:paraId="6E35ED32">
            <w:pPr>
              <w:keepNext w:val="0"/>
              <w:keepLines w:val="0"/>
              <w:pageBreakBefore w:val="0"/>
              <w:kinsoku/>
              <w:wordWrap/>
              <w:overflowPunct/>
              <w:topLinePunct w:val="0"/>
              <w:bidi w:val="0"/>
              <w:spacing w:line="360" w:lineRule="auto"/>
              <w:ind w:firstLine="422" w:firstLineChars="200"/>
              <w:outlineLvl w:val="9"/>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项目概况</w:t>
            </w:r>
          </w:p>
          <w:p w14:paraId="0EA2CEFE">
            <w:pPr>
              <w:keepNext w:val="0"/>
              <w:keepLines w:val="0"/>
              <w:pageBreakBefore w:val="0"/>
              <w:kinsoku/>
              <w:wordWrap/>
              <w:overflowPunct/>
              <w:topLinePunct w:val="0"/>
              <w:bidi w:val="0"/>
              <w:spacing w:line="360" w:lineRule="auto"/>
              <w:ind w:left="420" w:leftChars="200" w:firstLine="420" w:firstLineChars="200"/>
              <w:outlineLvl w:val="9"/>
              <w:rPr>
                <w:rFonts w:hint="eastAsia" w:ascii="宋体" w:hAnsi="宋体" w:eastAsia="宋体" w:cs="宋体"/>
                <w:color w:val="auto"/>
                <w:sz w:val="21"/>
                <w:szCs w:val="21"/>
                <w:highlight w:val="none"/>
                <w:shd w:val="clear" w:color="auto" w:fill="auto"/>
              </w:rPr>
            </w:pPr>
            <w:r>
              <w:rPr>
                <w:rFonts w:hint="eastAsia" w:ascii="宋体" w:hAnsi="宋体" w:cs="宋体"/>
                <w:color w:val="auto"/>
                <w:sz w:val="21"/>
                <w:szCs w:val="21"/>
                <w:highlight w:val="none"/>
                <w:u w:val="single"/>
                <w:lang w:eastAsia="zh-CN"/>
              </w:rPr>
              <w:t>桂林市临桂区两江镇培塘村委、大洲村委、保全村委等美丽宜居村庄整治提升以工代赈项目</w:t>
            </w:r>
            <w:r>
              <w:rPr>
                <w:rFonts w:hint="eastAsia" w:ascii="宋体" w:hAnsi="宋体" w:eastAsia="宋体" w:cs="宋体"/>
                <w:color w:val="auto"/>
                <w:sz w:val="21"/>
                <w:szCs w:val="21"/>
                <w:highlight w:val="none"/>
                <w:shd w:val="clear" w:color="auto" w:fill="auto"/>
              </w:rPr>
              <w:t>的潜在供应商应</w:t>
            </w:r>
            <w:r>
              <w:rPr>
                <w:rFonts w:hint="eastAsia" w:ascii="宋体" w:hAnsi="宋体" w:eastAsia="宋体" w:cs="宋体"/>
                <w:color w:val="auto"/>
                <w:sz w:val="21"/>
                <w:szCs w:val="21"/>
                <w:highlight w:val="none"/>
                <w:shd w:val="clear" w:color="auto" w:fill="auto"/>
                <w:lang w:val="en-US" w:eastAsia="zh-CN"/>
              </w:rPr>
              <w:t>在</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获取采购文件，</w:t>
            </w:r>
            <w:r>
              <w:rPr>
                <w:rFonts w:hint="eastAsia" w:ascii="宋体" w:hAnsi="宋体" w:eastAsia="宋体" w:cs="宋体"/>
                <w:color w:val="auto"/>
                <w:sz w:val="21"/>
                <w:szCs w:val="21"/>
                <w:highlight w:val="none"/>
                <w:shd w:val="clear" w:color="auto" w:fill="auto"/>
                <w:lang w:val="en-US" w:eastAsia="zh-CN"/>
              </w:rPr>
              <w:t>并于202</w:t>
            </w:r>
            <w:r>
              <w:rPr>
                <w:rFonts w:hint="eastAsia" w:ascii="宋体" w:hAnsi="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lang w:val="en-US" w:eastAsia="zh-CN"/>
              </w:rPr>
              <w:t>年</w:t>
            </w:r>
            <w:r>
              <w:rPr>
                <w:rFonts w:hint="eastAsia" w:ascii="宋体" w:hAnsi="宋体" w:cs="宋体"/>
                <w:color w:val="auto"/>
                <w:sz w:val="21"/>
                <w:szCs w:val="21"/>
                <w:highlight w:val="none"/>
                <w:shd w:val="clear" w:color="auto" w:fill="auto"/>
                <w:lang w:val="en-US" w:eastAsia="zh-CN"/>
              </w:rPr>
              <w:t>8</w:t>
            </w:r>
            <w:r>
              <w:rPr>
                <w:rFonts w:hint="eastAsia" w:ascii="宋体" w:hAnsi="宋体" w:eastAsia="宋体" w:cs="宋体"/>
                <w:color w:val="auto"/>
                <w:sz w:val="21"/>
                <w:szCs w:val="21"/>
                <w:highlight w:val="none"/>
                <w:shd w:val="clear" w:color="auto" w:fill="auto"/>
                <w:lang w:val="en-US" w:eastAsia="zh-CN"/>
              </w:rPr>
              <w:t>月</w:t>
            </w:r>
            <w:r>
              <w:rPr>
                <w:rFonts w:hint="eastAsia" w:ascii="宋体" w:hAnsi="宋体" w:cs="宋体"/>
                <w:bCs/>
                <w:color w:val="auto"/>
                <w:sz w:val="21"/>
                <w:szCs w:val="21"/>
                <w:highlight w:val="none"/>
                <w:shd w:val="clear" w:color="auto" w:fill="auto"/>
                <w:lang w:val="en-US" w:eastAsia="zh-CN"/>
              </w:rPr>
              <w:t>28</w:t>
            </w:r>
            <w:r>
              <w:rPr>
                <w:rFonts w:hint="eastAsia" w:ascii="宋体" w:hAnsi="宋体" w:eastAsia="宋体" w:cs="宋体"/>
                <w:color w:val="auto"/>
                <w:sz w:val="21"/>
                <w:szCs w:val="21"/>
                <w:highlight w:val="none"/>
                <w:shd w:val="clear" w:color="auto" w:fill="auto"/>
                <w:lang w:val="en-US" w:eastAsia="zh-CN"/>
              </w:rPr>
              <w:t>日09</w:t>
            </w:r>
            <w:r>
              <w:rPr>
                <w:rFonts w:hint="eastAsia" w:ascii="宋体" w:hAnsi="宋体" w:eastAsia="宋体" w:cs="宋体"/>
                <w:color w:val="auto"/>
                <w:sz w:val="21"/>
                <w:szCs w:val="21"/>
                <w:highlight w:val="none"/>
                <w:shd w:val="clear" w:color="auto" w:fill="auto"/>
              </w:rPr>
              <w:t>时30分（北京时间）前递交投标文件。</w:t>
            </w:r>
          </w:p>
        </w:tc>
      </w:tr>
    </w:tbl>
    <w:p w14:paraId="6312A703">
      <w:pPr>
        <w:keepNext w:val="0"/>
        <w:keepLines w:val="0"/>
        <w:pageBreakBefore w:val="0"/>
        <w:kinsoku/>
        <w:wordWrap/>
        <w:overflowPunct/>
        <w:topLinePunct w:val="0"/>
        <w:bidi w:val="0"/>
        <w:spacing w:line="360" w:lineRule="auto"/>
        <w:ind w:left="0" w:right="0"/>
        <w:jc w:val="both"/>
        <w:outlineLvl w:val="9"/>
        <w:rPr>
          <w:rFonts w:hint="eastAsia" w:ascii="宋体" w:hAnsi="宋体" w:eastAsia="宋体" w:cs="宋体"/>
          <w:color w:val="auto"/>
          <w:sz w:val="21"/>
          <w:szCs w:val="21"/>
          <w:highlight w:val="none"/>
          <w:shd w:val="clear" w:color="auto" w:fill="auto"/>
        </w:rPr>
      </w:pPr>
      <w:bookmarkStart w:id="11" w:name="_Toc35393629"/>
      <w:bookmarkStart w:id="12" w:name="_Toc35393798"/>
      <w:bookmarkStart w:id="13" w:name="_Toc16171"/>
      <w:bookmarkStart w:id="14" w:name="_Toc18337"/>
      <w:bookmarkStart w:id="15" w:name="_Toc28359012"/>
      <w:bookmarkStart w:id="16" w:name="_Toc28359089"/>
      <w:r>
        <w:rPr>
          <w:rFonts w:hint="eastAsia" w:ascii="宋体" w:hAnsi="宋体" w:eastAsia="宋体" w:cs="宋体"/>
          <w:b/>
          <w:bCs/>
          <w:color w:val="auto"/>
          <w:sz w:val="21"/>
          <w:szCs w:val="21"/>
          <w:highlight w:val="none"/>
          <w:shd w:val="clear" w:color="auto" w:fill="auto"/>
        </w:rPr>
        <w:t>一、项目基本情况</w:t>
      </w:r>
      <w:bookmarkEnd w:id="11"/>
      <w:bookmarkEnd w:id="12"/>
      <w:bookmarkEnd w:id="13"/>
      <w:bookmarkEnd w:id="14"/>
      <w:bookmarkEnd w:id="15"/>
      <w:bookmarkEnd w:id="16"/>
    </w:p>
    <w:p w14:paraId="6310ABBD">
      <w:pPr>
        <w:keepNext w:val="0"/>
        <w:keepLines w:val="0"/>
        <w:pageBreakBefore w:val="0"/>
        <w:kinsoku/>
        <w:wordWrap/>
        <w:overflowPunct/>
        <w:topLinePunct w:val="0"/>
        <w:bidi w:val="0"/>
        <w:spacing w:line="360" w:lineRule="auto"/>
        <w:ind w:left="0" w:right="0" w:firstLine="420" w:firstLineChars="200"/>
        <w:jc w:val="both"/>
        <w:outlineLvl w:val="9"/>
        <w:rPr>
          <w:rFonts w:hint="default"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1、项目编号：GLZC2026-C2-120033-GXDC</w:t>
      </w:r>
      <w:r>
        <w:rPr>
          <w:rFonts w:hint="eastAsia" w:ascii="宋体" w:hAnsi="宋体" w:cs="宋体"/>
          <w:color w:val="auto"/>
          <w:sz w:val="21"/>
          <w:szCs w:val="21"/>
          <w:highlight w:val="none"/>
          <w:shd w:val="clear" w:color="auto" w:fill="auto"/>
          <w:lang w:val="en-US" w:eastAsia="zh-CN"/>
        </w:rPr>
        <w:t xml:space="preserve">   </w:t>
      </w:r>
    </w:p>
    <w:p w14:paraId="3E2CD108">
      <w:pPr>
        <w:keepNext w:val="0"/>
        <w:keepLines w:val="0"/>
        <w:pageBreakBefore w:val="0"/>
        <w:kinsoku/>
        <w:wordWrap/>
        <w:overflowPunct/>
        <w:topLinePunct w:val="0"/>
        <w:bidi w:val="0"/>
        <w:spacing w:line="360" w:lineRule="auto"/>
        <w:ind w:left="0" w:right="0" w:firstLine="420" w:firstLineChars="200"/>
        <w:jc w:val="both"/>
        <w:outlineLvl w:val="9"/>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2、项目名称：</w:t>
      </w:r>
      <w:r>
        <w:rPr>
          <w:rFonts w:hint="eastAsia" w:ascii="宋体" w:hAnsi="宋体" w:cs="宋体"/>
          <w:color w:val="auto"/>
          <w:sz w:val="21"/>
          <w:szCs w:val="21"/>
          <w:highlight w:val="none"/>
          <w:lang w:eastAsia="zh-CN"/>
        </w:rPr>
        <w:t>桂林市临桂区两江镇培塘村委、大洲村委、保全村委等美丽宜居村庄整治提升以工代赈项目</w:t>
      </w:r>
    </w:p>
    <w:p w14:paraId="52D33290">
      <w:pPr>
        <w:keepNext w:val="0"/>
        <w:keepLines w:val="0"/>
        <w:pageBreakBefore w:val="0"/>
        <w:kinsoku/>
        <w:wordWrap/>
        <w:overflowPunct/>
        <w:topLinePunct w:val="0"/>
        <w:bidi w:val="0"/>
        <w:spacing w:line="360" w:lineRule="auto"/>
        <w:ind w:left="0" w:right="0" w:firstLine="420" w:firstLineChars="200"/>
        <w:jc w:val="both"/>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3、采购方式：竞争性磋商</w:t>
      </w:r>
    </w:p>
    <w:p w14:paraId="06E81A22">
      <w:pPr>
        <w:keepNext w:val="0"/>
        <w:keepLines w:val="0"/>
        <w:pageBreakBefore w:val="0"/>
        <w:kinsoku/>
        <w:wordWrap/>
        <w:overflowPunct/>
        <w:topLinePunct w:val="0"/>
        <w:bidi w:val="0"/>
        <w:spacing w:line="360" w:lineRule="auto"/>
        <w:ind w:left="0" w:right="0" w:firstLine="420" w:firstLineChars="200"/>
        <w:jc w:val="both"/>
        <w:outlineLvl w:val="9"/>
        <w:rPr>
          <w:rFonts w:hint="eastAsia" w:ascii="宋体" w:hAnsi="宋体" w:eastAsia="宋体" w:cs="宋体"/>
          <w:color w:val="auto"/>
          <w:kern w:val="0"/>
          <w:sz w:val="21"/>
          <w:szCs w:val="21"/>
          <w:highlight w:val="none"/>
          <w:u w:val="none"/>
          <w:shd w:val="clear" w:color="auto" w:fill="auto"/>
          <w:lang w:val="en-US" w:eastAsia="zh-CN"/>
        </w:rPr>
      </w:pPr>
      <w:bookmarkStart w:id="17" w:name="_Toc4879"/>
      <w:bookmarkStart w:id="18" w:name="_Toc26032"/>
      <w:bookmarkStart w:id="19" w:name="_Toc22142"/>
      <w:bookmarkStart w:id="20" w:name="_Toc15911"/>
      <w:bookmarkStart w:id="21" w:name="_Toc2148"/>
      <w:r>
        <w:rPr>
          <w:rFonts w:hint="eastAsia" w:ascii="宋体" w:hAnsi="宋体" w:eastAsia="宋体" w:cs="宋体"/>
          <w:color w:val="auto"/>
          <w:sz w:val="21"/>
          <w:szCs w:val="21"/>
          <w:highlight w:val="none"/>
          <w:shd w:val="clear" w:color="auto" w:fill="auto"/>
        </w:rPr>
        <w:t>4、预算金额（人民币）</w:t>
      </w:r>
      <w:r>
        <w:rPr>
          <w:rFonts w:hint="eastAsia" w:ascii="宋体" w:hAnsi="宋体" w:eastAsia="宋体" w:cs="宋体"/>
          <w:color w:val="auto"/>
          <w:kern w:val="0"/>
          <w:sz w:val="21"/>
          <w:szCs w:val="21"/>
          <w:highlight w:val="none"/>
          <w:u w:val="none"/>
          <w:shd w:val="clear" w:color="auto" w:fill="auto"/>
          <w:lang w:val="en-US" w:eastAsia="zh-CN"/>
        </w:rPr>
        <w:t>：</w:t>
      </w:r>
      <w:bookmarkEnd w:id="17"/>
      <w:bookmarkEnd w:id="18"/>
      <w:bookmarkEnd w:id="19"/>
      <w:bookmarkEnd w:id="20"/>
      <w:bookmarkEnd w:id="21"/>
      <w:r>
        <w:rPr>
          <w:rFonts w:hint="eastAsia" w:ascii="宋体" w:hAnsi="宋体" w:cs="宋体"/>
          <w:color w:val="auto"/>
          <w:sz w:val="21"/>
          <w:szCs w:val="21"/>
          <w:highlight w:val="none"/>
          <w:lang w:val="en-US" w:eastAsia="zh-CN"/>
        </w:rPr>
        <w:t>8117987.00</w:t>
      </w:r>
      <w:r>
        <w:rPr>
          <w:rFonts w:hint="eastAsia" w:ascii="宋体" w:hAnsi="宋体" w:eastAsia="宋体" w:cs="宋体"/>
          <w:color w:val="auto"/>
          <w:kern w:val="0"/>
          <w:sz w:val="21"/>
          <w:szCs w:val="21"/>
          <w:highlight w:val="none"/>
          <w:u w:val="none"/>
          <w:shd w:val="clear" w:color="auto" w:fill="auto"/>
          <w:lang w:val="en-US" w:eastAsia="zh-CN"/>
        </w:rPr>
        <w:t>元</w:t>
      </w:r>
    </w:p>
    <w:p w14:paraId="0D00BDA8">
      <w:pPr>
        <w:keepNext w:val="0"/>
        <w:keepLines w:val="0"/>
        <w:pageBreakBefore w:val="0"/>
        <w:kinsoku/>
        <w:wordWrap/>
        <w:overflowPunct/>
        <w:topLinePunct w:val="0"/>
        <w:bidi w:val="0"/>
        <w:spacing w:line="360" w:lineRule="auto"/>
        <w:ind w:left="0" w:right="0" w:firstLine="420" w:firstLineChars="200"/>
        <w:jc w:val="both"/>
        <w:outlineLvl w:val="9"/>
        <w:rPr>
          <w:rFonts w:hint="eastAsia" w:ascii="宋体" w:hAnsi="宋体" w:eastAsia="宋体" w:cs="宋体"/>
          <w:color w:val="auto"/>
          <w:sz w:val="21"/>
          <w:szCs w:val="21"/>
          <w:highlight w:val="none"/>
          <w:shd w:val="clear" w:color="auto" w:fill="auto"/>
        </w:rPr>
      </w:pPr>
      <w:bookmarkStart w:id="22" w:name="_Toc4369"/>
      <w:bookmarkStart w:id="23" w:name="_Toc5166"/>
      <w:bookmarkStart w:id="24" w:name="_Toc27692"/>
      <w:bookmarkStart w:id="25" w:name="_Toc15341"/>
      <w:bookmarkStart w:id="26" w:name="_Toc16880"/>
      <w:r>
        <w:rPr>
          <w:rFonts w:hint="eastAsia" w:ascii="宋体" w:hAnsi="宋体" w:eastAsia="宋体" w:cs="宋体"/>
          <w:color w:val="auto"/>
          <w:sz w:val="21"/>
          <w:szCs w:val="21"/>
          <w:highlight w:val="none"/>
          <w:shd w:val="clear" w:color="auto" w:fill="auto"/>
          <w:lang w:val="en-US" w:eastAsia="zh-CN"/>
        </w:rPr>
        <w:t>5</w:t>
      </w:r>
      <w:r>
        <w:rPr>
          <w:rFonts w:hint="eastAsia" w:ascii="宋体" w:hAnsi="宋体" w:eastAsia="宋体" w:cs="宋体"/>
          <w:color w:val="auto"/>
          <w:sz w:val="21"/>
          <w:szCs w:val="21"/>
          <w:highlight w:val="none"/>
          <w:shd w:val="clear" w:color="auto" w:fill="auto"/>
        </w:rPr>
        <w:t>、采购需求：</w:t>
      </w:r>
      <w:bookmarkEnd w:id="22"/>
      <w:bookmarkEnd w:id="23"/>
      <w:bookmarkEnd w:id="24"/>
    </w:p>
    <w:bookmarkEnd w:id="25"/>
    <w:bookmarkEnd w:id="26"/>
    <w:p w14:paraId="59DD426C">
      <w:pPr>
        <w:keepNext w:val="0"/>
        <w:keepLines w:val="0"/>
        <w:pageBreakBefore w:val="0"/>
        <w:kinsoku/>
        <w:wordWrap/>
        <w:overflowPunct/>
        <w:topLinePunct w:val="0"/>
        <w:bidi w:val="0"/>
        <w:spacing w:line="360" w:lineRule="auto"/>
        <w:ind w:right="0" w:firstLine="420" w:firstLineChars="200"/>
        <w:jc w:val="left"/>
        <w:outlineLvl w:val="9"/>
        <w:rPr>
          <w:rFonts w:hint="eastAsia" w:ascii="宋体" w:hAnsi="宋体" w:cs="宋体"/>
          <w:color w:val="auto"/>
          <w:sz w:val="21"/>
          <w:szCs w:val="21"/>
          <w:highlight w:val="none"/>
          <w:shd w:val="clear" w:color="auto" w:fill="auto"/>
          <w:lang w:val="en-US" w:eastAsia="zh-CN"/>
        </w:rPr>
      </w:pPr>
      <w:bookmarkStart w:id="27" w:name="_Toc18138"/>
      <w:bookmarkStart w:id="28" w:name="_Toc5842"/>
      <w:r>
        <w:rPr>
          <w:rFonts w:hint="eastAsia" w:ascii="宋体" w:hAnsi="宋体" w:eastAsia="宋体" w:cs="宋体"/>
          <w:color w:val="auto"/>
          <w:sz w:val="21"/>
          <w:szCs w:val="21"/>
          <w:highlight w:val="none"/>
          <w:shd w:val="clear" w:color="auto" w:fill="auto"/>
          <w:lang w:val="en-US" w:eastAsia="zh-CN"/>
        </w:rPr>
        <w:t>标项名称:</w:t>
      </w:r>
      <w:r>
        <w:rPr>
          <w:rFonts w:hint="eastAsia" w:ascii="宋体" w:hAnsi="宋体" w:cs="宋体"/>
          <w:color w:val="auto"/>
          <w:sz w:val="21"/>
          <w:szCs w:val="21"/>
          <w:highlight w:val="none"/>
          <w:shd w:val="clear" w:color="auto" w:fill="auto"/>
          <w:lang w:val="en-US" w:eastAsia="zh-CN"/>
        </w:rPr>
        <w:t>桂林市临桂区两江镇培塘村委、大洲村委、保全村委等美丽宜居村庄整治提升以工代赈项目</w:t>
      </w:r>
    </w:p>
    <w:p w14:paraId="4327F53F">
      <w:pPr>
        <w:keepNext w:val="0"/>
        <w:keepLines w:val="0"/>
        <w:pageBreakBefore w:val="0"/>
        <w:kinsoku/>
        <w:wordWrap/>
        <w:overflowPunct/>
        <w:topLinePunct w:val="0"/>
        <w:bidi w:val="0"/>
        <w:spacing w:line="360" w:lineRule="auto"/>
        <w:ind w:right="0" w:firstLine="420" w:firstLineChars="200"/>
        <w:jc w:val="left"/>
        <w:outlineLvl w:val="9"/>
        <w:rPr>
          <w:rFonts w:hint="default" w:ascii="宋体" w:hAnsi="宋体" w:cs="宋体"/>
          <w:color w:val="auto"/>
          <w:sz w:val="21"/>
          <w:szCs w:val="21"/>
          <w:highlight w:val="none"/>
          <w:shd w:val="clear" w:color="auto" w:fill="auto"/>
          <w:lang w:val="en-US" w:eastAsia="zh-CN"/>
        </w:rPr>
      </w:pPr>
      <w:r>
        <w:rPr>
          <w:rFonts w:hint="eastAsia" w:ascii="宋体" w:hAnsi="宋体" w:cs="宋体"/>
          <w:color w:val="auto"/>
          <w:sz w:val="21"/>
          <w:szCs w:val="21"/>
          <w:highlight w:val="none"/>
          <w:shd w:val="clear" w:color="auto" w:fill="auto"/>
          <w:lang w:val="en-US" w:eastAsia="zh-CN"/>
        </w:rPr>
        <w:t>工程概况及建设内容：桂林市临桂区两江镇原有土渠改三面光灌溉渠16819m，其中保全村委6795m、城联村委8029m、粟村村委1995m；原有土渠修缮为两面光挡墙1430m，其中大洲村委900m、保全村委290m、粟村村委240m；原有土沟改建砖砌排污沟3605m，其中培塘村委1720m、保全村委432m、宿棠村委360m、粟村村委1093m；大洲村委在原有土渠内改建箱涵2个；大洲村委原有土渠清淤445m等，具体详见竞争性磋商文件、图纸和工程量清单。</w:t>
      </w:r>
    </w:p>
    <w:p w14:paraId="614E460A">
      <w:pPr>
        <w:keepNext w:val="0"/>
        <w:keepLines w:val="0"/>
        <w:pageBreakBefore w:val="0"/>
        <w:kinsoku/>
        <w:wordWrap/>
        <w:overflowPunct/>
        <w:topLinePunct w:val="0"/>
        <w:bidi w:val="0"/>
        <w:spacing w:line="360" w:lineRule="auto"/>
        <w:ind w:right="0" w:firstLine="420" w:firstLineChars="200"/>
        <w:jc w:val="left"/>
        <w:outlineLvl w:val="9"/>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数量:1</w:t>
      </w:r>
    </w:p>
    <w:p w14:paraId="4B5605C0">
      <w:pPr>
        <w:keepNext w:val="0"/>
        <w:keepLines w:val="0"/>
        <w:pageBreakBefore w:val="0"/>
        <w:kinsoku/>
        <w:wordWrap/>
        <w:overflowPunct/>
        <w:topLinePunct w:val="0"/>
        <w:bidi w:val="0"/>
        <w:spacing w:line="360" w:lineRule="auto"/>
        <w:ind w:right="0" w:firstLine="420" w:firstLineChars="200"/>
        <w:jc w:val="left"/>
        <w:outlineLvl w:val="9"/>
        <w:rPr>
          <w:rFonts w:hint="default" w:ascii="宋体" w:hAnsi="宋体" w:eastAsia="宋体" w:cs="宋体"/>
          <w:color w:val="auto"/>
          <w:kern w:val="0"/>
          <w:sz w:val="21"/>
          <w:szCs w:val="21"/>
          <w:highlight w:val="none"/>
          <w:u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预算金额（元）:</w:t>
      </w:r>
      <w:r>
        <w:rPr>
          <w:rFonts w:hint="eastAsia" w:ascii="宋体" w:hAnsi="宋体" w:cs="宋体"/>
          <w:color w:val="auto"/>
          <w:sz w:val="21"/>
          <w:szCs w:val="21"/>
          <w:highlight w:val="none"/>
          <w:lang w:val="en-US" w:eastAsia="zh-CN"/>
        </w:rPr>
        <w:t>8117987.00</w:t>
      </w:r>
      <w:r>
        <w:rPr>
          <w:rFonts w:hint="eastAsia" w:ascii="宋体" w:hAnsi="宋体" w:cs="宋体"/>
          <w:color w:val="auto"/>
          <w:kern w:val="0"/>
          <w:sz w:val="21"/>
          <w:szCs w:val="21"/>
          <w:highlight w:val="none"/>
          <w:u w:val="none"/>
          <w:shd w:val="clear" w:color="auto" w:fill="auto"/>
          <w:lang w:val="en-US" w:eastAsia="zh-CN"/>
        </w:rPr>
        <w:t>元。</w:t>
      </w:r>
    </w:p>
    <w:p w14:paraId="5E6F7C07">
      <w:pPr>
        <w:keepNext w:val="0"/>
        <w:keepLines w:val="0"/>
        <w:pageBreakBefore w:val="0"/>
        <w:kinsoku/>
        <w:wordWrap/>
        <w:overflowPunct/>
        <w:topLinePunct w:val="0"/>
        <w:bidi w:val="0"/>
        <w:spacing w:line="360" w:lineRule="auto"/>
        <w:ind w:right="0" w:firstLine="420" w:firstLineChars="200"/>
        <w:jc w:val="left"/>
        <w:outlineLvl w:val="9"/>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最高限价（如有）：</w:t>
      </w:r>
      <w:r>
        <w:rPr>
          <w:rFonts w:hint="eastAsia" w:ascii="宋体" w:hAnsi="宋体" w:cs="宋体"/>
          <w:color w:val="auto"/>
          <w:sz w:val="21"/>
          <w:szCs w:val="21"/>
          <w:highlight w:val="none"/>
          <w:lang w:val="en-US" w:eastAsia="zh-CN"/>
        </w:rPr>
        <w:t>8117987.00</w:t>
      </w:r>
      <w:r>
        <w:rPr>
          <w:rFonts w:hint="eastAsia" w:ascii="宋体" w:hAnsi="宋体" w:eastAsia="宋体" w:cs="宋体"/>
          <w:color w:val="auto"/>
          <w:sz w:val="21"/>
          <w:szCs w:val="21"/>
          <w:highlight w:val="none"/>
          <w:shd w:val="clear" w:color="auto" w:fill="auto"/>
          <w:lang w:val="en-US" w:eastAsia="zh-CN"/>
        </w:rPr>
        <w:t>元</w:t>
      </w:r>
      <w:r>
        <w:rPr>
          <w:rFonts w:hint="eastAsia" w:ascii="宋体" w:hAnsi="宋体" w:cs="宋体"/>
          <w:color w:val="auto"/>
          <w:sz w:val="21"/>
          <w:szCs w:val="21"/>
          <w:highlight w:val="none"/>
          <w:shd w:val="clear" w:color="auto" w:fill="auto"/>
          <w:lang w:val="en-US" w:eastAsia="zh-CN"/>
        </w:rPr>
        <w:t>。</w:t>
      </w:r>
    </w:p>
    <w:p w14:paraId="12CAD196">
      <w:pPr>
        <w:keepNext w:val="0"/>
        <w:keepLines w:val="0"/>
        <w:pageBreakBefore w:val="0"/>
        <w:kinsoku/>
        <w:wordWrap/>
        <w:overflowPunct/>
        <w:topLinePunct w:val="0"/>
        <w:bidi w:val="0"/>
        <w:spacing w:line="360" w:lineRule="auto"/>
        <w:ind w:right="0" w:firstLine="420" w:firstLineChars="200"/>
        <w:jc w:val="left"/>
        <w:outlineLvl w:val="9"/>
        <w:rPr>
          <w:rFonts w:hint="eastAsia" w:ascii="宋体" w:hAnsi="宋体" w:eastAsia="宋体" w:cs="宋体"/>
          <w:b w:val="0"/>
          <w:bCs w:val="0"/>
          <w:color w:val="auto"/>
          <w:sz w:val="21"/>
          <w:szCs w:val="21"/>
          <w:highlight w:val="none"/>
          <w:shd w:val="clear" w:color="auto" w:fill="auto"/>
          <w:lang w:val="en-US" w:eastAsia="zh-CN"/>
        </w:rPr>
      </w:pPr>
      <w:r>
        <w:rPr>
          <w:rFonts w:hint="eastAsia" w:ascii="宋体" w:hAnsi="宋体" w:eastAsia="宋体" w:cs="宋体"/>
          <w:b w:val="0"/>
          <w:bCs w:val="0"/>
          <w:color w:val="auto"/>
          <w:sz w:val="21"/>
          <w:szCs w:val="21"/>
          <w:highlight w:val="none"/>
          <w:shd w:val="clear" w:color="auto" w:fill="auto"/>
          <w:lang w:val="en-US" w:eastAsia="zh-CN"/>
        </w:rPr>
        <w:t>要求工期</w:t>
      </w:r>
      <w:r>
        <w:rPr>
          <w:rFonts w:hint="eastAsia" w:ascii="宋体" w:hAnsi="宋体" w:cs="宋体"/>
          <w:b w:val="0"/>
          <w:bCs w:val="0"/>
          <w:color w:val="auto"/>
          <w:sz w:val="21"/>
          <w:szCs w:val="21"/>
          <w:highlight w:val="none"/>
          <w:shd w:val="clear" w:color="auto" w:fill="auto"/>
          <w:lang w:val="en-US" w:eastAsia="zh-CN"/>
        </w:rPr>
        <w:t>：180</w:t>
      </w:r>
      <w:r>
        <w:rPr>
          <w:rFonts w:hint="eastAsia" w:ascii="宋体" w:hAnsi="宋体" w:eastAsia="宋体" w:cs="宋体"/>
          <w:b w:val="0"/>
          <w:bCs w:val="0"/>
          <w:color w:val="auto"/>
          <w:sz w:val="21"/>
          <w:szCs w:val="21"/>
          <w:highlight w:val="none"/>
          <w:u w:val="none"/>
          <w:shd w:val="clear" w:color="auto" w:fill="auto"/>
          <w:lang w:val="en-US" w:eastAsia="zh-CN"/>
        </w:rPr>
        <w:t>日历天。</w:t>
      </w:r>
    </w:p>
    <w:bookmarkEnd w:id="27"/>
    <w:bookmarkEnd w:id="28"/>
    <w:p w14:paraId="7990FCBC">
      <w:pPr>
        <w:keepNext w:val="0"/>
        <w:keepLines w:val="0"/>
        <w:pageBreakBefore w:val="0"/>
        <w:kinsoku/>
        <w:wordWrap/>
        <w:overflowPunct/>
        <w:topLinePunct w:val="0"/>
        <w:bidi w:val="0"/>
        <w:spacing w:line="360" w:lineRule="auto"/>
        <w:ind w:right="0" w:firstLine="420" w:firstLineChars="200"/>
        <w:jc w:val="left"/>
        <w:outlineLvl w:val="9"/>
        <w:rPr>
          <w:rFonts w:hint="eastAsia" w:ascii="宋体" w:hAnsi="宋体" w:eastAsia="宋体" w:cs="宋体"/>
          <w:color w:val="auto"/>
          <w:sz w:val="21"/>
          <w:szCs w:val="21"/>
          <w:highlight w:val="none"/>
          <w:shd w:val="clear" w:color="auto" w:fill="auto"/>
        </w:rPr>
      </w:pPr>
      <w:bookmarkStart w:id="29" w:name="_Toc3678"/>
      <w:bookmarkStart w:id="30" w:name="_Toc17242"/>
      <w:bookmarkStart w:id="31" w:name="_Toc849"/>
      <w:r>
        <w:rPr>
          <w:rFonts w:hint="eastAsia" w:ascii="宋体" w:hAnsi="宋体" w:eastAsia="宋体" w:cs="宋体"/>
          <w:color w:val="auto"/>
          <w:sz w:val="21"/>
          <w:szCs w:val="21"/>
          <w:highlight w:val="none"/>
          <w:shd w:val="clear" w:color="auto" w:fill="auto"/>
        </w:rPr>
        <w:t>本</w:t>
      </w:r>
      <w:r>
        <w:rPr>
          <w:rFonts w:hint="eastAsia" w:ascii="宋体" w:hAnsi="宋体" w:eastAsia="宋体" w:cs="宋体"/>
          <w:color w:val="auto"/>
          <w:sz w:val="21"/>
          <w:szCs w:val="21"/>
          <w:highlight w:val="none"/>
          <w:shd w:val="clear" w:color="auto" w:fill="auto"/>
          <w:lang w:val="en-US" w:eastAsia="zh-CN"/>
        </w:rPr>
        <w:t>标项</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lang w:val="en-US" w:eastAsia="zh-CN"/>
        </w:rPr>
        <w:t>否</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lang w:val="en-US" w:eastAsia="zh-CN"/>
        </w:rPr>
        <w:t>接受</w:t>
      </w:r>
      <w:r>
        <w:rPr>
          <w:rFonts w:hint="eastAsia" w:ascii="宋体" w:hAnsi="宋体" w:eastAsia="宋体" w:cs="宋体"/>
          <w:color w:val="auto"/>
          <w:sz w:val="21"/>
          <w:szCs w:val="21"/>
          <w:highlight w:val="none"/>
          <w:shd w:val="clear" w:color="auto" w:fill="auto"/>
        </w:rPr>
        <w:t>联合体</w:t>
      </w:r>
      <w:r>
        <w:rPr>
          <w:rFonts w:hint="eastAsia" w:ascii="宋体" w:hAnsi="宋体" w:eastAsia="宋体" w:cs="宋体"/>
          <w:color w:val="auto"/>
          <w:sz w:val="21"/>
          <w:szCs w:val="21"/>
          <w:highlight w:val="none"/>
          <w:shd w:val="clear" w:color="auto" w:fill="auto"/>
          <w:lang w:val="en-US" w:eastAsia="zh-CN"/>
        </w:rPr>
        <w:t>投标</w:t>
      </w:r>
      <w:r>
        <w:rPr>
          <w:rFonts w:hint="eastAsia" w:ascii="宋体" w:hAnsi="宋体" w:eastAsia="宋体" w:cs="宋体"/>
          <w:color w:val="auto"/>
          <w:sz w:val="21"/>
          <w:szCs w:val="21"/>
          <w:highlight w:val="none"/>
          <w:shd w:val="clear" w:color="auto" w:fill="auto"/>
        </w:rPr>
        <w:t>。</w:t>
      </w:r>
      <w:bookmarkEnd w:id="29"/>
      <w:bookmarkEnd w:id="30"/>
      <w:bookmarkEnd w:id="31"/>
      <w:bookmarkStart w:id="32" w:name="_Toc35393799"/>
      <w:bookmarkStart w:id="33" w:name="_Toc26905"/>
      <w:bookmarkStart w:id="34" w:name="_Toc28359013"/>
      <w:bookmarkStart w:id="35" w:name="_Toc29128"/>
      <w:bookmarkStart w:id="36" w:name="_Toc35393630"/>
      <w:bookmarkStart w:id="37" w:name="_Toc28359090"/>
    </w:p>
    <w:p w14:paraId="6C3D8F2A">
      <w:pPr>
        <w:keepNext w:val="0"/>
        <w:keepLines w:val="0"/>
        <w:pageBreakBefore w:val="0"/>
        <w:kinsoku/>
        <w:wordWrap/>
        <w:overflowPunct/>
        <w:topLinePunct w:val="0"/>
        <w:bidi w:val="0"/>
        <w:spacing w:line="360" w:lineRule="auto"/>
        <w:ind w:left="0" w:right="0"/>
        <w:jc w:val="both"/>
        <w:outlineLvl w:val="9"/>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二、申请人的资格要求：</w:t>
      </w:r>
      <w:bookmarkEnd w:id="32"/>
      <w:bookmarkEnd w:id="33"/>
      <w:bookmarkEnd w:id="34"/>
      <w:bookmarkEnd w:id="35"/>
      <w:bookmarkEnd w:id="36"/>
      <w:bookmarkEnd w:id="37"/>
    </w:p>
    <w:p w14:paraId="14C0799B">
      <w:pPr>
        <w:keepNext w:val="0"/>
        <w:keepLines w:val="0"/>
        <w:pageBreakBefore w:val="0"/>
        <w:kinsoku/>
        <w:wordWrap/>
        <w:overflowPunct/>
        <w:topLinePunct w:val="0"/>
        <w:bidi w:val="0"/>
        <w:spacing w:line="360" w:lineRule="auto"/>
        <w:ind w:left="0" w:right="0" w:firstLine="420" w:firstLineChars="200"/>
        <w:jc w:val="both"/>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1、满足《中华人民共和国政府采购法》第二十二条规定；</w:t>
      </w:r>
    </w:p>
    <w:p w14:paraId="0ABB61ED">
      <w:pPr>
        <w:keepNext w:val="0"/>
        <w:keepLines w:val="0"/>
        <w:pageBreakBefore w:val="0"/>
        <w:kinsoku/>
        <w:wordWrap/>
        <w:overflowPunct/>
        <w:topLinePunct w:val="0"/>
        <w:bidi w:val="0"/>
        <w:spacing w:line="360" w:lineRule="auto"/>
        <w:ind w:left="0" w:right="0" w:firstLine="420" w:firstLineChars="200"/>
        <w:jc w:val="both"/>
        <w:outlineLvl w:val="9"/>
        <w:rPr>
          <w:rFonts w:hint="eastAsia" w:ascii="宋体" w:hAnsi="宋体" w:eastAsia="宋体" w:cs="宋体"/>
          <w:b/>
          <w:bCs/>
          <w:color w:val="auto"/>
          <w:sz w:val="21"/>
          <w:szCs w:val="21"/>
          <w:highlight w:val="none"/>
          <w:u w:val="none"/>
          <w:shd w:val="clear" w:color="auto" w:fill="auto"/>
        </w:rPr>
      </w:pPr>
      <w:bookmarkStart w:id="38" w:name="_Toc28359091"/>
      <w:bookmarkStart w:id="39" w:name="_Toc28359014"/>
      <w:r>
        <w:rPr>
          <w:rFonts w:hint="eastAsia" w:ascii="宋体" w:hAnsi="宋体" w:eastAsia="宋体" w:cs="宋体"/>
          <w:color w:val="auto"/>
          <w:sz w:val="21"/>
          <w:szCs w:val="21"/>
          <w:highlight w:val="none"/>
          <w:shd w:val="clear" w:color="auto" w:fill="auto"/>
        </w:rPr>
        <w:t>2、落实政府采购政策需满足的资格要求：</w:t>
      </w:r>
      <w:r>
        <w:rPr>
          <w:rFonts w:hint="eastAsia" w:ascii="宋体" w:hAnsi="宋体" w:eastAsia="宋体" w:cs="宋体"/>
          <w:color w:val="auto"/>
          <w:sz w:val="21"/>
          <w:szCs w:val="21"/>
          <w:highlight w:val="none"/>
          <w:u w:val="none"/>
          <w:shd w:val="clear" w:color="auto" w:fill="auto"/>
        </w:rPr>
        <w:t>本项目为专门面向中小企业项目，按照《政府采购促进中小企业发展管理办法》（财库〔2020〕46号）规定，小微企业、监狱企业、残疾人福利性单位不再执行价格评审优惠的扶持政策。</w:t>
      </w:r>
    </w:p>
    <w:p w14:paraId="3F9903E5">
      <w:pPr>
        <w:keepNext w:val="0"/>
        <w:keepLines w:val="0"/>
        <w:pageBreakBefore w:val="0"/>
        <w:kinsoku/>
        <w:wordWrap/>
        <w:overflowPunct/>
        <w:topLinePunct w:val="0"/>
        <w:bidi w:val="0"/>
        <w:spacing w:line="360" w:lineRule="auto"/>
        <w:ind w:left="0" w:right="0" w:firstLine="420" w:firstLineChars="200"/>
        <w:jc w:val="both"/>
        <w:outlineLvl w:val="9"/>
        <w:rPr>
          <w:rFonts w:hint="eastAsia" w:ascii="宋体" w:hAnsi="宋体" w:eastAsia="宋体" w:cs="宋体"/>
          <w:color w:val="auto"/>
          <w:sz w:val="21"/>
          <w:szCs w:val="21"/>
          <w:highlight w:val="none"/>
          <w:u w:val="none"/>
          <w:shd w:val="clear" w:color="auto" w:fill="auto"/>
        </w:rPr>
      </w:pPr>
      <w:r>
        <w:rPr>
          <w:rFonts w:hint="eastAsia" w:ascii="宋体" w:hAnsi="宋体" w:eastAsia="宋体" w:cs="宋体"/>
          <w:color w:val="auto"/>
          <w:sz w:val="21"/>
          <w:szCs w:val="21"/>
          <w:highlight w:val="none"/>
          <w:shd w:val="clear" w:color="auto" w:fill="auto"/>
        </w:rPr>
        <w:t>3、本项目的特定资格要求：</w:t>
      </w:r>
      <w:bookmarkStart w:id="40" w:name="_Toc35393800"/>
      <w:bookmarkStart w:id="41" w:name="_Toc35393631"/>
      <w:r>
        <w:rPr>
          <w:rFonts w:hint="eastAsia" w:ascii="宋体" w:hAnsi="宋体" w:eastAsia="宋体" w:cs="宋体"/>
          <w:color w:val="auto"/>
          <w:szCs w:val="21"/>
          <w:highlight w:val="none"/>
        </w:rPr>
        <w:t>具备</w:t>
      </w:r>
      <w:r>
        <w:rPr>
          <w:rFonts w:hint="eastAsia" w:ascii="宋体" w:hAnsi="宋体" w:eastAsia="宋体" w:cs="宋体"/>
          <w:b/>
          <w:bCs/>
          <w:color w:val="auto"/>
          <w:szCs w:val="21"/>
          <w:highlight w:val="none"/>
        </w:rPr>
        <w:t>水利水电工程施工总承包叁级（含叁级）及以上资质</w:t>
      </w:r>
      <w:r>
        <w:rPr>
          <w:rFonts w:hint="eastAsia" w:ascii="宋体" w:hAnsi="宋体" w:eastAsia="宋体" w:cs="宋体"/>
          <w:color w:val="auto"/>
          <w:szCs w:val="21"/>
          <w:highlight w:val="none"/>
        </w:rPr>
        <w:t>，并在人员、设备、资金等方面具备相应的施工能力。</w:t>
      </w:r>
      <w:r>
        <w:rPr>
          <w:rFonts w:hint="eastAsia" w:ascii="宋体" w:hAnsi="宋体" w:eastAsia="宋体" w:cs="宋体"/>
          <w:color w:val="auto"/>
          <w:szCs w:val="21"/>
          <w:highlight w:val="none"/>
          <w:lang w:eastAsia="zh-CN"/>
        </w:rPr>
        <w:t>其中，供应商拟派项目经理须</w:t>
      </w:r>
      <w:r>
        <w:rPr>
          <w:rFonts w:hint="eastAsia" w:ascii="宋体" w:hAnsi="宋体" w:eastAsia="宋体" w:cs="宋体"/>
          <w:b/>
          <w:bCs/>
          <w:color w:val="auto"/>
          <w:szCs w:val="21"/>
          <w:highlight w:val="none"/>
          <w:lang w:eastAsia="zh-CN"/>
        </w:rPr>
        <w:t>具备水利水电工程专业二级及以上注册建造师</w:t>
      </w:r>
      <w:r>
        <w:rPr>
          <w:rFonts w:hint="eastAsia" w:ascii="宋体" w:hAnsi="宋体" w:eastAsia="宋体" w:cs="宋体"/>
          <w:color w:val="auto"/>
          <w:szCs w:val="21"/>
          <w:highlight w:val="none"/>
          <w:u w:val="none"/>
          <w:lang w:eastAsia="zh-CN"/>
        </w:rPr>
        <w:t>执业资格</w:t>
      </w:r>
      <w:r>
        <w:rPr>
          <w:rFonts w:hint="eastAsia" w:ascii="宋体" w:hAnsi="宋体" w:eastAsia="宋体" w:cs="宋体"/>
          <w:color w:val="auto"/>
          <w:szCs w:val="21"/>
          <w:highlight w:val="none"/>
          <w:lang w:eastAsia="zh-CN"/>
        </w:rPr>
        <w:t>，具备有效的安全生产考核合格证书（B类）</w:t>
      </w:r>
      <w:r>
        <w:rPr>
          <w:rFonts w:hint="eastAsia" w:ascii="宋体" w:hAnsi="宋体" w:eastAsia="宋体" w:cs="宋体"/>
          <w:color w:val="auto"/>
          <w:sz w:val="21"/>
          <w:szCs w:val="21"/>
          <w:highlight w:val="none"/>
          <w:u w:val="none"/>
          <w:shd w:val="clear" w:color="auto" w:fill="auto"/>
        </w:rPr>
        <w:t>。本项目不接受有在建、已中标未开工或已列为其他项目中标候选人第一名的建造师作为项目经理。专职安全员要求：具备有效的安全生产考核合格证书（C 类），人数符合住房和城乡建设部《建筑施工企业安全生产管理机构设置及专职安全生产管理人员配备办法》（建质〔2008〕91 号）的规定不少于 1 人。</w:t>
      </w:r>
    </w:p>
    <w:bookmarkEnd w:id="38"/>
    <w:bookmarkEnd w:id="39"/>
    <w:bookmarkEnd w:id="40"/>
    <w:bookmarkEnd w:id="41"/>
    <w:p w14:paraId="6150F1BE">
      <w:pPr>
        <w:keepNext w:val="0"/>
        <w:keepLines w:val="0"/>
        <w:pageBreakBefore w:val="0"/>
        <w:kinsoku/>
        <w:wordWrap/>
        <w:overflowPunct/>
        <w:topLinePunct w:val="0"/>
        <w:bidi w:val="0"/>
        <w:spacing w:line="360" w:lineRule="auto"/>
        <w:ind w:left="0" w:right="0"/>
        <w:jc w:val="both"/>
        <w:outlineLvl w:val="9"/>
        <w:rPr>
          <w:rFonts w:hint="eastAsia" w:ascii="宋体" w:hAnsi="宋体" w:eastAsia="宋体" w:cs="宋体"/>
          <w:b/>
          <w:bCs/>
          <w:color w:val="auto"/>
          <w:sz w:val="21"/>
          <w:szCs w:val="21"/>
          <w:highlight w:val="none"/>
          <w:u w:val="none"/>
          <w:shd w:val="clear" w:color="auto" w:fill="auto"/>
        </w:rPr>
      </w:pPr>
      <w:bookmarkStart w:id="42" w:name="_Toc35393792"/>
      <w:bookmarkStart w:id="43" w:name="_Toc35393623"/>
      <w:bookmarkStart w:id="44" w:name="_Toc23376"/>
      <w:bookmarkStart w:id="45" w:name="_Toc6128"/>
      <w:bookmarkStart w:id="46" w:name="_Toc28359095"/>
      <w:bookmarkStart w:id="47" w:name="_Toc35393636"/>
      <w:bookmarkStart w:id="48" w:name="_Toc35393805"/>
      <w:bookmarkStart w:id="49" w:name="_Toc28359018"/>
      <w:r>
        <w:rPr>
          <w:rFonts w:hint="eastAsia" w:ascii="宋体" w:hAnsi="宋体" w:eastAsia="宋体" w:cs="宋体"/>
          <w:b/>
          <w:bCs/>
          <w:color w:val="auto"/>
          <w:sz w:val="21"/>
          <w:szCs w:val="21"/>
          <w:highlight w:val="none"/>
          <w:u w:val="none"/>
          <w:shd w:val="clear" w:color="auto" w:fill="auto"/>
        </w:rPr>
        <w:t>三、获取采购文件</w:t>
      </w:r>
      <w:bookmarkEnd w:id="42"/>
      <w:bookmarkEnd w:id="43"/>
      <w:r>
        <w:rPr>
          <w:rFonts w:hint="eastAsia" w:ascii="宋体" w:hAnsi="宋体" w:eastAsia="宋体" w:cs="宋体"/>
          <w:b/>
          <w:bCs/>
          <w:color w:val="auto"/>
          <w:sz w:val="21"/>
          <w:szCs w:val="21"/>
          <w:highlight w:val="none"/>
          <w:u w:val="none"/>
          <w:shd w:val="clear" w:color="auto" w:fill="auto"/>
        </w:rPr>
        <w:t>：</w:t>
      </w:r>
      <w:bookmarkEnd w:id="44"/>
      <w:bookmarkEnd w:id="45"/>
    </w:p>
    <w:p w14:paraId="41F4D21A">
      <w:pPr>
        <w:keepNext w:val="0"/>
        <w:keepLines w:val="0"/>
        <w:pageBreakBefore w:val="0"/>
        <w:kinsoku/>
        <w:wordWrap/>
        <w:overflowPunct/>
        <w:topLinePunct w:val="0"/>
        <w:bidi w:val="0"/>
        <w:spacing w:line="360" w:lineRule="auto"/>
        <w:ind w:left="0" w:right="0" w:firstLine="420" w:firstLineChars="200"/>
        <w:jc w:val="both"/>
        <w:outlineLvl w:val="9"/>
        <w:rPr>
          <w:rFonts w:hint="eastAsia" w:ascii="宋体" w:hAnsi="宋体" w:eastAsia="宋体" w:cs="宋体"/>
          <w:bCs/>
          <w:color w:val="auto"/>
          <w:sz w:val="21"/>
          <w:szCs w:val="21"/>
          <w:highlight w:val="none"/>
          <w:u w:val="none"/>
          <w:shd w:val="clear" w:color="auto" w:fill="auto"/>
        </w:rPr>
      </w:pPr>
      <w:r>
        <w:rPr>
          <w:rFonts w:hint="eastAsia" w:ascii="宋体" w:hAnsi="宋体" w:eastAsia="宋体" w:cs="宋体"/>
          <w:bCs/>
          <w:color w:val="auto"/>
          <w:sz w:val="21"/>
          <w:szCs w:val="21"/>
          <w:highlight w:val="none"/>
          <w:u w:val="none"/>
          <w:shd w:val="clear" w:color="auto" w:fill="auto"/>
        </w:rPr>
        <w:t>时间：</w:t>
      </w:r>
      <w:r>
        <w:rPr>
          <w:rFonts w:hint="eastAsia" w:ascii="宋体" w:hAnsi="宋体" w:eastAsia="宋体" w:cs="宋体"/>
          <w:bCs/>
          <w:color w:val="auto"/>
          <w:sz w:val="21"/>
          <w:szCs w:val="21"/>
          <w:highlight w:val="none"/>
          <w:u w:val="none"/>
          <w:shd w:val="clear" w:color="auto" w:fill="auto"/>
          <w:lang w:val="en-US" w:eastAsia="zh-CN"/>
        </w:rPr>
        <w:t>/</w:t>
      </w:r>
      <w:r>
        <w:rPr>
          <w:rFonts w:hint="eastAsia" w:ascii="宋体" w:hAnsi="宋体" w:eastAsia="宋体" w:cs="宋体"/>
          <w:bCs/>
          <w:color w:val="auto"/>
          <w:sz w:val="21"/>
          <w:szCs w:val="21"/>
          <w:highlight w:val="none"/>
          <w:u w:val="none"/>
          <w:shd w:val="clear" w:color="auto" w:fill="auto"/>
        </w:rPr>
        <w:t>至</w:t>
      </w:r>
      <w:r>
        <w:rPr>
          <w:rFonts w:hint="eastAsia" w:ascii="宋体" w:hAnsi="宋体" w:eastAsia="宋体" w:cs="宋体"/>
          <w:color w:val="auto"/>
          <w:sz w:val="21"/>
          <w:szCs w:val="21"/>
          <w:highlight w:val="none"/>
          <w:shd w:val="clear" w:color="auto" w:fill="auto"/>
          <w:lang w:val="en-US" w:eastAsia="zh-CN"/>
        </w:rPr>
        <w:t>202</w:t>
      </w:r>
      <w:r>
        <w:rPr>
          <w:rFonts w:hint="eastAsia" w:ascii="宋体" w:hAnsi="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lang w:val="en-US" w:eastAsia="zh-CN"/>
        </w:rPr>
        <w:t>年</w:t>
      </w:r>
      <w:r>
        <w:rPr>
          <w:rFonts w:hint="eastAsia" w:ascii="宋体" w:hAnsi="宋体" w:cs="宋体"/>
          <w:color w:val="auto"/>
          <w:sz w:val="21"/>
          <w:szCs w:val="21"/>
          <w:highlight w:val="none"/>
          <w:shd w:val="clear" w:color="auto" w:fill="auto"/>
          <w:lang w:val="en-US" w:eastAsia="zh-CN"/>
        </w:rPr>
        <w:t>8</w:t>
      </w:r>
      <w:r>
        <w:rPr>
          <w:rFonts w:hint="eastAsia" w:ascii="宋体" w:hAnsi="宋体" w:eastAsia="宋体" w:cs="宋体"/>
          <w:color w:val="auto"/>
          <w:sz w:val="21"/>
          <w:szCs w:val="21"/>
          <w:highlight w:val="none"/>
          <w:shd w:val="clear" w:color="auto" w:fill="auto"/>
          <w:lang w:val="en-US" w:eastAsia="zh-CN"/>
        </w:rPr>
        <w:t>月</w:t>
      </w:r>
      <w:r>
        <w:rPr>
          <w:rFonts w:hint="eastAsia" w:ascii="宋体" w:hAnsi="宋体" w:cs="宋体"/>
          <w:bCs/>
          <w:color w:val="auto"/>
          <w:sz w:val="21"/>
          <w:szCs w:val="21"/>
          <w:highlight w:val="none"/>
          <w:shd w:val="clear" w:color="auto" w:fill="auto"/>
          <w:lang w:val="en-US" w:eastAsia="zh-CN"/>
        </w:rPr>
        <w:t>28</w:t>
      </w:r>
      <w:r>
        <w:rPr>
          <w:rFonts w:hint="eastAsia" w:ascii="宋体" w:hAnsi="宋体" w:eastAsia="宋体" w:cs="宋体"/>
          <w:color w:val="auto"/>
          <w:sz w:val="21"/>
          <w:szCs w:val="21"/>
          <w:highlight w:val="none"/>
          <w:shd w:val="clear" w:color="auto" w:fill="auto"/>
          <w:lang w:val="en-US" w:eastAsia="zh-CN"/>
        </w:rPr>
        <w:t>日</w:t>
      </w:r>
      <w:r>
        <w:rPr>
          <w:rFonts w:hint="eastAsia" w:ascii="宋体" w:hAnsi="宋体" w:eastAsia="宋体" w:cs="宋体"/>
          <w:bCs/>
          <w:color w:val="auto"/>
          <w:sz w:val="21"/>
          <w:szCs w:val="21"/>
          <w:highlight w:val="none"/>
          <w:u w:val="none"/>
          <w:shd w:val="clear" w:color="auto" w:fill="auto"/>
        </w:rPr>
        <w:t>，每天上午00:00至12:00，下午12:00至23:59（北京时间，法定节假日除外）。</w:t>
      </w:r>
    </w:p>
    <w:p w14:paraId="4B44A2C5">
      <w:pPr>
        <w:keepNext w:val="0"/>
        <w:keepLines w:val="0"/>
        <w:pageBreakBefore w:val="0"/>
        <w:kinsoku/>
        <w:wordWrap/>
        <w:overflowPunct/>
        <w:topLinePunct w:val="0"/>
        <w:bidi w:val="0"/>
        <w:spacing w:line="360" w:lineRule="auto"/>
        <w:ind w:left="0" w:right="0" w:firstLine="420" w:firstLineChars="200"/>
        <w:jc w:val="both"/>
        <w:outlineLvl w:val="9"/>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地点（网址）：</w:t>
      </w:r>
      <w:r>
        <w:rPr>
          <w:rFonts w:hint="eastAsia" w:ascii="宋体" w:hAnsi="宋体" w:eastAsia="宋体" w:cs="宋体"/>
          <w:color w:val="auto"/>
          <w:kern w:val="0"/>
          <w:sz w:val="21"/>
          <w:szCs w:val="21"/>
          <w:highlight w:val="none"/>
          <w:shd w:val="clear" w:color="auto" w:fill="auto"/>
          <w:lang w:eastAsia="zh-CN"/>
        </w:rPr>
        <w:t>广西政府采购云平台https://www.gcy.zfcg.gxzf.gov.cn/</w:t>
      </w:r>
      <w:r>
        <w:rPr>
          <w:rFonts w:hint="eastAsia" w:ascii="宋体" w:hAnsi="宋体" w:eastAsia="宋体" w:cs="宋体"/>
          <w:bCs/>
          <w:color w:val="auto"/>
          <w:sz w:val="21"/>
          <w:szCs w:val="21"/>
          <w:highlight w:val="none"/>
          <w:shd w:val="clear" w:color="auto" w:fill="auto"/>
        </w:rPr>
        <w:t>。</w:t>
      </w:r>
    </w:p>
    <w:p w14:paraId="7C7EE787">
      <w:pPr>
        <w:keepNext w:val="0"/>
        <w:keepLines w:val="0"/>
        <w:pageBreakBefore w:val="0"/>
        <w:kinsoku/>
        <w:wordWrap/>
        <w:overflowPunct/>
        <w:topLinePunct w:val="0"/>
        <w:bidi w:val="0"/>
        <w:spacing w:line="360" w:lineRule="auto"/>
        <w:ind w:left="0" w:right="0" w:firstLine="420" w:firstLineChars="200"/>
        <w:jc w:val="both"/>
        <w:outlineLvl w:val="9"/>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方式：潜在供应商</w:t>
      </w:r>
      <w:r>
        <w:rPr>
          <w:rFonts w:hint="eastAsia" w:ascii="宋体" w:hAnsi="宋体" w:eastAsia="宋体" w:cs="宋体"/>
          <w:color w:val="auto"/>
          <w:sz w:val="21"/>
          <w:szCs w:val="21"/>
          <w:highlight w:val="none"/>
          <w:shd w:val="clear" w:color="auto" w:fill="auto"/>
        </w:rPr>
        <w:t>应</w:t>
      </w:r>
      <w:r>
        <w:rPr>
          <w:rFonts w:hint="eastAsia" w:ascii="宋体" w:hAnsi="宋体" w:eastAsia="宋体" w:cs="宋体"/>
          <w:color w:val="auto"/>
          <w:kern w:val="0"/>
          <w:sz w:val="21"/>
          <w:szCs w:val="21"/>
          <w:highlight w:val="none"/>
          <w:shd w:val="clear" w:color="auto" w:fill="auto"/>
        </w:rPr>
        <w:t>登录</w:t>
      </w:r>
      <w:r>
        <w:rPr>
          <w:rFonts w:hint="eastAsia" w:ascii="宋体" w:hAnsi="宋体" w:eastAsia="宋体" w:cs="宋体"/>
          <w:color w:val="auto"/>
          <w:kern w:val="0"/>
          <w:sz w:val="21"/>
          <w:szCs w:val="21"/>
          <w:highlight w:val="none"/>
          <w:shd w:val="clear" w:color="auto" w:fill="auto"/>
          <w:lang w:eastAsia="zh-CN"/>
        </w:rPr>
        <w:t>广西政府采购云平台https://www.gcy.zfcg.gxzf.gov.cn/</w:t>
      </w:r>
      <w:r>
        <w:rPr>
          <w:rFonts w:hint="eastAsia" w:ascii="宋体" w:hAnsi="宋体" w:eastAsia="宋体" w:cs="宋体"/>
          <w:color w:val="auto"/>
          <w:kern w:val="0"/>
          <w:sz w:val="21"/>
          <w:szCs w:val="21"/>
          <w:highlight w:val="none"/>
          <w:shd w:val="clear" w:color="auto" w:fill="auto"/>
        </w:rPr>
        <w:t>在线申请获取采购文件、工程量清单及图纸（进入“项目采购”应用，在获取采购文件菜单中选择项目，申请获取采购文件）</w:t>
      </w:r>
      <w:r>
        <w:rPr>
          <w:rFonts w:hint="eastAsia" w:ascii="宋体" w:hAnsi="宋体" w:eastAsia="宋体" w:cs="宋体"/>
          <w:bCs/>
          <w:color w:val="auto"/>
          <w:sz w:val="21"/>
          <w:szCs w:val="21"/>
          <w:highlight w:val="none"/>
          <w:shd w:val="clear" w:color="auto" w:fill="auto"/>
        </w:rPr>
        <w:t>。</w:t>
      </w:r>
    </w:p>
    <w:p w14:paraId="1B2E6854">
      <w:pPr>
        <w:keepNext w:val="0"/>
        <w:keepLines w:val="0"/>
        <w:pageBreakBefore w:val="0"/>
        <w:kinsoku/>
        <w:wordWrap/>
        <w:overflowPunct/>
        <w:topLinePunct w:val="0"/>
        <w:bidi w:val="0"/>
        <w:spacing w:line="360" w:lineRule="auto"/>
        <w:ind w:left="0" w:right="0" w:firstLine="420" w:firstLineChars="200"/>
        <w:jc w:val="both"/>
        <w:outlineLvl w:val="9"/>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售价（元）：0。</w:t>
      </w:r>
      <w:bookmarkStart w:id="50" w:name="_Toc28359082"/>
      <w:bookmarkStart w:id="51" w:name="_Toc28359005"/>
      <w:bookmarkStart w:id="52" w:name="_Toc14194"/>
      <w:bookmarkStart w:id="53" w:name="_Toc35393793"/>
      <w:bookmarkStart w:id="54" w:name="_Toc35393624"/>
      <w:bookmarkStart w:id="55" w:name="_Toc4371"/>
    </w:p>
    <w:p w14:paraId="22DC17BB">
      <w:pPr>
        <w:keepNext w:val="0"/>
        <w:keepLines w:val="0"/>
        <w:pageBreakBefore w:val="0"/>
        <w:kinsoku/>
        <w:wordWrap/>
        <w:overflowPunct/>
        <w:topLinePunct w:val="0"/>
        <w:bidi w:val="0"/>
        <w:spacing w:line="360" w:lineRule="auto"/>
        <w:ind w:left="0" w:right="0" w:firstLine="422" w:firstLineChars="200"/>
        <w:jc w:val="both"/>
        <w:outlineLvl w:val="9"/>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四、响应文件</w:t>
      </w:r>
      <w:bookmarkEnd w:id="50"/>
      <w:bookmarkEnd w:id="51"/>
      <w:r>
        <w:rPr>
          <w:rFonts w:hint="eastAsia" w:ascii="宋体" w:hAnsi="宋体" w:eastAsia="宋体" w:cs="宋体"/>
          <w:b/>
          <w:bCs/>
          <w:color w:val="auto"/>
          <w:sz w:val="21"/>
          <w:szCs w:val="21"/>
          <w:highlight w:val="none"/>
          <w:shd w:val="clear" w:color="auto" w:fill="auto"/>
        </w:rPr>
        <w:t>提交时间和地点</w:t>
      </w:r>
      <w:bookmarkEnd w:id="52"/>
      <w:bookmarkEnd w:id="53"/>
      <w:bookmarkEnd w:id="54"/>
      <w:bookmarkEnd w:id="55"/>
    </w:p>
    <w:p w14:paraId="2EC31152">
      <w:pPr>
        <w:keepNext w:val="0"/>
        <w:keepLines w:val="0"/>
        <w:pageBreakBefore w:val="0"/>
        <w:kinsoku/>
        <w:wordWrap/>
        <w:overflowPunct/>
        <w:topLinePunct w:val="0"/>
        <w:bidi w:val="0"/>
        <w:spacing w:line="360" w:lineRule="auto"/>
        <w:ind w:left="0" w:right="0" w:firstLine="420" w:firstLineChars="200"/>
        <w:jc w:val="both"/>
        <w:outlineLvl w:val="9"/>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截止时间：</w:t>
      </w:r>
      <w:r>
        <w:rPr>
          <w:rFonts w:hint="eastAsia" w:ascii="宋体" w:hAnsi="宋体" w:eastAsia="宋体" w:cs="宋体"/>
          <w:color w:val="auto"/>
          <w:sz w:val="21"/>
          <w:szCs w:val="21"/>
          <w:highlight w:val="none"/>
          <w:shd w:val="clear" w:color="auto" w:fill="auto"/>
          <w:lang w:val="en-US" w:eastAsia="zh-CN"/>
        </w:rPr>
        <w:t>202</w:t>
      </w:r>
      <w:r>
        <w:rPr>
          <w:rFonts w:hint="eastAsia" w:ascii="宋体" w:hAnsi="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lang w:val="en-US" w:eastAsia="zh-CN"/>
        </w:rPr>
        <w:t>年</w:t>
      </w:r>
      <w:r>
        <w:rPr>
          <w:rFonts w:hint="eastAsia" w:ascii="宋体" w:hAnsi="宋体" w:cs="宋体"/>
          <w:color w:val="auto"/>
          <w:sz w:val="21"/>
          <w:szCs w:val="21"/>
          <w:highlight w:val="none"/>
          <w:shd w:val="clear" w:color="auto" w:fill="auto"/>
          <w:lang w:val="en-US" w:eastAsia="zh-CN"/>
        </w:rPr>
        <w:t>8</w:t>
      </w:r>
      <w:r>
        <w:rPr>
          <w:rFonts w:hint="eastAsia" w:ascii="宋体" w:hAnsi="宋体" w:eastAsia="宋体" w:cs="宋体"/>
          <w:color w:val="auto"/>
          <w:sz w:val="21"/>
          <w:szCs w:val="21"/>
          <w:highlight w:val="none"/>
          <w:shd w:val="clear" w:color="auto" w:fill="auto"/>
          <w:lang w:val="en-US" w:eastAsia="zh-CN"/>
        </w:rPr>
        <w:t>月</w:t>
      </w:r>
      <w:r>
        <w:rPr>
          <w:rFonts w:hint="eastAsia" w:ascii="宋体" w:hAnsi="宋体" w:cs="宋体"/>
          <w:bCs/>
          <w:color w:val="auto"/>
          <w:sz w:val="21"/>
          <w:szCs w:val="21"/>
          <w:highlight w:val="none"/>
          <w:shd w:val="clear" w:color="auto" w:fill="auto"/>
          <w:lang w:val="en-US" w:eastAsia="zh-CN"/>
        </w:rPr>
        <w:t>28</w:t>
      </w:r>
      <w:r>
        <w:rPr>
          <w:rFonts w:hint="eastAsia" w:ascii="宋体" w:hAnsi="宋体" w:eastAsia="宋体" w:cs="宋体"/>
          <w:color w:val="auto"/>
          <w:sz w:val="21"/>
          <w:szCs w:val="21"/>
          <w:highlight w:val="none"/>
          <w:shd w:val="clear" w:color="auto" w:fill="auto"/>
          <w:lang w:val="en-US" w:eastAsia="zh-CN"/>
        </w:rPr>
        <w:t>日09</w:t>
      </w:r>
      <w:r>
        <w:rPr>
          <w:rFonts w:hint="eastAsia" w:ascii="宋体" w:hAnsi="宋体" w:eastAsia="宋体" w:cs="宋体"/>
          <w:color w:val="auto"/>
          <w:sz w:val="21"/>
          <w:szCs w:val="21"/>
          <w:highlight w:val="none"/>
          <w:shd w:val="clear" w:color="auto" w:fill="auto"/>
        </w:rPr>
        <w:t>时30分</w:t>
      </w:r>
      <w:r>
        <w:rPr>
          <w:rFonts w:hint="eastAsia" w:ascii="宋体" w:hAnsi="宋体" w:eastAsia="宋体" w:cs="宋体"/>
          <w:bCs/>
          <w:color w:val="auto"/>
          <w:sz w:val="21"/>
          <w:szCs w:val="21"/>
          <w:highlight w:val="none"/>
          <w:shd w:val="clear" w:color="auto" w:fill="auto"/>
        </w:rPr>
        <w:t>（北京时间）。</w:t>
      </w:r>
    </w:p>
    <w:p w14:paraId="1E18DD2D">
      <w:pPr>
        <w:keepNext w:val="0"/>
        <w:keepLines w:val="0"/>
        <w:pageBreakBefore w:val="0"/>
        <w:kinsoku/>
        <w:wordWrap/>
        <w:overflowPunct/>
        <w:topLinePunct w:val="0"/>
        <w:bidi w:val="0"/>
        <w:spacing w:line="360" w:lineRule="auto"/>
        <w:ind w:left="0" w:right="0" w:firstLine="420" w:firstLineChars="200"/>
        <w:jc w:val="both"/>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地点：通过</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实行在线响应。</w:t>
      </w:r>
    </w:p>
    <w:p w14:paraId="3E327ED2">
      <w:pPr>
        <w:keepNext w:val="0"/>
        <w:keepLines w:val="0"/>
        <w:pageBreakBefore w:val="0"/>
        <w:kinsoku/>
        <w:wordWrap/>
        <w:overflowPunct/>
        <w:topLinePunct w:val="0"/>
        <w:bidi w:val="0"/>
        <w:spacing w:line="360" w:lineRule="auto"/>
        <w:ind w:left="0" w:right="0"/>
        <w:jc w:val="both"/>
        <w:outlineLvl w:val="9"/>
        <w:rPr>
          <w:rFonts w:hint="eastAsia" w:ascii="宋体" w:hAnsi="宋体" w:eastAsia="宋体" w:cs="宋体"/>
          <w:b/>
          <w:bCs/>
          <w:color w:val="auto"/>
          <w:sz w:val="21"/>
          <w:szCs w:val="21"/>
          <w:highlight w:val="none"/>
          <w:shd w:val="clear" w:color="auto" w:fill="auto"/>
        </w:rPr>
      </w:pPr>
      <w:bookmarkStart w:id="56" w:name="_Toc28839"/>
      <w:bookmarkStart w:id="57" w:name="_Toc4557"/>
      <w:r>
        <w:rPr>
          <w:rFonts w:hint="eastAsia" w:ascii="宋体" w:hAnsi="宋体" w:eastAsia="宋体" w:cs="宋体"/>
          <w:b/>
          <w:bCs/>
          <w:color w:val="auto"/>
          <w:sz w:val="21"/>
          <w:szCs w:val="21"/>
          <w:highlight w:val="none"/>
          <w:shd w:val="clear" w:color="auto" w:fill="auto"/>
        </w:rPr>
        <w:t>五、开启</w:t>
      </w:r>
      <w:bookmarkEnd w:id="56"/>
      <w:bookmarkEnd w:id="57"/>
    </w:p>
    <w:p w14:paraId="65F40682">
      <w:pPr>
        <w:keepNext w:val="0"/>
        <w:keepLines w:val="0"/>
        <w:pageBreakBefore w:val="0"/>
        <w:kinsoku/>
        <w:wordWrap/>
        <w:overflowPunct/>
        <w:topLinePunct w:val="0"/>
        <w:bidi w:val="0"/>
        <w:spacing w:line="360" w:lineRule="auto"/>
        <w:ind w:left="0" w:right="0" w:firstLine="420" w:firstLineChars="200"/>
        <w:jc w:val="both"/>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时间</w:t>
      </w: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sz w:val="21"/>
          <w:szCs w:val="21"/>
          <w:highlight w:val="none"/>
          <w:shd w:val="clear" w:color="auto" w:fill="auto"/>
          <w:lang w:val="en-US" w:eastAsia="zh-CN"/>
        </w:rPr>
        <w:t>202</w:t>
      </w:r>
      <w:r>
        <w:rPr>
          <w:rFonts w:hint="eastAsia" w:ascii="宋体" w:hAnsi="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lang w:val="en-US" w:eastAsia="zh-CN"/>
        </w:rPr>
        <w:t>年</w:t>
      </w:r>
      <w:r>
        <w:rPr>
          <w:rFonts w:hint="eastAsia" w:ascii="宋体" w:hAnsi="宋体" w:cs="宋体"/>
          <w:color w:val="auto"/>
          <w:sz w:val="21"/>
          <w:szCs w:val="21"/>
          <w:highlight w:val="none"/>
          <w:shd w:val="clear" w:color="auto" w:fill="auto"/>
          <w:lang w:val="en-US" w:eastAsia="zh-CN"/>
        </w:rPr>
        <w:t>8</w:t>
      </w:r>
      <w:r>
        <w:rPr>
          <w:rFonts w:hint="eastAsia" w:ascii="宋体" w:hAnsi="宋体" w:eastAsia="宋体" w:cs="宋体"/>
          <w:color w:val="auto"/>
          <w:sz w:val="21"/>
          <w:szCs w:val="21"/>
          <w:highlight w:val="none"/>
          <w:shd w:val="clear" w:color="auto" w:fill="auto"/>
          <w:lang w:val="en-US" w:eastAsia="zh-CN"/>
        </w:rPr>
        <w:t>月</w:t>
      </w:r>
      <w:r>
        <w:rPr>
          <w:rFonts w:hint="eastAsia" w:ascii="宋体" w:hAnsi="宋体" w:cs="宋体"/>
          <w:bCs/>
          <w:color w:val="auto"/>
          <w:sz w:val="21"/>
          <w:szCs w:val="21"/>
          <w:highlight w:val="none"/>
          <w:shd w:val="clear" w:color="auto" w:fill="auto"/>
          <w:lang w:val="en-US" w:eastAsia="zh-CN"/>
        </w:rPr>
        <w:t>28</w:t>
      </w:r>
      <w:r>
        <w:rPr>
          <w:rFonts w:hint="eastAsia" w:ascii="宋体" w:hAnsi="宋体" w:eastAsia="宋体" w:cs="宋体"/>
          <w:color w:val="auto"/>
          <w:sz w:val="21"/>
          <w:szCs w:val="21"/>
          <w:highlight w:val="none"/>
          <w:shd w:val="clear" w:color="auto" w:fill="auto"/>
          <w:lang w:val="en-US" w:eastAsia="zh-CN"/>
        </w:rPr>
        <w:t>日09</w:t>
      </w:r>
      <w:r>
        <w:rPr>
          <w:rFonts w:hint="eastAsia" w:ascii="宋体" w:hAnsi="宋体" w:eastAsia="宋体" w:cs="宋体"/>
          <w:color w:val="auto"/>
          <w:sz w:val="21"/>
          <w:szCs w:val="21"/>
          <w:highlight w:val="none"/>
          <w:shd w:val="clear" w:color="auto" w:fill="auto"/>
        </w:rPr>
        <w:t>时</w:t>
      </w:r>
      <w:r>
        <w:rPr>
          <w:rFonts w:hint="eastAsia" w:ascii="宋体" w:hAnsi="宋体" w:eastAsia="宋体" w:cs="宋体"/>
          <w:color w:val="auto"/>
          <w:sz w:val="21"/>
          <w:szCs w:val="21"/>
          <w:highlight w:val="none"/>
          <w:shd w:val="clear" w:color="auto" w:fill="auto"/>
          <w:lang w:val="en-US" w:eastAsia="zh-CN"/>
        </w:rPr>
        <w:t>3</w:t>
      </w:r>
      <w:r>
        <w:rPr>
          <w:rFonts w:hint="eastAsia" w:ascii="宋体" w:hAnsi="宋体" w:eastAsia="宋体" w:cs="宋体"/>
          <w:color w:val="auto"/>
          <w:sz w:val="21"/>
          <w:szCs w:val="21"/>
          <w:highlight w:val="none"/>
          <w:shd w:val="clear" w:color="auto" w:fill="auto"/>
        </w:rPr>
        <w:t>0分（北京时间）截标后。</w:t>
      </w:r>
    </w:p>
    <w:p w14:paraId="1228C616">
      <w:pPr>
        <w:keepNext w:val="0"/>
        <w:keepLines w:val="0"/>
        <w:pageBreakBefore w:val="0"/>
        <w:kinsoku/>
        <w:wordWrap/>
        <w:overflowPunct/>
        <w:topLinePunct w:val="0"/>
        <w:bidi w:val="0"/>
        <w:spacing w:line="360" w:lineRule="auto"/>
        <w:ind w:left="0" w:right="0" w:firstLine="420" w:firstLineChars="200"/>
        <w:jc w:val="both"/>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地点</w:t>
      </w:r>
      <w:r>
        <w:rPr>
          <w:rFonts w:hint="eastAsia" w:ascii="宋体" w:hAnsi="宋体" w:eastAsia="宋体" w:cs="宋体"/>
          <w:color w:val="auto"/>
          <w:sz w:val="21"/>
          <w:szCs w:val="21"/>
          <w:highlight w:val="none"/>
          <w:shd w:val="clear" w:color="auto" w:fill="auto"/>
        </w:rPr>
        <w:t>：通过</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实行在线解密开启。</w:t>
      </w:r>
    </w:p>
    <w:p w14:paraId="24DFCD8C">
      <w:pPr>
        <w:keepNext w:val="0"/>
        <w:keepLines w:val="0"/>
        <w:pageBreakBefore w:val="0"/>
        <w:kinsoku/>
        <w:wordWrap/>
        <w:overflowPunct/>
        <w:topLinePunct w:val="0"/>
        <w:bidi w:val="0"/>
        <w:spacing w:line="360" w:lineRule="auto"/>
        <w:ind w:left="0" w:right="0"/>
        <w:jc w:val="both"/>
        <w:outlineLvl w:val="9"/>
        <w:rPr>
          <w:rFonts w:hint="eastAsia" w:ascii="宋体" w:hAnsi="宋体" w:eastAsia="宋体" w:cs="宋体"/>
          <w:b/>
          <w:bCs/>
          <w:color w:val="auto"/>
          <w:sz w:val="21"/>
          <w:szCs w:val="21"/>
          <w:highlight w:val="none"/>
          <w:shd w:val="clear" w:color="auto" w:fill="auto"/>
        </w:rPr>
      </w:pPr>
      <w:bookmarkStart w:id="58" w:name="_Toc28359007"/>
      <w:bookmarkStart w:id="59" w:name="_Toc28359084"/>
      <w:bookmarkStart w:id="60" w:name="_Toc35393794"/>
      <w:bookmarkStart w:id="61" w:name="_Toc7459"/>
      <w:bookmarkStart w:id="62" w:name="_Toc35393625"/>
      <w:bookmarkStart w:id="63" w:name="_Toc19362"/>
      <w:r>
        <w:rPr>
          <w:rFonts w:hint="eastAsia" w:ascii="宋体" w:hAnsi="宋体" w:eastAsia="宋体" w:cs="宋体"/>
          <w:b/>
          <w:bCs/>
          <w:color w:val="auto"/>
          <w:sz w:val="21"/>
          <w:szCs w:val="21"/>
          <w:highlight w:val="none"/>
          <w:shd w:val="clear" w:color="auto" w:fill="auto"/>
        </w:rPr>
        <w:t>六、公告期限</w:t>
      </w:r>
      <w:bookmarkEnd w:id="58"/>
      <w:bookmarkEnd w:id="59"/>
      <w:bookmarkEnd w:id="60"/>
      <w:bookmarkEnd w:id="61"/>
      <w:bookmarkEnd w:id="62"/>
      <w:bookmarkEnd w:id="63"/>
    </w:p>
    <w:p w14:paraId="6593512C">
      <w:pPr>
        <w:keepNext w:val="0"/>
        <w:keepLines w:val="0"/>
        <w:pageBreakBefore w:val="0"/>
        <w:kinsoku/>
        <w:wordWrap/>
        <w:overflowPunct/>
        <w:topLinePunct w:val="0"/>
        <w:bidi w:val="0"/>
        <w:spacing w:line="360" w:lineRule="auto"/>
        <w:ind w:left="0" w:right="0" w:firstLine="420" w:firstLineChars="200"/>
        <w:jc w:val="both"/>
        <w:outlineLvl w:val="9"/>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自本公告发布之日起</w:t>
      </w:r>
      <w:r>
        <w:rPr>
          <w:rFonts w:hint="eastAsia" w:ascii="宋体" w:hAnsi="宋体" w:eastAsia="宋体" w:cs="宋体"/>
          <w:color w:val="auto"/>
          <w:kern w:val="0"/>
          <w:sz w:val="21"/>
          <w:szCs w:val="21"/>
          <w:highlight w:val="none"/>
          <w:shd w:val="clear" w:color="auto" w:fill="auto"/>
          <w:lang w:val="en-US" w:eastAsia="zh-CN"/>
        </w:rPr>
        <w:t>5</w:t>
      </w:r>
      <w:r>
        <w:rPr>
          <w:rFonts w:hint="eastAsia" w:ascii="宋体" w:hAnsi="宋体" w:eastAsia="宋体" w:cs="宋体"/>
          <w:color w:val="auto"/>
          <w:kern w:val="0"/>
          <w:sz w:val="21"/>
          <w:szCs w:val="21"/>
          <w:highlight w:val="none"/>
          <w:shd w:val="clear" w:color="auto" w:fill="auto"/>
        </w:rPr>
        <w:t>个工作日。</w:t>
      </w:r>
    </w:p>
    <w:p w14:paraId="0ABF1995">
      <w:pPr>
        <w:keepNext w:val="0"/>
        <w:keepLines w:val="0"/>
        <w:pageBreakBefore w:val="0"/>
        <w:kinsoku/>
        <w:wordWrap/>
        <w:overflowPunct/>
        <w:topLinePunct w:val="0"/>
        <w:bidi w:val="0"/>
        <w:spacing w:line="360" w:lineRule="auto"/>
        <w:ind w:left="0" w:right="0"/>
        <w:jc w:val="both"/>
        <w:outlineLvl w:val="9"/>
        <w:rPr>
          <w:rFonts w:hint="eastAsia" w:ascii="宋体" w:hAnsi="宋体" w:eastAsia="宋体" w:cs="宋体"/>
          <w:b/>
          <w:bCs/>
          <w:color w:val="auto"/>
          <w:sz w:val="21"/>
          <w:szCs w:val="21"/>
          <w:highlight w:val="none"/>
          <w:shd w:val="clear" w:color="auto" w:fill="auto"/>
        </w:rPr>
      </w:pPr>
      <w:bookmarkStart w:id="64" w:name="_Toc29045"/>
      <w:bookmarkStart w:id="65" w:name="_Toc35393626"/>
      <w:bookmarkStart w:id="66" w:name="_Toc35393795"/>
      <w:bookmarkStart w:id="67" w:name="_Toc17380"/>
      <w:r>
        <w:rPr>
          <w:rFonts w:hint="eastAsia" w:ascii="宋体" w:hAnsi="宋体" w:eastAsia="宋体" w:cs="宋体"/>
          <w:b/>
          <w:bCs/>
          <w:color w:val="auto"/>
          <w:sz w:val="21"/>
          <w:szCs w:val="21"/>
          <w:highlight w:val="none"/>
          <w:shd w:val="clear" w:color="auto" w:fill="auto"/>
        </w:rPr>
        <w:t>七、其他补充事宜</w:t>
      </w:r>
      <w:bookmarkEnd w:id="64"/>
      <w:bookmarkEnd w:id="65"/>
      <w:bookmarkEnd w:id="66"/>
      <w:bookmarkEnd w:id="67"/>
    </w:p>
    <w:p w14:paraId="63FAE075">
      <w:pPr>
        <w:kinsoku/>
        <w:wordWrap/>
        <w:overflowPunct/>
        <w:topLinePunct w:val="0"/>
        <w:bidi w:val="0"/>
        <w:spacing w:line="360" w:lineRule="auto"/>
        <w:ind w:firstLine="420" w:firstLineChars="200"/>
        <w:textAlignment w:val="auto"/>
        <w:outlineLvl w:val="9"/>
        <w:rPr>
          <w:rFonts w:hint="eastAsia" w:ascii="宋体" w:hAnsi="宋体" w:eastAsia="宋体" w:cs="宋体"/>
          <w:color w:val="auto"/>
          <w:szCs w:val="21"/>
          <w:highlight w:val="none"/>
          <w:lang w:val="en-US" w:eastAsia="zh-CN"/>
        </w:rPr>
      </w:pPr>
      <w:bookmarkStart w:id="68" w:name="_Toc148"/>
      <w:bookmarkStart w:id="69" w:name="_Toc5677"/>
      <w:r>
        <w:rPr>
          <w:rFonts w:hint="eastAsia" w:ascii="宋体" w:hAnsi="宋体" w:eastAsia="宋体" w:cs="宋体"/>
          <w:color w:val="auto"/>
          <w:szCs w:val="21"/>
          <w:highlight w:val="none"/>
        </w:rPr>
        <w:t>1.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2.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3.磋商保证金：无</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4.网上查询地址</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www.ccgp.gov.cn（中国政府采购网）、www.ccgp-guangxi.gov.cn（广西壮族自治区政府采购网）、zfcg.czj.guilin.gov.cn（桂林市政府采购网）。</w:t>
      </w:r>
      <w:r>
        <w:rPr>
          <w:rFonts w:hint="eastAsia" w:ascii="宋体" w:hAnsi="宋体" w:eastAsia="宋体" w:cs="宋体"/>
          <w:color w:val="auto"/>
          <w:szCs w:val="21"/>
          <w:highlight w:val="none"/>
        </w:rPr>
        <w:br w:type="textWrapping"/>
      </w:r>
      <w:r>
        <w:rPr>
          <w:rFonts w:hint="eastAsia" w:ascii="宋体" w:hAnsi="宋体" w:cs="宋体"/>
          <w:color w:val="auto"/>
          <w:szCs w:val="21"/>
          <w:highlight w:val="none"/>
          <w:lang w:val="en-US" w:eastAsia="zh-CN"/>
        </w:rPr>
        <w:t xml:space="preserve">    5.</w:t>
      </w:r>
      <w:r>
        <w:rPr>
          <w:rFonts w:hint="eastAsia" w:ascii="宋体" w:hAnsi="宋体" w:eastAsia="宋体" w:cs="宋体"/>
          <w:color w:val="auto"/>
          <w:szCs w:val="21"/>
          <w:highlight w:val="none"/>
          <w:lang w:eastAsia="zh-CN"/>
        </w:rPr>
        <w:t>桂林市临桂区财政局政府采购监督管理股</w:t>
      </w:r>
      <w:r>
        <w:rPr>
          <w:rFonts w:hint="eastAsia" w:ascii="宋体" w:hAnsi="宋体" w:eastAsia="宋体" w:cs="宋体"/>
          <w:color w:val="auto"/>
          <w:szCs w:val="21"/>
          <w:highlight w:val="none"/>
        </w:rPr>
        <w:t xml:space="preserve">       电话：</w:t>
      </w:r>
      <w:r>
        <w:rPr>
          <w:rFonts w:hint="eastAsia" w:ascii="宋体" w:hAnsi="宋体" w:eastAsia="宋体" w:cs="宋体"/>
          <w:color w:val="auto"/>
          <w:szCs w:val="21"/>
          <w:highlight w:val="none"/>
          <w:lang w:eastAsia="zh-CN"/>
        </w:rPr>
        <w:t>0773-5593932</w:t>
      </w:r>
    </w:p>
    <w:p w14:paraId="2D30CC78">
      <w:pPr>
        <w:kinsoku/>
        <w:wordWrap/>
        <w:overflowPunct/>
        <w:topLinePunct w:val="0"/>
        <w:bidi w:val="0"/>
        <w:spacing w:line="360" w:lineRule="auto"/>
        <w:ind w:firstLine="420" w:firstLineChars="200"/>
        <w:textAlignment w:val="auto"/>
        <w:outlineLvl w:val="9"/>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 本项目需要落实的政府采购政策</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（1）《政府采购促进中小企业发展管理办法》（财库[2020]46号）。</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（2）《关于政府采购支持监狱企业发展有关问题的通知》（财库[2014]68号）。</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（3）《关于促进残疾人就业政府采购政策的通知》（财库[2017]141号）。</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（4）《关于我区政府采购支持监狱企业发展有关问题的通知》（桂财采[2015]24号）。</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（5）本项目为专门面向中小企业采购的项目。</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（6）本项目中小</w:t>
      </w:r>
      <w:r>
        <w:rPr>
          <w:rFonts w:hint="eastAsia" w:ascii="宋体" w:hAnsi="宋体" w:eastAsia="宋体" w:cs="宋体"/>
          <w:color w:val="auto"/>
          <w:szCs w:val="21"/>
          <w:highlight w:val="none"/>
          <w:lang w:val="en-US" w:eastAsia="zh-CN"/>
        </w:rPr>
        <w:t>微</w:t>
      </w:r>
      <w:r>
        <w:rPr>
          <w:rFonts w:hint="eastAsia" w:ascii="宋体" w:hAnsi="宋体" w:eastAsia="宋体" w:cs="宋体"/>
          <w:color w:val="auto"/>
          <w:szCs w:val="21"/>
          <w:highlight w:val="none"/>
        </w:rPr>
        <w:t>企业划分标准所属行业：建筑业。</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lang w:val="en-US" w:eastAsia="zh-CN"/>
        </w:rPr>
        <w:t xml:space="preserve">    </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响应文件解密时间：提交响应文件截止时间，广西政府采购云平台自动提取所有供应商响应文件，各供应商须在提交响应文件截止后30分钟内，登录广西政府采购云平台，通过“项目采购-开标评标”功能解密电子响应文件。若供应商在规定时间内无法解密或解密失败或超时解密的，系统默认自动放弃，响应文件按无效响应处理。</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lang w:val="en-US" w:eastAsia="zh-CN"/>
        </w:rPr>
        <w:t xml:space="preserve">    </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.“广西政府采购云平台”电子投标相关事宜说明：</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lang w:val="en-US" w:eastAsia="zh-CN"/>
        </w:rPr>
        <w:t xml:space="preserve">    </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.1 本项目实行全流程电子化采购，供应商通过“广西政府采购云平台”参与电子投标，并应做好以下相关准备工作：①在“广西政府采购云平台”注册成为正式供应商（操作方法详见广西政府采购网—办事服务—办事指南）；②完成CA认证证书申领和绑定（费用由供应商自行承担，办理流程详见广西政府采购网—办事服务—办事指南，完成CA认证证书办理预计一周左右，建议供应商尽快办理）；③下载“广西政府采购云平台新版客户端”（新版客户端下载路径：广西政府采购网（访问地址http://zfcg.gxzf.gov.cn/）—办事服务—下载专区）并安装成功，供应商应当在响应文件提交截止时间前在“广西政府采购云平台”完成身份认证，确保能够对相关数据电子文件进行加密和使用电子签章；④自备计算机和网络设备并确保能接入互联网（费用由供应商自行承担，设备确保可进行视频通话和读取广西政府采购云平台CA认证证书）。因供应商未做好相关准备工作等自身原因导致无法参加本项目电子投标或投标失败的，造成的一切后果，由供应商自行承担。</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lang w:val="en-US" w:eastAsia="zh-CN"/>
        </w:rPr>
        <w:t xml:space="preserve">    </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.2电子投标具体操作流程参考《政府采购项目电子交易管理操作指南-供应商》，如遇平台技术问题详询95763。</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lang w:val="en-US" w:eastAsia="zh-CN"/>
        </w:rPr>
        <w:t xml:space="preserve">    </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.3电子响应文件的制作、加密、提交等相关事宜详见第二章“投标人须知”。  </w:t>
      </w:r>
    </w:p>
    <w:p w14:paraId="36B05C2D">
      <w:pPr>
        <w:keepNext w:val="0"/>
        <w:keepLines w:val="0"/>
        <w:pageBreakBefore w:val="0"/>
        <w:kinsoku/>
        <w:wordWrap/>
        <w:overflowPunct/>
        <w:topLinePunct w:val="0"/>
        <w:bidi w:val="0"/>
        <w:spacing w:line="360" w:lineRule="auto"/>
        <w:ind w:left="0" w:right="0"/>
        <w:jc w:val="both"/>
        <w:outlineLvl w:val="9"/>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八、凡对本次采购提出询问，请按以下方式联系。</w:t>
      </w:r>
      <w:bookmarkEnd w:id="46"/>
      <w:bookmarkEnd w:id="47"/>
      <w:bookmarkEnd w:id="48"/>
      <w:bookmarkEnd w:id="49"/>
      <w:bookmarkEnd w:id="68"/>
      <w:bookmarkEnd w:id="69"/>
    </w:p>
    <w:p w14:paraId="1C6DC636">
      <w:pPr>
        <w:pStyle w:val="82"/>
        <w:keepNext w:val="0"/>
        <w:keepLines w:val="0"/>
        <w:pageBreakBefore w:val="0"/>
        <w:widowControl w:val="0"/>
        <w:kinsoku/>
        <w:wordWrap/>
        <w:overflowPunct/>
        <w:topLinePunct w:val="0"/>
        <w:bidi w:val="0"/>
        <w:snapToGrid/>
        <w:spacing w:line="312" w:lineRule="auto"/>
        <w:ind w:left="0" w:right="0" w:firstLine="420" w:firstLineChars="200"/>
        <w:jc w:val="both"/>
        <w:textAlignment w:val="auto"/>
        <w:outlineLvl w:val="9"/>
        <w:rPr>
          <w:rFonts w:hint="eastAsia" w:ascii="宋体" w:hAnsi="宋体" w:eastAsia="宋体" w:cs="宋体"/>
          <w:color w:val="auto"/>
          <w:sz w:val="21"/>
          <w:szCs w:val="21"/>
          <w:highlight w:val="none"/>
          <w:shd w:val="clear" w:color="auto" w:fill="auto"/>
        </w:rPr>
      </w:pPr>
      <w:bookmarkStart w:id="70" w:name="_Toc28750"/>
      <w:bookmarkStart w:id="71" w:name="_Toc19796"/>
      <w:bookmarkStart w:id="72" w:name="_Toc13906"/>
      <w:bookmarkStart w:id="73" w:name="_Toc5859"/>
      <w:bookmarkStart w:id="74" w:name="_Toc14195"/>
      <w:bookmarkStart w:id="75" w:name="_Toc11940"/>
      <w:r>
        <w:rPr>
          <w:rFonts w:hint="eastAsia" w:ascii="宋体" w:hAnsi="宋体" w:eastAsia="宋体" w:cs="宋体"/>
          <w:color w:val="auto"/>
          <w:sz w:val="21"/>
          <w:szCs w:val="21"/>
          <w:highlight w:val="none"/>
          <w:shd w:val="clear" w:color="auto" w:fill="auto"/>
        </w:rPr>
        <w:t>1、采购人信息</w:t>
      </w:r>
      <w:bookmarkEnd w:id="70"/>
      <w:bookmarkEnd w:id="71"/>
      <w:bookmarkEnd w:id="72"/>
      <w:bookmarkEnd w:id="73"/>
      <w:bookmarkEnd w:id="74"/>
      <w:bookmarkEnd w:id="75"/>
    </w:p>
    <w:p w14:paraId="46156188">
      <w:pPr>
        <w:pStyle w:val="82"/>
        <w:keepNext w:val="0"/>
        <w:keepLines w:val="0"/>
        <w:pageBreakBefore w:val="0"/>
        <w:widowControl w:val="0"/>
        <w:kinsoku/>
        <w:wordWrap/>
        <w:overflowPunct/>
        <w:topLinePunct w:val="0"/>
        <w:bidi w:val="0"/>
        <w:snapToGrid/>
        <w:spacing w:line="312" w:lineRule="auto"/>
        <w:ind w:left="0" w:right="0" w:firstLine="630" w:firstLineChars="300"/>
        <w:jc w:val="both"/>
        <w:textAlignment w:val="auto"/>
        <w:outlineLvl w:val="9"/>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名称</w:t>
      </w:r>
      <w:r>
        <w:rPr>
          <w:rFonts w:hint="eastAsia" w:ascii="宋体" w:hAnsi="宋体" w:eastAsia="宋体" w:cs="宋体"/>
          <w:color w:val="auto"/>
          <w:sz w:val="21"/>
          <w:szCs w:val="21"/>
          <w:highlight w:val="none"/>
          <w:shd w:val="clear" w:color="auto" w:fill="auto"/>
          <w:lang w:eastAsia="zh-CN"/>
        </w:rPr>
        <w:t>：</w:t>
      </w:r>
      <w:r>
        <w:rPr>
          <w:rFonts w:hint="eastAsia" w:ascii="宋体" w:hAnsi="宋体" w:cs="宋体"/>
          <w:color w:val="auto"/>
          <w:sz w:val="21"/>
          <w:szCs w:val="21"/>
          <w:highlight w:val="none"/>
          <w:shd w:val="clear" w:color="auto" w:fill="auto"/>
          <w:lang w:eastAsia="zh-CN"/>
        </w:rPr>
        <w:t>桂林市临桂区两江镇人民政府</w:t>
      </w:r>
    </w:p>
    <w:p w14:paraId="02B93B7D">
      <w:pPr>
        <w:pStyle w:val="82"/>
        <w:keepNext w:val="0"/>
        <w:keepLines w:val="0"/>
        <w:pageBreakBefore w:val="0"/>
        <w:widowControl w:val="0"/>
        <w:kinsoku/>
        <w:wordWrap/>
        <w:overflowPunct/>
        <w:topLinePunct w:val="0"/>
        <w:bidi w:val="0"/>
        <w:snapToGrid/>
        <w:spacing w:line="312" w:lineRule="auto"/>
        <w:ind w:left="0" w:right="0" w:firstLine="630" w:firstLineChars="300"/>
        <w:jc w:val="both"/>
        <w:textAlignment w:val="auto"/>
        <w:outlineLvl w:val="9"/>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地址：桂林市临桂区两江镇</w:t>
      </w:r>
    </w:p>
    <w:p w14:paraId="3D5BA11A">
      <w:pPr>
        <w:pStyle w:val="82"/>
        <w:keepNext w:val="0"/>
        <w:keepLines w:val="0"/>
        <w:pageBreakBefore w:val="0"/>
        <w:widowControl w:val="0"/>
        <w:kinsoku/>
        <w:wordWrap/>
        <w:overflowPunct/>
        <w:topLinePunct w:val="0"/>
        <w:bidi w:val="0"/>
        <w:snapToGrid/>
        <w:spacing w:line="312" w:lineRule="auto"/>
        <w:ind w:left="0" w:right="0" w:firstLine="630" w:firstLineChars="300"/>
        <w:jc w:val="both"/>
        <w:textAlignment w:val="auto"/>
        <w:outlineLvl w:val="9"/>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联系</w:t>
      </w:r>
      <w:r>
        <w:rPr>
          <w:rFonts w:hint="eastAsia" w:ascii="宋体" w:hAnsi="宋体" w:cs="宋体"/>
          <w:color w:val="auto"/>
          <w:sz w:val="21"/>
          <w:szCs w:val="21"/>
          <w:highlight w:val="none"/>
          <w:shd w:val="clear" w:color="auto" w:fill="auto"/>
          <w:lang w:eastAsia="zh-CN"/>
        </w:rPr>
        <w:t>人</w:t>
      </w:r>
      <w:r>
        <w:rPr>
          <w:rFonts w:hint="eastAsia" w:ascii="宋体" w:hAnsi="宋体" w:eastAsia="宋体" w:cs="宋体"/>
          <w:color w:val="auto"/>
          <w:sz w:val="21"/>
          <w:szCs w:val="21"/>
          <w:highlight w:val="none"/>
          <w:shd w:val="clear" w:color="auto" w:fill="auto"/>
        </w:rPr>
        <w:t>：</w:t>
      </w:r>
      <w:bookmarkStart w:id="76" w:name="_Toc23917"/>
      <w:bookmarkStart w:id="77" w:name="_Toc2568"/>
      <w:bookmarkStart w:id="78" w:name="_Toc25786"/>
      <w:bookmarkStart w:id="79" w:name="_Toc12722"/>
      <w:bookmarkStart w:id="80" w:name="_Toc20363"/>
      <w:bookmarkStart w:id="81" w:name="_Toc12451"/>
      <w:r>
        <w:rPr>
          <w:rFonts w:hint="eastAsia" w:ascii="宋体" w:hAnsi="宋体" w:cs="宋体"/>
          <w:color w:val="auto"/>
          <w:sz w:val="21"/>
          <w:szCs w:val="21"/>
          <w:highlight w:val="none"/>
          <w:shd w:val="clear" w:color="auto" w:fill="auto"/>
          <w:lang w:val="en-US" w:eastAsia="zh-CN"/>
        </w:rPr>
        <w:t>王建文</w:t>
      </w:r>
    </w:p>
    <w:p w14:paraId="1278C60D">
      <w:pPr>
        <w:pStyle w:val="82"/>
        <w:keepNext w:val="0"/>
        <w:keepLines w:val="0"/>
        <w:pageBreakBefore w:val="0"/>
        <w:widowControl w:val="0"/>
        <w:kinsoku/>
        <w:wordWrap/>
        <w:overflowPunct/>
        <w:topLinePunct w:val="0"/>
        <w:bidi w:val="0"/>
        <w:snapToGrid/>
        <w:spacing w:line="312" w:lineRule="auto"/>
        <w:ind w:left="0" w:right="0" w:firstLine="630" w:firstLineChars="300"/>
        <w:jc w:val="both"/>
        <w:textAlignment w:val="auto"/>
        <w:outlineLvl w:val="9"/>
        <w:rPr>
          <w:rFonts w:hint="eastAsia" w:ascii="宋体" w:hAnsi="宋体" w:eastAsia="宋体" w:cs="宋体"/>
          <w:color w:val="auto"/>
          <w:kern w:val="0"/>
          <w:sz w:val="21"/>
          <w:szCs w:val="21"/>
          <w:highlight w:val="none"/>
          <w:shd w:val="clear" w:color="auto" w:fill="auto"/>
          <w:lang w:val="en-US" w:eastAsia="zh-CN" w:bidi="ar-SA"/>
        </w:rPr>
      </w:pPr>
      <w:r>
        <w:rPr>
          <w:rFonts w:hint="eastAsia" w:ascii="宋体" w:hAnsi="宋体" w:eastAsia="宋体" w:cs="宋体"/>
          <w:color w:val="auto"/>
          <w:sz w:val="21"/>
          <w:szCs w:val="21"/>
          <w:highlight w:val="none"/>
          <w:shd w:val="clear" w:color="auto" w:fill="auto"/>
        </w:rPr>
        <w:t>联系方式：15907832188</w:t>
      </w:r>
      <w:r>
        <w:rPr>
          <w:rFonts w:hint="eastAsia" w:ascii="宋体" w:hAnsi="宋体" w:cs="宋体"/>
          <w:color w:val="auto"/>
          <w:sz w:val="21"/>
          <w:szCs w:val="21"/>
          <w:highlight w:val="none"/>
          <w:shd w:val="clear" w:color="auto" w:fill="auto"/>
          <w:lang w:val="en-US" w:eastAsia="zh-CN"/>
        </w:rPr>
        <w:t xml:space="preserve">  </w:t>
      </w:r>
      <w:bookmarkStart w:id="82" w:name="_Toc30180"/>
    </w:p>
    <w:p w14:paraId="18B0CB90">
      <w:pPr>
        <w:pStyle w:val="82"/>
        <w:keepNext w:val="0"/>
        <w:keepLines w:val="0"/>
        <w:pageBreakBefore w:val="0"/>
        <w:widowControl w:val="0"/>
        <w:kinsoku/>
        <w:wordWrap/>
        <w:overflowPunct/>
        <w:topLinePunct w:val="0"/>
        <w:bidi w:val="0"/>
        <w:snapToGrid/>
        <w:spacing w:line="312" w:lineRule="auto"/>
        <w:ind w:left="0" w:right="0" w:firstLine="420" w:firstLineChars="200"/>
        <w:jc w:val="both"/>
        <w:textAlignment w:val="auto"/>
        <w:outlineLvl w:val="9"/>
        <w:rPr>
          <w:rFonts w:hint="eastAsia" w:ascii="宋体" w:hAnsi="宋体" w:eastAsia="宋体" w:cs="宋体"/>
          <w:color w:val="auto"/>
          <w:kern w:val="0"/>
          <w:sz w:val="21"/>
          <w:szCs w:val="21"/>
          <w:highlight w:val="none"/>
          <w:shd w:val="clear" w:color="auto" w:fill="auto"/>
          <w:lang w:val="en-US" w:eastAsia="zh-CN" w:bidi="ar-SA"/>
        </w:rPr>
      </w:pPr>
      <w:r>
        <w:rPr>
          <w:rFonts w:hint="eastAsia" w:ascii="宋体" w:hAnsi="宋体" w:eastAsia="宋体" w:cs="宋体"/>
          <w:color w:val="auto"/>
          <w:kern w:val="0"/>
          <w:sz w:val="21"/>
          <w:szCs w:val="21"/>
          <w:highlight w:val="none"/>
          <w:shd w:val="clear" w:color="auto" w:fill="auto"/>
          <w:lang w:val="en-US" w:eastAsia="zh-CN" w:bidi="ar-SA"/>
        </w:rPr>
        <w:t>2、采购代理机构信息</w:t>
      </w:r>
      <w:bookmarkEnd w:id="76"/>
      <w:bookmarkEnd w:id="77"/>
      <w:bookmarkEnd w:id="78"/>
      <w:bookmarkEnd w:id="79"/>
      <w:bookmarkEnd w:id="80"/>
      <w:bookmarkEnd w:id="81"/>
      <w:bookmarkEnd w:id="82"/>
    </w:p>
    <w:p w14:paraId="2342622E">
      <w:pPr>
        <w:keepNext w:val="0"/>
        <w:keepLines w:val="0"/>
        <w:pageBreakBefore w:val="0"/>
        <w:widowControl w:val="0"/>
        <w:kinsoku/>
        <w:wordWrap/>
        <w:overflowPunct/>
        <w:topLinePunct w:val="0"/>
        <w:bidi w:val="0"/>
        <w:snapToGrid/>
        <w:spacing w:line="312" w:lineRule="auto"/>
        <w:ind w:firstLine="525" w:firstLineChars="25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名    称：</w:t>
      </w:r>
      <w:r>
        <w:rPr>
          <w:rFonts w:hint="eastAsia" w:ascii="宋体" w:hAnsi="宋体" w:cs="宋体"/>
          <w:color w:val="auto"/>
          <w:highlight w:val="none"/>
          <w:lang w:eastAsia="zh-CN"/>
        </w:rPr>
        <w:t>广西鼎策工程顾问有限责任公司</w:t>
      </w:r>
      <w:r>
        <w:rPr>
          <w:rFonts w:hint="eastAsia" w:ascii="宋体" w:hAnsi="宋体" w:eastAsia="宋体" w:cs="宋体"/>
          <w:color w:val="auto"/>
          <w:highlight w:val="none"/>
        </w:rPr>
        <w:t xml:space="preserve">　　　　　　　　　 </w:t>
      </w:r>
    </w:p>
    <w:p w14:paraId="53FC280C">
      <w:pPr>
        <w:keepNext w:val="0"/>
        <w:keepLines w:val="0"/>
        <w:pageBreakBefore w:val="0"/>
        <w:widowControl w:val="0"/>
        <w:kinsoku/>
        <w:wordWrap/>
        <w:overflowPunct/>
        <w:topLinePunct w:val="0"/>
        <w:bidi w:val="0"/>
        <w:snapToGrid/>
        <w:spacing w:line="312" w:lineRule="auto"/>
        <w:ind w:firstLine="525" w:firstLineChars="25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地　  址：</w:t>
      </w:r>
      <w:r>
        <w:rPr>
          <w:rFonts w:hint="eastAsia" w:ascii="宋体" w:hAnsi="宋体" w:eastAsia="宋体" w:cs="宋体"/>
          <w:color w:val="auto"/>
          <w:kern w:val="2"/>
          <w:sz w:val="21"/>
          <w:szCs w:val="21"/>
          <w:u w:val="none"/>
          <w:lang w:val="en-US" w:eastAsia="zh-CN" w:bidi="ar-SA"/>
        </w:rPr>
        <w:t>桂林市七星区信息路</w:t>
      </w:r>
      <w:bookmarkStart w:id="492" w:name="_GoBack"/>
      <w:r>
        <w:rPr>
          <w:rFonts w:hint="eastAsia" w:ascii="宋体" w:hAnsi="宋体" w:eastAsia="宋体" w:cs="宋体"/>
          <w:color w:val="auto"/>
          <w:kern w:val="2"/>
          <w:sz w:val="21"/>
          <w:szCs w:val="21"/>
          <w:u w:val="none"/>
          <w:lang w:val="en-US" w:eastAsia="zh-CN" w:bidi="ar-SA"/>
        </w:rPr>
        <w:t>星辰</w:t>
      </w:r>
      <w:bookmarkEnd w:id="492"/>
      <w:r>
        <w:rPr>
          <w:rFonts w:hint="eastAsia" w:ascii="宋体" w:hAnsi="宋体" w:eastAsia="宋体" w:cs="宋体"/>
          <w:color w:val="auto"/>
          <w:kern w:val="2"/>
          <w:sz w:val="21"/>
          <w:szCs w:val="21"/>
          <w:u w:val="none"/>
          <w:lang w:val="en-US" w:eastAsia="zh-CN" w:bidi="ar-SA"/>
        </w:rPr>
        <w:t>科技广场B3-</w:t>
      </w:r>
      <w:r>
        <w:rPr>
          <w:rFonts w:hint="eastAsia" w:ascii="宋体" w:hAnsi="宋体" w:cs="宋体"/>
          <w:color w:val="auto"/>
          <w:kern w:val="2"/>
          <w:sz w:val="21"/>
          <w:szCs w:val="21"/>
          <w:u w:val="none"/>
          <w:lang w:val="en-US" w:eastAsia="zh-CN" w:bidi="ar-SA"/>
        </w:rPr>
        <w:t>2</w:t>
      </w:r>
      <w:r>
        <w:rPr>
          <w:rFonts w:hint="eastAsia" w:ascii="宋体" w:hAnsi="宋体" w:eastAsia="宋体" w:cs="宋体"/>
          <w:color w:val="auto"/>
          <w:kern w:val="2"/>
          <w:sz w:val="21"/>
          <w:szCs w:val="21"/>
          <w:u w:val="none"/>
          <w:lang w:val="en-US" w:eastAsia="zh-CN" w:bidi="ar-SA"/>
        </w:rPr>
        <w:t>室</w:t>
      </w:r>
      <w:r>
        <w:rPr>
          <w:rFonts w:hint="eastAsia" w:ascii="宋体" w:hAnsi="宋体" w:eastAsia="宋体" w:cs="宋体"/>
          <w:color w:val="auto"/>
          <w:highlight w:val="none"/>
        </w:rPr>
        <w:t>　　　　　　　　　</w:t>
      </w:r>
    </w:p>
    <w:p w14:paraId="24BF8A0F">
      <w:pPr>
        <w:keepNext w:val="0"/>
        <w:keepLines w:val="0"/>
        <w:pageBreakBefore w:val="0"/>
        <w:widowControl w:val="0"/>
        <w:kinsoku/>
        <w:wordWrap/>
        <w:overflowPunct/>
        <w:topLinePunct w:val="0"/>
        <w:bidi w:val="0"/>
        <w:snapToGrid/>
        <w:spacing w:line="312" w:lineRule="auto"/>
        <w:ind w:firstLine="525" w:firstLineChars="250"/>
        <w:textAlignment w:val="auto"/>
        <w:outlineLvl w:val="9"/>
        <w:rPr>
          <w:rFonts w:hint="eastAsia" w:ascii="宋体" w:hAnsi="宋体" w:cs="宋体"/>
          <w:color w:val="auto"/>
          <w:highlight w:val="none"/>
          <w:lang w:val="en-US" w:eastAsia="zh-CN"/>
        </w:rPr>
      </w:pPr>
      <w:r>
        <w:rPr>
          <w:rFonts w:hint="eastAsia" w:ascii="宋体" w:hAnsi="宋体" w:eastAsia="宋体" w:cs="宋体"/>
          <w:color w:val="auto"/>
          <w:highlight w:val="none"/>
        </w:rPr>
        <w:t>联系</w:t>
      </w:r>
      <w:r>
        <w:rPr>
          <w:rFonts w:hint="eastAsia" w:ascii="宋体" w:hAnsi="宋体" w:cs="宋体"/>
          <w:color w:val="auto"/>
          <w:highlight w:val="none"/>
          <w:lang w:eastAsia="zh-CN"/>
        </w:rPr>
        <w:t>人</w:t>
      </w:r>
      <w:r>
        <w:rPr>
          <w:rFonts w:hint="eastAsia" w:ascii="宋体" w:hAnsi="宋体" w:cs="宋体"/>
          <w:color w:val="auto"/>
          <w:highlight w:val="none"/>
          <w:lang w:val="en-US" w:eastAsia="zh-CN"/>
        </w:rPr>
        <w:t xml:space="preserve">:蒋丽英          </w:t>
      </w:r>
    </w:p>
    <w:p w14:paraId="5CD90691">
      <w:pPr>
        <w:keepNext w:val="0"/>
        <w:keepLines w:val="0"/>
        <w:pageBreakBefore w:val="0"/>
        <w:widowControl w:val="0"/>
        <w:kinsoku/>
        <w:wordWrap/>
        <w:overflowPunct/>
        <w:topLinePunct w:val="0"/>
        <w:bidi w:val="0"/>
        <w:snapToGrid/>
        <w:spacing w:line="312" w:lineRule="auto"/>
        <w:ind w:firstLine="525" w:firstLineChars="250"/>
        <w:textAlignment w:val="auto"/>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shd w:val="clear" w:color="auto" w:fill="auto"/>
        </w:rPr>
        <w:t>联系方式</w:t>
      </w:r>
      <w:r>
        <w:rPr>
          <w:rFonts w:hint="eastAsia" w:ascii="宋体" w:hAnsi="宋体" w:eastAsia="宋体" w:cs="宋体"/>
          <w:color w:val="auto"/>
          <w:highlight w:val="none"/>
        </w:rPr>
        <w:t>：</w:t>
      </w:r>
      <w:r>
        <w:rPr>
          <w:rFonts w:hint="eastAsia" w:ascii="宋体" w:hAnsi="宋体" w:cs="宋体"/>
          <w:color w:val="auto"/>
          <w:highlight w:val="none"/>
          <w:lang w:val="en-US" w:eastAsia="zh-CN"/>
        </w:rPr>
        <w:t>0773-8980919</w:t>
      </w:r>
      <w:r>
        <w:rPr>
          <w:rFonts w:hint="eastAsia" w:ascii="宋体" w:hAnsi="宋体" w:eastAsia="宋体" w:cs="宋体"/>
          <w:color w:val="auto"/>
          <w:highlight w:val="none"/>
        </w:rPr>
        <w:t xml:space="preserve">         　</w:t>
      </w:r>
    </w:p>
    <w:p w14:paraId="06D634F6">
      <w:pPr>
        <w:pStyle w:val="85"/>
        <w:keepNext w:val="0"/>
        <w:keepLines w:val="0"/>
        <w:pageBreakBefore w:val="0"/>
        <w:kinsoku/>
        <w:wordWrap/>
        <w:overflowPunct/>
        <w:topLinePunct w:val="0"/>
        <w:bidi w:val="0"/>
        <w:spacing w:line="360" w:lineRule="auto"/>
        <w:ind w:left="0" w:right="0" w:firstLine="0"/>
        <w:jc w:val="right"/>
        <w:outlineLvl w:val="9"/>
        <w:rPr>
          <w:rFonts w:hint="eastAsia" w:ascii="宋体" w:hAnsi="宋体" w:eastAsia="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lang w:val="en-US" w:eastAsia="zh-CN"/>
        </w:rPr>
        <w:t>广西鼎策工程顾问有限责任公司</w:t>
      </w:r>
    </w:p>
    <w:p w14:paraId="4FBC520F">
      <w:pPr>
        <w:kinsoku/>
        <w:wordWrap/>
        <w:overflowPunct/>
        <w:topLinePunct w:val="0"/>
        <w:bidi w:val="0"/>
        <w:spacing w:line="360" w:lineRule="auto"/>
        <w:ind w:firstLine="525" w:firstLineChars="250"/>
        <w:jc w:val="right"/>
        <w:textAlignment w:val="auto"/>
        <w:outlineLvl w:val="9"/>
        <w:rPr>
          <w:rFonts w:hint="default" w:ascii="宋体" w:hAnsi="宋体" w:cs="宋体"/>
          <w:color w:val="auto"/>
          <w:highlight w:val="none"/>
          <w:lang w:val="en-US" w:eastAsia="zh-CN"/>
        </w:rPr>
      </w:pPr>
      <w:bookmarkStart w:id="83" w:name="_Toc13283"/>
      <w:bookmarkStart w:id="84" w:name="_Toc18377"/>
      <w:r>
        <w:rPr>
          <w:rFonts w:hint="eastAsia" w:ascii="宋体" w:hAnsi="宋体" w:cs="宋体"/>
          <w:color w:val="auto"/>
          <w:highlight w:val="none"/>
          <w:lang w:val="en-US" w:eastAsia="zh-CN"/>
        </w:rPr>
        <w:t>2026年8月17日</w:t>
      </w:r>
    </w:p>
    <w:p w14:paraId="2D9F06B4">
      <w:pPr>
        <w:rPr>
          <w:rFonts w:hint="eastAsia" w:ascii="宋体" w:hAnsi="宋体" w:eastAsia="宋体" w:cs="宋体"/>
          <w:b/>
          <w:bCs/>
          <w:color w:val="auto"/>
          <w:sz w:val="32"/>
          <w:szCs w:val="32"/>
          <w:highlight w:val="none"/>
          <w:shd w:val="clear" w:color="auto" w:fill="auto"/>
        </w:rPr>
      </w:pPr>
      <w:r>
        <w:rPr>
          <w:rFonts w:hint="eastAsia" w:ascii="宋体" w:hAnsi="宋体" w:eastAsia="宋体" w:cs="宋体"/>
          <w:b/>
          <w:bCs/>
          <w:color w:val="auto"/>
          <w:sz w:val="32"/>
          <w:szCs w:val="32"/>
          <w:highlight w:val="none"/>
          <w:shd w:val="clear" w:color="auto" w:fill="auto"/>
        </w:rPr>
        <w:br w:type="page"/>
      </w:r>
    </w:p>
    <w:p w14:paraId="69A6F127">
      <w:pPr>
        <w:spacing w:line="360" w:lineRule="auto"/>
        <w:jc w:val="center"/>
        <w:outlineLvl w:val="0"/>
        <w:rPr>
          <w:rFonts w:hint="eastAsia" w:ascii="宋体" w:hAnsi="宋体" w:eastAsia="宋体" w:cs="宋体"/>
          <w:b/>
          <w:bCs/>
          <w:color w:val="auto"/>
          <w:sz w:val="32"/>
          <w:szCs w:val="32"/>
          <w:highlight w:val="none"/>
          <w:shd w:val="clear" w:color="auto" w:fill="auto"/>
        </w:rPr>
      </w:pPr>
      <w:bookmarkStart w:id="85" w:name="_Toc14132"/>
      <w:r>
        <w:rPr>
          <w:rFonts w:hint="eastAsia" w:ascii="宋体" w:hAnsi="宋体" w:eastAsia="宋体" w:cs="宋体"/>
          <w:b/>
          <w:bCs/>
          <w:color w:val="auto"/>
          <w:sz w:val="32"/>
          <w:szCs w:val="32"/>
          <w:highlight w:val="none"/>
          <w:shd w:val="clear" w:color="auto" w:fill="auto"/>
        </w:rPr>
        <w:t>第二章  供应商须知</w:t>
      </w:r>
      <w:bookmarkEnd w:id="0"/>
      <w:bookmarkEnd w:id="1"/>
      <w:bookmarkEnd w:id="83"/>
      <w:bookmarkEnd w:id="84"/>
      <w:bookmarkEnd w:id="85"/>
    </w:p>
    <w:p w14:paraId="63C943F1">
      <w:pPr>
        <w:tabs>
          <w:tab w:val="left" w:pos="567"/>
        </w:tabs>
        <w:spacing w:line="360" w:lineRule="auto"/>
        <w:jc w:val="center"/>
        <w:outlineLvl w:val="9"/>
        <w:rPr>
          <w:rFonts w:hint="eastAsia" w:ascii="宋体" w:hAnsi="宋体" w:eastAsia="宋体" w:cs="宋体"/>
          <w:b/>
          <w:bCs w:val="0"/>
          <w:color w:val="auto"/>
          <w:sz w:val="24"/>
          <w:szCs w:val="24"/>
          <w:highlight w:val="none"/>
          <w:shd w:val="clear" w:color="auto" w:fill="auto"/>
        </w:rPr>
      </w:pPr>
      <w:bookmarkStart w:id="86" w:name="_Toc25063"/>
      <w:bookmarkStart w:id="87" w:name="_Toc13547"/>
      <w:bookmarkStart w:id="88" w:name="_Toc15649"/>
      <w:bookmarkStart w:id="89" w:name="_Toc18257"/>
      <w:bookmarkStart w:id="90" w:name="_Toc9508"/>
      <w:r>
        <w:rPr>
          <w:rFonts w:hint="eastAsia" w:ascii="宋体" w:hAnsi="宋体" w:eastAsia="宋体" w:cs="宋体"/>
          <w:b/>
          <w:bCs w:val="0"/>
          <w:color w:val="auto"/>
          <w:sz w:val="24"/>
          <w:szCs w:val="24"/>
          <w:highlight w:val="none"/>
          <w:shd w:val="clear" w:color="auto" w:fill="auto"/>
        </w:rPr>
        <w:t>供应商须知前附表</w:t>
      </w:r>
      <w:bookmarkEnd w:id="86"/>
      <w:bookmarkEnd w:id="87"/>
      <w:bookmarkEnd w:id="88"/>
      <w:bookmarkEnd w:id="89"/>
      <w:bookmarkEnd w:id="90"/>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942"/>
        <w:gridCol w:w="1775"/>
        <w:gridCol w:w="6405"/>
      </w:tblGrid>
      <w:tr w14:paraId="75796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662" w:type="dxa"/>
            <w:shd w:val="clear" w:color="auto" w:fill="D7D7D7"/>
            <w:noWrap w:val="0"/>
            <w:vAlign w:val="center"/>
          </w:tcPr>
          <w:p w14:paraId="0A110260">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序号</w:t>
            </w:r>
          </w:p>
        </w:tc>
        <w:tc>
          <w:tcPr>
            <w:tcW w:w="942" w:type="dxa"/>
            <w:shd w:val="clear" w:color="auto" w:fill="D7D7D7"/>
            <w:noWrap w:val="0"/>
            <w:vAlign w:val="center"/>
          </w:tcPr>
          <w:p w14:paraId="6BBAA9F0">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条款号</w:t>
            </w:r>
          </w:p>
        </w:tc>
        <w:tc>
          <w:tcPr>
            <w:tcW w:w="1775" w:type="dxa"/>
            <w:shd w:val="clear" w:color="auto" w:fill="D7D7D7"/>
            <w:noWrap w:val="0"/>
            <w:vAlign w:val="center"/>
          </w:tcPr>
          <w:p w14:paraId="1F8DA663">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条款名称</w:t>
            </w:r>
          </w:p>
        </w:tc>
        <w:tc>
          <w:tcPr>
            <w:tcW w:w="6405" w:type="dxa"/>
            <w:shd w:val="clear" w:color="auto" w:fill="D7D7D7"/>
            <w:noWrap w:val="0"/>
            <w:vAlign w:val="center"/>
          </w:tcPr>
          <w:p w14:paraId="3615F3F2">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内容、要求</w:t>
            </w:r>
          </w:p>
        </w:tc>
      </w:tr>
      <w:tr w14:paraId="5D2EB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dxa"/>
            <w:noWrap w:val="0"/>
            <w:vAlign w:val="center"/>
          </w:tcPr>
          <w:p w14:paraId="6B1F22A8">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w:t>
            </w:r>
          </w:p>
        </w:tc>
        <w:tc>
          <w:tcPr>
            <w:tcW w:w="942" w:type="dxa"/>
            <w:noWrap w:val="0"/>
            <w:vAlign w:val="center"/>
          </w:tcPr>
          <w:p w14:paraId="33E812E8">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1.1</w:t>
            </w:r>
          </w:p>
        </w:tc>
        <w:tc>
          <w:tcPr>
            <w:tcW w:w="1775" w:type="dxa"/>
            <w:noWrap w:val="0"/>
            <w:vAlign w:val="center"/>
          </w:tcPr>
          <w:p w14:paraId="4E89FB6F">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项目名称及项目编号</w:t>
            </w:r>
          </w:p>
        </w:tc>
        <w:tc>
          <w:tcPr>
            <w:tcW w:w="6405" w:type="dxa"/>
            <w:noWrap w:val="0"/>
            <w:vAlign w:val="center"/>
          </w:tcPr>
          <w:p w14:paraId="625F34E6">
            <w:pPr>
              <w:pageBreakBefore w:val="0"/>
              <w:kinsoku/>
              <w:wordWrap/>
              <w:overflowPunct/>
              <w:topLinePunct w:val="0"/>
              <w:autoSpaceDE/>
              <w:autoSpaceDN/>
              <w:bidi w:val="0"/>
              <w:adjustRightInd/>
              <w:spacing w:line="360" w:lineRule="auto"/>
              <w:textAlignment w:val="auto"/>
              <w:outlineLvl w:val="9"/>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项目名称：</w:t>
            </w:r>
            <w:r>
              <w:rPr>
                <w:rFonts w:hint="eastAsia" w:ascii="宋体" w:hAnsi="宋体" w:cs="宋体"/>
                <w:color w:val="auto"/>
                <w:sz w:val="21"/>
                <w:szCs w:val="21"/>
                <w:highlight w:val="none"/>
                <w:shd w:val="clear" w:color="auto" w:fill="auto"/>
                <w:lang w:eastAsia="zh-CN"/>
              </w:rPr>
              <w:t>桂林市临桂区两江镇培塘村委、大洲村委、保全村委等美丽宜居村庄整治提升以工代赈项目</w:t>
            </w:r>
          </w:p>
          <w:p w14:paraId="23ECFEE7">
            <w:pPr>
              <w:pageBreakBefore w:val="0"/>
              <w:kinsoku/>
              <w:wordWrap/>
              <w:overflowPunct/>
              <w:topLinePunct w:val="0"/>
              <w:autoSpaceDE/>
              <w:autoSpaceDN/>
              <w:bidi w:val="0"/>
              <w:adjustRightInd/>
              <w:spacing w:line="360" w:lineRule="auto"/>
              <w:textAlignment w:val="auto"/>
              <w:outlineLvl w:val="9"/>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项目编号：GLZC2026-C2-120033-GXDC</w:t>
            </w:r>
            <w:r>
              <w:rPr>
                <w:rFonts w:hint="eastAsia" w:ascii="宋体" w:hAnsi="宋体" w:cs="宋体"/>
                <w:color w:val="auto"/>
                <w:sz w:val="21"/>
                <w:szCs w:val="21"/>
                <w:highlight w:val="none"/>
                <w:shd w:val="clear" w:color="auto" w:fill="auto"/>
                <w:lang w:val="en-US" w:eastAsia="zh-CN"/>
              </w:rPr>
              <w:t xml:space="preserve">   </w:t>
            </w:r>
          </w:p>
        </w:tc>
      </w:tr>
      <w:tr w14:paraId="55772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dxa"/>
            <w:noWrap w:val="0"/>
            <w:vAlign w:val="center"/>
          </w:tcPr>
          <w:p w14:paraId="124065ED">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w:t>
            </w:r>
          </w:p>
        </w:tc>
        <w:tc>
          <w:tcPr>
            <w:tcW w:w="942" w:type="dxa"/>
            <w:noWrap w:val="0"/>
            <w:vAlign w:val="center"/>
          </w:tcPr>
          <w:p w14:paraId="73233FD2">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w:t>
            </w:r>
          </w:p>
        </w:tc>
        <w:tc>
          <w:tcPr>
            <w:tcW w:w="1775" w:type="dxa"/>
            <w:noWrap w:val="0"/>
            <w:vAlign w:val="center"/>
          </w:tcPr>
          <w:p w14:paraId="4D642E83">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供应商资格</w:t>
            </w:r>
          </w:p>
        </w:tc>
        <w:tc>
          <w:tcPr>
            <w:tcW w:w="6405" w:type="dxa"/>
            <w:noWrap w:val="0"/>
            <w:vAlign w:val="center"/>
          </w:tcPr>
          <w:p w14:paraId="12369963">
            <w:pPr>
              <w:pageBreakBefore w:val="0"/>
              <w:kinsoku/>
              <w:wordWrap/>
              <w:overflowPunct/>
              <w:topLinePunct w:val="0"/>
              <w:autoSpaceDE/>
              <w:autoSpaceDN/>
              <w:bidi w:val="0"/>
              <w:adjustRightInd/>
              <w:spacing w:line="360" w:lineRule="auto"/>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3.1满足《中华人民共和国政府采购法》第二十二条规定；</w:t>
            </w:r>
          </w:p>
          <w:p w14:paraId="0C071293">
            <w:pPr>
              <w:pageBreakBefore w:val="0"/>
              <w:kinsoku/>
              <w:wordWrap/>
              <w:overflowPunct/>
              <w:topLinePunct w:val="0"/>
              <w:autoSpaceDE/>
              <w:autoSpaceDN/>
              <w:bidi w:val="0"/>
              <w:adjustRightInd/>
              <w:spacing w:line="360" w:lineRule="auto"/>
              <w:textAlignment w:val="auto"/>
              <w:outlineLvl w:val="9"/>
              <w:rPr>
                <w:rFonts w:hint="eastAsia" w:ascii="宋体" w:hAnsi="宋体" w:eastAsia="宋体" w:cs="宋体"/>
                <w:color w:val="auto"/>
                <w:sz w:val="21"/>
                <w:szCs w:val="21"/>
                <w:highlight w:val="none"/>
                <w:u w:val="none"/>
                <w:shd w:val="clear" w:color="auto" w:fill="auto"/>
              </w:rPr>
            </w:pPr>
            <w:r>
              <w:rPr>
                <w:rFonts w:hint="eastAsia" w:ascii="宋体" w:hAnsi="宋体" w:eastAsia="宋体" w:cs="宋体"/>
                <w:color w:val="auto"/>
                <w:sz w:val="21"/>
                <w:szCs w:val="21"/>
                <w:highlight w:val="none"/>
                <w:shd w:val="clear" w:color="auto" w:fill="auto"/>
              </w:rPr>
              <w:t>3.2落实政府采购政策需满足的资格要求：</w:t>
            </w:r>
            <w:r>
              <w:rPr>
                <w:rFonts w:hint="eastAsia" w:ascii="宋体" w:hAnsi="宋体" w:eastAsia="宋体" w:cs="宋体"/>
                <w:color w:val="auto"/>
                <w:sz w:val="21"/>
                <w:szCs w:val="21"/>
                <w:highlight w:val="none"/>
                <w:u w:val="none"/>
                <w:shd w:val="clear" w:color="auto" w:fill="auto"/>
              </w:rPr>
              <w:t>本项目为专门面向中小企业项目，按照《政府采购促进中小企业发展管理办法》（财库〔2020〕46号）规定，小微企业、监狱企业、残疾人福利性单位不再执行价格评审优惠的扶持政策。</w:t>
            </w:r>
          </w:p>
          <w:p w14:paraId="7AA9FE99">
            <w:pPr>
              <w:pStyle w:val="16"/>
              <w:pageBreakBefore w:val="0"/>
              <w:kinsoku/>
              <w:wordWrap/>
              <w:overflowPunct/>
              <w:topLinePunct w:val="0"/>
              <w:autoSpaceDE/>
              <w:autoSpaceDN/>
              <w:bidi w:val="0"/>
              <w:adjustRightInd/>
              <w:spacing w:line="360" w:lineRule="auto"/>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3.3本项目的特定资格要求</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Cs w:val="21"/>
                <w:highlight w:val="none"/>
              </w:rPr>
              <w:t>具备</w:t>
            </w:r>
            <w:r>
              <w:rPr>
                <w:rFonts w:hint="eastAsia" w:ascii="宋体" w:hAnsi="宋体" w:eastAsia="宋体" w:cs="宋体"/>
                <w:b/>
                <w:bCs/>
                <w:color w:val="auto"/>
                <w:szCs w:val="21"/>
                <w:highlight w:val="none"/>
              </w:rPr>
              <w:t>水利水电工程施工总承包叁级（含叁级）及以上资质</w:t>
            </w:r>
            <w:r>
              <w:rPr>
                <w:rFonts w:hint="eastAsia" w:ascii="宋体" w:hAnsi="宋体" w:eastAsia="宋体" w:cs="宋体"/>
                <w:color w:val="auto"/>
                <w:szCs w:val="21"/>
                <w:highlight w:val="none"/>
              </w:rPr>
              <w:t>，并在人员、设备、资金等方面具备相应的施工能力。</w:t>
            </w:r>
            <w:r>
              <w:rPr>
                <w:rFonts w:hint="eastAsia" w:ascii="宋体" w:hAnsi="宋体" w:eastAsia="宋体" w:cs="宋体"/>
                <w:color w:val="auto"/>
                <w:szCs w:val="21"/>
                <w:highlight w:val="none"/>
                <w:lang w:eastAsia="zh-CN"/>
              </w:rPr>
              <w:t>其中，供应商拟派项目经理须</w:t>
            </w:r>
            <w:r>
              <w:rPr>
                <w:rFonts w:hint="eastAsia" w:ascii="宋体" w:hAnsi="宋体" w:eastAsia="宋体" w:cs="宋体"/>
                <w:b/>
                <w:bCs/>
                <w:color w:val="auto"/>
                <w:szCs w:val="21"/>
                <w:highlight w:val="none"/>
                <w:lang w:eastAsia="zh-CN"/>
              </w:rPr>
              <w:t>具备水利水电工程专业二级及以上注册建造师</w:t>
            </w:r>
            <w:r>
              <w:rPr>
                <w:rFonts w:hint="eastAsia" w:ascii="宋体" w:hAnsi="宋体" w:eastAsia="宋体" w:cs="宋体"/>
                <w:color w:val="auto"/>
                <w:szCs w:val="21"/>
                <w:highlight w:val="none"/>
                <w:u w:val="none"/>
                <w:lang w:eastAsia="zh-CN"/>
              </w:rPr>
              <w:t>执业资格，</w:t>
            </w:r>
            <w:r>
              <w:rPr>
                <w:rFonts w:hint="eastAsia" w:ascii="宋体" w:hAnsi="宋体" w:eastAsia="宋体" w:cs="宋体"/>
                <w:color w:val="auto"/>
                <w:szCs w:val="21"/>
                <w:highlight w:val="none"/>
                <w:lang w:eastAsia="zh-CN"/>
              </w:rPr>
              <w:t>具备有效的安全生产考核合格证书（B类）</w:t>
            </w:r>
            <w:r>
              <w:rPr>
                <w:rFonts w:hint="eastAsia" w:ascii="宋体" w:hAnsi="宋体" w:eastAsia="宋体" w:cs="宋体"/>
                <w:color w:val="auto"/>
                <w:sz w:val="21"/>
                <w:szCs w:val="21"/>
                <w:highlight w:val="none"/>
                <w:u w:val="none"/>
                <w:shd w:val="clear" w:color="auto" w:fill="auto"/>
              </w:rPr>
              <w:t>。本项目不接受有在建、已中标未开工或已列为其他项目中标候选人第一名的建造师作为项目经理。专职安全员要求：具备有效的安全生产考核合格证书（C 类），人数符合住房和城乡建设部《建筑施工企业安全生产管理机构设置及专职安全生产管理人员配备办法》（建质〔2008〕91 号）的规定不少于 1 人。</w:t>
            </w:r>
          </w:p>
        </w:tc>
      </w:tr>
      <w:tr w14:paraId="65B2D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dxa"/>
            <w:noWrap w:val="0"/>
            <w:vAlign w:val="center"/>
          </w:tcPr>
          <w:p w14:paraId="4490FBA8">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w:t>
            </w:r>
          </w:p>
        </w:tc>
        <w:tc>
          <w:tcPr>
            <w:tcW w:w="942" w:type="dxa"/>
            <w:noWrap w:val="0"/>
            <w:vAlign w:val="center"/>
          </w:tcPr>
          <w:p w14:paraId="38B6F553">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4</w:t>
            </w:r>
          </w:p>
        </w:tc>
        <w:tc>
          <w:tcPr>
            <w:tcW w:w="1775" w:type="dxa"/>
            <w:noWrap w:val="0"/>
            <w:vAlign w:val="center"/>
          </w:tcPr>
          <w:p w14:paraId="6D0A1082">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磋商费用</w:t>
            </w:r>
          </w:p>
        </w:tc>
        <w:tc>
          <w:tcPr>
            <w:tcW w:w="6405" w:type="dxa"/>
            <w:noWrap w:val="0"/>
            <w:vAlign w:val="center"/>
          </w:tcPr>
          <w:p w14:paraId="25B8AB85">
            <w:pPr>
              <w:pageBreakBefore w:val="0"/>
              <w:kinsoku/>
              <w:wordWrap/>
              <w:overflowPunct/>
              <w:topLinePunct w:val="0"/>
              <w:autoSpaceDE/>
              <w:autoSpaceDN/>
              <w:bidi w:val="0"/>
              <w:adjustRightInd/>
              <w:spacing w:line="360" w:lineRule="auto"/>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不论磋商结果如何，供应商均应自行承担所有与磋商有关的全部费用。</w:t>
            </w:r>
          </w:p>
        </w:tc>
      </w:tr>
      <w:tr w14:paraId="462D9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dxa"/>
            <w:noWrap w:val="0"/>
            <w:vAlign w:val="center"/>
          </w:tcPr>
          <w:p w14:paraId="68E659F8">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4</w:t>
            </w:r>
          </w:p>
        </w:tc>
        <w:tc>
          <w:tcPr>
            <w:tcW w:w="942" w:type="dxa"/>
            <w:noWrap w:val="0"/>
            <w:vAlign w:val="center"/>
          </w:tcPr>
          <w:p w14:paraId="1800A1CD">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position w:val="-2"/>
                <w:sz w:val="21"/>
                <w:szCs w:val="21"/>
                <w:highlight w:val="none"/>
                <w:shd w:val="clear" w:color="auto" w:fill="auto"/>
              </w:rPr>
            </w:pPr>
            <w:r>
              <w:rPr>
                <w:rFonts w:hint="eastAsia" w:ascii="宋体" w:hAnsi="宋体" w:eastAsia="宋体" w:cs="宋体"/>
                <w:color w:val="auto"/>
                <w:position w:val="-2"/>
                <w:sz w:val="21"/>
                <w:szCs w:val="21"/>
                <w:highlight w:val="none"/>
                <w:shd w:val="clear" w:color="auto" w:fill="auto"/>
              </w:rPr>
              <w:t>13</w:t>
            </w:r>
          </w:p>
        </w:tc>
        <w:tc>
          <w:tcPr>
            <w:tcW w:w="1775" w:type="dxa"/>
            <w:noWrap w:val="0"/>
            <w:vAlign w:val="center"/>
          </w:tcPr>
          <w:p w14:paraId="395A7D56">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position w:val="-2"/>
                <w:sz w:val="21"/>
                <w:szCs w:val="21"/>
                <w:highlight w:val="none"/>
                <w:shd w:val="clear" w:color="auto" w:fill="auto"/>
              </w:rPr>
            </w:pPr>
            <w:r>
              <w:rPr>
                <w:rFonts w:hint="eastAsia" w:ascii="宋体" w:hAnsi="宋体" w:eastAsia="宋体" w:cs="宋体"/>
                <w:color w:val="auto"/>
                <w:sz w:val="21"/>
                <w:szCs w:val="21"/>
                <w:highlight w:val="none"/>
                <w:shd w:val="clear" w:color="auto" w:fill="auto"/>
              </w:rPr>
              <w:t>磋商报价及采购预算金额</w:t>
            </w:r>
          </w:p>
        </w:tc>
        <w:tc>
          <w:tcPr>
            <w:tcW w:w="6405" w:type="dxa"/>
            <w:noWrap w:val="0"/>
            <w:vAlign w:val="center"/>
          </w:tcPr>
          <w:p w14:paraId="4A59FA32">
            <w:pPr>
              <w:pageBreakBefore w:val="0"/>
              <w:kinsoku/>
              <w:wordWrap/>
              <w:overflowPunct/>
              <w:topLinePunct w:val="0"/>
              <w:autoSpaceDE/>
              <w:autoSpaceDN/>
              <w:bidi w:val="0"/>
              <w:adjustRightInd/>
              <w:spacing w:line="360" w:lineRule="auto"/>
              <w:textAlignment w:val="auto"/>
              <w:outlineLvl w:val="9"/>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13.1</w:t>
            </w:r>
            <w:r>
              <w:rPr>
                <w:rFonts w:hint="eastAsia" w:ascii="宋体" w:hAnsi="宋体" w:eastAsia="宋体" w:cs="宋体"/>
                <w:color w:val="auto"/>
                <w:kern w:val="0"/>
                <w:sz w:val="21"/>
                <w:szCs w:val="21"/>
                <w:highlight w:val="none"/>
                <w:shd w:val="clear" w:color="auto" w:fill="auto"/>
              </w:rPr>
              <w:t>本工程预算</w:t>
            </w:r>
            <w:r>
              <w:rPr>
                <w:rFonts w:hint="eastAsia" w:ascii="宋体" w:hAnsi="宋体" w:cs="宋体"/>
                <w:color w:val="auto"/>
                <w:kern w:val="0"/>
                <w:sz w:val="21"/>
                <w:szCs w:val="21"/>
                <w:highlight w:val="none"/>
                <w:shd w:val="clear" w:color="auto" w:fill="auto"/>
                <w:lang w:eastAsia="zh-CN"/>
              </w:rPr>
              <w:t>金额</w:t>
            </w:r>
            <w:r>
              <w:rPr>
                <w:rFonts w:hint="eastAsia" w:ascii="宋体" w:hAnsi="宋体" w:eastAsia="宋体" w:cs="宋体"/>
                <w:color w:val="auto"/>
                <w:kern w:val="0"/>
                <w:sz w:val="21"/>
                <w:szCs w:val="21"/>
                <w:highlight w:val="none"/>
                <w:shd w:val="clear" w:color="auto" w:fill="auto"/>
              </w:rPr>
              <w:t>为人民币</w:t>
            </w:r>
            <w:r>
              <w:rPr>
                <w:rFonts w:hint="eastAsia" w:ascii="宋体" w:hAnsi="宋体" w:cs="宋体"/>
                <w:color w:val="auto"/>
                <w:sz w:val="21"/>
                <w:szCs w:val="21"/>
                <w:highlight w:val="none"/>
                <w:lang w:val="en-US" w:eastAsia="zh-CN"/>
              </w:rPr>
              <w:t>8117987.00</w:t>
            </w:r>
            <w:r>
              <w:rPr>
                <w:rFonts w:hint="eastAsia" w:ascii="宋体" w:hAnsi="宋体" w:eastAsia="宋体" w:cs="宋体"/>
                <w:color w:val="auto"/>
                <w:kern w:val="0"/>
                <w:sz w:val="21"/>
                <w:szCs w:val="21"/>
                <w:highlight w:val="none"/>
                <w:u w:val="none"/>
                <w:shd w:val="clear" w:color="auto" w:fill="auto"/>
                <w:lang w:val="en-US" w:eastAsia="zh-CN"/>
              </w:rPr>
              <w:t>元【包含安全防护、文明施工措施费、规费、增值税、暂估价（安全生产责任保险费暂估价）、暂列金额】</w:t>
            </w:r>
            <w:r>
              <w:rPr>
                <w:rFonts w:hint="eastAsia" w:ascii="宋体" w:hAnsi="宋体" w:cs="宋体"/>
                <w:color w:val="auto"/>
                <w:kern w:val="0"/>
                <w:sz w:val="21"/>
                <w:szCs w:val="21"/>
                <w:highlight w:val="none"/>
                <w:u w:val="none"/>
                <w:shd w:val="clear" w:color="auto" w:fill="auto"/>
                <w:lang w:val="en-US" w:eastAsia="zh-CN"/>
              </w:rPr>
              <w:t>，最高磋商限价为人民币</w:t>
            </w:r>
            <w:r>
              <w:rPr>
                <w:rFonts w:hint="eastAsia" w:ascii="宋体" w:hAnsi="宋体" w:cs="宋体"/>
                <w:color w:val="auto"/>
                <w:sz w:val="21"/>
                <w:szCs w:val="21"/>
                <w:highlight w:val="none"/>
                <w:lang w:val="en-US" w:eastAsia="zh-CN"/>
              </w:rPr>
              <w:t>8117987.00</w:t>
            </w:r>
            <w:r>
              <w:rPr>
                <w:rFonts w:hint="eastAsia" w:ascii="宋体" w:hAnsi="宋体" w:cs="宋体"/>
                <w:color w:val="auto"/>
                <w:kern w:val="0"/>
                <w:sz w:val="21"/>
                <w:szCs w:val="21"/>
                <w:highlight w:val="none"/>
                <w:u w:val="none"/>
                <w:shd w:val="clear" w:color="auto" w:fill="auto"/>
                <w:lang w:val="en-US" w:eastAsia="zh-CN"/>
              </w:rPr>
              <w:t>元。</w:t>
            </w:r>
            <w:r>
              <w:rPr>
                <w:rFonts w:hint="eastAsia" w:ascii="宋体" w:hAnsi="宋体" w:eastAsia="宋体" w:cs="宋体"/>
                <w:color w:val="auto"/>
                <w:sz w:val="21"/>
                <w:szCs w:val="21"/>
                <w:highlight w:val="none"/>
                <w:shd w:val="clear" w:color="auto" w:fill="auto"/>
              </w:rPr>
              <w:t>供应商磋商总报价不得高于本工程最高磋商限价，否则被视为无效报价，无效报价将不予评审。</w:t>
            </w:r>
          </w:p>
          <w:p w14:paraId="7D79D223">
            <w:pPr>
              <w:pageBreakBefore w:val="0"/>
              <w:kinsoku/>
              <w:wordWrap/>
              <w:overflowPunct/>
              <w:topLinePunct w:val="0"/>
              <w:autoSpaceDE/>
              <w:autoSpaceDN/>
              <w:bidi w:val="0"/>
              <w:adjustRightInd/>
              <w:spacing w:line="360" w:lineRule="auto"/>
              <w:textAlignment w:val="auto"/>
              <w:outlineLvl w:val="9"/>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13.2供应商必须就“工程量清单”中所有内容作完整报价，否则，其响应文件无效。</w:t>
            </w:r>
          </w:p>
          <w:p w14:paraId="10165A9D">
            <w:pPr>
              <w:pageBreakBefore w:val="0"/>
              <w:tabs>
                <w:tab w:val="left" w:pos="1305"/>
              </w:tabs>
              <w:kinsoku/>
              <w:wordWrap/>
              <w:overflowPunct/>
              <w:topLinePunct w:val="0"/>
              <w:autoSpaceDE/>
              <w:autoSpaceDN/>
              <w:bidi w:val="0"/>
              <w:adjustRightInd/>
              <w:spacing w:line="360" w:lineRule="auto"/>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13.3供应商磋商报价应综合考虑工程总造价（包含提供本次工程范围的所有成本、税金、利润等），报价不得超出最高磋商总价限价。</w:t>
            </w:r>
          </w:p>
          <w:p w14:paraId="462E0B32">
            <w:pPr>
              <w:pageBreakBefore w:val="0"/>
              <w:kinsoku/>
              <w:wordWrap/>
              <w:overflowPunct/>
              <w:topLinePunct w:val="0"/>
              <w:autoSpaceDE/>
              <w:autoSpaceDN/>
              <w:bidi w:val="0"/>
              <w:adjustRightInd/>
              <w:spacing w:line="360" w:lineRule="auto"/>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13.4供应商应在规定时间内在</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系统上提交最后报价，超出磋商小组设定的最后报价时限或其最后报价超出最高限价导致已通过评审的响应文件无效的，按供应商在提交响应文件截止时间后撤回响应文件处理。</w:t>
            </w:r>
          </w:p>
          <w:p w14:paraId="557886BA">
            <w:pPr>
              <w:pageBreakBefore w:val="0"/>
              <w:kinsoku/>
              <w:wordWrap/>
              <w:overflowPunct/>
              <w:topLinePunct w:val="0"/>
              <w:autoSpaceDE/>
              <w:autoSpaceDN/>
              <w:bidi w:val="0"/>
              <w:adjustRightInd/>
              <w:spacing w:line="360" w:lineRule="auto"/>
              <w:textAlignment w:val="auto"/>
              <w:outlineLvl w:val="9"/>
              <w:rPr>
                <w:rFonts w:hint="eastAsia" w:ascii="宋体" w:hAnsi="宋体" w:eastAsia="宋体" w:cs="宋体"/>
                <w:color w:val="auto"/>
                <w:kern w:val="2"/>
                <w:sz w:val="21"/>
                <w:szCs w:val="21"/>
                <w:highlight w:val="none"/>
                <w:shd w:val="clear" w:color="auto" w:fill="auto"/>
              </w:rPr>
            </w:pPr>
            <w:r>
              <w:rPr>
                <w:rFonts w:hint="eastAsia" w:ascii="宋体" w:hAnsi="宋体" w:eastAsia="宋体" w:cs="宋体"/>
                <w:color w:val="auto"/>
                <w:kern w:val="2"/>
                <w:sz w:val="21"/>
                <w:szCs w:val="21"/>
                <w:highlight w:val="none"/>
                <w:shd w:val="clear" w:color="auto" w:fill="auto"/>
              </w:rPr>
              <w:t>注：供应商的第二次磋商报价不得高于该供应商第一次磋商报价，否则做无效标处理。如供应商维持磋商报价不变，以原磋商报价作为供应商最后报价</w:t>
            </w:r>
            <w:r>
              <w:rPr>
                <w:rFonts w:hint="eastAsia" w:ascii="宋体" w:hAnsi="宋体" w:eastAsia="宋体" w:cs="宋体"/>
                <w:bCs/>
                <w:color w:val="auto"/>
                <w:kern w:val="2"/>
                <w:sz w:val="21"/>
                <w:szCs w:val="21"/>
                <w:highlight w:val="none"/>
                <w:shd w:val="clear" w:color="auto" w:fill="auto"/>
              </w:rPr>
              <w:t>；如供应商需要改变原磋商报价时，</w:t>
            </w:r>
            <w:r>
              <w:rPr>
                <w:rFonts w:hint="eastAsia" w:ascii="宋体" w:hAnsi="宋体" w:eastAsia="宋体" w:cs="宋体"/>
                <w:color w:val="auto"/>
                <w:kern w:val="2"/>
                <w:sz w:val="21"/>
                <w:szCs w:val="21"/>
                <w:highlight w:val="none"/>
                <w:shd w:val="clear" w:color="auto" w:fill="auto"/>
              </w:rPr>
              <w:t>供应商应预先准备好调整后的已标价的工程量清单（在提交最后报价时以附件形式上传）。如供应商在磋商过程中，改变原报价且未按竞争性磋商文件要求提供调整后的已标价的工程量清单，其报价不予认可，视供应商维持原磋商报价不变。</w:t>
            </w:r>
          </w:p>
        </w:tc>
      </w:tr>
      <w:tr w14:paraId="2BBA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dxa"/>
            <w:noWrap w:val="0"/>
            <w:vAlign w:val="center"/>
          </w:tcPr>
          <w:p w14:paraId="50F1EC91">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5</w:t>
            </w:r>
          </w:p>
        </w:tc>
        <w:tc>
          <w:tcPr>
            <w:tcW w:w="942" w:type="dxa"/>
            <w:noWrap w:val="0"/>
            <w:vAlign w:val="center"/>
          </w:tcPr>
          <w:p w14:paraId="2E221EA8">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position w:val="-2"/>
                <w:sz w:val="21"/>
                <w:szCs w:val="21"/>
                <w:highlight w:val="none"/>
                <w:shd w:val="clear" w:color="auto" w:fill="auto"/>
              </w:rPr>
            </w:pPr>
            <w:r>
              <w:rPr>
                <w:rFonts w:hint="eastAsia" w:ascii="宋体" w:hAnsi="宋体" w:eastAsia="宋体" w:cs="宋体"/>
                <w:color w:val="auto"/>
                <w:position w:val="-2"/>
                <w:sz w:val="21"/>
                <w:szCs w:val="21"/>
                <w:highlight w:val="none"/>
                <w:shd w:val="clear" w:color="auto" w:fill="auto"/>
              </w:rPr>
              <w:t>14.1</w:t>
            </w:r>
          </w:p>
        </w:tc>
        <w:tc>
          <w:tcPr>
            <w:tcW w:w="1775" w:type="dxa"/>
            <w:noWrap w:val="0"/>
            <w:vAlign w:val="center"/>
          </w:tcPr>
          <w:p w14:paraId="64D68E04">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position w:val="-2"/>
                <w:sz w:val="21"/>
                <w:szCs w:val="21"/>
                <w:highlight w:val="none"/>
                <w:shd w:val="clear" w:color="auto" w:fill="auto"/>
              </w:rPr>
            </w:pPr>
            <w:r>
              <w:rPr>
                <w:rFonts w:hint="eastAsia" w:ascii="宋体" w:hAnsi="宋体" w:eastAsia="宋体" w:cs="宋体"/>
                <w:color w:val="auto"/>
                <w:position w:val="-2"/>
                <w:sz w:val="21"/>
                <w:szCs w:val="21"/>
                <w:highlight w:val="none"/>
                <w:shd w:val="clear" w:color="auto" w:fill="auto"/>
              </w:rPr>
              <w:t>响应文件有效期</w:t>
            </w:r>
          </w:p>
        </w:tc>
        <w:tc>
          <w:tcPr>
            <w:tcW w:w="6405" w:type="dxa"/>
            <w:noWrap w:val="0"/>
            <w:vAlign w:val="top"/>
          </w:tcPr>
          <w:p w14:paraId="24E5F4C9">
            <w:pPr>
              <w:pageBreakBefore w:val="0"/>
              <w:tabs>
                <w:tab w:val="left" w:pos="1305"/>
              </w:tabs>
              <w:kinsoku/>
              <w:wordWrap/>
              <w:overflowPunct/>
              <w:topLinePunct w:val="0"/>
              <w:autoSpaceDE/>
              <w:autoSpaceDN/>
              <w:bidi w:val="0"/>
              <w:adjustRightInd/>
              <w:spacing w:line="360" w:lineRule="auto"/>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自响应文件递交截止时间之日起90天，有效期不足的响应文件将被拒绝。</w:t>
            </w:r>
          </w:p>
        </w:tc>
      </w:tr>
      <w:tr w14:paraId="0BC16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dxa"/>
            <w:noWrap w:val="0"/>
            <w:vAlign w:val="center"/>
          </w:tcPr>
          <w:p w14:paraId="3104C9BE">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6</w:t>
            </w:r>
          </w:p>
        </w:tc>
        <w:tc>
          <w:tcPr>
            <w:tcW w:w="942" w:type="dxa"/>
            <w:noWrap w:val="0"/>
            <w:vAlign w:val="center"/>
          </w:tcPr>
          <w:p w14:paraId="7C0233AC">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position w:val="-2"/>
                <w:sz w:val="21"/>
                <w:szCs w:val="21"/>
                <w:highlight w:val="none"/>
                <w:shd w:val="clear" w:color="auto" w:fill="auto"/>
              </w:rPr>
            </w:pPr>
            <w:r>
              <w:rPr>
                <w:rFonts w:hint="eastAsia" w:ascii="宋体" w:hAnsi="宋体" w:eastAsia="宋体" w:cs="宋体"/>
                <w:color w:val="auto"/>
                <w:position w:val="-2"/>
                <w:sz w:val="21"/>
                <w:szCs w:val="21"/>
                <w:highlight w:val="none"/>
                <w:shd w:val="clear" w:color="auto" w:fill="auto"/>
              </w:rPr>
              <w:t>15</w:t>
            </w:r>
          </w:p>
        </w:tc>
        <w:tc>
          <w:tcPr>
            <w:tcW w:w="1775" w:type="dxa"/>
            <w:noWrap w:val="0"/>
            <w:vAlign w:val="center"/>
          </w:tcPr>
          <w:p w14:paraId="0F118F76">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position w:val="-2"/>
                <w:sz w:val="21"/>
                <w:szCs w:val="21"/>
                <w:highlight w:val="none"/>
                <w:shd w:val="clear" w:color="auto" w:fill="auto"/>
              </w:rPr>
            </w:pPr>
            <w:r>
              <w:rPr>
                <w:rFonts w:hint="eastAsia" w:ascii="宋体" w:hAnsi="宋体" w:eastAsia="宋体" w:cs="宋体"/>
                <w:color w:val="auto"/>
                <w:position w:val="-2"/>
                <w:sz w:val="21"/>
                <w:szCs w:val="21"/>
                <w:highlight w:val="none"/>
                <w:shd w:val="clear" w:color="auto" w:fill="auto"/>
              </w:rPr>
              <w:t>保证金</w:t>
            </w:r>
          </w:p>
        </w:tc>
        <w:tc>
          <w:tcPr>
            <w:tcW w:w="6405" w:type="dxa"/>
            <w:noWrap w:val="0"/>
            <w:vAlign w:val="top"/>
          </w:tcPr>
          <w:p w14:paraId="20BCE713">
            <w:pPr>
              <w:pageBreakBefore w:val="0"/>
              <w:tabs>
                <w:tab w:val="left" w:pos="1305"/>
              </w:tabs>
              <w:kinsoku/>
              <w:wordWrap/>
              <w:overflowPunct/>
              <w:topLinePunct w:val="0"/>
              <w:autoSpaceDE/>
              <w:autoSpaceDN/>
              <w:bidi w:val="0"/>
              <w:adjustRightInd/>
              <w:spacing w:line="360" w:lineRule="auto"/>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本项目无需交纳磋商保证金。</w:t>
            </w:r>
          </w:p>
        </w:tc>
      </w:tr>
      <w:tr w14:paraId="2E6D9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dxa"/>
            <w:noWrap w:val="0"/>
            <w:vAlign w:val="center"/>
          </w:tcPr>
          <w:p w14:paraId="3C9738A2">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7</w:t>
            </w:r>
          </w:p>
        </w:tc>
        <w:tc>
          <w:tcPr>
            <w:tcW w:w="942" w:type="dxa"/>
            <w:noWrap w:val="0"/>
            <w:vAlign w:val="center"/>
          </w:tcPr>
          <w:p w14:paraId="7BD60988">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16</w:t>
            </w:r>
          </w:p>
        </w:tc>
        <w:tc>
          <w:tcPr>
            <w:tcW w:w="1775" w:type="dxa"/>
            <w:noWrap w:val="0"/>
            <w:vAlign w:val="center"/>
          </w:tcPr>
          <w:p w14:paraId="4D76313B">
            <w:pPr>
              <w:keepNext/>
              <w:keepLines/>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bookmarkStart w:id="91" w:name="_Toc20646"/>
            <w:bookmarkStart w:id="92" w:name="_Toc27452"/>
            <w:bookmarkStart w:id="93" w:name="_Toc19911"/>
            <w:r>
              <w:rPr>
                <w:rFonts w:hint="eastAsia" w:ascii="宋体" w:hAnsi="宋体" w:eastAsia="宋体" w:cs="宋体"/>
                <w:bCs/>
                <w:color w:val="auto"/>
                <w:sz w:val="21"/>
                <w:szCs w:val="21"/>
                <w:highlight w:val="none"/>
                <w:shd w:val="clear" w:color="auto" w:fill="auto"/>
              </w:rPr>
              <w:t>竞争性磋商响应文件的制作</w:t>
            </w:r>
            <w:bookmarkEnd w:id="91"/>
            <w:bookmarkEnd w:id="92"/>
            <w:bookmarkEnd w:id="93"/>
          </w:p>
        </w:tc>
        <w:tc>
          <w:tcPr>
            <w:tcW w:w="6405" w:type="dxa"/>
            <w:noWrap w:val="0"/>
            <w:vAlign w:val="center"/>
          </w:tcPr>
          <w:p w14:paraId="1F5E135E">
            <w:pPr>
              <w:pageBreakBefore w:val="0"/>
              <w:kinsoku/>
              <w:wordWrap/>
              <w:overflowPunct/>
              <w:topLinePunct w:val="0"/>
              <w:autoSpaceDE/>
              <w:autoSpaceDN/>
              <w:bidi w:val="0"/>
              <w:adjustRightInd/>
              <w:snapToGrid w:val="0"/>
              <w:spacing w:line="360" w:lineRule="auto"/>
              <w:ind w:right="-57" w:rightChars="-27"/>
              <w:jc w:val="left"/>
              <w:textAlignment w:val="auto"/>
              <w:outlineLvl w:val="9"/>
              <w:rPr>
                <w:rFonts w:hint="eastAsia" w:ascii="宋体" w:hAnsi="宋体" w:eastAsia="宋体" w:cs="宋体"/>
                <w:bCs/>
                <w:color w:val="auto"/>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16.1</w:t>
            </w:r>
            <w:r>
              <w:rPr>
                <w:rFonts w:hint="eastAsia" w:ascii="宋体" w:hAnsi="宋体" w:eastAsia="宋体" w:cs="宋体"/>
                <w:color w:val="auto"/>
                <w:sz w:val="21"/>
                <w:szCs w:val="21"/>
                <w:highlight w:val="none"/>
                <w:shd w:val="clear" w:color="auto" w:fill="auto"/>
              </w:rPr>
              <w:t>供应商制作电子响应文件前，</w:t>
            </w:r>
            <w:r>
              <w:rPr>
                <w:rFonts w:hint="eastAsia" w:ascii="宋体" w:hAnsi="宋体" w:eastAsia="宋体" w:cs="宋体"/>
                <w:bCs/>
                <w:color w:val="auto"/>
                <w:sz w:val="21"/>
                <w:szCs w:val="21"/>
                <w:highlight w:val="none"/>
                <w:shd w:val="clear" w:color="auto" w:fill="auto"/>
              </w:rPr>
              <w:t>应</w:t>
            </w:r>
            <w:r>
              <w:rPr>
                <w:rFonts w:hint="eastAsia" w:ascii="宋体" w:hAnsi="宋体" w:cs="宋体"/>
                <w:bCs/>
                <w:color w:val="auto"/>
                <w:sz w:val="21"/>
                <w:szCs w:val="21"/>
                <w:highlight w:val="none"/>
                <w:u w:val="none"/>
                <w:shd w:val="clear" w:color="auto" w:fill="auto"/>
                <w:lang w:eastAsia="zh-CN"/>
              </w:rPr>
              <w:t>登录</w:t>
            </w:r>
            <w:r>
              <w:rPr>
                <w:rFonts w:hint="eastAsia" w:ascii="宋体" w:hAnsi="宋体" w:eastAsia="宋体" w:cs="宋体"/>
                <w:bCs/>
                <w:color w:val="auto"/>
                <w:sz w:val="21"/>
                <w:szCs w:val="21"/>
                <w:highlight w:val="none"/>
                <w:shd w:val="clear" w:color="auto" w:fill="auto"/>
              </w:rPr>
              <w:t>“</w:t>
            </w:r>
            <w:r>
              <w:rPr>
                <w:rFonts w:hint="eastAsia" w:ascii="宋体" w:hAnsi="宋体" w:eastAsia="宋体" w:cs="宋体"/>
                <w:bCs/>
                <w:color w:val="auto"/>
                <w:sz w:val="21"/>
                <w:szCs w:val="21"/>
                <w:highlight w:val="none"/>
                <w:shd w:val="clear" w:color="auto" w:fill="auto"/>
                <w:lang w:eastAsia="zh-CN"/>
              </w:rPr>
              <w:t>广西政府采购云平台</w:t>
            </w:r>
            <w:r>
              <w:rPr>
                <w:rFonts w:hint="eastAsia" w:ascii="宋体" w:hAnsi="宋体" w:eastAsia="宋体" w:cs="宋体"/>
                <w:bCs/>
                <w:color w:val="auto"/>
                <w:sz w:val="21"/>
                <w:szCs w:val="21"/>
                <w:highlight w:val="none"/>
                <w:shd w:val="clear" w:color="auto" w:fill="auto"/>
              </w:rPr>
              <w:t>”进行“申请获取采购文件”操作，否则，有可能导致无法在线编制响应文件并参与磋商，其不利后果由供应商自行承担。</w:t>
            </w:r>
          </w:p>
          <w:p w14:paraId="0FD2FF25">
            <w:pPr>
              <w:pageBreakBefore w:val="0"/>
              <w:kinsoku/>
              <w:wordWrap/>
              <w:overflowPunct/>
              <w:topLinePunct w:val="0"/>
              <w:autoSpaceDE/>
              <w:autoSpaceDN/>
              <w:bidi w:val="0"/>
              <w:adjustRightInd/>
              <w:snapToGrid w:val="0"/>
              <w:spacing w:line="360" w:lineRule="auto"/>
              <w:ind w:right="-57" w:rightChars="-27"/>
              <w:jc w:val="left"/>
              <w:textAlignment w:val="auto"/>
              <w:outlineLvl w:val="9"/>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16.2供应商下载或获取竞争性磋商文件后，登录“</w:t>
            </w:r>
            <w:r>
              <w:rPr>
                <w:rFonts w:hint="eastAsia" w:ascii="宋体" w:hAnsi="宋体" w:eastAsia="宋体" w:cs="宋体"/>
                <w:bCs/>
                <w:color w:val="auto"/>
                <w:sz w:val="21"/>
                <w:szCs w:val="21"/>
                <w:highlight w:val="none"/>
                <w:shd w:val="clear" w:color="auto" w:fill="auto"/>
                <w:lang w:eastAsia="zh-CN"/>
              </w:rPr>
              <w:t>广西政府采购云平台</w:t>
            </w:r>
            <w:r>
              <w:rPr>
                <w:rFonts w:hint="eastAsia" w:ascii="宋体" w:hAnsi="宋体" w:eastAsia="宋体" w:cs="宋体"/>
                <w:bCs/>
                <w:color w:val="auto"/>
                <w:sz w:val="21"/>
                <w:szCs w:val="21"/>
                <w:highlight w:val="none"/>
                <w:shd w:val="clear" w:color="auto" w:fill="auto"/>
              </w:rPr>
              <w:t>电子投标客户端”，按照本磋商文件</w:t>
            </w:r>
            <w:r>
              <w:rPr>
                <w:rFonts w:hint="eastAsia" w:ascii="宋体" w:hAnsi="宋体" w:eastAsia="宋体" w:cs="宋体"/>
                <w:color w:val="auto"/>
                <w:sz w:val="21"/>
                <w:szCs w:val="21"/>
                <w:highlight w:val="none"/>
                <w:shd w:val="clear" w:color="auto" w:fill="auto"/>
              </w:rPr>
              <w:t>规定的响应文件格式、顺序</w:t>
            </w:r>
            <w:r>
              <w:rPr>
                <w:rFonts w:hint="eastAsia" w:ascii="宋体" w:hAnsi="宋体" w:eastAsia="宋体" w:cs="宋体"/>
                <w:bCs/>
                <w:color w:val="auto"/>
                <w:sz w:val="21"/>
                <w:szCs w:val="21"/>
                <w:highlight w:val="none"/>
                <w:shd w:val="clear" w:color="auto" w:fill="auto"/>
              </w:rPr>
              <w:t>以及“</w:t>
            </w:r>
            <w:r>
              <w:rPr>
                <w:rFonts w:hint="eastAsia" w:ascii="宋体" w:hAnsi="宋体" w:eastAsia="宋体" w:cs="宋体"/>
                <w:bCs/>
                <w:color w:val="auto"/>
                <w:sz w:val="21"/>
                <w:szCs w:val="21"/>
                <w:highlight w:val="none"/>
                <w:shd w:val="clear" w:color="auto" w:fill="auto"/>
                <w:lang w:eastAsia="zh-CN"/>
              </w:rPr>
              <w:t>广西政府采购云平台</w:t>
            </w:r>
            <w:r>
              <w:rPr>
                <w:rFonts w:hint="eastAsia" w:ascii="宋体" w:hAnsi="宋体" w:eastAsia="宋体" w:cs="宋体"/>
                <w:bCs/>
                <w:color w:val="auto"/>
                <w:sz w:val="21"/>
                <w:szCs w:val="21"/>
                <w:highlight w:val="none"/>
                <w:shd w:val="clear" w:color="auto" w:fill="auto"/>
              </w:rPr>
              <w:t>”的要求，通过“</w:t>
            </w:r>
            <w:r>
              <w:rPr>
                <w:rFonts w:hint="eastAsia" w:ascii="宋体" w:hAnsi="宋体" w:eastAsia="宋体" w:cs="宋体"/>
                <w:bCs/>
                <w:color w:val="auto"/>
                <w:sz w:val="21"/>
                <w:szCs w:val="21"/>
                <w:highlight w:val="none"/>
                <w:shd w:val="clear" w:color="auto" w:fill="auto"/>
                <w:lang w:eastAsia="zh-CN"/>
              </w:rPr>
              <w:t>广西政府采购云平台</w:t>
            </w:r>
            <w:r>
              <w:rPr>
                <w:rFonts w:hint="eastAsia" w:ascii="宋体" w:hAnsi="宋体" w:eastAsia="宋体" w:cs="宋体"/>
                <w:bCs/>
                <w:color w:val="auto"/>
                <w:sz w:val="21"/>
                <w:szCs w:val="21"/>
                <w:highlight w:val="none"/>
                <w:shd w:val="clear" w:color="auto" w:fill="auto"/>
              </w:rPr>
              <w:t>电子投标客户端”编制电子响应文件。</w:t>
            </w:r>
          </w:p>
          <w:p w14:paraId="1C80D064">
            <w:pPr>
              <w:pageBreakBefore w:val="0"/>
              <w:kinsoku/>
              <w:wordWrap/>
              <w:overflowPunct/>
              <w:topLinePunct w:val="0"/>
              <w:autoSpaceDE/>
              <w:autoSpaceDN/>
              <w:bidi w:val="0"/>
              <w:adjustRightInd/>
              <w:spacing w:line="360" w:lineRule="auto"/>
              <w:ind w:right="-57" w:rightChars="-27"/>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16.3电子磋商响应文件中须加盖供应商公章部分均采用CA签章，并根据“政府采购项目电子交易管理操作指南-供应商”及本磋商文件规定的格式和顺序编制电子磋商响应文件并进行关联定位，以便磋商小组在评审时，点击评分项可直接定位到该评分项内容。如对磋商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漏读，或者在按采购文件规定的部位查找不到相关内容的，由供应商自行承担。</w:t>
            </w:r>
          </w:p>
          <w:p w14:paraId="4A404672">
            <w:pPr>
              <w:pageBreakBefore w:val="0"/>
              <w:kinsoku/>
              <w:wordWrap/>
              <w:overflowPunct/>
              <w:topLinePunct w:val="0"/>
              <w:autoSpaceDE/>
              <w:autoSpaceDN/>
              <w:bidi w:val="0"/>
              <w:adjustRightInd/>
              <w:spacing w:line="360" w:lineRule="auto"/>
              <w:ind w:right="-57" w:rightChars="-27"/>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16.4供应商法人（负责人）或授权代表持有</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个人CA签章的，应在响应文件中涉及到签字的位置使用个人CA签章，没有办理</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个人CA签章的可在响应文件中涉及到签字的位置手写签字后扫描或者拍照做成PDF的格式上传即可。</w:t>
            </w:r>
          </w:p>
          <w:p w14:paraId="38D7E912">
            <w:pPr>
              <w:pageBreakBefore w:val="0"/>
              <w:kinsoku/>
              <w:wordWrap/>
              <w:overflowPunct/>
              <w:topLinePunct w:val="0"/>
              <w:autoSpaceDE/>
              <w:autoSpaceDN/>
              <w:bidi w:val="0"/>
              <w:adjustRightInd/>
              <w:spacing w:line="360" w:lineRule="auto"/>
              <w:ind w:right="-57" w:rightChars="-27"/>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16.5磋商响应文件不得涂改，若有修改错漏处，须法定代表人（负责人）或授权委托人签字（或个人CA签章）。磋商响应文件因字迹潦草或表达不清所引起的后果由供应商负责。</w:t>
            </w:r>
          </w:p>
          <w:p w14:paraId="073457D8">
            <w:pPr>
              <w:pageBreakBefore w:val="0"/>
              <w:kinsoku/>
              <w:wordWrap/>
              <w:overflowPunct/>
              <w:topLinePunct w:val="0"/>
              <w:autoSpaceDE/>
              <w:autoSpaceDN/>
              <w:bidi w:val="0"/>
              <w:adjustRightInd/>
              <w:spacing w:line="360" w:lineRule="auto"/>
              <w:ind w:right="-57" w:rightChars="-27"/>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16.6磋商前准备</w:t>
            </w:r>
          </w:p>
          <w:p w14:paraId="2DFA4EEE">
            <w:pPr>
              <w:pageBreakBefore w:val="0"/>
              <w:kinsoku/>
              <w:wordWrap/>
              <w:overflowPunct/>
              <w:topLinePunct w:val="0"/>
              <w:autoSpaceDE/>
              <w:autoSpaceDN/>
              <w:bidi w:val="0"/>
              <w:adjustRightInd/>
              <w:spacing w:line="360" w:lineRule="auto"/>
              <w:ind w:right="-57" w:rightChars="-27"/>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16.6.1本项目实行在线磋商，采用电子磋商响应文件。若供应商参与磋商，自行承担磋商一切费用。</w:t>
            </w:r>
          </w:p>
          <w:p w14:paraId="3B74ED8F">
            <w:pPr>
              <w:pageBreakBefore w:val="0"/>
              <w:kinsoku/>
              <w:wordWrap/>
              <w:overflowPunct/>
              <w:topLinePunct w:val="0"/>
              <w:autoSpaceDE/>
              <w:autoSpaceDN/>
              <w:bidi w:val="0"/>
              <w:adjustRightInd/>
              <w:spacing w:line="360" w:lineRule="auto"/>
              <w:ind w:right="-57" w:rightChars="-27"/>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16.6.2各供应商应在截标前应确保成为</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正式注册入库供应商，并完成CA数字证书申领和绑定。因未注册入库、未办理CA数字证书等原因造成无法磋商或磋商失败等后果由供应商自行承担。</w:t>
            </w:r>
          </w:p>
          <w:p w14:paraId="72C861C8">
            <w:pPr>
              <w:pageBreakBefore w:val="0"/>
              <w:kinsoku/>
              <w:wordWrap/>
              <w:overflowPunct/>
              <w:topLinePunct w:val="0"/>
              <w:autoSpaceDE/>
              <w:autoSpaceDN/>
              <w:bidi w:val="0"/>
              <w:adjustRightInd/>
              <w:spacing w:line="360" w:lineRule="auto"/>
              <w:ind w:right="-57" w:rightChars="-27"/>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16.6.3供应商将</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电子交易客户端下载、安装完成后，可通过账号密码或CA登录客户端进行响应文件制作。客户端请至网站下载专区查看，如有问题可拨打</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客户服务热线</w:t>
            </w:r>
            <w:r>
              <w:rPr>
                <w:rFonts w:hint="eastAsia" w:ascii="宋体" w:hAnsi="宋体" w:eastAsia="宋体" w:cs="宋体"/>
                <w:color w:val="auto"/>
                <w:sz w:val="21"/>
                <w:szCs w:val="21"/>
                <w:highlight w:val="none"/>
                <w:shd w:val="clear" w:color="auto" w:fill="auto"/>
                <w:lang w:eastAsia="zh-CN"/>
              </w:rPr>
              <w:t>400-881-7190或95763</w:t>
            </w:r>
            <w:r>
              <w:rPr>
                <w:rFonts w:hint="eastAsia" w:ascii="宋体" w:hAnsi="宋体" w:eastAsia="宋体" w:cs="宋体"/>
                <w:color w:val="auto"/>
                <w:sz w:val="21"/>
                <w:szCs w:val="21"/>
                <w:highlight w:val="none"/>
                <w:shd w:val="clear" w:color="auto" w:fill="auto"/>
              </w:rPr>
              <w:t>进行咨询。</w:t>
            </w:r>
          </w:p>
        </w:tc>
      </w:tr>
      <w:tr w14:paraId="6ABB6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dxa"/>
            <w:noWrap w:val="0"/>
            <w:vAlign w:val="center"/>
          </w:tcPr>
          <w:p w14:paraId="78FE85F2">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8</w:t>
            </w:r>
          </w:p>
        </w:tc>
        <w:tc>
          <w:tcPr>
            <w:tcW w:w="942" w:type="dxa"/>
            <w:noWrap w:val="0"/>
            <w:vAlign w:val="center"/>
          </w:tcPr>
          <w:p w14:paraId="480383BE">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18.1</w:t>
            </w:r>
          </w:p>
        </w:tc>
        <w:tc>
          <w:tcPr>
            <w:tcW w:w="1775" w:type="dxa"/>
            <w:noWrap w:val="0"/>
            <w:vAlign w:val="center"/>
          </w:tcPr>
          <w:p w14:paraId="41BCA696">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响应文件递交截止时间</w:t>
            </w:r>
          </w:p>
        </w:tc>
        <w:tc>
          <w:tcPr>
            <w:tcW w:w="6405" w:type="dxa"/>
            <w:noWrap w:val="0"/>
            <w:vAlign w:val="center"/>
          </w:tcPr>
          <w:p w14:paraId="37FEF063">
            <w:pPr>
              <w:pageBreakBefore w:val="0"/>
              <w:kinsoku/>
              <w:wordWrap/>
              <w:overflowPunct/>
              <w:topLinePunct w:val="0"/>
              <w:autoSpaceDE/>
              <w:autoSpaceDN/>
              <w:bidi w:val="0"/>
              <w:adjustRightInd/>
              <w:spacing w:line="360" w:lineRule="auto"/>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u w:val="none"/>
                <w:shd w:val="clear" w:color="auto" w:fill="auto"/>
              </w:rPr>
              <w:t>于</w:t>
            </w:r>
            <w:r>
              <w:rPr>
                <w:rFonts w:hint="eastAsia" w:ascii="宋体" w:hAnsi="宋体" w:eastAsia="宋体" w:cs="宋体"/>
                <w:color w:val="auto"/>
                <w:sz w:val="21"/>
                <w:szCs w:val="21"/>
                <w:highlight w:val="none"/>
                <w:shd w:val="clear" w:color="auto" w:fill="auto"/>
                <w:lang w:val="en-US" w:eastAsia="zh-CN"/>
              </w:rPr>
              <w:t>202</w:t>
            </w:r>
            <w:r>
              <w:rPr>
                <w:rFonts w:hint="eastAsia" w:ascii="宋体" w:hAnsi="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lang w:val="en-US" w:eastAsia="zh-CN"/>
              </w:rPr>
              <w:t>年</w:t>
            </w:r>
            <w:r>
              <w:rPr>
                <w:rFonts w:hint="eastAsia" w:ascii="宋体" w:hAnsi="宋体" w:cs="宋体"/>
                <w:color w:val="auto"/>
                <w:sz w:val="21"/>
                <w:szCs w:val="21"/>
                <w:highlight w:val="none"/>
                <w:shd w:val="clear" w:color="auto" w:fill="auto"/>
                <w:lang w:val="en-US" w:eastAsia="zh-CN"/>
              </w:rPr>
              <w:t>8</w:t>
            </w:r>
            <w:r>
              <w:rPr>
                <w:rFonts w:hint="eastAsia" w:ascii="宋体" w:hAnsi="宋体" w:eastAsia="宋体" w:cs="宋体"/>
                <w:color w:val="auto"/>
                <w:sz w:val="21"/>
                <w:szCs w:val="21"/>
                <w:highlight w:val="none"/>
                <w:shd w:val="clear" w:color="auto" w:fill="auto"/>
                <w:lang w:val="en-US" w:eastAsia="zh-CN"/>
              </w:rPr>
              <w:t>月</w:t>
            </w:r>
            <w:r>
              <w:rPr>
                <w:rFonts w:hint="eastAsia" w:ascii="宋体" w:hAnsi="宋体" w:cs="宋体"/>
                <w:bCs/>
                <w:color w:val="auto"/>
                <w:sz w:val="21"/>
                <w:szCs w:val="21"/>
                <w:highlight w:val="none"/>
                <w:shd w:val="clear" w:color="auto" w:fill="auto"/>
                <w:lang w:val="en-US" w:eastAsia="zh-CN"/>
              </w:rPr>
              <w:t>28</w:t>
            </w:r>
            <w:r>
              <w:rPr>
                <w:rFonts w:hint="eastAsia" w:ascii="宋体" w:hAnsi="宋体" w:eastAsia="宋体" w:cs="宋体"/>
                <w:color w:val="auto"/>
                <w:sz w:val="21"/>
                <w:szCs w:val="21"/>
                <w:highlight w:val="none"/>
                <w:shd w:val="clear" w:color="auto" w:fill="auto"/>
                <w:lang w:val="en-US" w:eastAsia="zh-CN"/>
              </w:rPr>
              <w:t>日</w:t>
            </w:r>
            <w:r>
              <w:rPr>
                <w:rFonts w:hint="eastAsia" w:ascii="宋体" w:hAnsi="宋体" w:eastAsia="宋体" w:cs="宋体"/>
                <w:color w:val="auto"/>
                <w:sz w:val="21"/>
                <w:szCs w:val="21"/>
                <w:highlight w:val="none"/>
                <w:u w:val="none"/>
                <w:shd w:val="clear" w:color="auto" w:fill="auto"/>
                <w:lang w:val="en-US" w:eastAsia="zh-CN"/>
              </w:rPr>
              <w:t>09</w:t>
            </w:r>
            <w:r>
              <w:rPr>
                <w:rFonts w:hint="eastAsia" w:ascii="宋体" w:hAnsi="宋体" w:eastAsia="宋体" w:cs="宋体"/>
                <w:color w:val="auto"/>
                <w:sz w:val="21"/>
                <w:szCs w:val="21"/>
                <w:highlight w:val="none"/>
                <w:u w:val="none"/>
                <w:shd w:val="clear" w:color="auto" w:fill="auto"/>
              </w:rPr>
              <w:t>时30分</w:t>
            </w:r>
            <w:r>
              <w:rPr>
                <w:rFonts w:hint="eastAsia" w:ascii="宋体" w:hAnsi="宋体" w:eastAsia="宋体" w:cs="宋体"/>
                <w:color w:val="auto"/>
                <w:szCs w:val="21"/>
                <w:highlight w:val="none"/>
              </w:rPr>
              <w:t>之前将电子磋商响应文件上传到广西政府采购云平台。应按照本项目磋商文件和广西政府采购云平台的要求编制、加密传输磋商响应文件。供应商在使用系统进行响应的过程中遇到涉及平台使用的任何问题，可致电广西政府采购云平台技术支持热线咨询，联系方式：95763。</w:t>
            </w:r>
          </w:p>
        </w:tc>
      </w:tr>
      <w:tr w14:paraId="65B54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dxa"/>
            <w:noWrap w:val="0"/>
            <w:vAlign w:val="center"/>
          </w:tcPr>
          <w:p w14:paraId="7AC9D208">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position w:val="-2"/>
                <w:sz w:val="21"/>
                <w:szCs w:val="21"/>
                <w:highlight w:val="none"/>
                <w:shd w:val="clear" w:color="auto" w:fill="auto"/>
              </w:rPr>
            </w:pPr>
            <w:r>
              <w:rPr>
                <w:rFonts w:hint="eastAsia" w:ascii="宋体" w:hAnsi="宋体" w:eastAsia="宋体" w:cs="宋体"/>
                <w:color w:val="auto"/>
                <w:position w:val="-2"/>
                <w:sz w:val="21"/>
                <w:szCs w:val="21"/>
                <w:highlight w:val="none"/>
                <w:shd w:val="clear" w:color="auto" w:fill="auto"/>
              </w:rPr>
              <w:t>9</w:t>
            </w:r>
          </w:p>
        </w:tc>
        <w:tc>
          <w:tcPr>
            <w:tcW w:w="942" w:type="dxa"/>
            <w:noWrap w:val="0"/>
            <w:vAlign w:val="center"/>
          </w:tcPr>
          <w:p w14:paraId="3C4E8B20">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position w:val="-2"/>
                <w:sz w:val="21"/>
                <w:szCs w:val="21"/>
                <w:highlight w:val="none"/>
                <w:shd w:val="clear" w:color="auto" w:fill="auto"/>
              </w:rPr>
            </w:pPr>
            <w:r>
              <w:rPr>
                <w:rFonts w:hint="eastAsia" w:ascii="宋体" w:hAnsi="宋体" w:eastAsia="宋体" w:cs="宋体"/>
                <w:color w:val="auto"/>
                <w:position w:val="-2"/>
                <w:sz w:val="21"/>
                <w:szCs w:val="21"/>
                <w:highlight w:val="none"/>
                <w:shd w:val="clear" w:color="auto" w:fill="auto"/>
              </w:rPr>
              <w:t>18.2</w:t>
            </w:r>
          </w:p>
        </w:tc>
        <w:tc>
          <w:tcPr>
            <w:tcW w:w="1775" w:type="dxa"/>
            <w:noWrap w:val="0"/>
            <w:vAlign w:val="center"/>
          </w:tcPr>
          <w:p w14:paraId="503DBF25">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position w:val="-2"/>
                <w:sz w:val="21"/>
                <w:szCs w:val="21"/>
                <w:highlight w:val="none"/>
                <w:shd w:val="clear" w:color="auto" w:fill="auto"/>
              </w:rPr>
            </w:pPr>
            <w:r>
              <w:rPr>
                <w:rFonts w:hint="eastAsia" w:ascii="宋体" w:hAnsi="宋体" w:eastAsia="宋体" w:cs="宋体"/>
                <w:color w:val="auto"/>
                <w:sz w:val="21"/>
                <w:szCs w:val="21"/>
                <w:highlight w:val="none"/>
                <w:shd w:val="clear" w:color="auto" w:fill="auto"/>
              </w:rPr>
              <w:t>磋商响应文件解密时间</w:t>
            </w:r>
          </w:p>
        </w:tc>
        <w:tc>
          <w:tcPr>
            <w:tcW w:w="6405" w:type="dxa"/>
            <w:noWrap w:val="0"/>
            <w:vAlign w:val="center"/>
          </w:tcPr>
          <w:p w14:paraId="4F853A14">
            <w:pPr>
              <w:pStyle w:val="14"/>
              <w:pageBreakBefore w:val="0"/>
              <w:kinsoku/>
              <w:wordWrap/>
              <w:overflowPunct/>
              <w:topLinePunct w:val="0"/>
              <w:autoSpaceDE/>
              <w:autoSpaceDN/>
              <w:bidi w:val="0"/>
              <w:adjustRightInd/>
              <w:spacing w:line="360" w:lineRule="auto"/>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Cs w:val="21"/>
                <w:highlight w:val="none"/>
              </w:rPr>
              <w:t>磋商响应文件解密时间</w:t>
            </w:r>
            <w:r>
              <w:rPr>
                <w:rFonts w:hint="eastAsia" w:ascii="宋体" w:hAnsi="宋体" w:eastAsia="宋体" w:cs="宋体"/>
                <w:color w:val="auto"/>
                <w:highlight w:val="none"/>
              </w:rPr>
              <w:t>：截标时间后</w:t>
            </w:r>
            <w:r>
              <w:rPr>
                <w:rFonts w:hint="eastAsia" w:ascii="宋体" w:hAnsi="宋体" w:eastAsia="宋体" w:cs="宋体"/>
                <w:color w:val="auto"/>
                <w:highlight w:val="none"/>
                <w:u w:val="single"/>
              </w:rPr>
              <w:t>30</w:t>
            </w:r>
            <w:r>
              <w:rPr>
                <w:rFonts w:hint="eastAsia" w:ascii="宋体" w:hAnsi="宋体" w:eastAsia="宋体" w:cs="宋体"/>
                <w:color w:val="auto"/>
                <w:highlight w:val="none"/>
              </w:rPr>
              <w:t>分钟内磋商供应商可以登录广西政府采购云平台，用“项目采购-开标评标”功能进行解密磋商响应文件。若磋商供应商在规定时间内无法解密或解密失败，可以以电子备份磋商响应文件作为依据</w:t>
            </w:r>
            <w:r>
              <w:rPr>
                <w:rFonts w:hint="eastAsia" w:ascii="宋体" w:hAnsi="宋体" w:eastAsia="宋体" w:cs="宋体"/>
                <w:b/>
                <w:bCs/>
                <w:color w:val="auto"/>
                <w:highlight w:val="none"/>
              </w:rPr>
              <w:t>【在接到无法解密或解密失败的通知后，磋商供应商可根据自身实际情况按通知时要求的时间到桂林市公共资源交易中心</w:t>
            </w:r>
            <w:r>
              <w:rPr>
                <w:rFonts w:hint="eastAsia" w:ascii="宋体" w:hAnsi="宋体" w:cs="宋体"/>
                <w:b/>
                <w:bCs/>
                <w:color w:val="auto"/>
                <w:highlight w:val="none"/>
                <w:u w:val="single"/>
                <w:lang w:val="en-US" w:eastAsia="zh-CN"/>
              </w:rPr>
              <w:t xml:space="preserve">  5 </w:t>
            </w:r>
            <w:r>
              <w:rPr>
                <w:rFonts w:hint="eastAsia" w:ascii="宋体" w:hAnsi="宋体" w:eastAsia="宋体" w:cs="宋体"/>
                <w:b/>
                <w:bCs/>
                <w:color w:val="auto"/>
                <w:highlight w:val="none"/>
                <w:lang w:val="en-US" w:eastAsia="zh-CN"/>
              </w:rPr>
              <w:t>号政采开标仓</w:t>
            </w:r>
            <w:r>
              <w:rPr>
                <w:rFonts w:hint="eastAsia" w:ascii="宋体" w:hAnsi="宋体" w:eastAsia="宋体" w:cs="宋体"/>
                <w:b/>
                <w:bCs/>
                <w:color w:val="auto"/>
                <w:highlight w:val="none"/>
              </w:rPr>
              <w:t>（广西桂林市临桂区西城中路69号创业大厦西辅楼4楼北区）现场提交或以电子邮件的形式（以通知时所告知的电子邮箱地址为准）提交电子备份磋商响应文件】</w:t>
            </w:r>
            <w:r>
              <w:rPr>
                <w:rFonts w:hint="eastAsia" w:ascii="宋体" w:hAnsi="宋体" w:eastAsia="宋体" w:cs="宋体"/>
                <w:color w:val="auto"/>
                <w:highlight w:val="none"/>
              </w:rPr>
              <w:t>，若磋商供应商在规定时间内无法解密或解密失败且未提供电子备份磋商响应文件的(包含提供的电子备份文件无效或无法解密的情况)，视为无效响应。</w:t>
            </w:r>
          </w:p>
        </w:tc>
      </w:tr>
      <w:tr w14:paraId="39F73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dxa"/>
            <w:noWrap w:val="0"/>
            <w:vAlign w:val="center"/>
          </w:tcPr>
          <w:p w14:paraId="72F2FDA7">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10</w:t>
            </w:r>
          </w:p>
        </w:tc>
        <w:tc>
          <w:tcPr>
            <w:tcW w:w="942" w:type="dxa"/>
            <w:noWrap w:val="0"/>
            <w:vAlign w:val="center"/>
          </w:tcPr>
          <w:p w14:paraId="736EB40D">
            <w:pPr>
              <w:pageBreakBefore w:val="0"/>
              <w:kinsoku/>
              <w:wordWrap/>
              <w:overflowPunct/>
              <w:topLinePunct w:val="0"/>
              <w:autoSpaceDE/>
              <w:autoSpaceDN/>
              <w:bidi w:val="0"/>
              <w:adjustRightInd/>
              <w:spacing w:line="360" w:lineRule="auto"/>
              <w:ind w:firstLine="105" w:firstLineChars="50"/>
              <w:jc w:val="center"/>
              <w:textAlignment w:val="auto"/>
              <w:outlineLvl w:val="9"/>
              <w:rPr>
                <w:rFonts w:hint="eastAsia" w:ascii="宋体" w:hAnsi="宋体" w:eastAsia="宋体" w:cs="宋体"/>
                <w:color w:val="auto"/>
                <w:position w:val="-2"/>
                <w:sz w:val="21"/>
                <w:szCs w:val="21"/>
                <w:highlight w:val="none"/>
                <w:shd w:val="clear" w:color="auto" w:fill="auto"/>
              </w:rPr>
            </w:pPr>
            <w:r>
              <w:rPr>
                <w:rFonts w:hint="eastAsia" w:ascii="宋体" w:hAnsi="宋体" w:eastAsia="宋体" w:cs="宋体"/>
                <w:color w:val="auto"/>
                <w:position w:val="-2"/>
                <w:sz w:val="21"/>
                <w:szCs w:val="21"/>
                <w:highlight w:val="none"/>
                <w:shd w:val="clear" w:color="auto" w:fill="auto"/>
              </w:rPr>
              <w:t>19.1</w:t>
            </w:r>
          </w:p>
        </w:tc>
        <w:tc>
          <w:tcPr>
            <w:tcW w:w="1775" w:type="dxa"/>
            <w:noWrap w:val="0"/>
            <w:vAlign w:val="center"/>
          </w:tcPr>
          <w:p w14:paraId="1D819C20">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磋商小组组成</w:t>
            </w:r>
          </w:p>
        </w:tc>
        <w:tc>
          <w:tcPr>
            <w:tcW w:w="6405" w:type="dxa"/>
            <w:noWrap w:val="0"/>
            <w:vAlign w:val="center"/>
          </w:tcPr>
          <w:p w14:paraId="51E55010">
            <w:pPr>
              <w:pageBreakBefore w:val="0"/>
              <w:kinsoku/>
              <w:wordWrap/>
              <w:overflowPunct/>
              <w:topLinePunct w:val="0"/>
              <w:autoSpaceDE/>
              <w:autoSpaceDN/>
              <w:bidi w:val="0"/>
              <w:adjustRightInd/>
              <w:spacing w:line="360" w:lineRule="auto"/>
              <w:ind w:left="15" w:hanging="14" w:hangingChars="7"/>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磋商及评审工作由采购代理机构负责组织，具体磋商、评审工作由依法组建的磋商小组负责，磋商小组由采购人代表和有关方面的专家组成。磋商小组的构成：</w:t>
            </w:r>
            <w:r>
              <w:rPr>
                <w:rFonts w:hint="eastAsia" w:ascii="宋体" w:hAnsi="宋体" w:eastAsia="宋体" w:cs="宋体"/>
                <w:color w:val="auto"/>
                <w:sz w:val="21"/>
                <w:szCs w:val="21"/>
                <w:highlight w:val="none"/>
                <w:u w:val="single"/>
                <w:shd w:val="clear" w:color="auto" w:fill="auto"/>
              </w:rPr>
              <w:t>3</w:t>
            </w:r>
            <w:r>
              <w:rPr>
                <w:rFonts w:hint="eastAsia" w:ascii="宋体" w:hAnsi="宋体" w:eastAsia="宋体" w:cs="宋体"/>
                <w:color w:val="auto"/>
                <w:sz w:val="21"/>
                <w:szCs w:val="21"/>
                <w:highlight w:val="none"/>
                <w:shd w:val="clear" w:color="auto" w:fill="auto"/>
              </w:rPr>
              <w:t>人，其中采购人代表</w:t>
            </w:r>
            <w:r>
              <w:rPr>
                <w:rFonts w:hint="eastAsia" w:ascii="宋体" w:hAnsi="宋体" w:eastAsia="宋体" w:cs="宋体"/>
                <w:color w:val="auto"/>
                <w:sz w:val="21"/>
                <w:szCs w:val="21"/>
                <w:highlight w:val="none"/>
                <w:u w:val="single"/>
                <w:shd w:val="clear" w:color="auto" w:fill="auto"/>
              </w:rPr>
              <w:t>1</w:t>
            </w:r>
            <w:r>
              <w:rPr>
                <w:rFonts w:hint="eastAsia" w:ascii="宋体" w:hAnsi="宋体" w:eastAsia="宋体" w:cs="宋体"/>
                <w:color w:val="auto"/>
                <w:sz w:val="21"/>
                <w:szCs w:val="21"/>
                <w:highlight w:val="none"/>
                <w:shd w:val="clear" w:color="auto" w:fill="auto"/>
              </w:rPr>
              <w:t>人，专家</w:t>
            </w:r>
            <w:r>
              <w:rPr>
                <w:rFonts w:hint="eastAsia" w:ascii="宋体" w:hAnsi="宋体" w:eastAsia="宋体" w:cs="宋体"/>
                <w:color w:val="auto"/>
                <w:sz w:val="21"/>
                <w:szCs w:val="21"/>
                <w:highlight w:val="none"/>
                <w:u w:val="single"/>
                <w:shd w:val="clear" w:color="auto" w:fill="auto"/>
              </w:rPr>
              <w:t>2</w:t>
            </w:r>
            <w:r>
              <w:rPr>
                <w:rFonts w:hint="eastAsia" w:ascii="宋体" w:hAnsi="宋体" w:eastAsia="宋体" w:cs="宋体"/>
                <w:color w:val="auto"/>
                <w:sz w:val="21"/>
                <w:szCs w:val="21"/>
                <w:highlight w:val="none"/>
                <w:shd w:val="clear" w:color="auto" w:fill="auto"/>
              </w:rPr>
              <w:t>人。</w:t>
            </w:r>
          </w:p>
        </w:tc>
      </w:tr>
      <w:tr w14:paraId="5BED4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dxa"/>
            <w:noWrap w:val="0"/>
            <w:vAlign w:val="center"/>
          </w:tcPr>
          <w:p w14:paraId="65C40596">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11</w:t>
            </w:r>
          </w:p>
        </w:tc>
        <w:tc>
          <w:tcPr>
            <w:tcW w:w="942" w:type="dxa"/>
            <w:noWrap w:val="0"/>
            <w:vAlign w:val="center"/>
          </w:tcPr>
          <w:p w14:paraId="68AEC9BA">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19.2</w:t>
            </w:r>
          </w:p>
        </w:tc>
        <w:tc>
          <w:tcPr>
            <w:tcW w:w="1775" w:type="dxa"/>
            <w:noWrap w:val="0"/>
            <w:vAlign w:val="center"/>
          </w:tcPr>
          <w:p w14:paraId="1CD52CD5">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磋商时间、地点、人员</w:t>
            </w:r>
          </w:p>
        </w:tc>
        <w:tc>
          <w:tcPr>
            <w:tcW w:w="6405" w:type="dxa"/>
            <w:noWrap w:val="0"/>
            <w:vAlign w:val="top"/>
          </w:tcPr>
          <w:p w14:paraId="358F330F">
            <w:pPr>
              <w:pageBreakBefore w:val="0"/>
              <w:kinsoku/>
              <w:wordWrap/>
              <w:overflowPunct/>
              <w:topLinePunct w:val="0"/>
              <w:autoSpaceDE/>
              <w:autoSpaceDN/>
              <w:bidi w:val="0"/>
              <w:adjustRightInd/>
              <w:spacing w:line="360" w:lineRule="auto"/>
              <w:ind w:left="315" w:hanging="315" w:hangingChars="150"/>
              <w:jc w:val="left"/>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19.2.1磋商时间：响应文件递交截止时间后。</w:t>
            </w:r>
          </w:p>
          <w:p w14:paraId="75B4BCB2">
            <w:pPr>
              <w:pageBreakBefore w:val="0"/>
              <w:kinsoku/>
              <w:wordWrap/>
              <w:overflowPunct/>
              <w:topLinePunct w:val="0"/>
              <w:autoSpaceDE/>
              <w:autoSpaceDN/>
              <w:bidi w:val="0"/>
              <w:adjustRightInd/>
              <w:spacing w:line="360" w:lineRule="auto"/>
              <w:textAlignment w:val="auto"/>
              <w:outlineLvl w:val="9"/>
              <w:rPr>
                <w:rFonts w:hint="eastAsia" w:ascii="宋体" w:hAnsi="宋体" w:eastAsia="宋体" w:cs="宋体"/>
                <w:b/>
                <w:bCs/>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19.2.2磋商地点：</w:t>
            </w:r>
            <w:r>
              <w:rPr>
                <w:rFonts w:hint="eastAsia" w:ascii="宋体" w:hAnsi="宋体" w:eastAsia="宋体" w:cs="宋体"/>
                <w:b/>
                <w:bCs/>
                <w:color w:val="auto"/>
                <w:sz w:val="21"/>
                <w:szCs w:val="21"/>
                <w:highlight w:val="none"/>
                <w:shd w:val="clear" w:color="auto" w:fill="auto"/>
              </w:rPr>
              <w:t>供应商代表在响应文件提交当天实时</w:t>
            </w:r>
            <w:r>
              <w:rPr>
                <w:rFonts w:hint="eastAsia" w:ascii="宋体" w:hAnsi="宋体" w:cs="宋体"/>
                <w:b/>
                <w:bCs/>
                <w:color w:val="auto"/>
                <w:sz w:val="21"/>
                <w:szCs w:val="21"/>
                <w:highlight w:val="none"/>
                <w:shd w:val="clear" w:color="auto" w:fill="auto"/>
                <w:lang w:val="en-US" w:eastAsia="zh-CN"/>
              </w:rPr>
              <w:t>登录</w:t>
            </w:r>
            <w:r>
              <w:rPr>
                <w:rFonts w:hint="eastAsia" w:ascii="宋体" w:hAnsi="宋体" w:eastAsia="宋体" w:cs="宋体"/>
                <w:b/>
                <w:bCs/>
                <w:color w:val="auto"/>
                <w:sz w:val="21"/>
                <w:szCs w:val="21"/>
                <w:highlight w:val="none"/>
                <w:shd w:val="clear" w:color="auto" w:fill="auto"/>
              </w:rPr>
              <w:t>“</w:t>
            </w:r>
            <w:r>
              <w:rPr>
                <w:rFonts w:hint="eastAsia" w:ascii="宋体" w:hAnsi="宋体" w:eastAsia="宋体" w:cs="宋体"/>
                <w:b/>
                <w:bCs/>
                <w:color w:val="auto"/>
                <w:sz w:val="21"/>
                <w:szCs w:val="21"/>
                <w:highlight w:val="none"/>
                <w:shd w:val="clear" w:color="auto" w:fill="auto"/>
                <w:lang w:eastAsia="zh-CN"/>
              </w:rPr>
              <w:t>广西政府采购云平台</w:t>
            </w:r>
            <w:r>
              <w:rPr>
                <w:rFonts w:hint="eastAsia" w:ascii="宋体" w:hAnsi="宋体" w:eastAsia="宋体" w:cs="宋体"/>
                <w:b/>
                <w:bCs/>
                <w:color w:val="auto"/>
                <w:sz w:val="21"/>
                <w:szCs w:val="21"/>
                <w:highlight w:val="none"/>
                <w:shd w:val="clear" w:color="auto" w:fill="auto"/>
              </w:rPr>
              <w:t>”，按磋商小组要求在线等候参与磋商及提交最后报价。因供应商未保持实时在线，导致磋商小组无法及时与其取得联系，从而造成供应商未按规定参与磋商或报价的，其不利后果由供应商自行承担。</w:t>
            </w:r>
          </w:p>
          <w:p w14:paraId="6985FD01">
            <w:pPr>
              <w:pageBreakBefore w:val="0"/>
              <w:tabs>
                <w:tab w:val="left" w:pos="1140"/>
              </w:tabs>
              <w:kinsoku/>
              <w:wordWrap/>
              <w:overflowPunct/>
              <w:topLinePunct w:val="0"/>
              <w:autoSpaceDE/>
              <w:autoSpaceDN/>
              <w:bidi w:val="0"/>
              <w:adjustRightInd/>
              <w:spacing w:line="360" w:lineRule="auto"/>
              <w:jc w:val="left"/>
              <w:textAlignment w:val="auto"/>
              <w:outlineLvl w:val="9"/>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sz w:val="21"/>
                <w:szCs w:val="21"/>
                <w:highlight w:val="none"/>
                <w:shd w:val="clear" w:color="auto" w:fill="auto"/>
              </w:rPr>
              <w:t>19.2.3磋商参加人员：供应商法定代表人、负责人、自然人或相应的委托代理人持有效身份证原件和供应商</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CA数字证书参加磋商。</w:t>
            </w:r>
            <w:r>
              <w:rPr>
                <w:rFonts w:hint="eastAsia" w:ascii="宋体" w:hAnsi="宋体" w:eastAsia="宋体" w:cs="宋体"/>
                <w:color w:val="auto"/>
                <w:kern w:val="0"/>
                <w:sz w:val="21"/>
                <w:szCs w:val="21"/>
                <w:highlight w:val="none"/>
                <w:shd w:val="clear" w:color="auto" w:fill="auto"/>
              </w:rPr>
              <w:t>请供应商实时</w:t>
            </w:r>
            <w:r>
              <w:rPr>
                <w:rFonts w:hint="eastAsia" w:ascii="宋体" w:hAnsi="宋体" w:cs="宋体"/>
                <w:color w:val="auto"/>
                <w:kern w:val="0"/>
                <w:sz w:val="21"/>
                <w:szCs w:val="21"/>
                <w:highlight w:val="none"/>
                <w:shd w:val="clear" w:color="auto" w:fill="auto"/>
                <w:lang w:eastAsia="zh-CN"/>
              </w:rPr>
              <w:t>登录</w:t>
            </w:r>
            <w:r>
              <w:rPr>
                <w:rFonts w:hint="eastAsia" w:ascii="宋体" w:hAnsi="宋体" w:eastAsia="宋体" w:cs="宋体"/>
                <w:color w:val="auto"/>
                <w:kern w:val="0"/>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lang w:eastAsia="zh-CN"/>
              </w:rPr>
              <w:t>广西政府采购云平台</w:t>
            </w:r>
            <w:r>
              <w:rPr>
                <w:rFonts w:hint="eastAsia" w:ascii="宋体" w:hAnsi="宋体" w:eastAsia="宋体" w:cs="宋体"/>
                <w:color w:val="auto"/>
                <w:kern w:val="0"/>
                <w:sz w:val="21"/>
                <w:szCs w:val="21"/>
                <w:highlight w:val="none"/>
                <w:shd w:val="clear" w:color="auto" w:fill="auto"/>
              </w:rPr>
              <w:t>”等候在线磋商。</w:t>
            </w:r>
          </w:p>
          <w:p w14:paraId="5683F72F">
            <w:pPr>
              <w:pageBreakBefore w:val="0"/>
              <w:tabs>
                <w:tab w:val="left" w:pos="1140"/>
              </w:tabs>
              <w:kinsoku/>
              <w:wordWrap/>
              <w:overflowPunct/>
              <w:topLinePunct w:val="0"/>
              <w:autoSpaceDE/>
              <w:autoSpaceDN/>
              <w:bidi w:val="0"/>
              <w:adjustRightInd/>
              <w:spacing w:line="360" w:lineRule="auto"/>
              <w:jc w:val="left"/>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19.2.4响应文件递交截止时间后，由磋商小组在评标室内线上开启响应文件。</w:t>
            </w:r>
          </w:p>
        </w:tc>
      </w:tr>
      <w:tr w14:paraId="6B235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dxa"/>
            <w:noWrap w:val="0"/>
            <w:vAlign w:val="center"/>
          </w:tcPr>
          <w:p w14:paraId="0ED9CFC2">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12</w:t>
            </w:r>
          </w:p>
        </w:tc>
        <w:tc>
          <w:tcPr>
            <w:tcW w:w="942" w:type="dxa"/>
            <w:noWrap w:val="0"/>
            <w:vAlign w:val="center"/>
          </w:tcPr>
          <w:p w14:paraId="193A81D7">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20.2</w:t>
            </w:r>
          </w:p>
        </w:tc>
        <w:tc>
          <w:tcPr>
            <w:tcW w:w="1775" w:type="dxa"/>
            <w:noWrap w:val="0"/>
            <w:vAlign w:val="center"/>
          </w:tcPr>
          <w:p w14:paraId="0E728A54">
            <w:pPr>
              <w:pStyle w:val="22"/>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评审办法</w:t>
            </w:r>
          </w:p>
        </w:tc>
        <w:tc>
          <w:tcPr>
            <w:tcW w:w="6405" w:type="dxa"/>
            <w:noWrap w:val="0"/>
            <w:vAlign w:val="center"/>
          </w:tcPr>
          <w:p w14:paraId="58F3768F">
            <w:pPr>
              <w:pageBreakBefore w:val="0"/>
              <w:tabs>
                <w:tab w:val="left" w:pos="1140"/>
              </w:tabs>
              <w:kinsoku/>
              <w:wordWrap/>
              <w:overflowPunct/>
              <w:topLinePunct w:val="0"/>
              <w:autoSpaceDE/>
              <w:autoSpaceDN/>
              <w:bidi w:val="0"/>
              <w:adjustRightInd/>
              <w:spacing w:line="360" w:lineRule="auto"/>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具体详见第三章评审办法。</w:t>
            </w:r>
          </w:p>
        </w:tc>
      </w:tr>
      <w:tr w14:paraId="58E32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dxa"/>
            <w:noWrap w:val="0"/>
            <w:vAlign w:val="center"/>
          </w:tcPr>
          <w:p w14:paraId="296D6898">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13</w:t>
            </w:r>
          </w:p>
        </w:tc>
        <w:tc>
          <w:tcPr>
            <w:tcW w:w="942" w:type="dxa"/>
            <w:noWrap w:val="0"/>
            <w:vAlign w:val="center"/>
          </w:tcPr>
          <w:p w14:paraId="13BFA9C2">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26</w:t>
            </w:r>
          </w:p>
        </w:tc>
        <w:tc>
          <w:tcPr>
            <w:tcW w:w="1775" w:type="dxa"/>
            <w:noWrap w:val="0"/>
            <w:vAlign w:val="center"/>
          </w:tcPr>
          <w:p w14:paraId="00F2F33A">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信用查询</w:t>
            </w:r>
          </w:p>
        </w:tc>
        <w:tc>
          <w:tcPr>
            <w:tcW w:w="6405" w:type="dxa"/>
            <w:noWrap w:val="0"/>
            <w:vAlign w:val="center"/>
          </w:tcPr>
          <w:p w14:paraId="5757B4B0">
            <w:pPr>
              <w:pageBreakBefore w:val="0"/>
              <w:kinsoku/>
              <w:wordWrap/>
              <w:overflowPunct/>
              <w:topLinePunct w:val="0"/>
              <w:autoSpaceDE/>
              <w:autoSpaceDN/>
              <w:bidi w:val="0"/>
              <w:adjustRightInd/>
              <w:spacing w:line="360" w:lineRule="auto"/>
              <w:ind w:left="15" w:hanging="14" w:hangingChars="7"/>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根据《关于做好政府采购有关信用主体标识码登记及在政府采购活动中查询使用信用记录有关问题的通知》（桂财采〔2016〕37），由采购代理机构对第一成交候选人进行信用查询：</w:t>
            </w:r>
          </w:p>
          <w:p w14:paraId="40ED63C3">
            <w:pPr>
              <w:pageBreakBefore w:val="0"/>
              <w:kinsoku/>
              <w:wordWrap/>
              <w:overflowPunct/>
              <w:topLinePunct w:val="0"/>
              <w:autoSpaceDE/>
              <w:autoSpaceDN/>
              <w:bidi w:val="0"/>
              <w:adjustRightInd/>
              <w:spacing w:line="360" w:lineRule="auto"/>
              <w:ind w:left="15" w:hanging="14" w:hangingChars="7"/>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⑴查询渠道：“信用中国”网站(www.creditchina.gov.cn)、中国政府采购网(www.ccgp.gov.cn)等；</w:t>
            </w:r>
          </w:p>
          <w:p w14:paraId="6E0E0A1D">
            <w:pPr>
              <w:pageBreakBefore w:val="0"/>
              <w:kinsoku/>
              <w:wordWrap/>
              <w:overflowPunct/>
              <w:topLinePunct w:val="0"/>
              <w:autoSpaceDE/>
              <w:autoSpaceDN/>
              <w:bidi w:val="0"/>
              <w:adjustRightInd/>
              <w:spacing w:line="360" w:lineRule="auto"/>
              <w:ind w:left="315" w:hanging="315" w:hangingChars="15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⑵查询时间：成交通知书发出前；</w:t>
            </w:r>
          </w:p>
          <w:p w14:paraId="25C5A8A7">
            <w:pPr>
              <w:pageBreakBefore w:val="0"/>
              <w:kinsoku/>
              <w:wordWrap/>
              <w:overflowPunct/>
              <w:topLinePunct w:val="0"/>
              <w:autoSpaceDE/>
              <w:autoSpaceDN/>
              <w:bidi w:val="0"/>
              <w:adjustRightInd/>
              <w:spacing w:line="360" w:lineRule="auto"/>
              <w:ind w:left="15" w:hanging="14" w:hangingChars="7"/>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⑶信用信息查询记录和证据留存方式：在查询网站中直接打印查询记录，打印材料作为采购活动资料保存；</w:t>
            </w:r>
          </w:p>
          <w:p w14:paraId="0B1C2F4F">
            <w:pPr>
              <w:pageBreakBefore w:val="0"/>
              <w:kinsoku/>
              <w:wordWrap/>
              <w:overflowPunct/>
              <w:topLinePunct w:val="0"/>
              <w:autoSpaceDE/>
              <w:autoSpaceDN/>
              <w:bidi w:val="0"/>
              <w:adjustRightInd/>
              <w:spacing w:line="360" w:lineRule="auto"/>
              <w:ind w:left="15" w:hanging="14" w:hangingChars="7"/>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⑷信用信息使用规则：对在“信用中国”网站(www.creditchina.gov.cn)、中国政府采购网(www.ccgp.gov.cn)等渠道列入失信被执行人、</w:t>
            </w:r>
            <w:r>
              <w:rPr>
                <w:rFonts w:hint="eastAsia" w:ascii="宋体" w:hAnsi="宋体" w:eastAsia="宋体" w:cs="宋体"/>
                <w:color w:val="auto"/>
                <w:sz w:val="21"/>
                <w:szCs w:val="21"/>
                <w:highlight w:val="none"/>
                <w:shd w:val="clear" w:color="auto" w:fill="auto"/>
                <w:lang w:eastAsia="zh-CN"/>
              </w:rPr>
              <w:t>重大税收违法失信主体</w:t>
            </w:r>
            <w:r>
              <w:rPr>
                <w:rFonts w:hint="eastAsia" w:ascii="宋体" w:hAnsi="宋体" w:eastAsia="宋体" w:cs="宋体"/>
                <w:color w:val="auto"/>
                <w:sz w:val="21"/>
                <w:szCs w:val="21"/>
                <w:highlight w:val="none"/>
                <w:shd w:val="clear" w:color="auto" w:fill="auto"/>
              </w:rPr>
              <w:t>、政府采购严重违法失信行为记录名单及其他不符合《中华人民共和国政府采购法》第二十二条规定条件的供应商，取消其成交候选人资格。采购人依法按照评审报告中磋商小组推荐成交候选人排序表确定排名第二的成交候选人为成交供应商或者重新组织采购。</w:t>
            </w:r>
          </w:p>
        </w:tc>
      </w:tr>
      <w:tr w14:paraId="5683E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dxa"/>
            <w:noWrap w:val="0"/>
            <w:vAlign w:val="center"/>
          </w:tcPr>
          <w:p w14:paraId="7ED6795D">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14</w:t>
            </w:r>
          </w:p>
        </w:tc>
        <w:tc>
          <w:tcPr>
            <w:tcW w:w="942" w:type="dxa"/>
            <w:noWrap w:val="0"/>
            <w:vAlign w:val="center"/>
          </w:tcPr>
          <w:p w14:paraId="4EFE358C">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27</w:t>
            </w:r>
          </w:p>
        </w:tc>
        <w:tc>
          <w:tcPr>
            <w:tcW w:w="1775" w:type="dxa"/>
            <w:noWrap w:val="0"/>
            <w:vAlign w:val="center"/>
          </w:tcPr>
          <w:p w14:paraId="751C84B9">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成交结果公告</w:t>
            </w:r>
          </w:p>
          <w:p w14:paraId="29B22B3D">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及成交通知书</w:t>
            </w:r>
          </w:p>
        </w:tc>
        <w:tc>
          <w:tcPr>
            <w:tcW w:w="6405" w:type="dxa"/>
            <w:noWrap w:val="0"/>
            <w:vAlign w:val="top"/>
          </w:tcPr>
          <w:p w14:paraId="2B80ED0D">
            <w:pPr>
              <w:pageBreakBefore w:val="0"/>
              <w:kinsoku/>
              <w:wordWrap/>
              <w:overflowPunct/>
              <w:topLinePunct w:val="0"/>
              <w:autoSpaceDE/>
              <w:autoSpaceDN/>
              <w:bidi w:val="0"/>
              <w:adjustRightInd/>
              <w:spacing w:line="360" w:lineRule="auto"/>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27.1采购代理机构于磋商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6432C561">
            <w:pPr>
              <w:pageBreakBefore w:val="0"/>
              <w:kinsoku/>
              <w:wordWrap/>
              <w:overflowPunct/>
              <w:topLinePunct w:val="0"/>
              <w:autoSpaceDE/>
              <w:autoSpaceDN/>
              <w:bidi w:val="0"/>
              <w:adjustRightInd/>
              <w:spacing w:line="360" w:lineRule="auto"/>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27.2在发布成交公告的同时，采购代理机构向成交供应商发出成交通知书。成交供应商自接到通知之日起七个工作日内，办理成交通知书领取手续。</w:t>
            </w:r>
          </w:p>
        </w:tc>
      </w:tr>
      <w:tr w14:paraId="47720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dxa"/>
            <w:noWrap w:val="0"/>
            <w:vAlign w:val="center"/>
          </w:tcPr>
          <w:p w14:paraId="4073BB72">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15</w:t>
            </w:r>
          </w:p>
        </w:tc>
        <w:tc>
          <w:tcPr>
            <w:tcW w:w="942" w:type="dxa"/>
            <w:noWrap w:val="0"/>
            <w:vAlign w:val="center"/>
          </w:tcPr>
          <w:p w14:paraId="57587757">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28</w:t>
            </w:r>
          </w:p>
        </w:tc>
        <w:tc>
          <w:tcPr>
            <w:tcW w:w="1775" w:type="dxa"/>
            <w:noWrap w:val="0"/>
            <w:vAlign w:val="center"/>
          </w:tcPr>
          <w:p w14:paraId="6053FA85">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b w:val="0"/>
                <w:bCs w:val="0"/>
                <w:color w:val="auto"/>
                <w:sz w:val="21"/>
                <w:szCs w:val="21"/>
                <w:highlight w:val="none"/>
                <w:shd w:val="clear" w:color="auto" w:fill="auto"/>
              </w:rPr>
            </w:pPr>
            <w:r>
              <w:rPr>
                <w:rFonts w:hint="eastAsia" w:ascii="宋体" w:hAnsi="宋体" w:eastAsia="宋体" w:cs="宋体"/>
                <w:b w:val="0"/>
                <w:bCs w:val="0"/>
                <w:color w:val="auto"/>
                <w:sz w:val="21"/>
                <w:szCs w:val="21"/>
                <w:highlight w:val="none"/>
                <w:shd w:val="clear" w:color="auto" w:fill="auto"/>
              </w:rPr>
              <w:t>履约保证金</w:t>
            </w:r>
          </w:p>
        </w:tc>
        <w:tc>
          <w:tcPr>
            <w:tcW w:w="6405" w:type="dxa"/>
            <w:noWrap w:val="0"/>
            <w:vAlign w:val="center"/>
          </w:tcPr>
          <w:p w14:paraId="345E6385">
            <w:pPr>
              <w:pageBreakBefore w:val="0"/>
              <w:kinsoku/>
              <w:wordWrap/>
              <w:overflowPunct/>
              <w:topLinePunct w:val="0"/>
              <w:autoSpaceDE/>
              <w:autoSpaceDN/>
              <w:bidi w:val="0"/>
              <w:adjustRightInd/>
              <w:spacing w:line="360" w:lineRule="auto"/>
              <w:textAlignment w:val="auto"/>
              <w:outlineLvl w:val="9"/>
              <w:rPr>
                <w:rFonts w:hint="default" w:ascii="宋体" w:hAnsi="宋体" w:eastAsia="宋体" w:cs="宋体"/>
                <w:b w:val="0"/>
                <w:bCs w:val="0"/>
                <w:color w:val="auto"/>
                <w:sz w:val="21"/>
                <w:szCs w:val="21"/>
                <w:highlight w:val="none"/>
                <w:shd w:val="clear" w:color="auto" w:fill="auto"/>
                <w:lang w:val="en-US" w:eastAsia="zh-CN"/>
              </w:rPr>
            </w:pPr>
            <w:r>
              <w:rPr>
                <w:rFonts w:hint="eastAsia" w:ascii="宋体" w:hAnsi="宋体" w:cs="宋体"/>
                <w:b w:val="0"/>
                <w:bCs w:val="0"/>
                <w:color w:val="auto"/>
                <w:sz w:val="21"/>
                <w:szCs w:val="21"/>
                <w:highlight w:val="none"/>
                <w:shd w:val="clear" w:color="auto" w:fill="auto"/>
                <w:lang w:val="en-US" w:eastAsia="zh-CN"/>
              </w:rPr>
              <w:t>本项目无需递交履约保证金。</w:t>
            </w:r>
          </w:p>
        </w:tc>
      </w:tr>
      <w:tr w14:paraId="3CDA0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662" w:type="dxa"/>
            <w:noWrap w:val="0"/>
            <w:vAlign w:val="center"/>
          </w:tcPr>
          <w:p w14:paraId="46AF6843">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16</w:t>
            </w:r>
          </w:p>
        </w:tc>
        <w:tc>
          <w:tcPr>
            <w:tcW w:w="942" w:type="dxa"/>
            <w:noWrap w:val="0"/>
            <w:vAlign w:val="center"/>
          </w:tcPr>
          <w:p w14:paraId="7389A014">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29.1</w:t>
            </w:r>
          </w:p>
        </w:tc>
        <w:tc>
          <w:tcPr>
            <w:tcW w:w="1775" w:type="dxa"/>
            <w:noWrap w:val="0"/>
            <w:vAlign w:val="center"/>
          </w:tcPr>
          <w:p w14:paraId="033C51D8">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签订合同时间</w:t>
            </w:r>
          </w:p>
        </w:tc>
        <w:tc>
          <w:tcPr>
            <w:tcW w:w="6405" w:type="dxa"/>
            <w:noWrap w:val="0"/>
            <w:vAlign w:val="top"/>
          </w:tcPr>
          <w:p w14:paraId="42A765E4">
            <w:pPr>
              <w:pageBreakBefore w:val="0"/>
              <w:kinsoku/>
              <w:wordWrap/>
              <w:overflowPunct/>
              <w:topLinePunct w:val="0"/>
              <w:autoSpaceDE/>
              <w:autoSpaceDN/>
              <w:bidi w:val="0"/>
              <w:adjustRightInd/>
              <w:spacing w:line="360" w:lineRule="auto"/>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bCs/>
                <w:color w:val="auto"/>
                <w:kern w:val="0"/>
                <w:sz w:val="21"/>
                <w:szCs w:val="21"/>
                <w:highlight w:val="none"/>
                <w:shd w:val="clear" w:color="auto" w:fill="auto"/>
              </w:rPr>
              <w:t>成交通知书发出之日</w:t>
            </w:r>
            <w:r>
              <w:rPr>
                <w:rFonts w:hint="eastAsia" w:ascii="宋体" w:hAnsi="宋体" w:eastAsia="宋体" w:cs="宋体"/>
                <w:bCs/>
                <w:color w:val="auto"/>
                <w:kern w:val="0"/>
                <w:sz w:val="21"/>
                <w:szCs w:val="21"/>
                <w:highlight w:val="none"/>
                <w:shd w:val="clear" w:color="auto" w:fill="auto"/>
                <w:lang w:eastAsia="zh-CN"/>
              </w:rPr>
              <w:t>起8</w:t>
            </w:r>
            <w:r>
              <w:rPr>
                <w:rFonts w:hint="eastAsia" w:ascii="宋体" w:hAnsi="宋体" w:cs="宋体"/>
                <w:bCs/>
                <w:color w:val="auto"/>
                <w:kern w:val="0"/>
                <w:sz w:val="21"/>
                <w:szCs w:val="21"/>
                <w:highlight w:val="none"/>
                <w:shd w:val="clear" w:color="auto" w:fill="auto"/>
                <w:lang w:val="en-US" w:eastAsia="zh-CN"/>
              </w:rPr>
              <w:t>个</w:t>
            </w:r>
            <w:r>
              <w:rPr>
                <w:rFonts w:hint="eastAsia" w:ascii="宋体" w:hAnsi="宋体" w:eastAsia="宋体" w:cs="宋体"/>
                <w:bCs/>
                <w:color w:val="auto"/>
                <w:kern w:val="0"/>
                <w:sz w:val="21"/>
                <w:szCs w:val="21"/>
                <w:highlight w:val="none"/>
                <w:shd w:val="clear" w:color="auto" w:fill="auto"/>
                <w:lang w:eastAsia="zh-CN"/>
              </w:rPr>
              <w:t>工作日内签订合同</w:t>
            </w:r>
            <w:r>
              <w:rPr>
                <w:rFonts w:hint="eastAsia" w:ascii="宋体" w:hAnsi="宋体" w:eastAsia="宋体" w:cs="宋体"/>
                <w:color w:val="auto"/>
                <w:sz w:val="21"/>
                <w:szCs w:val="21"/>
                <w:highlight w:val="none"/>
                <w:shd w:val="clear" w:color="auto" w:fill="auto"/>
              </w:rPr>
              <w:t>。成交供应商领取成交通知书后，应按规定与采购人签订合同。</w:t>
            </w:r>
          </w:p>
        </w:tc>
      </w:tr>
      <w:tr w14:paraId="315E8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dxa"/>
            <w:noWrap w:val="0"/>
            <w:vAlign w:val="center"/>
          </w:tcPr>
          <w:p w14:paraId="5D1FBDB9">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17</w:t>
            </w:r>
          </w:p>
        </w:tc>
        <w:tc>
          <w:tcPr>
            <w:tcW w:w="942" w:type="dxa"/>
            <w:noWrap w:val="0"/>
            <w:vAlign w:val="center"/>
          </w:tcPr>
          <w:p w14:paraId="447E7A4A">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29.3</w:t>
            </w:r>
          </w:p>
        </w:tc>
        <w:tc>
          <w:tcPr>
            <w:tcW w:w="1775" w:type="dxa"/>
            <w:noWrap w:val="0"/>
            <w:vAlign w:val="center"/>
          </w:tcPr>
          <w:p w14:paraId="3495FFEF">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合同备案存档</w:t>
            </w:r>
          </w:p>
        </w:tc>
        <w:tc>
          <w:tcPr>
            <w:tcW w:w="6405" w:type="dxa"/>
            <w:noWrap w:val="0"/>
            <w:vAlign w:val="center"/>
          </w:tcPr>
          <w:p w14:paraId="18098109">
            <w:pPr>
              <w:pageBreakBefore w:val="0"/>
              <w:kinsoku/>
              <w:wordWrap/>
              <w:overflowPunct/>
              <w:topLinePunct w:val="0"/>
              <w:autoSpaceDE/>
              <w:autoSpaceDN/>
              <w:bidi w:val="0"/>
              <w:adjustRightInd/>
              <w:spacing w:line="360" w:lineRule="auto"/>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highlight w:val="none"/>
              </w:rPr>
              <w:t>政府采购合同双方自签订之日起一个工作日内将合同原件一份交采购代理机构，采购代理机构将政府采购合同在省级以上人民政府财政部门指定媒体上公告。采购人于合同签订之日起七个工作日内将一份合同原件送本级政府采购监督管理部门备案，一份由采购代理机构存档。</w:t>
            </w:r>
          </w:p>
        </w:tc>
      </w:tr>
      <w:tr w14:paraId="142AC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dxa"/>
            <w:noWrap w:val="0"/>
            <w:vAlign w:val="center"/>
          </w:tcPr>
          <w:p w14:paraId="125B87ED">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18</w:t>
            </w:r>
          </w:p>
        </w:tc>
        <w:tc>
          <w:tcPr>
            <w:tcW w:w="942" w:type="dxa"/>
            <w:noWrap w:val="0"/>
            <w:vAlign w:val="center"/>
          </w:tcPr>
          <w:p w14:paraId="6468DAA8">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30.1</w:t>
            </w:r>
          </w:p>
        </w:tc>
        <w:tc>
          <w:tcPr>
            <w:tcW w:w="1775" w:type="dxa"/>
            <w:noWrap w:val="0"/>
            <w:vAlign w:val="center"/>
          </w:tcPr>
          <w:p w14:paraId="67D83526">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采购代理服务费</w:t>
            </w:r>
          </w:p>
        </w:tc>
        <w:tc>
          <w:tcPr>
            <w:tcW w:w="6405" w:type="dxa"/>
            <w:noWrap w:val="0"/>
            <w:vAlign w:val="top"/>
          </w:tcPr>
          <w:p w14:paraId="2F720912">
            <w:pPr>
              <w:pageBreakBefore w:val="0"/>
              <w:kinsoku/>
              <w:wordWrap/>
              <w:overflowPunct/>
              <w:topLinePunct w:val="0"/>
              <w:autoSpaceDE/>
              <w:autoSpaceDN/>
              <w:bidi w:val="0"/>
              <w:adjustRightInd/>
              <w:spacing w:line="360" w:lineRule="auto"/>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成交供应商在领取成交通知书前，向采购代理机构一次性付清采购代理服务费，本项目采购代理服务收费标准参照</w:t>
            </w:r>
            <w:r>
              <w:rPr>
                <w:rFonts w:hint="eastAsia" w:ascii="宋体" w:hAnsi="宋体" w:eastAsia="宋体" w:cs="宋体"/>
                <w:color w:val="auto"/>
                <w:sz w:val="21"/>
                <w:szCs w:val="21"/>
                <w:highlight w:val="none"/>
                <w:shd w:val="clear" w:color="auto" w:fill="auto"/>
                <w:lang w:val="en-US" w:eastAsia="zh-CN"/>
              </w:rPr>
              <w:t>计价格[2002]1980号《招标代理服务收费管理暂行办法》</w:t>
            </w:r>
            <w:r>
              <w:rPr>
                <w:rFonts w:hint="eastAsia" w:ascii="宋体" w:hAnsi="宋体" w:eastAsia="宋体" w:cs="宋体"/>
                <w:color w:val="auto"/>
                <w:sz w:val="21"/>
                <w:szCs w:val="21"/>
                <w:highlight w:val="none"/>
                <w:shd w:val="clear" w:color="auto" w:fill="auto"/>
              </w:rPr>
              <w:t>工程类收费标准</w:t>
            </w:r>
            <w:r>
              <w:rPr>
                <w:rFonts w:hint="eastAsia" w:ascii="宋体" w:hAnsi="宋体" w:cs="宋体"/>
                <w:color w:val="auto"/>
                <w:sz w:val="21"/>
                <w:szCs w:val="21"/>
                <w:highlight w:val="none"/>
                <w:shd w:val="clear" w:color="auto" w:fill="auto"/>
                <w:lang w:val="en-US" w:eastAsia="zh-CN"/>
              </w:rPr>
              <w:t>的60%</w:t>
            </w:r>
            <w:r>
              <w:rPr>
                <w:rFonts w:hint="eastAsia" w:ascii="宋体" w:hAnsi="宋体" w:cs="宋体"/>
                <w:color w:val="auto"/>
                <w:sz w:val="21"/>
                <w:szCs w:val="21"/>
                <w:highlight w:val="none"/>
                <w:shd w:val="clear" w:color="auto" w:fill="auto"/>
                <w:lang w:eastAsia="zh-CN"/>
              </w:rPr>
              <w:t>（</w:t>
            </w:r>
            <w:r>
              <w:rPr>
                <w:rFonts w:hint="eastAsia" w:ascii="宋体" w:hAnsi="宋体" w:cs="宋体"/>
                <w:color w:val="auto"/>
                <w:sz w:val="21"/>
                <w:szCs w:val="21"/>
                <w:highlight w:val="none"/>
                <w:shd w:val="clear" w:color="auto" w:fill="auto"/>
                <w:lang w:val="en-US" w:eastAsia="zh-CN"/>
              </w:rPr>
              <w:t>不足5000按5000收取</w:t>
            </w:r>
            <w:r>
              <w:rPr>
                <w:rFonts w:hint="eastAsia" w:ascii="宋体" w:hAnsi="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向成交供应商收取。</w:t>
            </w:r>
          </w:p>
        </w:tc>
      </w:tr>
      <w:tr w14:paraId="383E3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dxa"/>
            <w:noWrap w:val="0"/>
            <w:vAlign w:val="center"/>
          </w:tcPr>
          <w:p w14:paraId="18A0AE73">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19</w:t>
            </w:r>
          </w:p>
        </w:tc>
        <w:tc>
          <w:tcPr>
            <w:tcW w:w="942" w:type="dxa"/>
            <w:noWrap w:val="0"/>
            <w:vAlign w:val="center"/>
          </w:tcPr>
          <w:p w14:paraId="36E1BAFA">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31</w:t>
            </w:r>
          </w:p>
        </w:tc>
        <w:tc>
          <w:tcPr>
            <w:tcW w:w="1775" w:type="dxa"/>
            <w:noWrap w:val="0"/>
            <w:vAlign w:val="center"/>
          </w:tcPr>
          <w:p w14:paraId="44922143">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编制依据</w:t>
            </w:r>
          </w:p>
        </w:tc>
        <w:tc>
          <w:tcPr>
            <w:tcW w:w="6405" w:type="dxa"/>
            <w:noWrap w:val="0"/>
            <w:vAlign w:val="top"/>
          </w:tcPr>
          <w:p w14:paraId="7ED02E59">
            <w:pPr>
              <w:pageBreakBefore w:val="0"/>
              <w:kinsoku/>
              <w:wordWrap/>
              <w:overflowPunct/>
              <w:topLinePunct w:val="0"/>
              <w:autoSpaceDE/>
              <w:autoSpaceDN/>
              <w:bidi w:val="0"/>
              <w:adjustRightInd/>
              <w:spacing w:line="360" w:lineRule="auto"/>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本竞争性磋商文件是根据《中华人民共和国政府采购法》《中华人民共和国政府采购法实施条例》《政府采购竞争性磋商采购方式管理暂行办法》和政府采购管理有关规定编制。</w:t>
            </w:r>
          </w:p>
        </w:tc>
      </w:tr>
      <w:tr w14:paraId="32D35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2" w:type="dxa"/>
            <w:noWrap w:val="0"/>
            <w:vAlign w:val="center"/>
          </w:tcPr>
          <w:p w14:paraId="287B243B">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20</w:t>
            </w:r>
          </w:p>
        </w:tc>
        <w:tc>
          <w:tcPr>
            <w:tcW w:w="942" w:type="dxa"/>
            <w:noWrap w:val="0"/>
            <w:vAlign w:val="center"/>
          </w:tcPr>
          <w:p w14:paraId="73255ECB">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32</w:t>
            </w:r>
          </w:p>
        </w:tc>
        <w:tc>
          <w:tcPr>
            <w:tcW w:w="1775" w:type="dxa"/>
            <w:noWrap w:val="0"/>
            <w:vAlign w:val="center"/>
          </w:tcPr>
          <w:p w14:paraId="26B84C26">
            <w:pPr>
              <w:pageBreakBefore w:val="0"/>
              <w:kinsoku/>
              <w:wordWrap/>
              <w:overflowPunct/>
              <w:topLinePunct w:val="0"/>
              <w:autoSpaceDE/>
              <w:autoSpaceDN/>
              <w:bidi w:val="0"/>
              <w:adjustRightInd/>
              <w:spacing w:line="360" w:lineRule="auto"/>
              <w:jc w:val="center"/>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监督管理机构</w:t>
            </w:r>
          </w:p>
        </w:tc>
        <w:tc>
          <w:tcPr>
            <w:tcW w:w="6405" w:type="dxa"/>
            <w:noWrap w:val="0"/>
            <w:vAlign w:val="center"/>
          </w:tcPr>
          <w:p w14:paraId="25153F82">
            <w:pPr>
              <w:pageBreakBefore w:val="0"/>
              <w:kinsoku/>
              <w:wordWrap/>
              <w:overflowPunct/>
              <w:topLinePunct w:val="0"/>
              <w:autoSpaceDE/>
              <w:autoSpaceDN/>
              <w:bidi w:val="0"/>
              <w:adjustRightInd/>
              <w:spacing w:line="360" w:lineRule="auto"/>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Cs w:val="21"/>
                <w:highlight w:val="none"/>
                <w:lang w:eastAsia="zh-CN"/>
              </w:rPr>
              <w:t>桂林市临桂区财政局政府采购监督管理股</w:t>
            </w:r>
            <w:r>
              <w:rPr>
                <w:rFonts w:hint="eastAsia" w:ascii="宋体" w:hAnsi="宋体" w:eastAsia="宋体" w:cs="宋体"/>
                <w:color w:val="auto"/>
                <w:szCs w:val="21"/>
                <w:highlight w:val="none"/>
              </w:rPr>
              <w:t xml:space="preserve">    电话：</w:t>
            </w:r>
            <w:r>
              <w:rPr>
                <w:rFonts w:hint="eastAsia" w:ascii="宋体" w:hAnsi="宋体" w:eastAsia="宋体" w:cs="宋体"/>
                <w:color w:val="auto"/>
                <w:szCs w:val="21"/>
                <w:highlight w:val="none"/>
                <w:lang w:eastAsia="zh-CN"/>
              </w:rPr>
              <w:t>0773-5593932</w:t>
            </w:r>
          </w:p>
        </w:tc>
      </w:tr>
    </w:tbl>
    <w:p w14:paraId="75182571">
      <w:pPr>
        <w:pageBreakBefore w:val="0"/>
        <w:widowControl w:val="0"/>
        <w:kinsoku/>
        <w:wordWrap/>
        <w:overflowPunct/>
        <w:topLinePunct w:val="0"/>
        <w:autoSpaceDE/>
        <w:autoSpaceDN/>
        <w:bidi w:val="0"/>
        <w:adjustRightInd/>
        <w:spacing w:line="360" w:lineRule="auto"/>
        <w:ind w:left="0" w:leftChars="0"/>
        <w:jc w:val="center"/>
        <w:textAlignment w:val="auto"/>
        <w:outlineLvl w:val="9"/>
        <w:rPr>
          <w:rFonts w:hint="eastAsia" w:ascii="宋体" w:hAnsi="宋体" w:eastAsia="宋体" w:cs="宋体"/>
          <w:b/>
          <w:bCs/>
          <w:color w:val="auto"/>
          <w:sz w:val="21"/>
          <w:szCs w:val="21"/>
          <w:highlight w:val="none"/>
          <w:shd w:val="clear" w:color="auto" w:fill="auto"/>
        </w:rPr>
      </w:pPr>
      <w:bookmarkStart w:id="94" w:name="_Toc25406"/>
      <w:bookmarkStart w:id="95" w:name="_Toc22792"/>
      <w:bookmarkStart w:id="96" w:name="_Toc9480"/>
    </w:p>
    <w:p w14:paraId="3B0078CD">
      <w:pPr>
        <w:pageBreakBefore w:val="0"/>
        <w:widowControl w:val="0"/>
        <w:kinsoku/>
        <w:wordWrap/>
        <w:overflowPunct/>
        <w:topLinePunct w:val="0"/>
        <w:autoSpaceDE/>
        <w:autoSpaceDN/>
        <w:bidi w:val="0"/>
        <w:adjustRightInd/>
        <w:spacing w:line="360" w:lineRule="auto"/>
        <w:ind w:left="0" w:leftChars="0"/>
        <w:jc w:val="center"/>
        <w:textAlignment w:val="auto"/>
        <w:outlineLvl w:val="9"/>
        <w:rPr>
          <w:rFonts w:hint="eastAsia" w:ascii="宋体" w:hAnsi="宋体" w:eastAsia="宋体" w:cs="宋体"/>
          <w:b/>
          <w:bCs/>
          <w:color w:val="auto"/>
          <w:sz w:val="21"/>
          <w:szCs w:val="21"/>
          <w:highlight w:val="none"/>
          <w:shd w:val="clear" w:color="auto" w:fill="auto"/>
        </w:rPr>
      </w:pPr>
    </w:p>
    <w:p w14:paraId="57E779D5">
      <w:pPr>
        <w:pageBreakBefore w:val="0"/>
        <w:widowControl w:val="0"/>
        <w:kinsoku/>
        <w:wordWrap/>
        <w:overflowPunct/>
        <w:topLinePunct w:val="0"/>
        <w:autoSpaceDE/>
        <w:autoSpaceDN/>
        <w:bidi w:val="0"/>
        <w:adjustRightInd/>
        <w:spacing w:line="360" w:lineRule="auto"/>
        <w:ind w:left="0" w:leftChars="0"/>
        <w:jc w:val="center"/>
        <w:textAlignment w:val="auto"/>
        <w:outlineLvl w:val="9"/>
        <w:rPr>
          <w:rFonts w:hint="eastAsia" w:ascii="宋体" w:hAnsi="宋体" w:eastAsia="宋体" w:cs="宋体"/>
          <w:b/>
          <w:bCs/>
          <w:color w:val="auto"/>
          <w:sz w:val="21"/>
          <w:szCs w:val="21"/>
          <w:highlight w:val="none"/>
          <w:shd w:val="clear" w:color="auto" w:fill="auto"/>
        </w:rPr>
      </w:pPr>
    </w:p>
    <w:p w14:paraId="0E9FF270">
      <w:pPr>
        <w:pageBreakBefore w:val="0"/>
        <w:widowControl w:val="0"/>
        <w:kinsoku/>
        <w:wordWrap/>
        <w:overflowPunct/>
        <w:topLinePunct w:val="0"/>
        <w:autoSpaceDE/>
        <w:autoSpaceDN/>
        <w:bidi w:val="0"/>
        <w:adjustRightInd/>
        <w:spacing w:line="360" w:lineRule="auto"/>
        <w:ind w:left="0" w:leftChars="0"/>
        <w:jc w:val="center"/>
        <w:textAlignment w:val="auto"/>
        <w:outlineLvl w:val="9"/>
        <w:rPr>
          <w:rFonts w:hint="eastAsia" w:ascii="宋体" w:hAnsi="宋体" w:eastAsia="宋体" w:cs="宋体"/>
          <w:b/>
          <w:bCs/>
          <w:color w:val="auto"/>
          <w:sz w:val="21"/>
          <w:szCs w:val="21"/>
          <w:highlight w:val="none"/>
          <w:shd w:val="clear" w:color="auto" w:fill="auto"/>
        </w:rPr>
      </w:pPr>
    </w:p>
    <w:p w14:paraId="2CB67244">
      <w:pPr>
        <w:pageBreakBefore w:val="0"/>
        <w:widowControl w:val="0"/>
        <w:kinsoku/>
        <w:wordWrap/>
        <w:overflowPunct/>
        <w:topLinePunct w:val="0"/>
        <w:autoSpaceDE/>
        <w:autoSpaceDN/>
        <w:bidi w:val="0"/>
        <w:adjustRightInd/>
        <w:spacing w:line="360" w:lineRule="auto"/>
        <w:ind w:left="0" w:leftChars="0"/>
        <w:jc w:val="center"/>
        <w:textAlignment w:val="auto"/>
        <w:outlineLvl w:val="9"/>
        <w:rPr>
          <w:rFonts w:hint="eastAsia" w:ascii="宋体" w:hAnsi="宋体" w:eastAsia="宋体" w:cs="宋体"/>
          <w:b/>
          <w:bCs/>
          <w:color w:val="auto"/>
          <w:sz w:val="21"/>
          <w:szCs w:val="21"/>
          <w:highlight w:val="none"/>
          <w:shd w:val="clear" w:color="auto" w:fill="auto"/>
        </w:rPr>
      </w:pPr>
    </w:p>
    <w:p w14:paraId="6CB9186A">
      <w:pPr>
        <w:pageBreakBefore w:val="0"/>
        <w:widowControl w:val="0"/>
        <w:kinsoku/>
        <w:wordWrap/>
        <w:overflowPunct/>
        <w:topLinePunct w:val="0"/>
        <w:autoSpaceDE/>
        <w:autoSpaceDN/>
        <w:bidi w:val="0"/>
        <w:adjustRightInd/>
        <w:spacing w:line="360" w:lineRule="auto"/>
        <w:ind w:left="0" w:leftChars="0"/>
        <w:jc w:val="center"/>
        <w:textAlignment w:val="auto"/>
        <w:outlineLvl w:val="9"/>
        <w:rPr>
          <w:rFonts w:hint="eastAsia" w:ascii="宋体" w:hAnsi="宋体" w:eastAsia="宋体" w:cs="宋体"/>
          <w:b/>
          <w:bCs/>
          <w:color w:val="auto"/>
          <w:sz w:val="21"/>
          <w:szCs w:val="21"/>
          <w:highlight w:val="none"/>
          <w:shd w:val="clear" w:color="auto" w:fill="auto"/>
        </w:rPr>
      </w:pPr>
    </w:p>
    <w:p w14:paraId="69975533">
      <w:pPr>
        <w:pageBreakBefore w:val="0"/>
        <w:widowControl w:val="0"/>
        <w:kinsoku/>
        <w:wordWrap/>
        <w:overflowPunct/>
        <w:topLinePunct w:val="0"/>
        <w:autoSpaceDE/>
        <w:autoSpaceDN/>
        <w:bidi w:val="0"/>
        <w:adjustRightInd/>
        <w:spacing w:line="360" w:lineRule="auto"/>
        <w:ind w:left="0" w:leftChars="0"/>
        <w:jc w:val="center"/>
        <w:textAlignment w:val="auto"/>
        <w:outlineLvl w:val="9"/>
        <w:rPr>
          <w:rFonts w:hint="eastAsia" w:ascii="宋体" w:hAnsi="宋体" w:eastAsia="宋体" w:cs="宋体"/>
          <w:b/>
          <w:bCs/>
          <w:color w:val="auto"/>
          <w:sz w:val="21"/>
          <w:szCs w:val="21"/>
          <w:highlight w:val="none"/>
          <w:shd w:val="clear" w:color="auto" w:fill="auto"/>
        </w:rPr>
      </w:pPr>
    </w:p>
    <w:p w14:paraId="61E1C285">
      <w:pPr>
        <w:pageBreakBefore w:val="0"/>
        <w:widowControl w:val="0"/>
        <w:kinsoku/>
        <w:wordWrap/>
        <w:overflowPunct/>
        <w:topLinePunct w:val="0"/>
        <w:autoSpaceDE/>
        <w:autoSpaceDN/>
        <w:bidi w:val="0"/>
        <w:adjustRightInd/>
        <w:spacing w:line="360" w:lineRule="auto"/>
        <w:ind w:left="0" w:leftChars="0"/>
        <w:jc w:val="center"/>
        <w:textAlignment w:val="auto"/>
        <w:outlineLvl w:val="9"/>
        <w:rPr>
          <w:rFonts w:hint="eastAsia" w:ascii="宋体" w:hAnsi="宋体" w:eastAsia="宋体" w:cs="宋体"/>
          <w:b/>
          <w:bCs/>
          <w:color w:val="auto"/>
          <w:sz w:val="21"/>
          <w:szCs w:val="21"/>
          <w:highlight w:val="none"/>
          <w:shd w:val="clear" w:color="auto" w:fill="auto"/>
        </w:rPr>
      </w:pPr>
    </w:p>
    <w:p w14:paraId="05D22199">
      <w:pPr>
        <w:pageBreakBefore w:val="0"/>
        <w:widowControl w:val="0"/>
        <w:kinsoku/>
        <w:wordWrap/>
        <w:overflowPunct/>
        <w:topLinePunct w:val="0"/>
        <w:autoSpaceDE/>
        <w:autoSpaceDN/>
        <w:bidi w:val="0"/>
        <w:adjustRightInd/>
        <w:spacing w:line="360" w:lineRule="auto"/>
        <w:ind w:left="0" w:leftChars="0"/>
        <w:jc w:val="center"/>
        <w:textAlignment w:val="auto"/>
        <w:outlineLvl w:val="9"/>
        <w:rPr>
          <w:rFonts w:hint="eastAsia" w:ascii="宋体" w:hAnsi="宋体" w:eastAsia="宋体" w:cs="宋体"/>
          <w:b/>
          <w:bCs/>
          <w:color w:val="auto"/>
          <w:sz w:val="21"/>
          <w:szCs w:val="21"/>
          <w:highlight w:val="none"/>
          <w:shd w:val="clear" w:color="auto" w:fill="auto"/>
        </w:rPr>
      </w:pPr>
    </w:p>
    <w:p w14:paraId="707D5DB4">
      <w:pPr>
        <w:pageBreakBefore w:val="0"/>
        <w:widowControl w:val="0"/>
        <w:kinsoku/>
        <w:wordWrap/>
        <w:overflowPunct/>
        <w:topLinePunct w:val="0"/>
        <w:autoSpaceDE/>
        <w:autoSpaceDN/>
        <w:bidi w:val="0"/>
        <w:adjustRightInd/>
        <w:spacing w:line="360" w:lineRule="auto"/>
        <w:ind w:left="0" w:leftChars="0"/>
        <w:jc w:val="center"/>
        <w:textAlignment w:val="auto"/>
        <w:outlineLvl w:val="9"/>
        <w:rPr>
          <w:rFonts w:hint="eastAsia" w:ascii="宋体" w:hAnsi="宋体" w:eastAsia="宋体" w:cs="宋体"/>
          <w:b/>
          <w:bCs/>
          <w:color w:val="auto"/>
          <w:sz w:val="21"/>
          <w:szCs w:val="21"/>
          <w:highlight w:val="none"/>
          <w:shd w:val="clear" w:color="auto" w:fill="auto"/>
        </w:rPr>
      </w:pPr>
    </w:p>
    <w:p w14:paraId="6E8C6EDE">
      <w:pPr>
        <w:pageBreakBefore w:val="0"/>
        <w:widowControl w:val="0"/>
        <w:kinsoku/>
        <w:wordWrap/>
        <w:overflowPunct/>
        <w:topLinePunct w:val="0"/>
        <w:autoSpaceDE/>
        <w:autoSpaceDN/>
        <w:bidi w:val="0"/>
        <w:adjustRightInd/>
        <w:spacing w:line="360" w:lineRule="auto"/>
        <w:ind w:left="0" w:leftChars="0"/>
        <w:jc w:val="center"/>
        <w:textAlignment w:val="auto"/>
        <w:outlineLvl w:val="9"/>
        <w:rPr>
          <w:rFonts w:hint="eastAsia" w:ascii="宋体" w:hAnsi="宋体" w:eastAsia="宋体" w:cs="宋体"/>
          <w:b/>
          <w:bCs/>
          <w:color w:val="auto"/>
          <w:sz w:val="21"/>
          <w:szCs w:val="21"/>
          <w:highlight w:val="none"/>
          <w:shd w:val="clear" w:color="auto" w:fill="auto"/>
        </w:rPr>
      </w:pPr>
    </w:p>
    <w:p w14:paraId="55BF2D18">
      <w:pPr>
        <w:pageBreakBefore w:val="0"/>
        <w:widowControl w:val="0"/>
        <w:kinsoku/>
        <w:wordWrap/>
        <w:overflowPunct/>
        <w:topLinePunct w:val="0"/>
        <w:autoSpaceDE/>
        <w:autoSpaceDN/>
        <w:bidi w:val="0"/>
        <w:adjustRightInd/>
        <w:spacing w:line="360" w:lineRule="auto"/>
        <w:ind w:left="0" w:leftChars="0"/>
        <w:jc w:val="center"/>
        <w:textAlignment w:val="auto"/>
        <w:outlineLvl w:val="9"/>
        <w:rPr>
          <w:rFonts w:hint="eastAsia" w:ascii="宋体" w:hAnsi="宋体" w:eastAsia="宋体" w:cs="宋体"/>
          <w:b/>
          <w:bCs/>
          <w:color w:val="auto"/>
          <w:sz w:val="21"/>
          <w:szCs w:val="21"/>
          <w:highlight w:val="none"/>
          <w:shd w:val="clear" w:color="auto" w:fill="auto"/>
        </w:rPr>
      </w:pPr>
    </w:p>
    <w:p w14:paraId="4FE10D07">
      <w:pPr>
        <w:pageBreakBefore w:val="0"/>
        <w:widowControl w:val="0"/>
        <w:kinsoku/>
        <w:wordWrap/>
        <w:overflowPunct/>
        <w:topLinePunct w:val="0"/>
        <w:autoSpaceDE/>
        <w:autoSpaceDN/>
        <w:bidi w:val="0"/>
        <w:adjustRightInd/>
        <w:spacing w:line="360" w:lineRule="auto"/>
        <w:ind w:left="0" w:leftChars="0"/>
        <w:jc w:val="center"/>
        <w:textAlignment w:val="auto"/>
        <w:outlineLvl w:val="9"/>
        <w:rPr>
          <w:rFonts w:hint="eastAsia" w:ascii="宋体" w:hAnsi="宋体" w:eastAsia="宋体" w:cs="宋体"/>
          <w:b/>
          <w:bCs/>
          <w:color w:val="auto"/>
          <w:sz w:val="21"/>
          <w:szCs w:val="21"/>
          <w:highlight w:val="none"/>
          <w:shd w:val="clear" w:color="auto" w:fill="auto"/>
        </w:rPr>
      </w:pPr>
    </w:p>
    <w:p w14:paraId="0B1DD59F">
      <w:pPr>
        <w:pageBreakBefore w:val="0"/>
        <w:widowControl w:val="0"/>
        <w:kinsoku/>
        <w:wordWrap/>
        <w:overflowPunct/>
        <w:topLinePunct w:val="0"/>
        <w:autoSpaceDE/>
        <w:autoSpaceDN/>
        <w:bidi w:val="0"/>
        <w:adjustRightInd/>
        <w:spacing w:line="360" w:lineRule="auto"/>
        <w:ind w:left="0" w:leftChars="0"/>
        <w:jc w:val="center"/>
        <w:textAlignment w:val="auto"/>
        <w:outlineLvl w:val="9"/>
        <w:rPr>
          <w:rFonts w:hint="eastAsia" w:ascii="宋体" w:hAnsi="宋体" w:eastAsia="宋体" w:cs="宋体"/>
          <w:b/>
          <w:bCs/>
          <w:color w:val="auto"/>
          <w:sz w:val="21"/>
          <w:szCs w:val="21"/>
          <w:highlight w:val="none"/>
          <w:shd w:val="clear" w:color="auto" w:fill="auto"/>
        </w:rPr>
      </w:pPr>
    </w:p>
    <w:p w14:paraId="295D0411">
      <w:pPr>
        <w:pageBreakBefore w:val="0"/>
        <w:widowControl w:val="0"/>
        <w:kinsoku/>
        <w:wordWrap/>
        <w:overflowPunct/>
        <w:topLinePunct w:val="0"/>
        <w:autoSpaceDE/>
        <w:autoSpaceDN/>
        <w:bidi w:val="0"/>
        <w:adjustRightInd/>
        <w:spacing w:line="360" w:lineRule="auto"/>
        <w:ind w:left="0" w:leftChars="0"/>
        <w:jc w:val="center"/>
        <w:textAlignment w:val="auto"/>
        <w:outlineLvl w:val="9"/>
        <w:rPr>
          <w:rFonts w:hint="eastAsia" w:ascii="宋体" w:hAnsi="宋体" w:eastAsia="宋体" w:cs="宋体"/>
          <w:b/>
          <w:bCs/>
          <w:color w:val="auto"/>
          <w:sz w:val="21"/>
          <w:szCs w:val="21"/>
          <w:highlight w:val="none"/>
          <w:shd w:val="clear" w:color="auto" w:fill="auto"/>
        </w:rPr>
      </w:pPr>
    </w:p>
    <w:p w14:paraId="02BFFEC5">
      <w:pPr>
        <w:pageBreakBefore w:val="0"/>
        <w:widowControl w:val="0"/>
        <w:kinsoku/>
        <w:wordWrap/>
        <w:overflowPunct/>
        <w:topLinePunct w:val="0"/>
        <w:autoSpaceDE/>
        <w:autoSpaceDN/>
        <w:bidi w:val="0"/>
        <w:adjustRightInd/>
        <w:spacing w:line="360" w:lineRule="auto"/>
        <w:ind w:left="0" w:leftChars="0"/>
        <w:jc w:val="center"/>
        <w:textAlignment w:val="auto"/>
        <w:outlineLvl w:val="9"/>
        <w:rPr>
          <w:rFonts w:hint="eastAsia" w:ascii="宋体" w:hAnsi="宋体" w:eastAsia="宋体" w:cs="宋体"/>
          <w:b/>
          <w:bCs/>
          <w:color w:val="auto"/>
          <w:sz w:val="21"/>
          <w:szCs w:val="21"/>
          <w:highlight w:val="none"/>
          <w:shd w:val="clear" w:color="auto" w:fill="auto"/>
        </w:rPr>
      </w:pPr>
    </w:p>
    <w:p w14:paraId="6C6F6BD9">
      <w:pPr>
        <w:pageBreakBefore w:val="0"/>
        <w:widowControl w:val="0"/>
        <w:kinsoku/>
        <w:wordWrap/>
        <w:overflowPunct/>
        <w:topLinePunct w:val="0"/>
        <w:autoSpaceDE/>
        <w:autoSpaceDN/>
        <w:bidi w:val="0"/>
        <w:adjustRightInd/>
        <w:spacing w:line="360" w:lineRule="auto"/>
        <w:ind w:left="0" w:leftChars="0"/>
        <w:jc w:val="center"/>
        <w:textAlignment w:val="auto"/>
        <w:outlineLvl w:val="9"/>
        <w:rPr>
          <w:rFonts w:hint="eastAsia" w:ascii="宋体" w:hAnsi="宋体" w:eastAsia="宋体" w:cs="宋体"/>
          <w:b/>
          <w:bCs/>
          <w:color w:val="auto"/>
          <w:sz w:val="21"/>
          <w:szCs w:val="21"/>
          <w:highlight w:val="none"/>
          <w:shd w:val="clear" w:color="auto" w:fill="auto"/>
        </w:rPr>
      </w:pPr>
    </w:p>
    <w:p w14:paraId="3098ADBC">
      <w:pPr>
        <w:pageBreakBefore w:val="0"/>
        <w:widowControl w:val="0"/>
        <w:kinsoku/>
        <w:wordWrap/>
        <w:overflowPunct/>
        <w:topLinePunct w:val="0"/>
        <w:autoSpaceDE/>
        <w:autoSpaceDN/>
        <w:bidi w:val="0"/>
        <w:adjustRightInd/>
        <w:spacing w:line="360" w:lineRule="auto"/>
        <w:ind w:left="0" w:leftChars="0"/>
        <w:jc w:val="center"/>
        <w:textAlignment w:val="auto"/>
        <w:outlineLvl w:val="9"/>
        <w:rPr>
          <w:rFonts w:hint="eastAsia" w:ascii="宋体" w:hAnsi="宋体" w:eastAsia="宋体" w:cs="宋体"/>
          <w:b/>
          <w:bCs/>
          <w:color w:val="auto"/>
          <w:sz w:val="21"/>
          <w:szCs w:val="21"/>
          <w:highlight w:val="none"/>
          <w:shd w:val="clear" w:color="auto" w:fill="auto"/>
        </w:rPr>
      </w:pPr>
    </w:p>
    <w:p w14:paraId="2FDE8172">
      <w:pPr>
        <w:pageBreakBefore w:val="0"/>
        <w:widowControl w:val="0"/>
        <w:kinsoku/>
        <w:wordWrap/>
        <w:overflowPunct/>
        <w:topLinePunct w:val="0"/>
        <w:autoSpaceDE/>
        <w:autoSpaceDN/>
        <w:bidi w:val="0"/>
        <w:adjustRightInd/>
        <w:spacing w:line="360" w:lineRule="auto"/>
        <w:ind w:left="0" w:leftChars="0"/>
        <w:jc w:val="center"/>
        <w:textAlignment w:val="auto"/>
        <w:outlineLvl w:val="9"/>
        <w:rPr>
          <w:rFonts w:hint="eastAsia" w:ascii="宋体" w:hAnsi="宋体" w:eastAsia="宋体" w:cs="宋体"/>
          <w:b/>
          <w:bCs/>
          <w:color w:val="auto"/>
          <w:sz w:val="21"/>
          <w:szCs w:val="21"/>
          <w:highlight w:val="none"/>
          <w:shd w:val="clear" w:color="auto" w:fill="auto"/>
        </w:rPr>
      </w:pPr>
    </w:p>
    <w:p w14:paraId="143FB49A">
      <w:pPr>
        <w:pageBreakBefore w:val="0"/>
        <w:widowControl w:val="0"/>
        <w:kinsoku/>
        <w:wordWrap/>
        <w:overflowPunct/>
        <w:topLinePunct w:val="0"/>
        <w:autoSpaceDE/>
        <w:autoSpaceDN/>
        <w:bidi w:val="0"/>
        <w:adjustRightInd/>
        <w:spacing w:line="360" w:lineRule="auto"/>
        <w:ind w:left="0" w:leftChars="0"/>
        <w:jc w:val="center"/>
        <w:textAlignment w:val="auto"/>
        <w:outlineLvl w:val="9"/>
        <w:rPr>
          <w:rFonts w:hint="eastAsia" w:ascii="宋体" w:hAnsi="宋体" w:eastAsia="宋体" w:cs="宋体"/>
          <w:b/>
          <w:bCs/>
          <w:color w:val="auto"/>
          <w:sz w:val="21"/>
          <w:szCs w:val="21"/>
          <w:highlight w:val="none"/>
          <w:shd w:val="clear" w:color="auto" w:fill="auto"/>
        </w:rPr>
      </w:pPr>
    </w:p>
    <w:p w14:paraId="66C0E3A3">
      <w:pPr>
        <w:pageBreakBefore w:val="0"/>
        <w:widowControl w:val="0"/>
        <w:kinsoku/>
        <w:wordWrap/>
        <w:overflowPunct/>
        <w:topLinePunct w:val="0"/>
        <w:autoSpaceDE/>
        <w:autoSpaceDN/>
        <w:bidi w:val="0"/>
        <w:adjustRightInd/>
        <w:spacing w:line="360" w:lineRule="auto"/>
        <w:ind w:left="0" w:leftChars="0"/>
        <w:jc w:val="center"/>
        <w:textAlignment w:val="auto"/>
        <w:outlineLvl w:val="9"/>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一、总则</w:t>
      </w:r>
      <w:bookmarkEnd w:id="94"/>
      <w:bookmarkEnd w:id="95"/>
      <w:bookmarkEnd w:id="96"/>
    </w:p>
    <w:p w14:paraId="1144254D">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bookmarkStart w:id="97" w:name="_Toc6626"/>
      <w:bookmarkStart w:id="98" w:name="_Toc4439"/>
      <w:bookmarkStart w:id="99" w:name="_Toc25853"/>
      <w:r>
        <w:rPr>
          <w:rFonts w:hint="eastAsia" w:ascii="宋体" w:hAnsi="宋体" w:eastAsia="宋体" w:cs="宋体"/>
          <w:color w:val="auto"/>
          <w:sz w:val="21"/>
          <w:szCs w:val="21"/>
          <w:highlight w:val="none"/>
          <w:shd w:val="clear" w:color="auto" w:fill="auto"/>
        </w:rPr>
        <w:t>1. 适应范围</w:t>
      </w:r>
      <w:bookmarkEnd w:id="97"/>
      <w:bookmarkEnd w:id="98"/>
      <w:bookmarkEnd w:id="99"/>
    </w:p>
    <w:p w14:paraId="77C9DA3C">
      <w:pPr>
        <w:pageBreakBefore w:val="0"/>
        <w:widowControl w:val="0"/>
        <w:kinsoku/>
        <w:wordWrap/>
        <w:overflowPunct/>
        <w:topLinePunct w:val="0"/>
        <w:autoSpaceDE/>
        <w:autoSpaceDN/>
        <w:bidi w:val="0"/>
        <w:adjustRightInd/>
        <w:spacing w:line="360" w:lineRule="auto"/>
        <w:ind w:left="0" w:leftChars="0" w:firstLine="435"/>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1.1  项目名称及项目编号：</w:t>
      </w:r>
    </w:p>
    <w:p w14:paraId="31125C06">
      <w:pPr>
        <w:pageBreakBefore w:val="0"/>
        <w:widowControl w:val="0"/>
        <w:kinsoku/>
        <w:wordWrap/>
        <w:overflowPunct/>
        <w:topLinePunct w:val="0"/>
        <w:autoSpaceDE/>
        <w:autoSpaceDN/>
        <w:bidi w:val="0"/>
        <w:adjustRightInd/>
        <w:spacing w:line="360" w:lineRule="auto"/>
        <w:ind w:left="0" w:leftChars="0" w:firstLine="840" w:firstLineChars="400"/>
        <w:textAlignment w:val="auto"/>
        <w:outlineLvl w:val="9"/>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项目名称：</w:t>
      </w:r>
      <w:r>
        <w:rPr>
          <w:rFonts w:hint="eastAsia" w:ascii="宋体" w:hAnsi="宋体" w:cs="宋体"/>
          <w:color w:val="auto"/>
          <w:sz w:val="21"/>
          <w:szCs w:val="21"/>
          <w:highlight w:val="none"/>
          <w:shd w:val="clear" w:color="auto" w:fill="auto"/>
          <w:lang w:eastAsia="zh-CN"/>
        </w:rPr>
        <w:t>桂林市临桂区两江镇培塘村委、大洲村委、保全村委等美丽宜居村庄整治提升以工代赈项目</w:t>
      </w:r>
    </w:p>
    <w:p w14:paraId="6BDC0E4E">
      <w:pPr>
        <w:pageBreakBefore w:val="0"/>
        <w:widowControl w:val="0"/>
        <w:kinsoku/>
        <w:wordWrap/>
        <w:overflowPunct/>
        <w:topLinePunct w:val="0"/>
        <w:autoSpaceDE/>
        <w:autoSpaceDN/>
        <w:bidi w:val="0"/>
        <w:adjustRightInd/>
        <w:spacing w:line="360" w:lineRule="auto"/>
        <w:ind w:left="0" w:leftChars="0" w:firstLine="840" w:firstLineChars="400"/>
        <w:textAlignment w:val="auto"/>
        <w:outlineLvl w:val="9"/>
        <w:rPr>
          <w:rFonts w:hint="default"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项目编号：GLZC2026-C2-120033-GXDC</w:t>
      </w:r>
      <w:r>
        <w:rPr>
          <w:rFonts w:hint="eastAsia" w:ascii="宋体" w:hAnsi="宋体" w:cs="宋体"/>
          <w:color w:val="auto"/>
          <w:sz w:val="21"/>
          <w:szCs w:val="21"/>
          <w:highlight w:val="none"/>
          <w:shd w:val="clear" w:color="auto" w:fill="auto"/>
          <w:lang w:val="en-US" w:eastAsia="zh-CN"/>
        </w:rPr>
        <w:t xml:space="preserve">  </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  </w:t>
      </w:r>
    </w:p>
    <w:p w14:paraId="1D8ADA74">
      <w:pPr>
        <w:pageBreakBefore w:val="0"/>
        <w:widowControl w:val="0"/>
        <w:kinsoku/>
        <w:wordWrap/>
        <w:overflowPunct/>
        <w:topLinePunct w:val="0"/>
        <w:autoSpaceDE/>
        <w:autoSpaceDN/>
        <w:bidi w:val="0"/>
        <w:adjustRightInd/>
        <w:spacing w:line="360" w:lineRule="auto"/>
        <w:ind w:left="0" w:leftChars="0" w:firstLine="411" w:firstLineChars="196"/>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1.2要求工期：</w:t>
      </w:r>
      <w:r>
        <w:rPr>
          <w:rFonts w:hint="eastAsia" w:ascii="宋体" w:hAnsi="宋体" w:cs="宋体"/>
          <w:b w:val="0"/>
          <w:bCs w:val="0"/>
          <w:color w:val="auto"/>
          <w:sz w:val="21"/>
          <w:szCs w:val="21"/>
          <w:highlight w:val="none"/>
          <w:u w:val="none"/>
          <w:shd w:val="clear" w:color="auto" w:fill="auto"/>
          <w:lang w:val="en-US" w:eastAsia="zh-CN"/>
        </w:rPr>
        <w:t>180</w:t>
      </w:r>
      <w:r>
        <w:rPr>
          <w:rFonts w:hint="eastAsia" w:ascii="宋体" w:hAnsi="宋体" w:eastAsia="宋体" w:cs="宋体"/>
          <w:color w:val="auto"/>
          <w:sz w:val="21"/>
          <w:szCs w:val="21"/>
          <w:highlight w:val="none"/>
          <w:shd w:val="clear" w:color="auto" w:fill="auto"/>
          <w:lang w:val="en-US" w:eastAsia="zh-CN"/>
        </w:rPr>
        <w:t>日历天</w:t>
      </w:r>
    </w:p>
    <w:p w14:paraId="5C0011B2">
      <w:pPr>
        <w:pageBreakBefore w:val="0"/>
        <w:widowControl w:val="0"/>
        <w:kinsoku/>
        <w:wordWrap/>
        <w:overflowPunct/>
        <w:topLinePunct w:val="0"/>
        <w:autoSpaceDE/>
        <w:autoSpaceDN/>
        <w:bidi w:val="0"/>
        <w:adjustRightInd/>
        <w:spacing w:line="360" w:lineRule="auto"/>
        <w:ind w:left="0" w:leftChars="0" w:firstLine="411" w:firstLineChars="196"/>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1.3质量标准：达到国家施工验收规范合格标准。</w:t>
      </w:r>
    </w:p>
    <w:p w14:paraId="5FDF3523">
      <w:pPr>
        <w:pageBreakBefore w:val="0"/>
        <w:widowControl w:val="0"/>
        <w:kinsoku/>
        <w:wordWrap/>
        <w:overflowPunct/>
        <w:topLinePunct w:val="0"/>
        <w:autoSpaceDE/>
        <w:autoSpaceDN/>
        <w:bidi w:val="0"/>
        <w:adjustRightInd/>
        <w:spacing w:line="360" w:lineRule="auto"/>
        <w:ind w:left="0" w:leftChars="0" w:firstLine="411" w:firstLineChars="196"/>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1.4本竞争性磋商文件（以下简称磋商文件）适用于本磋商项目的磋商、评审、合同履约、验收、付款等行为（法律、法规另有规定的，从其规定）。</w:t>
      </w:r>
    </w:p>
    <w:p w14:paraId="14778B05">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bookmarkStart w:id="100" w:name="_Toc28671"/>
      <w:bookmarkStart w:id="101" w:name="_Toc28336"/>
      <w:bookmarkStart w:id="102" w:name="_Toc19742"/>
      <w:r>
        <w:rPr>
          <w:rFonts w:hint="eastAsia" w:ascii="宋体" w:hAnsi="宋体" w:eastAsia="宋体" w:cs="宋体"/>
          <w:color w:val="auto"/>
          <w:sz w:val="21"/>
          <w:szCs w:val="21"/>
          <w:highlight w:val="none"/>
          <w:shd w:val="clear" w:color="auto" w:fill="auto"/>
        </w:rPr>
        <w:t>2. 定义</w:t>
      </w:r>
      <w:bookmarkEnd w:id="100"/>
      <w:bookmarkEnd w:id="101"/>
      <w:bookmarkEnd w:id="102"/>
    </w:p>
    <w:p w14:paraId="0C1AC7AF">
      <w:pPr>
        <w:pageBreakBefore w:val="0"/>
        <w:widowControl w:val="0"/>
        <w:kinsoku/>
        <w:wordWrap/>
        <w:overflowPunct/>
        <w:topLinePunct w:val="0"/>
        <w:autoSpaceDE/>
        <w:autoSpaceDN/>
        <w:bidi w:val="0"/>
        <w:adjustRightInd/>
        <w:spacing w:line="360" w:lineRule="auto"/>
        <w:ind w:left="0" w:leftChars="0" w:firstLine="435"/>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2.1“供应商”是指符合本次采购项目的供应商资格并提交响应文件、参加磋商的供应商。如果该供应商在本次磋商中成交，即成为“成交供应商”。</w:t>
      </w:r>
    </w:p>
    <w:p w14:paraId="7D311697">
      <w:pPr>
        <w:pageBreakBefore w:val="0"/>
        <w:widowControl w:val="0"/>
        <w:kinsoku/>
        <w:wordWrap/>
        <w:overflowPunct/>
        <w:topLinePunct w:val="0"/>
        <w:autoSpaceDE/>
        <w:autoSpaceDN/>
        <w:bidi w:val="0"/>
        <w:adjustRightInd/>
        <w:spacing w:line="360" w:lineRule="auto"/>
        <w:ind w:left="0" w:leftChars="0" w:firstLine="435"/>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2.2“书面形式”包括信函、传真、电报等。</w:t>
      </w:r>
    </w:p>
    <w:p w14:paraId="6A80AFBF">
      <w:pPr>
        <w:pageBreakBefore w:val="0"/>
        <w:widowControl w:val="0"/>
        <w:kinsoku/>
        <w:wordWrap/>
        <w:overflowPunct/>
        <w:topLinePunct w:val="0"/>
        <w:autoSpaceDE/>
        <w:autoSpaceDN/>
        <w:bidi w:val="0"/>
        <w:adjustRightInd/>
        <w:spacing w:line="360" w:lineRule="auto"/>
        <w:ind w:left="0" w:leftChars="0" w:firstLine="435"/>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2.3 “项目”系指供应商按磋商文件规定向采购人提供施工图纸及工程量清单等所包含的施工内容。</w:t>
      </w:r>
    </w:p>
    <w:p w14:paraId="6BE1ABCE">
      <w:pPr>
        <w:pageBreakBefore w:val="0"/>
        <w:widowControl w:val="0"/>
        <w:kinsoku/>
        <w:wordWrap/>
        <w:overflowPunct/>
        <w:topLinePunct w:val="0"/>
        <w:autoSpaceDE/>
        <w:autoSpaceDN/>
        <w:bidi w:val="0"/>
        <w:adjustRightInd/>
        <w:spacing w:line="360" w:lineRule="auto"/>
        <w:ind w:left="0" w:leftChars="0" w:firstLine="435"/>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2.4“书面形式”包括信函、传真、电报等。</w:t>
      </w:r>
    </w:p>
    <w:p w14:paraId="488DF3A1">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bookmarkStart w:id="103" w:name="_Toc25441"/>
      <w:bookmarkStart w:id="104" w:name="_Toc10187"/>
      <w:bookmarkStart w:id="105" w:name="_Toc9345"/>
      <w:r>
        <w:rPr>
          <w:rFonts w:hint="eastAsia" w:ascii="宋体" w:hAnsi="宋体" w:eastAsia="宋体" w:cs="宋体"/>
          <w:color w:val="auto"/>
          <w:sz w:val="21"/>
          <w:szCs w:val="21"/>
          <w:highlight w:val="none"/>
          <w:shd w:val="clear" w:color="auto" w:fill="auto"/>
        </w:rPr>
        <w:t>3. 供应商资格</w:t>
      </w:r>
      <w:bookmarkEnd w:id="103"/>
      <w:bookmarkEnd w:id="104"/>
      <w:bookmarkEnd w:id="105"/>
    </w:p>
    <w:p w14:paraId="55A9D6F7">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b w:val="0"/>
          <w:color w:val="auto"/>
          <w:sz w:val="21"/>
          <w:szCs w:val="21"/>
          <w:highlight w:val="none"/>
          <w:shd w:val="clear" w:color="auto" w:fill="auto"/>
        </w:rPr>
      </w:pPr>
      <w:bookmarkStart w:id="106" w:name="_Toc19795"/>
      <w:bookmarkStart w:id="107" w:name="_Toc10080"/>
      <w:bookmarkStart w:id="108" w:name="_Toc16496"/>
      <w:r>
        <w:rPr>
          <w:rFonts w:hint="eastAsia" w:ascii="宋体" w:hAnsi="宋体" w:eastAsia="宋体" w:cs="宋体"/>
          <w:b w:val="0"/>
          <w:color w:val="auto"/>
          <w:sz w:val="21"/>
          <w:szCs w:val="21"/>
          <w:highlight w:val="none"/>
          <w:shd w:val="clear" w:color="auto" w:fill="auto"/>
        </w:rPr>
        <w:t>详见供应商须知前附表。</w:t>
      </w:r>
    </w:p>
    <w:p w14:paraId="6A353F5D">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4. 磋商费用</w:t>
      </w:r>
      <w:bookmarkEnd w:id="106"/>
      <w:bookmarkEnd w:id="107"/>
      <w:bookmarkEnd w:id="108"/>
    </w:p>
    <w:p w14:paraId="6BFA7541">
      <w:pPr>
        <w:pageBreakBefore w:val="0"/>
        <w:widowControl w:val="0"/>
        <w:tabs>
          <w:tab w:val="left" w:pos="1635"/>
        </w:tabs>
        <w:kinsoku/>
        <w:wordWrap/>
        <w:overflowPunct/>
        <w:topLinePunct w:val="0"/>
        <w:autoSpaceDE/>
        <w:autoSpaceDN/>
        <w:bidi w:val="0"/>
        <w:adjustRightInd/>
        <w:spacing w:line="360" w:lineRule="auto"/>
        <w:ind w:left="0" w:leftChars="0" w:firstLine="435"/>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不论磋商结果如何，供应商均应自行承担所有与磋商有关的全部费用。</w:t>
      </w:r>
    </w:p>
    <w:p w14:paraId="3368C05C">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bookmarkStart w:id="109" w:name="_Toc18464"/>
      <w:bookmarkStart w:id="110" w:name="_Toc30661"/>
      <w:bookmarkStart w:id="111" w:name="_Toc31376"/>
      <w:r>
        <w:rPr>
          <w:rFonts w:hint="eastAsia" w:ascii="宋体" w:hAnsi="宋体" w:eastAsia="宋体" w:cs="宋体"/>
          <w:color w:val="auto"/>
          <w:sz w:val="21"/>
          <w:szCs w:val="21"/>
          <w:highlight w:val="none"/>
          <w:shd w:val="clear" w:color="auto" w:fill="auto"/>
        </w:rPr>
        <w:t>5. 联合体要求</w:t>
      </w:r>
      <w:bookmarkEnd w:id="109"/>
      <w:bookmarkEnd w:id="110"/>
      <w:bookmarkEnd w:id="111"/>
    </w:p>
    <w:p w14:paraId="5B1F49DF">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本项目不接受联合体参与磋商</w:t>
      </w:r>
    </w:p>
    <w:p w14:paraId="35F64A9E">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bookmarkStart w:id="112" w:name="_Toc4152"/>
      <w:bookmarkStart w:id="113" w:name="_Toc23673"/>
      <w:bookmarkStart w:id="114" w:name="_Toc17501"/>
      <w:r>
        <w:rPr>
          <w:rFonts w:hint="eastAsia" w:ascii="宋体" w:hAnsi="宋体" w:eastAsia="宋体" w:cs="宋体"/>
          <w:color w:val="auto"/>
          <w:sz w:val="21"/>
          <w:szCs w:val="21"/>
          <w:highlight w:val="none"/>
          <w:shd w:val="clear" w:color="auto" w:fill="auto"/>
        </w:rPr>
        <w:t>6. 质疑和投诉</w:t>
      </w:r>
      <w:bookmarkEnd w:id="112"/>
      <w:bookmarkEnd w:id="113"/>
      <w:bookmarkEnd w:id="114"/>
    </w:p>
    <w:p w14:paraId="5AFBBFA2">
      <w:pPr>
        <w:tabs>
          <w:tab w:val="left" w:pos="2190"/>
        </w:tabs>
        <w:spacing w:line="360" w:lineRule="auto"/>
        <w:ind w:firstLine="435"/>
        <w:outlineLvl w:val="9"/>
        <w:rPr>
          <w:rFonts w:hint="eastAsia" w:ascii="宋体" w:hAnsi="宋体" w:eastAsia="宋体" w:cs="宋体"/>
          <w:color w:val="auto"/>
          <w:szCs w:val="21"/>
          <w:highlight w:val="none"/>
        </w:rPr>
      </w:pPr>
      <w:bookmarkStart w:id="115" w:name="_Toc8195"/>
      <w:bookmarkStart w:id="116" w:name="_Toc26087"/>
      <w:bookmarkStart w:id="117" w:name="_Toc13690"/>
      <w:bookmarkStart w:id="118" w:name="_Toc6998"/>
      <w:bookmarkStart w:id="119" w:name="_Toc9106"/>
      <w:r>
        <w:rPr>
          <w:rFonts w:hint="eastAsia" w:ascii="宋体" w:hAnsi="宋体" w:eastAsia="宋体" w:cs="宋体"/>
          <w:color w:val="auto"/>
          <w:szCs w:val="21"/>
          <w:highlight w:val="none"/>
        </w:rPr>
        <w:t>6.1供应对政府采购活动事项有疑问的，可以向采购人提出询问。</w:t>
      </w:r>
    </w:p>
    <w:p w14:paraId="3EA8E84C">
      <w:pPr>
        <w:tabs>
          <w:tab w:val="left" w:pos="2190"/>
        </w:tabs>
        <w:spacing w:line="360" w:lineRule="auto"/>
        <w:ind w:firstLine="435"/>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6.2供应商认为磋商文件使自己的合法权益受到损害的，应当在竞争性磋商公告期限届满之日起七个工作日内，以书面形式向采购代理机构提出质疑。供应商认为采购过程或成交结果使自己的合法权益受到损害的，应当在各采购程序环节结束之日起七个工作日内，以书面形式向采购代理机构提出质疑。采购代理机构应认真做好质疑处理工作。</w:t>
      </w:r>
    </w:p>
    <w:p w14:paraId="6AAF32D2">
      <w:pPr>
        <w:tabs>
          <w:tab w:val="left" w:pos="2190"/>
        </w:tabs>
        <w:spacing w:line="360" w:lineRule="auto"/>
        <w:ind w:firstLine="435"/>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供应商在法定质疑期内应当一次性提出针对同一采购程序环节的质疑，否则采购人有权不予受理。</w:t>
      </w:r>
    </w:p>
    <w:p w14:paraId="033CA8E1">
      <w:pPr>
        <w:tabs>
          <w:tab w:val="left" w:pos="2190"/>
        </w:tabs>
        <w:spacing w:line="360" w:lineRule="auto"/>
        <w:ind w:firstLine="435"/>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6.3供应商对采购代理机构的质疑答复不满意或者采购代理机构未在规定的时间内作出答复的，可以在答复期满后十五个工作日内向本级财政部门投诉。</w:t>
      </w:r>
    </w:p>
    <w:p w14:paraId="7A928621">
      <w:pPr>
        <w:tabs>
          <w:tab w:val="left" w:pos="2190"/>
        </w:tabs>
        <w:spacing w:line="360" w:lineRule="auto"/>
        <w:ind w:firstLine="435"/>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6.4质疑、投诉应当采用书面形式，质疑书、投诉书实行实名制，均应明确阐述磋商文件、采购过程或成交结果中使自己合法权益受到损害的实质性内容，提供相关事实、明确的请求，并提供必要的证明材料。质疑函格式详见附件。</w:t>
      </w:r>
    </w:p>
    <w:p w14:paraId="65174603">
      <w:pPr>
        <w:tabs>
          <w:tab w:val="left" w:pos="2190"/>
        </w:tabs>
        <w:spacing w:line="360" w:lineRule="auto"/>
        <w:ind w:firstLine="435"/>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6.5质疑联系</w:t>
      </w:r>
      <w:bookmarkEnd w:id="115"/>
      <w:bookmarkEnd w:id="116"/>
      <w:r>
        <w:rPr>
          <w:rFonts w:hint="eastAsia" w:ascii="宋体" w:hAnsi="宋体" w:eastAsia="宋体" w:cs="宋体"/>
          <w:color w:val="auto"/>
          <w:szCs w:val="21"/>
          <w:highlight w:val="none"/>
        </w:rPr>
        <w:t>方式，详见磋商公告。</w:t>
      </w:r>
    </w:p>
    <w:p w14:paraId="6C51D1E1">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7. 转包与分包</w:t>
      </w:r>
      <w:bookmarkEnd w:id="117"/>
      <w:bookmarkEnd w:id="118"/>
      <w:bookmarkEnd w:id="119"/>
    </w:p>
    <w:p w14:paraId="0C880FCC">
      <w:pPr>
        <w:pageBreakBefore w:val="0"/>
        <w:widowControl w:val="0"/>
        <w:tabs>
          <w:tab w:val="left" w:pos="2190"/>
        </w:tabs>
        <w:kinsoku/>
        <w:wordWrap/>
        <w:overflowPunct/>
        <w:topLinePunct w:val="0"/>
        <w:autoSpaceDE/>
        <w:autoSpaceDN/>
        <w:bidi w:val="0"/>
        <w:adjustRightInd/>
        <w:spacing w:line="360" w:lineRule="auto"/>
        <w:ind w:left="0" w:leftChars="0" w:firstLine="435"/>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7.1 本项目不允许转包。</w:t>
      </w:r>
    </w:p>
    <w:p w14:paraId="662593CE">
      <w:pPr>
        <w:pageBreakBefore w:val="0"/>
        <w:widowControl w:val="0"/>
        <w:tabs>
          <w:tab w:val="left" w:pos="2190"/>
        </w:tabs>
        <w:kinsoku/>
        <w:wordWrap/>
        <w:overflowPunct/>
        <w:topLinePunct w:val="0"/>
        <w:autoSpaceDE/>
        <w:autoSpaceDN/>
        <w:bidi w:val="0"/>
        <w:adjustRightInd/>
        <w:spacing w:line="360" w:lineRule="auto"/>
        <w:ind w:left="0" w:leftChars="0" w:firstLine="435"/>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7.2 本项目不可以分包。</w:t>
      </w:r>
    </w:p>
    <w:p w14:paraId="7ACC5A63">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bookmarkStart w:id="120" w:name="_Toc28010"/>
      <w:bookmarkStart w:id="121" w:name="_Toc18955"/>
      <w:bookmarkStart w:id="122" w:name="_Toc3368"/>
      <w:r>
        <w:rPr>
          <w:rFonts w:hint="eastAsia" w:ascii="宋体" w:hAnsi="宋体" w:eastAsia="宋体" w:cs="宋体"/>
          <w:color w:val="auto"/>
          <w:sz w:val="21"/>
          <w:szCs w:val="21"/>
          <w:highlight w:val="none"/>
          <w:shd w:val="clear" w:color="auto" w:fill="auto"/>
        </w:rPr>
        <w:t>8. 特别说明</w:t>
      </w:r>
      <w:bookmarkEnd w:id="120"/>
      <w:bookmarkEnd w:id="121"/>
      <w:bookmarkEnd w:id="122"/>
    </w:p>
    <w:p w14:paraId="39394CC0">
      <w:pPr>
        <w:pageBreakBefore w:val="0"/>
        <w:widowControl w:val="0"/>
        <w:tabs>
          <w:tab w:val="left" w:pos="1635"/>
        </w:tabs>
        <w:kinsoku/>
        <w:wordWrap/>
        <w:overflowPunct/>
        <w:topLinePunct w:val="0"/>
        <w:autoSpaceDE/>
        <w:autoSpaceDN/>
        <w:bidi w:val="0"/>
        <w:adjustRightInd/>
        <w:spacing w:line="360" w:lineRule="auto"/>
        <w:ind w:left="0" w:leftChars="0" w:firstLine="422" w:firstLineChars="200"/>
        <w:textAlignment w:val="auto"/>
        <w:outlineLvl w:val="9"/>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8.1关联供应商不得参加同一合同项下政府采购活动，否则响应文件将被视为无效：</w:t>
      </w:r>
    </w:p>
    <w:p w14:paraId="748B0E28">
      <w:pPr>
        <w:pageBreakBefore w:val="0"/>
        <w:widowControl w:val="0"/>
        <w:tabs>
          <w:tab w:val="left" w:pos="1635"/>
        </w:tabs>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（1）单位负责人为同一人或者存在直接控股、管理关系的，不得参加同一合同项下的政府采购活动。</w:t>
      </w:r>
    </w:p>
    <w:p w14:paraId="59FCC838">
      <w:pPr>
        <w:pageBreakBefore w:val="0"/>
        <w:widowControl w:val="0"/>
        <w:tabs>
          <w:tab w:val="left" w:pos="1635"/>
        </w:tabs>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（2）为本采购项目提供整体设计、规范编制或者项目管理、监理、检测等服务的供应商，不得再参加本次采购活动。</w:t>
      </w:r>
    </w:p>
    <w:p w14:paraId="2B060F57">
      <w:pPr>
        <w:pageBreakBefore w:val="0"/>
        <w:widowControl w:val="0"/>
        <w:kinsoku/>
        <w:wordWrap/>
        <w:overflowPunct/>
        <w:topLinePunct w:val="0"/>
        <w:autoSpaceDE/>
        <w:autoSpaceDN/>
        <w:bidi w:val="0"/>
        <w:adjustRightInd/>
        <w:spacing w:line="360" w:lineRule="auto"/>
        <w:ind w:left="0" w:leftChars="0"/>
        <w:jc w:val="center"/>
        <w:textAlignment w:val="auto"/>
        <w:outlineLvl w:val="9"/>
        <w:rPr>
          <w:rFonts w:hint="eastAsia" w:ascii="宋体" w:hAnsi="宋体" w:eastAsia="宋体" w:cs="宋体"/>
          <w:b/>
          <w:bCs/>
          <w:color w:val="auto"/>
          <w:sz w:val="21"/>
          <w:szCs w:val="21"/>
          <w:highlight w:val="none"/>
          <w:shd w:val="clear" w:color="auto" w:fill="auto"/>
        </w:rPr>
      </w:pPr>
      <w:bookmarkStart w:id="123" w:name="_Toc2757"/>
      <w:bookmarkStart w:id="124" w:name="_Toc13302"/>
      <w:bookmarkStart w:id="125" w:name="_Toc22498"/>
      <w:r>
        <w:rPr>
          <w:rFonts w:hint="eastAsia" w:ascii="宋体" w:hAnsi="宋体" w:eastAsia="宋体" w:cs="宋体"/>
          <w:b/>
          <w:bCs/>
          <w:color w:val="auto"/>
          <w:sz w:val="21"/>
          <w:szCs w:val="21"/>
          <w:highlight w:val="none"/>
          <w:shd w:val="clear" w:color="auto" w:fill="auto"/>
        </w:rPr>
        <w:t>二、磋商文件</w:t>
      </w:r>
      <w:bookmarkEnd w:id="123"/>
      <w:bookmarkEnd w:id="124"/>
      <w:bookmarkEnd w:id="125"/>
    </w:p>
    <w:p w14:paraId="1AC21D25">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lang w:val="pt-BR"/>
        </w:rPr>
      </w:pPr>
      <w:bookmarkStart w:id="126" w:name="_Toc18964"/>
      <w:bookmarkStart w:id="127" w:name="_Toc9387"/>
      <w:bookmarkStart w:id="128" w:name="_Toc30164"/>
      <w:r>
        <w:rPr>
          <w:rFonts w:hint="eastAsia" w:ascii="宋体" w:hAnsi="宋体" w:eastAsia="宋体" w:cs="宋体"/>
          <w:color w:val="auto"/>
          <w:sz w:val="21"/>
          <w:szCs w:val="21"/>
          <w:highlight w:val="none"/>
          <w:shd w:val="clear" w:color="auto" w:fill="auto"/>
          <w:lang w:val="pt-BR"/>
        </w:rPr>
        <w:t xml:space="preserve">9. </w:t>
      </w:r>
      <w:r>
        <w:rPr>
          <w:rFonts w:hint="eastAsia" w:ascii="宋体" w:hAnsi="宋体" w:eastAsia="宋体" w:cs="宋体"/>
          <w:color w:val="auto"/>
          <w:sz w:val="21"/>
          <w:szCs w:val="21"/>
          <w:highlight w:val="none"/>
          <w:shd w:val="clear" w:color="auto" w:fill="auto"/>
        </w:rPr>
        <w:t>磋商文件的构成</w:t>
      </w:r>
      <w:bookmarkEnd w:id="126"/>
      <w:bookmarkEnd w:id="127"/>
      <w:bookmarkEnd w:id="128"/>
    </w:p>
    <w:p w14:paraId="66A7CE02">
      <w:pPr>
        <w:pageBreakBefore w:val="0"/>
        <w:widowControl w:val="0"/>
        <w:tabs>
          <w:tab w:val="left" w:pos="2190"/>
        </w:tabs>
        <w:kinsoku/>
        <w:wordWrap/>
        <w:overflowPunct/>
        <w:topLinePunct w:val="0"/>
        <w:autoSpaceDE/>
        <w:autoSpaceDN/>
        <w:bidi w:val="0"/>
        <w:adjustRightInd/>
        <w:spacing w:line="360" w:lineRule="auto"/>
        <w:ind w:left="0" w:leftChars="0" w:firstLine="437"/>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 xml:space="preserve">（1）竞争性磋商公告； </w:t>
      </w:r>
    </w:p>
    <w:p w14:paraId="3E7443ED">
      <w:pPr>
        <w:pageBreakBefore w:val="0"/>
        <w:widowControl w:val="0"/>
        <w:tabs>
          <w:tab w:val="left" w:pos="2190"/>
        </w:tabs>
        <w:kinsoku/>
        <w:wordWrap/>
        <w:overflowPunct/>
        <w:topLinePunct w:val="0"/>
        <w:autoSpaceDE/>
        <w:autoSpaceDN/>
        <w:bidi w:val="0"/>
        <w:adjustRightInd/>
        <w:spacing w:line="360" w:lineRule="auto"/>
        <w:ind w:left="0" w:leftChars="0" w:firstLine="437"/>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 xml:space="preserve">（2）供应商须知； </w:t>
      </w:r>
    </w:p>
    <w:p w14:paraId="1F864128">
      <w:pPr>
        <w:pageBreakBefore w:val="0"/>
        <w:widowControl w:val="0"/>
        <w:tabs>
          <w:tab w:val="left" w:pos="2190"/>
        </w:tabs>
        <w:kinsoku/>
        <w:wordWrap/>
        <w:overflowPunct/>
        <w:topLinePunct w:val="0"/>
        <w:autoSpaceDE/>
        <w:autoSpaceDN/>
        <w:bidi w:val="0"/>
        <w:adjustRightInd/>
        <w:spacing w:line="360" w:lineRule="auto"/>
        <w:ind w:left="0" w:leftChars="0" w:firstLine="437"/>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 xml:space="preserve">（3）工程量清单； </w:t>
      </w:r>
    </w:p>
    <w:p w14:paraId="45F62E54">
      <w:pPr>
        <w:pageBreakBefore w:val="0"/>
        <w:widowControl w:val="0"/>
        <w:tabs>
          <w:tab w:val="left" w:pos="2190"/>
        </w:tabs>
        <w:kinsoku/>
        <w:wordWrap/>
        <w:overflowPunct/>
        <w:topLinePunct w:val="0"/>
        <w:autoSpaceDE/>
        <w:autoSpaceDN/>
        <w:bidi w:val="0"/>
        <w:adjustRightInd/>
        <w:spacing w:line="360" w:lineRule="auto"/>
        <w:ind w:left="0" w:leftChars="0" w:firstLine="437"/>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 xml:space="preserve">（4）评审办法； </w:t>
      </w:r>
    </w:p>
    <w:p w14:paraId="640329B8">
      <w:pPr>
        <w:pageBreakBefore w:val="0"/>
        <w:widowControl w:val="0"/>
        <w:tabs>
          <w:tab w:val="left" w:pos="2190"/>
        </w:tabs>
        <w:kinsoku/>
        <w:wordWrap/>
        <w:overflowPunct/>
        <w:topLinePunct w:val="0"/>
        <w:autoSpaceDE/>
        <w:autoSpaceDN/>
        <w:bidi w:val="0"/>
        <w:adjustRightInd/>
        <w:spacing w:line="360" w:lineRule="auto"/>
        <w:ind w:left="0" w:leftChars="0" w:firstLine="437"/>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 xml:space="preserve">（5）采购合同（合同主要条款及格式）； </w:t>
      </w:r>
    </w:p>
    <w:p w14:paraId="1AFF4D81">
      <w:pPr>
        <w:pageBreakBefore w:val="0"/>
        <w:widowControl w:val="0"/>
        <w:tabs>
          <w:tab w:val="left" w:pos="2190"/>
        </w:tabs>
        <w:kinsoku/>
        <w:wordWrap/>
        <w:overflowPunct/>
        <w:topLinePunct w:val="0"/>
        <w:autoSpaceDE/>
        <w:autoSpaceDN/>
        <w:bidi w:val="0"/>
        <w:adjustRightInd/>
        <w:spacing w:line="360" w:lineRule="auto"/>
        <w:ind w:left="0" w:leftChars="0" w:firstLine="437"/>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 xml:space="preserve">（6）响应文件（格式）； </w:t>
      </w:r>
    </w:p>
    <w:p w14:paraId="3E408989">
      <w:pPr>
        <w:pageBreakBefore w:val="0"/>
        <w:widowControl w:val="0"/>
        <w:tabs>
          <w:tab w:val="left" w:pos="2190"/>
        </w:tabs>
        <w:kinsoku/>
        <w:wordWrap/>
        <w:overflowPunct/>
        <w:topLinePunct w:val="0"/>
        <w:autoSpaceDE/>
        <w:autoSpaceDN/>
        <w:bidi w:val="0"/>
        <w:adjustRightInd/>
        <w:spacing w:line="360" w:lineRule="auto"/>
        <w:ind w:left="0" w:leftChars="0" w:firstLine="437"/>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（7）图纸。</w:t>
      </w:r>
    </w:p>
    <w:p w14:paraId="36CD0EAC">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bookmarkStart w:id="129" w:name="_Toc9103"/>
      <w:bookmarkStart w:id="130" w:name="_Toc4068"/>
      <w:bookmarkStart w:id="131" w:name="_Toc5939"/>
      <w:r>
        <w:rPr>
          <w:rFonts w:hint="eastAsia" w:ascii="宋体" w:hAnsi="宋体" w:eastAsia="宋体" w:cs="宋体"/>
          <w:color w:val="auto"/>
          <w:sz w:val="21"/>
          <w:szCs w:val="21"/>
          <w:highlight w:val="none"/>
          <w:shd w:val="clear" w:color="auto" w:fill="auto"/>
        </w:rPr>
        <w:t>10. 磋商文件的澄清与修改</w:t>
      </w:r>
      <w:bookmarkEnd w:id="129"/>
      <w:bookmarkEnd w:id="130"/>
      <w:bookmarkEnd w:id="131"/>
    </w:p>
    <w:p w14:paraId="79EA1790">
      <w:pPr>
        <w:pageBreakBefore w:val="0"/>
        <w:widowControl w:val="0"/>
        <w:kinsoku/>
        <w:wordWrap/>
        <w:overflowPunct/>
        <w:topLinePunct w:val="0"/>
        <w:autoSpaceDE/>
        <w:autoSpaceDN/>
        <w:bidi w:val="0"/>
        <w:adjustRightInd/>
        <w:spacing w:line="360" w:lineRule="auto"/>
        <w:ind w:left="0" w:leftChars="0" w:firstLine="420" w:firstLineChars="200"/>
        <w:jc w:val="left"/>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10.1 提交首次响应文件截止之日前，采购代理机构可以对已发出的磋商文件进行必要澄清、答复、修改或补充，澄清或者修改的内容可能影响响应文件编制的，澄清或者修改的内容作为磋商文件的组成部分。采购代理机构应当在提交首次响应文件递交截止时间五日前在本项目竞争性磋商公告发布的同一媒体上发布更正公告，不足五日的，应当顺延首次响应文件递交截止时间。</w:t>
      </w:r>
    </w:p>
    <w:p w14:paraId="079D68E8">
      <w:pPr>
        <w:pageBreakBefore w:val="0"/>
        <w:widowControl w:val="0"/>
        <w:kinsoku/>
        <w:wordWrap/>
        <w:overflowPunct/>
        <w:topLinePunct w:val="0"/>
        <w:autoSpaceDE/>
        <w:autoSpaceDN/>
        <w:bidi w:val="0"/>
        <w:adjustRightInd/>
        <w:spacing w:line="360" w:lineRule="auto"/>
        <w:ind w:left="0" w:leftChars="0" w:firstLine="420" w:firstLineChars="200"/>
        <w:jc w:val="left"/>
        <w:textAlignment w:val="auto"/>
        <w:outlineLvl w:val="9"/>
        <w:rPr>
          <w:rFonts w:hint="eastAsia" w:ascii="宋体" w:hAnsi="宋体" w:eastAsia="宋体" w:cs="宋体"/>
          <w:b/>
          <w:bCs/>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10.2</w:t>
      </w:r>
      <w:r>
        <w:rPr>
          <w:rFonts w:hint="eastAsia" w:ascii="宋体" w:hAnsi="宋体" w:eastAsia="宋体" w:cs="宋体"/>
          <w:b/>
          <w:bCs/>
          <w:color w:val="auto"/>
          <w:sz w:val="21"/>
          <w:szCs w:val="21"/>
          <w:highlight w:val="none"/>
          <w:shd w:val="clear" w:color="auto" w:fill="auto"/>
        </w:rPr>
        <w:t>供应商应实时关注本项目信息公告发布媒体相关网站了解澄清、修改等与项目有关的内容，如因供应商未及时登录相关网站了解澄清、修改等与项目有关的内容，从而导致响应文件无效的，由供应商自行承担责任。</w:t>
      </w:r>
    </w:p>
    <w:p w14:paraId="2B3B634C">
      <w:pPr>
        <w:pageBreakBefore w:val="0"/>
        <w:widowControl w:val="0"/>
        <w:kinsoku/>
        <w:wordWrap/>
        <w:overflowPunct/>
        <w:topLinePunct w:val="0"/>
        <w:autoSpaceDE/>
        <w:autoSpaceDN/>
        <w:bidi w:val="0"/>
        <w:adjustRightInd/>
        <w:spacing w:line="360" w:lineRule="auto"/>
        <w:ind w:left="0" w:leftChars="0" w:firstLine="420" w:firstLineChars="200"/>
        <w:jc w:val="left"/>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10.3澄清或者修改的内容为磋商文件的组成部分。当澄清或者修改通知就同一内容的表述不一致</w:t>
      </w:r>
    </w:p>
    <w:p w14:paraId="5D4516CD">
      <w:pPr>
        <w:pageBreakBefore w:val="0"/>
        <w:widowControl w:val="0"/>
        <w:kinsoku/>
        <w:wordWrap/>
        <w:overflowPunct/>
        <w:topLinePunct w:val="0"/>
        <w:autoSpaceDE/>
        <w:autoSpaceDN/>
        <w:bidi w:val="0"/>
        <w:adjustRightInd/>
        <w:spacing w:line="360" w:lineRule="auto"/>
        <w:ind w:left="0" w:leftChars="0"/>
        <w:jc w:val="left"/>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时，以最后发出的文件为准。</w:t>
      </w:r>
    </w:p>
    <w:p w14:paraId="1DE96630">
      <w:pPr>
        <w:pageBreakBefore w:val="0"/>
        <w:widowControl w:val="0"/>
        <w:kinsoku/>
        <w:wordWrap/>
        <w:overflowPunct/>
        <w:topLinePunct w:val="0"/>
        <w:autoSpaceDE/>
        <w:autoSpaceDN/>
        <w:bidi w:val="0"/>
        <w:adjustRightInd/>
        <w:spacing w:line="360" w:lineRule="auto"/>
        <w:ind w:left="0" w:leftChars="0" w:firstLine="420" w:firstLineChars="200"/>
        <w:jc w:val="left"/>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10.4 磋商文件的澄清或者修改都应该通过本项目采购代理机构以法定形式发布，采购人非通过本</w:t>
      </w:r>
    </w:p>
    <w:p w14:paraId="6C3B8673">
      <w:pPr>
        <w:pageBreakBefore w:val="0"/>
        <w:widowControl w:val="0"/>
        <w:kinsoku/>
        <w:wordWrap/>
        <w:overflowPunct/>
        <w:topLinePunct w:val="0"/>
        <w:autoSpaceDE/>
        <w:autoSpaceDN/>
        <w:bidi w:val="0"/>
        <w:adjustRightInd/>
        <w:spacing w:line="360" w:lineRule="auto"/>
        <w:ind w:left="0" w:leftChars="0"/>
        <w:jc w:val="left"/>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机构，不得擅自澄清或者修改磋商文件。</w:t>
      </w:r>
    </w:p>
    <w:p w14:paraId="46EF3354">
      <w:pPr>
        <w:pageBreakBefore w:val="0"/>
        <w:widowControl w:val="0"/>
        <w:kinsoku/>
        <w:wordWrap/>
        <w:overflowPunct/>
        <w:topLinePunct w:val="0"/>
        <w:autoSpaceDE/>
        <w:autoSpaceDN/>
        <w:bidi w:val="0"/>
        <w:adjustRightInd/>
        <w:spacing w:line="360" w:lineRule="auto"/>
        <w:ind w:left="0" w:leftChars="0" w:firstLine="420" w:firstLineChars="200"/>
        <w:jc w:val="left"/>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10.5采购单位可以视采购具体情况，延长响应文件截止时间和磋商时间，在本项目竞争性磋商公</w:t>
      </w:r>
    </w:p>
    <w:p w14:paraId="0B5C0648">
      <w:pPr>
        <w:pageBreakBefore w:val="0"/>
        <w:widowControl w:val="0"/>
        <w:kinsoku/>
        <w:wordWrap/>
        <w:overflowPunct/>
        <w:topLinePunct w:val="0"/>
        <w:autoSpaceDE/>
        <w:autoSpaceDN/>
        <w:bidi w:val="0"/>
        <w:adjustRightInd/>
        <w:spacing w:line="360" w:lineRule="auto"/>
        <w:ind w:left="0" w:leftChars="0"/>
        <w:jc w:val="left"/>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告发布的同一媒体上发布变更公告。</w:t>
      </w:r>
    </w:p>
    <w:p w14:paraId="7E6D226B">
      <w:pPr>
        <w:pageBreakBefore w:val="0"/>
        <w:widowControl w:val="0"/>
        <w:kinsoku/>
        <w:wordWrap/>
        <w:overflowPunct/>
        <w:topLinePunct w:val="0"/>
        <w:autoSpaceDE/>
        <w:autoSpaceDN/>
        <w:bidi w:val="0"/>
        <w:adjustRightInd/>
        <w:spacing w:line="360" w:lineRule="auto"/>
        <w:ind w:left="0" w:leftChars="0"/>
        <w:jc w:val="center"/>
        <w:textAlignment w:val="auto"/>
        <w:outlineLvl w:val="9"/>
        <w:rPr>
          <w:rFonts w:hint="eastAsia" w:ascii="宋体" w:hAnsi="宋体" w:eastAsia="宋体" w:cs="宋体"/>
          <w:b/>
          <w:bCs/>
          <w:color w:val="auto"/>
          <w:sz w:val="21"/>
          <w:szCs w:val="21"/>
          <w:highlight w:val="none"/>
          <w:shd w:val="clear" w:color="auto" w:fill="auto"/>
        </w:rPr>
      </w:pPr>
      <w:bookmarkStart w:id="132" w:name="_Toc31896"/>
      <w:bookmarkStart w:id="133" w:name="_Toc20830"/>
      <w:bookmarkStart w:id="134" w:name="_Toc18223"/>
      <w:r>
        <w:rPr>
          <w:rFonts w:hint="eastAsia" w:ascii="宋体" w:hAnsi="宋体" w:eastAsia="宋体" w:cs="宋体"/>
          <w:b/>
          <w:bCs/>
          <w:color w:val="auto"/>
          <w:sz w:val="21"/>
          <w:szCs w:val="21"/>
          <w:highlight w:val="none"/>
          <w:shd w:val="clear" w:color="auto" w:fill="auto"/>
        </w:rPr>
        <w:t>三、竞争性磋商响应文件的编制</w:t>
      </w:r>
      <w:bookmarkEnd w:id="132"/>
      <w:bookmarkEnd w:id="133"/>
      <w:bookmarkEnd w:id="134"/>
    </w:p>
    <w:p w14:paraId="211DB96E">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bookmarkStart w:id="135" w:name="_Toc2889"/>
      <w:bookmarkStart w:id="136" w:name="_Toc13470"/>
      <w:r>
        <w:rPr>
          <w:rFonts w:hint="eastAsia" w:ascii="宋体" w:hAnsi="宋体" w:eastAsia="宋体" w:cs="宋体"/>
          <w:color w:val="auto"/>
          <w:sz w:val="21"/>
          <w:szCs w:val="21"/>
          <w:highlight w:val="none"/>
          <w:shd w:val="clear" w:color="auto" w:fill="auto"/>
        </w:rPr>
        <w:t>11.竞争性磋商响应文件编制基本要求</w:t>
      </w:r>
      <w:bookmarkEnd w:id="135"/>
      <w:bookmarkEnd w:id="136"/>
    </w:p>
    <w:p w14:paraId="1DB8C75E">
      <w:pPr>
        <w:pageBreakBefore w:val="0"/>
        <w:widowControl w:val="0"/>
        <w:kinsoku/>
        <w:wordWrap/>
        <w:overflowPunct/>
        <w:topLinePunct w:val="0"/>
        <w:autoSpaceDE/>
        <w:autoSpaceDN/>
        <w:bidi w:val="0"/>
        <w:adjustRightInd/>
        <w:spacing w:line="360" w:lineRule="auto"/>
        <w:ind w:left="0" w:leftChars="0" w:firstLine="422" w:firstLineChars="200"/>
        <w:textAlignment w:val="auto"/>
        <w:outlineLvl w:val="9"/>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11.1 本项目实行电子响应，供应商应准备电子磋商响应文件：</w:t>
      </w:r>
    </w:p>
    <w:p w14:paraId="0FA0FCBB">
      <w:pPr>
        <w:pageBreakBefore w:val="0"/>
        <w:widowControl w:val="0"/>
        <w:kinsoku/>
        <w:wordWrap/>
        <w:overflowPunct/>
        <w:topLinePunct w:val="0"/>
        <w:autoSpaceDE/>
        <w:autoSpaceDN/>
        <w:bidi w:val="0"/>
        <w:adjustRightInd/>
        <w:spacing w:line="360" w:lineRule="auto"/>
        <w:ind w:left="0" w:leftChars="0" w:firstLine="422" w:firstLineChars="200"/>
        <w:textAlignment w:val="auto"/>
        <w:outlineLvl w:val="9"/>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11.1.1 电子响应文件按</w:t>
      </w:r>
      <w:r>
        <w:rPr>
          <w:rFonts w:hint="eastAsia" w:ascii="宋体" w:hAnsi="宋体" w:eastAsia="宋体" w:cs="宋体"/>
          <w:b/>
          <w:bCs/>
          <w:color w:val="auto"/>
          <w:sz w:val="21"/>
          <w:szCs w:val="21"/>
          <w:highlight w:val="none"/>
          <w:shd w:val="clear" w:color="auto" w:fill="auto"/>
          <w:lang w:eastAsia="zh-CN"/>
        </w:rPr>
        <w:t>广西政府采购云平台</w:t>
      </w:r>
      <w:r>
        <w:rPr>
          <w:rFonts w:hint="eastAsia" w:ascii="宋体" w:hAnsi="宋体" w:eastAsia="宋体" w:cs="宋体"/>
          <w:b/>
          <w:bCs/>
          <w:color w:val="auto"/>
          <w:sz w:val="21"/>
          <w:szCs w:val="21"/>
          <w:highlight w:val="none"/>
          <w:shd w:val="clear" w:color="auto" w:fill="auto"/>
        </w:rPr>
        <w:t>要求及本磋商文件要求制作、加密并递交。具体操作流程可参考《政府采购项目电子交易管理操作指南-供应商》，指南可在广西政府采购网（访问地址http://zfcg.gxzf.gov.cn/）—办事服务—下载专区下载。</w:t>
      </w:r>
    </w:p>
    <w:p w14:paraId="6D9F843E">
      <w:pPr>
        <w:pageBreakBefore w:val="0"/>
        <w:widowControl w:val="0"/>
        <w:kinsoku/>
        <w:wordWrap/>
        <w:overflowPunct/>
        <w:topLinePunct w:val="0"/>
        <w:autoSpaceDE/>
        <w:autoSpaceDN/>
        <w:bidi w:val="0"/>
        <w:adjustRightInd/>
        <w:spacing w:line="360" w:lineRule="auto"/>
        <w:ind w:left="0" w:leftChars="0" w:firstLine="422" w:firstLineChars="200"/>
        <w:textAlignment w:val="auto"/>
        <w:outlineLvl w:val="9"/>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11.2竞争性磋商响应文件（以下简称响应文件）的组成及要求</w:t>
      </w:r>
    </w:p>
    <w:p w14:paraId="7CE6CF8F">
      <w:pPr>
        <w:pageBreakBefore w:val="0"/>
        <w:widowControl w:val="0"/>
        <w:kinsoku/>
        <w:wordWrap/>
        <w:overflowPunct/>
        <w:topLinePunct w:val="0"/>
        <w:autoSpaceDE/>
        <w:autoSpaceDN/>
        <w:bidi w:val="0"/>
        <w:adjustRightInd/>
        <w:spacing w:line="360" w:lineRule="auto"/>
        <w:ind w:left="0" w:leftChars="0" w:firstLine="422" w:firstLineChars="200"/>
        <w:textAlignment w:val="auto"/>
        <w:outlineLvl w:val="9"/>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11.2.1响应文件组成【格式见第八章“响应文件（格式）”】</w:t>
      </w:r>
    </w:p>
    <w:p w14:paraId="5A8C8929">
      <w:pPr>
        <w:pageBreakBefore w:val="0"/>
        <w:widowControl w:val="0"/>
        <w:kinsoku/>
        <w:wordWrap/>
        <w:overflowPunct/>
        <w:topLinePunct w:val="0"/>
        <w:autoSpaceDE/>
        <w:autoSpaceDN/>
        <w:bidi w:val="0"/>
        <w:adjustRightInd/>
        <w:spacing w:line="360" w:lineRule="auto"/>
        <w:ind w:left="0" w:leftChars="0" w:firstLine="411" w:firstLineChars="195"/>
        <w:textAlignment w:val="auto"/>
        <w:outlineLvl w:val="9"/>
        <w:rPr>
          <w:rFonts w:hint="eastAsia" w:ascii="宋体" w:hAnsi="宋体" w:eastAsia="宋体" w:cs="宋体"/>
          <w:b/>
          <w:bCs/>
          <w:color w:val="auto"/>
          <w:kern w:val="0"/>
          <w:sz w:val="21"/>
          <w:szCs w:val="21"/>
          <w:highlight w:val="none"/>
          <w:shd w:val="clear" w:color="auto" w:fill="auto"/>
        </w:rPr>
      </w:pPr>
      <w:r>
        <w:rPr>
          <w:rFonts w:hint="eastAsia" w:ascii="宋体" w:hAnsi="宋体" w:eastAsia="宋体" w:cs="宋体"/>
          <w:b/>
          <w:bCs/>
          <w:color w:val="auto"/>
          <w:kern w:val="0"/>
          <w:sz w:val="21"/>
          <w:szCs w:val="21"/>
          <w:highlight w:val="none"/>
          <w:shd w:val="clear" w:color="auto" w:fill="auto"/>
        </w:rPr>
        <w:t>11.2.1.1资格性响应证明材料：</w:t>
      </w:r>
    </w:p>
    <w:p w14:paraId="565A82DF">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（1）供应商相应的法定代表人、负责人、自然人身份证正反两面复印件</w:t>
      </w:r>
      <w:r>
        <w:rPr>
          <w:rFonts w:hint="eastAsia" w:ascii="宋体" w:hAnsi="宋体" w:eastAsia="宋体" w:cs="宋体"/>
          <w:b/>
          <w:bCs/>
          <w:color w:val="auto"/>
          <w:szCs w:val="21"/>
          <w:highlight w:val="none"/>
        </w:rPr>
        <w:t>（必须提供）</w:t>
      </w:r>
      <w:r>
        <w:rPr>
          <w:rFonts w:hint="eastAsia" w:ascii="宋体" w:hAnsi="宋体" w:eastAsia="宋体" w:cs="宋体"/>
          <w:color w:val="auto"/>
          <w:szCs w:val="21"/>
          <w:highlight w:val="none"/>
        </w:rPr>
        <w:t>；</w:t>
      </w:r>
    </w:p>
    <w:p w14:paraId="4D5F5AE0">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（2）供应商的授权委托书原件、委托代理人身份证正反面复印件以及由县级以上（含县级）社会养老保险经办机构出具的供应商为委托代理人交纳的响应文件递交截止时间前半年内任意</w:t>
      </w:r>
      <w:r>
        <w:rPr>
          <w:rFonts w:hint="eastAsia" w:ascii="宋体" w:hAnsi="宋体" w:cs="宋体"/>
          <w:color w:val="auto"/>
          <w:szCs w:val="21"/>
          <w:highlight w:val="none"/>
          <w:lang w:eastAsia="zh-CN"/>
        </w:rPr>
        <w:t>一</w:t>
      </w:r>
      <w:r>
        <w:rPr>
          <w:rFonts w:hint="eastAsia" w:ascii="宋体" w:hAnsi="宋体" w:eastAsia="宋体" w:cs="宋体"/>
          <w:color w:val="auto"/>
          <w:szCs w:val="21"/>
          <w:highlight w:val="none"/>
        </w:rPr>
        <w:t>个月社保证明复印件；</w:t>
      </w:r>
      <w:r>
        <w:rPr>
          <w:rFonts w:hint="eastAsia" w:ascii="宋体" w:hAnsi="宋体" w:eastAsia="宋体" w:cs="宋体"/>
          <w:b/>
          <w:bCs/>
          <w:color w:val="auto"/>
          <w:szCs w:val="21"/>
          <w:highlight w:val="none"/>
        </w:rPr>
        <w:t>（委托代理时必须提供）。</w:t>
      </w:r>
      <w:r>
        <w:rPr>
          <w:rFonts w:hint="eastAsia" w:ascii="宋体" w:hAnsi="宋体" w:eastAsia="宋体" w:cs="宋体"/>
          <w:color w:val="auto"/>
          <w:szCs w:val="21"/>
          <w:highlight w:val="none"/>
        </w:rPr>
        <w:t>除供应商为以下三种情形的：</w:t>
      </w:r>
    </w:p>
    <w:p w14:paraId="2C54B93C">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①如供应商为截标时间前60日以内成立的公司，可以提供供应商与委托代理人签订的劳动合同复印件代替社保证明复印件；</w:t>
      </w:r>
    </w:p>
    <w:p w14:paraId="35993D17">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②如供应商为事业单位，可以提供事业单位机构编制管理证复印件或事业单位机构为其发放工资的工资条复印件代替社保证明复印件；</w:t>
      </w:r>
    </w:p>
    <w:p w14:paraId="557F2575">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③如委托代理人为免缴纳社保人员，提供免缴纳社保的证明材料复印件及供应商与委托代理人签订的劳动合同复印件代替社保证明复印件。</w:t>
      </w:r>
    </w:p>
    <w:p w14:paraId="2B75D8C6">
      <w:pPr>
        <w:spacing w:line="360" w:lineRule="auto"/>
        <w:ind w:firstLine="422" w:firstLineChars="200"/>
        <w:outlineLvl w:val="9"/>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【属自然人的应提供由县级以上（含县级）社会养老保险经办机构出具的自然人本人及委托代理人所交纳的响应文件递交截止时间前半年内任意</w:t>
      </w:r>
      <w:r>
        <w:rPr>
          <w:rFonts w:hint="eastAsia" w:ascii="宋体" w:hAnsi="宋体" w:eastAsia="宋体" w:cs="宋体"/>
          <w:b/>
          <w:bCs/>
          <w:color w:val="auto"/>
          <w:szCs w:val="21"/>
          <w:highlight w:val="none"/>
          <w:lang w:eastAsia="zh-CN"/>
        </w:rPr>
        <w:t>一</w:t>
      </w:r>
      <w:r>
        <w:rPr>
          <w:rFonts w:hint="eastAsia" w:ascii="宋体" w:hAnsi="宋体" w:eastAsia="宋体" w:cs="宋体"/>
          <w:b/>
          <w:bCs/>
          <w:color w:val="auto"/>
          <w:szCs w:val="21"/>
          <w:highlight w:val="none"/>
        </w:rPr>
        <w:t>个月社保证明复印件</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（委托代理时必须提供）</w:t>
      </w:r>
    </w:p>
    <w:p w14:paraId="2E817593">
      <w:pPr>
        <w:spacing w:line="360" w:lineRule="auto"/>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szCs w:val="21"/>
          <w:highlight w:val="none"/>
        </w:rPr>
        <w:t>（3）供应商参加政府采购活动前3年内在经营活动中没有重大违法记录及有关信用信息的书面声明</w:t>
      </w:r>
      <w:r>
        <w:rPr>
          <w:rFonts w:hint="eastAsia" w:ascii="宋体" w:hAnsi="宋体" w:eastAsia="宋体" w:cs="宋体"/>
          <w:b/>
          <w:bCs/>
          <w:color w:val="auto"/>
          <w:szCs w:val="21"/>
          <w:highlight w:val="none"/>
        </w:rPr>
        <w:t>（必须提供）；</w:t>
      </w:r>
    </w:p>
    <w:p w14:paraId="4B20A4F9">
      <w:pPr>
        <w:numPr>
          <w:ilvl w:val="0"/>
          <w:numId w:val="0"/>
        </w:numPr>
        <w:spacing w:line="360" w:lineRule="auto"/>
        <w:ind w:left="0" w:leftChars="0" w:firstLine="420" w:firstLineChars="0"/>
        <w:outlineLvl w:val="9"/>
        <w:rPr>
          <w:rFonts w:hint="eastAsia" w:ascii="宋体" w:hAnsi="宋体" w:eastAsia="宋体" w:cs="宋体"/>
          <w:color w:val="auto"/>
          <w:szCs w:val="21"/>
          <w:highlight w:val="none"/>
        </w:rPr>
      </w:pPr>
      <w:r>
        <w:rPr>
          <w:rFonts w:hint="eastAsia" w:ascii="宋体" w:hAnsi="宋体" w:eastAsia="宋体" w:cs="宋体"/>
          <w:color w:val="auto"/>
          <w:kern w:val="2"/>
          <w:sz w:val="21"/>
          <w:szCs w:val="21"/>
          <w:lang w:val="en-US" w:eastAsia="zh-CN" w:bidi="ar-SA"/>
        </w:rPr>
        <w:t>（4）</w:t>
      </w:r>
      <w:r>
        <w:rPr>
          <w:rFonts w:hint="eastAsia" w:ascii="宋体" w:hAnsi="宋体" w:eastAsia="宋体" w:cs="宋体"/>
          <w:color w:val="auto"/>
          <w:szCs w:val="21"/>
          <w:highlight w:val="none"/>
        </w:rPr>
        <w:t>供应商的法人或者其他组织营业执照等证明文件复印件</w:t>
      </w:r>
      <w:r>
        <w:rPr>
          <w:rFonts w:hint="eastAsia" w:ascii="宋体" w:hAnsi="宋体" w:eastAsia="宋体" w:cs="宋体"/>
          <w:b/>
          <w:bCs/>
          <w:color w:val="auto"/>
          <w:szCs w:val="21"/>
          <w:highlight w:val="none"/>
        </w:rPr>
        <w:t>（必须提供，自然人除外）；</w:t>
      </w:r>
    </w:p>
    <w:p w14:paraId="2E99F231">
      <w:pPr>
        <w:spacing w:line="360" w:lineRule="auto"/>
        <w:ind w:firstLine="422" w:firstLineChars="200"/>
        <w:outlineLvl w:val="9"/>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3879A2C9">
      <w:pPr>
        <w:spacing w:line="360" w:lineRule="auto"/>
        <w:ind w:left="420"/>
        <w:outlineLvl w:val="9"/>
        <w:rPr>
          <w:rFonts w:hint="eastAsia" w:ascii="宋体" w:hAnsi="宋体" w:eastAsia="宋体" w:cs="宋体"/>
          <w:b/>
          <w:bCs/>
          <w:color w:val="auto"/>
          <w:szCs w:val="21"/>
          <w:highlight w:val="none"/>
        </w:rPr>
      </w:pPr>
      <w:r>
        <w:rPr>
          <w:rFonts w:hint="eastAsia" w:ascii="宋体" w:hAnsi="宋体" w:eastAsia="宋体" w:cs="宋体"/>
          <w:bCs/>
          <w:color w:val="auto"/>
          <w:kern w:val="0"/>
          <w:szCs w:val="21"/>
          <w:highlight w:val="none"/>
        </w:rPr>
        <w:t>（5）供应商有效的资质证书复印件</w:t>
      </w:r>
      <w:r>
        <w:rPr>
          <w:rFonts w:hint="eastAsia" w:ascii="宋体" w:hAnsi="宋体" w:eastAsia="宋体" w:cs="宋体"/>
          <w:b/>
          <w:color w:val="auto"/>
          <w:kern w:val="0"/>
          <w:szCs w:val="21"/>
          <w:highlight w:val="none"/>
        </w:rPr>
        <w:t>（必须提供</w:t>
      </w:r>
      <w:r>
        <w:rPr>
          <w:rFonts w:hint="eastAsia" w:ascii="宋体" w:hAnsi="宋体" w:eastAsia="宋体" w:cs="宋体"/>
          <w:b/>
          <w:bCs/>
          <w:color w:val="auto"/>
          <w:szCs w:val="21"/>
          <w:highlight w:val="none"/>
        </w:rPr>
        <w:t>）；</w:t>
      </w:r>
    </w:p>
    <w:p w14:paraId="0FA75A2F">
      <w:pPr>
        <w:spacing w:line="360" w:lineRule="auto"/>
        <w:ind w:left="420"/>
        <w:outlineLvl w:val="9"/>
        <w:rPr>
          <w:rFonts w:hint="eastAsia" w:ascii="宋体" w:hAnsi="宋体" w:eastAsia="宋体" w:cs="宋体"/>
          <w:color w:val="auto"/>
          <w:highlight w:val="none"/>
        </w:rPr>
      </w:pPr>
      <w:r>
        <w:rPr>
          <w:rFonts w:hint="eastAsia" w:ascii="宋体" w:hAnsi="宋体" w:eastAsia="宋体" w:cs="宋体"/>
          <w:bCs/>
          <w:color w:val="auto"/>
          <w:kern w:val="0"/>
          <w:szCs w:val="21"/>
          <w:highlight w:val="none"/>
        </w:rPr>
        <w:t>（6）供应商有效的安全生产许可证书复印件</w:t>
      </w:r>
      <w:r>
        <w:rPr>
          <w:rFonts w:hint="eastAsia" w:ascii="宋体" w:hAnsi="宋体" w:eastAsia="宋体" w:cs="宋体"/>
          <w:b/>
          <w:bCs/>
          <w:color w:val="auto"/>
          <w:szCs w:val="21"/>
          <w:highlight w:val="none"/>
        </w:rPr>
        <w:t>（必须提供）</w:t>
      </w:r>
      <w:r>
        <w:rPr>
          <w:rFonts w:hint="eastAsia" w:ascii="宋体" w:hAnsi="宋体" w:eastAsia="宋体" w:cs="宋体"/>
          <w:color w:val="auto"/>
          <w:szCs w:val="21"/>
          <w:highlight w:val="none"/>
        </w:rPr>
        <w:t>；</w:t>
      </w:r>
    </w:p>
    <w:p w14:paraId="249829A6">
      <w:pPr>
        <w:spacing w:line="360" w:lineRule="auto"/>
        <w:ind w:left="0" w:leftChars="0" w:firstLine="420" w:firstLineChars="200"/>
        <w:outlineLvl w:val="9"/>
        <w:rPr>
          <w:rFonts w:hint="eastAsia" w:ascii="宋体" w:hAnsi="宋体" w:eastAsia="宋体" w:cs="宋体"/>
          <w:b/>
          <w:bCs/>
          <w:color w:val="auto"/>
          <w:szCs w:val="21"/>
          <w:highlight w:val="none"/>
          <w:lang w:eastAsia="zh-CN"/>
        </w:rPr>
      </w:pPr>
      <w:r>
        <w:rPr>
          <w:rFonts w:hint="eastAsia" w:ascii="宋体" w:hAnsi="宋体" w:eastAsia="宋体" w:cs="宋体"/>
          <w:bCs/>
          <w:color w:val="auto"/>
          <w:kern w:val="0"/>
          <w:szCs w:val="21"/>
          <w:highlight w:val="none"/>
        </w:rPr>
        <w:t>（7）供应商</w:t>
      </w:r>
      <w:r>
        <w:rPr>
          <w:rFonts w:hint="eastAsia" w:ascii="宋体" w:hAnsi="宋体" w:eastAsia="宋体" w:cs="宋体"/>
          <w:color w:val="auto"/>
          <w:szCs w:val="21"/>
          <w:highlight w:val="none"/>
        </w:rPr>
        <w:t>202</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年度财务状况报告</w:t>
      </w:r>
      <w:r>
        <w:rPr>
          <w:rFonts w:hint="eastAsia" w:ascii="宋体" w:hAnsi="宋体" w:eastAsia="宋体" w:cs="宋体"/>
          <w:b/>
          <w:bCs/>
          <w:color w:val="auto"/>
          <w:szCs w:val="21"/>
          <w:highlight w:val="none"/>
        </w:rPr>
        <w:t>（必须提供，可以是磋商供应商自行编制也可是通过第三方审计公司编制，如为自行编制至少须提供现金流量表、负债表及利润表(损益表)</w:t>
      </w:r>
      <w:r>
        <w:rPr>
          <w:rFonts w:hint="eastAsia" w:ascii="宋体" w:hAnsi="宋体" w:eastAsia="宋体" w:cs="宋体"/>
          <w:b/>
          <w:bCs/>
          <w:color w:val="auto"/>
          <w:szCs w:val="21"/>
          <w:highlight w:val="none"/>
          <w:lang w:eastAsia="zh-CN"/>
        </w:rPr>
        <w:t>，新成立的公司，提供自成立之日起至磋商截止时间前一个月的报告</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eastAsia="zh-CN"/>
        </w:rPr>
        <w:t>；</w:t>
      </w:r>
    </w:p>
    <w:p w14:paraId="469C03C0">
      <w:pPr>
        <w:spacing w:line="360" w:lineRule="auto"/>
        <w:ind w:left="420"/>
        <w:outlineLvl w:val="9"/>
        <w:rPr>
          <w:rFonts w:hint="eastAsia"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（8）</w:t>
      </w:r>
      <w:r>
        <w:rPr>
          <w:rFonts w:hint="eastAsia" w:ascii="宋体" w:hAnsi="宋体" w:eastAsia="宋体" w:cs="宋体"/>
          <w:bCs/>
          <w:color w:val="auto"/>
          <w:kern w:val="0"/>
          <w:szCs w:val="21"/>
          <w:highlight w:val="none"/>
          <w:lang w:val="en-US" w:eastAsia="zh-CN"/>
        </w:rPr>
        <w:t>供应商近半年内任意一个月或任一季度依法缴纳税收的证明材料[增值税缴纳发票(税收完税证明</w:t>
      </w:r>
    </w:p>
    <w:p w14:paraId="22FE087E">
      <w:pPr>
        <w:spacing w:line="360" w:lineRule="auto"/>
        <w:outlineLvl w:val="9"/>
        <w:rPr>
          <w:rFonts w:hint="eastAsia" w:ascii="宋体" w:hAnsi="宋体" w:eastAsia="宋体" w:cs="宋体"/>
          <w:color w:val="auto"/>
          <w:highlight w:val="none"/>
        </w:rPr>
      </w:pPr>
      <w:r>
        <w:rPr>
          <w:rFonts w:hint="eastAsia" w:ascii="宋体" w:hAnsi="宋体" w:eastAsia="宋体" w:cs="宋体"/>
          <w:bCs/>
          <w:color w:val="auto"/>
          <w:kern w:val="0"/>
          <w:szCs w:val="21"/>
          <w:highlight w:val="none"/>
          <w:lang w:val="en-US" w:eastAsia="zh-CN"/>
        </w:rPr>
        <w:t>或企业所得税完税证明或税务部门出具的免税证明]复印件</w:t>
      </w:r>
      <w:r>
        <w:rPr>
          <w:rFonts w:hint="eastAsia" w:ascii="宋体" w:hAnsi="宋体" w:eastAsia="宋体" w:cs="宋体"/>
          <w:b/>
          <w:bCs/>
          <w:color w:val="auto"/>
          <w:szCs w:val="21"/>
          <w:highlight w:val="none"/>
          <w:lang w:val="en-US" w:eastAsia="zh-CN"/>
        </w:rPr>
        <w:t>（必须提供）；</w:t>
      </w:r>
      <w:r>
        <w:rPr>
          <w:rFonts w:hint="eastAsia" w:ascii="宋体" w:hAnsi="宋体" w:eastAsia="宋体" w:cs="宋体"/>
          <w:b/>
          <w:bCs/>
          <w:color w:val="auto"/>
          <w:kern w:val="0"/>
          <w:sz w:val="20"/>
          <w:szCs w:val="20"/>
          <w:highlight w:val="none"/>
          <w:lang w:val="en-US" w:eastAsia="zh-CN" w:bidi="ar"/>
        </w:rPr>
        <w:t xml:space="preserve"> </w:t>
      </w:r>
    </w:p>
    <w:p w14:paraId="0672DE7D">
      <w:pPr>
        <w:pStyle w:val="36"/>
        <w:spacing w:line="360" w:lineRule="auto"/>
        <w:ind w:left="0" w:leftChars="0" w:firstLine="422"/>
        <w:outlineLvl w:val="9"/>
        <w:rPr>
          <w:rFonts w:hint="eastAsia" w:ascii="宋体" w:hAnsi="宋体" w:eastAsia="宋体" w:cs="宋体"/>
          <w:b/>
          <w:bCs w:val="0"/>
          <w:color w:val="auto"/>
          <w:kern w:val="0"/>
          <w:szCs w:val="21"/>
          <w:highlight w:val="none"/>
          <w:lang w:val="en-US" w:eastAsia="zh-CN"/>
        </w:rPr>
      </w:pPr>
      <w:r>
        <w:rPr>
          <w:rFonts w:hint="eastAsia" w:ascii="宋体" w:hAnsi="宋体" w:cs="宋体"/>
          <w:bCs/>
          <w:color w:val="auto"/>
          <w:kern w:val="0"/>
          <w:szCs w:val="21"/>
          <w:highlight w:val="none"/>
          <w:lang w:val="en-US" w:eastAsia="zh-CN"/>
        </w:rPr>
        <w:t>（9）</w:t>
      </w:r>
      <w:r>
        <w:rPr>
          <w:rFonts w:hint="eastAsia" w:ascii="宋体" w:hAnsi="宋体" w:eastAsia="宋体" w:cs="宋体"/>
          <w:bCs/>
          <w:color w:val="auto"/>
          <w:kern w:val="0"/>
          <w:szCs w:val="21"/>
          <w:highlight w:val="none"/>
          <w:lang w:val="en-US" w:eastAsia="zh-CN"/>
        </w:rPr>
        <w:t>供应商的中小企业声明函(必须提供)或供应商属于监狱企业的由省级以上监狱管理局、戒毒管理局等 (含新疆生产建设兵团) 出具的属于监狱企业的证明文件 (必须提供)或符合条件的残疾人福利性单位的《残疾人福利性单位声明函》</w:t>
      </w:r>
      <w:r>
        <w:rPr>
          <w:rFonts w:hint="eastAsia" w:ascii="宋体" w:hAnsi="宋体" w:eastAsia="宋体" w:cs="宋体"/>
          <w:b/>
          <w:bCs w:val="0"/>
          <w:color w:val="auto"/>
          <w:kern w:val="0"/>
          <w:szCs w:val="21"/>
          <w:highlight w:val="none"/>
          <w:lang w:val="en-US" w:eastAsia="zh-CN"/>
        </w:rPr>
        <w:t>(必须提供)。</w:t>
      </w:r>
    </w:p>
    <w:p w14:paraId="02C60334">
      <w:pPr>
        <w:spacing w:before="159" w:line="219" w:lineRule="auto"/>
        <w:ind w:firstLine="420" w:firstLineChars="200"/>
        <w:rPr>
          <w:rFonts w:hint="eastAsia" w:ascii="宋体" w:hAnsi="宋体" w:eastAsia="宋体" w:cs="宋体"/>
          <w:b/>
          <w:bCs/>
          <w:color w:val="auto"/>
          <w:kern w:val="0"/>
          <w:sz w:val="21"/>
          <w:szCs w:val="21"/>
          <w:highlight w:val="none"/>
          <w:shd w:val="clear" w:color="auto" w:fill="auto"/>
        </w:rPr>
      </w:pPr>
      <w:r>
        <w:rPr>
          <w:rFonts w:hint="eastAsia" w:ascii="宋体" w:hAnsi="宋体" w:eastAsia="宋体" w:cs="宋体"/>
          <w:bCs/>
          <w:color w:val="auto"/>
          <w:kern w:val="0"/>
          <w:sz w:val="21"/>
          <w:szCs w:val="21"/>
          <w:highlight w:val="none"/>
          <w:lang w:val="en-US" w:eastAsia="zh-CN" w:bidi="ar-SA"/>
        </w:rPr>
        <w:t>(10)以工代赈项目履约承诺函</w:t>
      </w:r>
      <w:r>
        <w:rPr>
          <w:rFonts w:hint="eastAsia" w:ascii="宋体" w:hAnsi="宋体" w:eastAsia="宋体" w:cs="宋体"/>
          <w:b/>
          <w:bCs w:val="0"/>
          <w:color w:val="auto"/>
          <w:kern w:val="0"/>
          <w:szCs w:val="21"/>
          <w:highlight w:val="none"/>
          <w:lang w:val="en-US" w:eastAsia="zh-CN"/>
        </w:rPr>
        <w:t>(必须提供)</w:t>
      </w:r>
    </w:p>
    <w:p w14:paraId="5DD7AD27">
      <w:pPr>
        <w:pageBreakBefore w:val="0"/>
        <w:widowControl w:val="0"/>
        <w:kinsoku/>
        <w:wordWrap/>
        <w:overflowPunct/>
        <w:topLinePunct w:val="0"/>
        <w:autoSpaceDE/>
        <w:autoSpaceDN/>
        <w:bidi w:val="0"/>
        <w:adjustRightInd/>
        <w:spacing w:line="360" w:lineRule="auto"/>
        <w:ind w:left="0" w:leftChars="0" w:firstLine="422" w:firstLineChars="200"/>
        <w:textAlignment w:val="auto"/>
        <w:outlineLvl w:val="9"/>
        <w:rPr>
          <w:rFonts w:hint="eastAsia" w:ascii="宋体" w:hAnsi="宋体" w:eastAsia="宋体" w:cs="宋体"/>
          <w:b/>
          <w:bCs/>
          <w:color w:val="auto"/>
          <w:kern w:val="0"/>
          <w:sz w:val="21"/>
          <w:szCs w:val="21"/>
          <w:highlight w:val="none"/>
          <w:shd w:val="clear" w:color="auto" w:fill="auto"/>
        </w:rPr>
      </w:pPr>
      <w:r>
        <w:rPr>
          <w:rFonts w:hint="eastAsia" w:ascii="宋体" w:hAnsi="宋体" w:eastAsia="宋体" w:cs="宋体"/>
          <w:b/>
          <w:bCs/>
          <w:color w:val="auto"/>
          <w:kern w:val="0"/>
          <w:sz w:val="21"/>
          <w:szCs w:val="21"/>
          <w:highlight w:val="none"/>
          <w:shd w:val="clear" w:color="auto" w:fill="auto"/>
        </w:rPr>
        <w:t>11.2.1.2符合性响应证明材料：</w:t>
      </w:r>
    </w:p>
    <w:p w14:paraId="4AF579F7">
      <w:pPr>
        <w:spacing w:line="360" w:lineRule="auto"/>
        <w:ind w:firstLine="420" w:firstLineChars="200"/>
        <w:outlineLvl w:val="9"/>
        <w:rPr>
          <w:rFonts w:hint="eastAsia" w:ascii="宋体" w:hAnsi="宋体" w:eastAsia="宋体" w:cs="宋体"/>
          <w:color w:val="auto"/>
          <w:szCs w:val="21"/>
          <w:highlight w:val="none"/>
        </w:rPr>
      </w:pPr>
      <w:bookmarkStart w:id="137" w:name="_Toc16312"/>
      <w:bookmarkStart w:id="138" w:name="_Toc28932"/>
      <w:bookmarkStart w:id="139" w:name="_Toc2809"/>
      <w:r>
        <w:rPr>
          <w:rFonts w:hint="eastAsia" w:ascii="宋体" w:hAnsi="宋体" w:eastAsia="宋体" w:cs="宋体"/>
          <w:color w:val="auto"/>
          <w:szCs w:val="21"/>
          <w:highlight w:val="none"/>
        </w:rPr>
        <w:t>（1）响应函（格式见附件）</w:t>
      </w:r>
      <w:r>
        <w:rPr>
          <w:rFonts w:hint="eastAsia" w:ascii="宋体" w:hAnsi="宋体" w:eastAsia="宋体" w:cs="宋体"/>
          <w:b/>
          <w:bCs/>
          <w:color w:val="auto"/>
          <w:szCs w:val="21"/>
          <w:highlight w:val="none"/>
        </w:rPr>
        <w:t>（必须提供）</w:t>
      </w:r>
      <w:bookmarkEnd w:id="137"/>
      <w:r>
        <w:rPr>
          <w:rFonts w:hint="eastAsia" w:ascii="宋体" w:hAnsi="宋体" w:eastAsia="宋体" w:cs="宋体"/>
          <w:color w:val="auto"/>
          <w:szCs w:val="21"/>
          <w:highlight w:val="none"/>
        </w:rPr>
        <w:t>；</w:t>
      </w:r>
      <w:bookmarkEnd w:id="138"/>
      <w:bookmarkEnd w:id="139"/>
    </w:p>
    <w:p w14:paraId="3C625B72">
      <w:pPr>
        <w:spacing w:line="360" w:lineRule="auto"/>
        <w:ind w:firstLine="420" w:firstLineChars="200"/>
        <w:outlineLvl w:val="9"/>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w:t>
      </w:r>
      <w:r>
        <w:rPr>
          <w:rFonts w:hint="eastAsia" w:ascii="宋体" w:hAnsi="宋体" w:cs="宋体"/>
          <w:bCs/>
          <w:color w:val="auto"/>
          <w:kern w:val="0"/>
          <w:szCs w:val="21"/>
          <w:highlight w:val="none"/>
          <w:lang w:val="en-US" w:eastAsia="zh-CN"/>
        </w:rPr>
        <w:t>2</w:t>
      </w:r>
      <w:r>
        <w:rPr>
          <w:rFonts w:hint="eastAsia" w:ascii="宋体" w:hAnsi="宋体" w:eastAsia="宋体" w:cs="宋体"/>
          <w:bCs/>
          <w:color w:val="auto"/>
          <w:kern w:val="0"/>
          <w:szCs w:val="21"/>
          <w:highlight w:val="none"/>
        </w:rPr>
        <w:t>）</w:t>
      </w:r>
      <w:r>
        <w:rPr>
          <w:rFonts w:hint="eastAsia" w:ascii="宋体" w:hAnsi="宋体" w:eastAsia="宋体" w:cs="宋体"/>
          <w:color w:val="auto"/>
          <w:szCs w:val="21"/>
          <w:highlight w:val="none"/>
        </w:rPr>
        <w:t>磋商报价表</w:t>
      </w:r>
      <w:r>
        <w:rPr>
          <w:rFonts w:hint="eastAsia" w:ascii="宋体" w:hAnsi="宋体" w:eastAsia="宋体" w:cs="宋体"/>
          <w:b/>
          <w:bCs/>
          <w:color w:val="auto"/>
          <w:sz w:val="21"/>
          <w:szCs w:val="21"/>
          <w:highlight w:val="none"/>
        </w:rPr>
        <w:t>（必须提供）；</w:t>
      </w:r>
    </w:p>
    <w:p w14:paraId="12D03E18">
      <w:pPr>
        <w:spacing w:line="360" w:lineRule="auto"/>
        <w:ind w:firstLine="420" w:firstLineChars="200"/>
        <w:outlineLvl w:val="9"/>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w:t>
      </w:r>
      <w:r>
        <w:rPr>
          <w:rFonts w:hint="eastAsia" w:ascii="宋体" w:hAnsi="宋体" w:cs="宋体"/>
          <w:bCs/>
          <w:color w:val="auto"/>
          <w:kern w:val="0"/>
          <w:szCs w:val="21"/>
          <w:highlight w:val="none"/>
          <w:lang w:val="en-US" w:eastAsia="zh-CN"/>
        </w:rPr>
        <w:t>3</w:t>
      </w:r>
      <w:r>
        <w:rPr>
          <w:rFonts w:hint="eastAsia" w:ascii="宋体" w:hAnsi="宋体" w:eastAsia="宋体" w:cs="宋体"/>
          <w:bCs/>
          <w:color w:val="auto"/>
          <w:kern w:val="0"/>
          <w:szCs w:val="21"/>
          <w:highlight w:val="none"/>
        </w:rPr>
        <w:t>）已标价工程量清单</w:t>
      </w:r>
      <w:r>
        <w:rPr>
          <w:rFonts w:hint="eastAsia" w:ascii="宋体" w:hAnsi="宋体" w:eastAsia="宋体" w:cs="宋体"/>
          <w:b/>
          <w:color w:val="auto"/>
          <w:kern w:val="0"/>
          <w:szCs w:val="21"/>
          <w:highlight w:val="none"/>
        </w:rPr>
        <w:t>（必须提供）</w:t>
      </w:r>
      <w:r>
        <w:rPr>
          <w:rFonts w:hint="eastAsia" w:ascii="宋体" w:hAnsi="宋体" w:eastAsia="宋体" w:cs="宋体"/>
          <w:bCs/>
          <w:color w:val="auto"/>
          <w:kern w:val="0"/>
          <w:szCs w:val="21"/>
          <w:highlight w:val="none"/>
        </w:rPr>
        <w:t>；</w:t>
      </w:r>
    </w:p>
    <w:p w14:paraId="1BF9A477">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）拟投入本工程主要管理人员表</w:t>
      </w:r>
      <w:r>
        <w:rPr>
          <w:rFonts w:hint="eastAsia" w:ascii="宋体" w:hAnsi="宋体" w:eastAsia="宋体" w:cs="宋体"/>
          <w:b/>
          <w:bCs/>
          <w:color w:val="auto"/>
          <w:szCs w:val="21"/>
          <w:highlight w:val="none"/>
        </w:rPr>
        <w:t>（必须提供)</w:t>
      </w:r>
      <w:r>
        <w:rPr>
          <w:rFonts w:hint="eastAsia" w:ascii="宋体" w:hAnsi="宋体" w:eastAsia="宋体" w:cs="宋体"/>
          <w:color w:val="auto"/>
          <w:szCs w:val="21"/>
          <w:highlight w:val="none"/>
        </w:rPr>
        <w:t>；</w:t>
      </w:r>
    </w:p>
    <w:p w14:paraId="5CBBA23E">
      <w:pPr>
        <w:spacing w:line="360" w:lineRule="auto"/>
        <w:ind w:firstLine="422" w:firstLineChars="200"/>
        <w:outlineLvl w:val="9"/>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并一起提供由县级以上（含县级）社会养老保险经办机构出具的供应商为项目实施人员交纳的响应文件递交截止时间前半年内任意</w:t>
      </w:r>
      <w:r>
        <w:rPr>
          <w:rFonts w:hint="eastAsia" w:ascii="宋体" w:hAnsi="宋体" w:eastAsia="宋体" w:cs="宋体"/>
          <w:b/>
          <w:bCs/>
          <w:color w:val="auto"/>
          <w:szCs w:val="21"/>
          <w:highlight w:val="none"/>
          <w:lang w:eastAsia="zh-CN"/>
        </w:rPr>
        <w:t>一</w:t>
      </w:r>
      <w:r>
        <w:rPr>
          <w:rFonts w:hint="eastAsia" w:ascii="宋体" w:hAnsi="宋体" w:eastAsia="宋体" w:cs="宋体"/>
          <w:b/>
          <w:bCs/>
          <w:color w:val="auto"/>
          <w:szCs w:val="21"/>
          <w:highlight w:val="none"/>
        </w:rPr>
        <w:t>个月社保证明复印件，</w:t>
      </w:r>
      <w:r>
        <w:rPr>
          <w:rFonts w:hint="eastAsia" w:ascii="宋体" w:hAnsi="宋体" w:eastAsia="宋体" w:cs="宋体"/>
          <w:color w:val="auto"/>
          <w:szCs w:val="21"/>
          <w:highlight w:val="none"/>
        </w:rPr>
        <w:t>除供应商为以下三种情形的：</w:t>
      </w:r>
    </w:p>
    <w:p w14:paraId="460FB3E2">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①如供应商为截标时间前60日以内成立的公司，可以提供供应商与委托代理人签订的劳动合同复印件代替社保证明复印件；</w:t>
      </w:r>
    </w:p>
    <w:p w14:paraId="3C921C72">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②如供应商为事业单位，可以提供事业单位机构编制管理证复印件或事业单位机构为其发放工资的工资条复印件代替社保证明复印件；</w:t>
      </w:r>
    </w:p>
    <w:p w14:paraId="07D078EA">
      <w:pPr>
        <w:spacing w:line="360" w:lineRule="auto"/>
        <w:ind w:firstLine="420" w:firstLineChars="200"/>
        <w:outlineLvl w:val="9"/>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③如委托代理人为免缴纳社保人员，提供免缴纳社保的证明材料复印件及供应商与委托代理人签订的劳动合同复印件代替社保证明复印件。</w:t>
      </w:r>
    </w:p>
    <w:p w14:paraId="343B9DC6">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bCs/>
          <w:color w:val="auto"/>
          <w:kern w:val="0"/>
          <w:szCs w:val="21"/>
          <w:highlight w:val="none"/>
        </w:rPr>
        <w:t>担任本工程的项目经理简历表（应附相关证书、身份证复印件）</w:t>
      </w:r>
      <w:r>
        <w:rPr>
          <w:rFonts w:hint="eastAsia" w:ascii="宋体" w:hAnsi="宋体" w:eastAsia="宋体" w:cs="宋体"/>
          <w:b/>
          <w:bCs/>
          <w:color w:val="auto"/>
          <w:szCs w:val="21"/>
          <w:highlight w:val="none"/>
        </w:rPr>
        <w:t>（必须提供）</w:t>
      </w:r>
      <w:r>
        <w:rPr>
          <w:rFonts w:hint="eastAsia" w:ascii="宋体" w:hAnsi="宋体" w:eastAsia="宋体" w:cs="宋体"/>
          <w:color w:val="auto"/>
          <w:szCs w:val="21"/>
          <w:highlight w:val="none"/>
        </w:rPr>
        <w:t>；</w:t>
      </w:r>
    </w:p>
    <w:p w14:paraId="10DD3008">
      <w:pPr>
        <w:spacing w:line="360" w:lineRule="auto"/>
        <w:ind w:firstLine="420" w:firstLineChars="200"/>
        <w:outlineLvl w:val="9"/>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w:t>
      </w:r>
      <w:r>
        <w:rPr>
          <w:rFonts w:hint="eastAsia" w:ascii="宋体" w:hAnsi="宋体" w:eastAsia="宋体" w:cs="宋体"/>
          <w:bCs/>
          <w:color w:val="auto"/>
          <w:kern w:val="0"/>
          <w:szCs w:val="21"/>
          <w:highlight w:val="none"/>
        </w:rPr>
        <w:t>施工组织</w:t>
      </w:r>
      <w:r>
        <w:rPr>
          <w:rFonts w:hint="eastAsia" w:ascii="宋体" w:hAnsi="宋体" w:cs="宋体"/>
          <w:color w:val="auto"/>
          <w:kern w:val="0"/>
          <w:highlight w:val="none"/>
          <w:lang w:val="en-US" w:eastAsia="zh-CN"/>
        </w:rPr>
        <w:t>设计</w:t>
      </w:r>
      <w:r>
        <w:rPr>
          <w:rFonts w:hint="eastAsia" w:ascii="宋体" w:hAnsi="宋体" w:eastAsia="宋体" w:cs="宋体"/>
          <w:bCs/>
          <w:color w:val="auto"/>
          <w:kern w:val="0"/>
          <w:szCs w:val="21"/>
          <w:highlight w:val="none"/>
        </w:rPr>
        <w:t>方案</w:t>
      </w:r>
      <w:r>
        <w:rPr>
          <w:rFonts w:hint="eastAsia" w:ascii="宋体" w:hAnsi="宋体" w:eastAsia="宋体" w:cs="宋体"/>
          <w:b/>
          <w:bCs/>
          <w:color w:val="auto"/>
          <w:szCs w:val="21"/>
          <w:highlight w:val="none"/>
        </w:rPr>
        <w:t>（必须提供）</w:t>
      </w:r>
      <w:r>
        <w:rPr>
          <w:rFonts w:hint="eastAsia" w:ascii="宋体" w:hAnsi="宋体" w:eastAsia="宋体" w:cs="宋体"/>
          <w:color w:val="auto"/>
          <w:szCs w:val="21"/>
          <w:highlight w:val="none"/>
        </w:rPr>
        <w:t>；</w:t>
      </w:r>
    </w:p>
    <w:p w14:paraId="42E141D5">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w:t>
      </w:r>
      <w:r>
        <w:rPr>
          <w:rFonts w:hint="eastAsia" w:ascii="宋体" w:hAnsi="宋体" w:eastAsia="宋体" w:cs="宋体"/>
          <w:bCs/>
          <w:color w:val="auto"/>
          <w:kern w:val="0"/>
          <w:szCs w:val="21"/>
          <w:highlight w:val="none"/>
        </w:rPr>
        <w:t>工程完工服务承诺书</w:t>
      </w:r>
      <w:r>
        <w:rPr>
          <w:rFonts w:hint="eastAsia" w:ascii="宋体" w:hAnsi="宋体" w:eastAsia="宋体" w:cs="宋体"/>
          <w:b/>
          <w:bCs/>
          <w:color w:val="auto"/>
          <w:szCs w:val="21"/>
          <w:highlight w:val="none"/>
        </w:rPr>
        <w:t>（必须提供）</w:t>
      </w:r>
      <w:r>
        <w:rPr>
          <w:rFonts w:hint="eastAsia" w:ascii="宋体" w:hAnsi="宋体" w:eastAsia="宋体" w:cs="宋体"/>
          <w:color w:val="auto"/>
          <w:szCs w:val="21"/>
          <w:highlight w:val="none"/>
        </w:rPr>
        <w:t>；</w:t>
      </w:r>
    </w:p>
    <w:p w14:paraId="145D8780">
      <w:pPr>
        <w:spacing w:line="360" w:lineRule="auto"/>
        <w:ind w:firstLine="420" w:firstLineChars="200"/>
        <w:outlineLvl w:val="9"/>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w:t>
      </w:r>
      <w:r>
        <w:rPr>
          <w:rFonts w:hint="eastAsia" w:ascii="宋体" w:hAnsi="宋体" w:eastAsia="宋体" w:cs="宋体"/>
          <w:bCs/>
          <w:color w:val="auto"/>
          <w:kern w:val="0"/>
          <w:szCs w:val="21"/>
          <w:highlight w:val="none"/>
        </w:rPr>
        <w:t>农民工工资保障金交纳与使用承诺书</w:t>
      </w:r>
      <w:r>
        <w:rPr>
          <w:rFonts w:hint="eastAsia" w:ascii="宋体" w:hAnsi="宋体" w:eastAsia="宋体" w:cs="宋体"/>
          <w:b/>
          <w:bCs/>
          <w:color w:val="auto"/>
          <w:szCs w:val="21"/>
          <w:highlight w:val="none"/>
        </w:rPr>
        <w:t>（必须提供）</w:t>
      </w:r>
      <w:r>
        <w:rPr>
          <w:rFonts w:hint="eastAsia" w:ascii="宋体" w:hAnsi="宋体" w:cs="宋体"/>
          <w:color w:val="auto"/>
          <w:szCs w:val="21"/>
          <w:highlight w:val="none"/>
          <w:lang w:val="en-US" w:eastAsia="zh-CN"/>
        </w:rPr>
        <w:t>。</w:t>
      </w:r>
    </w:p>
    <w:p w14:paraId="4C8E7A8E">
      <w:pPr>
        <w:pStyle w:val="36"/>
        <w:spacing w:line="360" w:lineRule="auto"/>
        <w:ind w:left="0" w:leftChars="0" w:firstLine="422"/>
        <w:outlineLvl w:val="9"/>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11.2.1.3其他有效证明材料</w:t>
      </w:r>
    </w:p>
    <w:p w14:paraId="1F7503BA">
      <w:pPr>
        <w:pageBreakBefore w:val="0"/>
        <w:widowControl w:val="0"/>
        <w:kinsoku/>
        <w:wordWrap/>
        <w:overflowPunct/>
        <w:topLinePunct w:val="0"/>
        <w:bidi w:val="0"/>
        <w:spacing w:line="360" w:lineRule="auto"/>
        <w:ind w:firstLine="420" w:firstLineChars="200"/>
        <w:textAlignment w:val="auto"/>
        <w:outlineLvl w:val="9"/>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供应商20</w:t>
      </w:r>
      <w:r>
        <w:rPr>
          <w:rFonts w:hint="eastAsia" w:ascii="宋体" w:hAnsi="宋体" w:eastAsia="宋体" w:cs="宋体"/>
          <w:color w:val="auto"/>
          <w:szCs w:val="21"/>
          <w:highlight w:val="none"/>
          <w:lang w:val="en-US" w:eastAsia="zh-CN"/>
        </w:rPr>
        <w:t>2</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eastAsia="zh-CN"/>
        </w:rPr>
        <w:t>年1月1日以来具有</w:t>
      </w:r>
      <w:r>
        <w:rPr>
          <w:color w:val="auto"/>
          <w:spacing w:val="7"/>
          <w:highlight w:val="none"/>
        </w:rPr>
        <w:t>水利工程相关类似</w:t>
      </w:r>
      <w:r>
        <w:rPr>
          <w:rFonts w:hint="eastAsia" w:ascii="宋体" w:hAnsi="宋体" w:eastAsia="宋体" w:cs="宋体"/>
          <w:color w:val="auto"/>
          <w:szCs w:val="21"/>
          <w:highlight w:val="none"/>
        </w:rPr>
        <w:t>业绩相关证明材料（无不良记录，以中标、成交通知书或签订的合同为准，并能清晰反映</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的名称、</w:t>
      </w:r>
      <w:r>
        <w:rPr>
          <w:rFonts w:hint="eastAsia" w:ascii="宋体" w:hAnsi="宋体" w:eastAsia="宋体" w:cs="宋体"/>
          <w:color w:val="auto"/>
          <w:szCs w:val="21"/>
          <w:highlight w:val="none"/>
          <w:lang w:eastAsia="zh-CN"/>
        </w:rPr>
        <w:t>采购内容</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金额</w:t>
      </w:r>
      <w:r>
        <w:rPr>
          <w:rFonts w:hint="eastAsia" w:ascii="宋体" w:hAnsi="宋体" w:eastAsia="宋体" w:cs="宋体"/>
          <w:color w:val="auto"/>
          <w:szCs w:val="21"/>
          <w:highlight w:val="none"/>
          <w:lang w:eastAsia="zh-CN"/>
        </w:rPr>
        <w:t>、采购时间</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（如有，请提供）；</w:t>
      </w:r>
      <w:r>
        <w:rPr>
          <w:rFonts w:hint="eastAsia" w:ascii="宋体" w:hAnsi="宋体" w:eastAsia="宋体" w:cs="宋体"/>
          <w:b/>
          <w:bCs/>
          <w:color w:val="auto"/>
          <w:szCs w:val="21"/>
          <w:highlight w:val="none"/>
          <w:lang w:val="en-US" w:eastAsia="zh-CN"/>
        </w:rPr>
        <w:t xml:space="preserve"> </w:t>
      </w:r>
    </w:p>
    <w:p w14:paraId="042CB0D9">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）供应商可结合本项目的评审办法视自身情况自行提交其它相关证明材料。</w:t>
      </w:r>
    </w:p>
    <w:p w14:paraId="4C21F83E">
      <w:pPr>
        <w:spacing w:line="360" w:lineRule="auto"/>
        <w:ind w:firstLine="420"/>
        <w:outlineLvl w:val="9"/>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供应商</w:t>
      </w:r>
      <w:r>
        <w:rPr>
          <w:rFonts w:hint="eastAsia" w:ascii="宋体" w:hAnsi="宋体" w:eastAsia="宋体" w:cs="宋体"/>
          <w:b/>
          <w:bCs/>
          <w:color w:val="auto"/>
          <w:highlight w:val="none"/>
        </w:rPr>
        <w:t>提供的以上相关证明材料属于“必须提供”的文件应加盖磋商供应商CA签章，否则响应无效。</w:t>
      </w:r>
    </w:p>
    <w:p w14:paraId="403CDB59">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11.3 供应商应按竞争性磋商文件第八章“响应文件（格式）”编制响应文件。</w:t>
      </w:r>
    </w:p>
    <w:p w14:paraId="72EF95FD">
      <w:pPr>
        <w:pageBreakBefore w:val="0"/>
        <w:widowControl w:val="0"/>
        <w:kinsoku/>
        <w:wordWrap/>
        <w:overflowPunct/>
        <w:topLinePunct w:val="0"/>
        <w:autoSpaceDE/>
        <w:autoSpaceDN/>
        <w:bidi w:val="0"/>
        <w:adjustRightInd/>
        <w:spacing w:line="360" w:lineRule="auto"/>
        <w:ind w:left="0" w:leftChars="0" w:firstLine="422" w:firstLineChars="200"/>
        <w:textAlignment w:val="auto"/>
        <w:outlineLvl w:val="9"/>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特别说明：</w:t>
      </w:r>
    </w:p>
    <w:p w14:paraId="44D3DCEF">
      <w:pPr>
        <w:pageBreakBefore w:val="0"/>
        <w:widowControl w:val="0"/>
        <w:kinsoku/>
        <w:wordWrap/>
        <w:overflowPunct/>
        <w:topLinePunct w:val="0"/>
        <w:autoSpaceDE/>
        <w:autoSpaceDN/>
        <w:bidi w:val="0"/>
        <w:adjustRightInd/>
        <w:spacing w:line="360" w:lineRule="auto"/>
        <w:ind w:left="0" w:leftChars="0" w:firstLine="422" w:firstLineChars="200"/>
        <w:textAlignment w:val="auto"/>
        <w:outlineLvl w:val="9"/>
        <w:rPr>
          <w:rFonts w:hint="eastAsia" w:ascii="宋体" w:hAnsi="宋体" w:eastAsia="宋体" w:cs="宋体"/>
          <w:b/>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（1）响</w:t>
      </w:r>
      <w:r>
        <w:rPr>
          <w:rFonts w:hint="eastAsia" w:ascii="宋体" w:hAnsi="宋体" w:eastAsia="宋体" w:cs="宋体"/>
          <w:b/>
          <w:color w:val="auto"/>
          <w:sz w:val="21"/>
          <w:szCs w:val="21"/>
          <w:highlight w:val="none"/>
          <w:shd w:val="clear" w:color="auto" w:fill="auto"/>
        </w:rPr>
        <w:t>应文件（电子响应文件），其中电子响应文件中所须加盖公章部分均采用CA签章。若磋商文件中有专门标注的某关联点，并要求供应商在电子响应系统中作出磋商响应的，如供应商未对关联点进行响应或者在响应文件其它内容进行描述，造成电子评审不能查询的责任由供应商自行承担。</w:t>
      </w:r>
    </w:p>
    <w:p w14:paraId="5F31E3CA">
      <w:pPr>
        <w:pageBreakBefore w:val="0"/>
        <w:widowControl w:val="0"/>
        <w:numPr>
          <w:ilvl w:val="0"/>
          <w:numId w:val="1"/>
        </w:numPr>
        <w:kinsoku/>
        <w:wordWrap/>
        <w:overflowPunct/>
        <w:topLinePunct w:val="0"/>
        <w:autoSpaceDE/>
        <w:autoSpaceDN/>
        <w:bidi w:val="0"/>
        <w:adjustRightInd/>
        <w:spacing w:line="360" w:lineRule="auto"/>
        <w:ind w:left="0" w:leftChars="0" w:firstLine="422" w:firstLineChars="200"/>
        <w:textAlignment w:val="auto"/>
        <w:outlineLvl w:val="9"/>
        <w:rPr>
          <w:rFonts w:hint="eastAsia" w:ascii="宋体" w:hAnsi="宋体" w:eastAsia="宋体" w:cs="宋体"/>
          <w:b/>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磋商文件要求法定代表人（负责人）或委托代理人签字的部分必须签字然后扫描或者拍照做成.pdf格式上传（签字可以以加盖个人CA签章代替），无签字的视为响应无效。</w:t>
      </w:r>
    </w:p>
    <w:p w14:paraId="1EF83442">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bookmarkStart w:id="140" w:name="_Toc2180"/>
      <w:bookmarkStart w:id="141" w:name="_Toc20919"/>
      <w:bookmarkStart w:id="142" w:name="_Toc13916"/>
      <w:r>
        <w:rPr>
          <w:rFonts w:hint="eastAsia" w:ascii="宋体" w:hAnsi="宋体" w:eastAsia="宋体" w:cs="宋体"/>
          <w:color w:val="auto"/>
          <w:sz w:val="21"/>
          <w:szCs w:val="21"/>
          <w:highlight w:val="none"/>
          <w:shd w:val="clear" w:color="auto" w:fill="auto"/>
        </w:rPr>
        <w:t>12. 响应文件的语言及计量</w:t>
      </w:r>
      <w:bookmarkEnd w:id="140"/>
      <w:bookmarkEnd w:id="141"/>
      <w:bookmarkEnd w:id="142"/>
    </w:p>
    <w:p w14:paraId="2D4D48A2">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12.1 响应文件以及供应商与采购代理机构就有关磋商事宜的所有来往函电，均应以中文汉语书写。供应商提交的支持文件和印刷的文献可以使用别的语言，但其相应内容必须附有中文翻译文本，在解释响应文件时以中文翻译文本为主。</w:t>
      </w:r>
    </w:p>
    <w:p w14:paraId="19A2015E">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12.2 磋商计量单位，磋商文件已有明确规定的，使用磋商文件规定的计量单位；磋商文件没有规定的，应采用中华人民共和国法定计量单位（货币单位：人民币元），否则视同未响应。</w:t>
      </w:r>
    </w:p>
    <w:p w14:paraId="5C648942">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bookmarkStart w:id="143" w:name="_Toc10838"/>
      <w:bookmarkStart w:id="144" w:name="_Toc5165"/>
      <w:bookmarkStart w:id="145" w:name="_Toc19558"/>
      <w:r>
        <w:rPr>
          <w:rFonts w:hint="eastAsia" w:ascii="宋体" w:hAnsi="宋体" w:eastAsia="宋体" w:cs="宋体"/>
          <w:color w:val="auto"/>
          <w:sz w:val="21"/>
          <w:szCs w:val="21"/>
          <w:highlight w:val="none"/>
          <w:shd w:val="clear" w:color="auto" w:fill="auto"/>
        </w:rPr>
        <w:t>13. 磋商报价及采购预算金额</w:t>
      </w:r>
      <w:bookmarkEnd w:id="143"/>
      <w:bookmarkEnd w:id="144"/>
      <w:bookmarkEnd w:id="145"/>
      <w:bookmarkStart w:id="146" w:name="_Toc11881"/>
      <w:bookmarkStart w:id="147" w:name="_Toc26881"/>
      <w:bookmarkStart w:id="148" w:name="_Toc25020"/>
    </w:p>
    <w:p w14:paraId="3BFE7F9C">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sz w:val="21"/>
          <w:szCs w:val="21"/>
          <w:highlight w:val="none"/>
          <w:shd w:val="clear" w:color="auto" w:fill="auto"/>
        </w:rPr>
        <w:t xml:space="preserve">13.1 </w:t>
      </w:r>
      <w:r>
        <w:rPr>
          <w:rFonts w:hint="eastAsia" w:ascii="宋体" w:hAnsi="宋体" w:eastAsia="宋体" w:cs="宋体"/>
          <w:color w:val="auto"/>
          <w:kern w:val="0"/>
          <w:sz w:val="21"/>
          <w:szCs w:val="21"/>
          <w:highlight w:val="none"/>
          <w:shd w:val="clear" w:color="auto" w:fill="auto"/>
        </w:rPr>
        <w:t>本工程总造价</w:t>
      </w:r>
      <w:r>
        <w:rPr>
          <w:rFonts w:hint="eastAsia" w:ascii="宋体" w:hAnsi="宋体" w:eastAsia="宋体" w:cs="宋体"/>
          <w:color w:val="auto"/>
          <w:kern w:val="0"/>
          <w:sz w:val="21"/>
          <w:szCs w:val="21"/>
          <w:highlight w:val="none"/>
          <w:shd w:val="clear" w:color="auto" w:fill="auto"/>
          <w:lang w:eastAsia="zh-CN"/>
        </w:rPr>
        <w:t>：</w:t>
      </w:r>
      <w:r>
        <w:rPr>
          <w:rFonts w:hint="eastAsia" w:ascii="宋体" w:hAnsi="宋体" w:eastAsia="宋体" w:cs="宋体"/>
          <w:b w:val="0"/>
          <w:color w:val="auto"/>
          <w:sz w:val="21"/>
          <w:szCs w:val="21"/>
          <w:highlight w:val="none"/>
          <w:shd w:val="clear" w:color="auto" w:fill="auto"/>
        </w:rPr>
        <w:t>详见供应商须知前附表</w:t>
      </w:r>
      <w:r>
        <w:rPr>
          <w:rFonts w:hint="eastAsia" w:ascii="宋体" w:hAnsi="宋体" w:eastAsia="宋体" w:cs="宋体"/>
          <w:color w:val="auto"/>
          <w:kern w:val="0"/>
          <w:sz w:val="21"/>
          <w:szCs w:val="21"/>
          <w:highlight w:val="none"/>
          <w:shd w:val="clear" w:color="auto" w:fill="auto"/>
        </w:rPr>
        <w:t>。</w:t>
      </w:r>
    </w:p>
    <w:p w14:paraId="63E72284">
      <w:pPr>
        <w:pageBreakBefore w:val="0"/>
        <w:widowControl w:val="0"/>
        <w:kinsoku/>
        <w:wordWrap/>
        <w:overflowPunct/>
        <w:topLinePunct w:val="0"/>
        <w:autoSpaceDE/>
        <w:autoSpaceDN/>
        <w:bidi w:val="0"/>
        <w:adjustRightInd/>
        <w:spacing w:line="360" w:lineRule="auto"/>
        <w:ind w:left="0" w:leftChars="0"/>
        <w:textAlignment w:val="auto"/>
        <w:outlineLvl w:val="9"/>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 xml:space="preserve">    本工程最高磋商限价</w:t>
      </w:r>
      <w:r>
        <w:rPr>
          <w:rFonts w:hint="eastAsia" w:ascii="宋体" w:hAnsi="宋体" w:eastAsia="宋体" w:cs="宋体"/>
          <w:b w:val="0"/>
          <w:color w:val="auto"/>
          <w:sz w:val="21"/>
          <w:szCs w:val="21"/>
          <w:highlight w:val="none"/>
          <w:shd w:val="clear" w:color="auto" w:fill="auto"/>
        </w:rPr>
        <w:t>详见供应商须知前附表</w:t>
      </w:r>
      <w:r>
        <w:rPr>
          <w:rFonts w:hint="eastAsia" w:ascii="宋体" w:hAnsi="宋体" w:eastAsia="宋体" w:cs="宋体"/>
          <w:color w:val="auto"/>
          <w:kern w:val="0"/>
          <w:sz w:val="21"/>
          <w:szCs w:val="21"/>
          <w:highlight w:val="none"/>
          <w:shd w:val="clear" w:color="auto" w:fill="auto"/>
        </w:rPr>
        <w:t>。</w:t>
      </w:r>
    </w:p>
    <w:p w14:paraId="1DB869BA">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13.2供应商必须就“工程量清单”中所有内容作完整报价，否则，其响应文件无效。</w:t>
      </w:r>
    </w:p>
    <w:p w14:paraId="0F92039E">
      <w:pPr>
        <w:pageBreakBefore w:val="0"/>
        <w:widowControl w:val="0"/>
        <w:tabs>
          <w:tab w:val="left" w:pos="1305"/>
        </w:tabs>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13.3 供应商磋商报价应综合考虑工程总造价（包含提供本次工程范围的所有成本、税金、利润等），报价不得超出最高磋商总价限价。</w:t>
      </w:r>
    </w:p>
    <w:p w14:paraId="3659EA1C">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13.4供应商应在规定时间内在</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系统上提交最后报价，超出磋商小组设定的最后报价时限或其最后报价超出最高限价导致已通过评审的响应文件无效的，按供应商在提交响应文件截止时间后撤回响应文件处理。</w:t>
      </w:r>
    </w:p>
    <w:p w14:paraId="317C7C92">
      <w:pPr>
        <w:pageBreakBefore w:val="0"/>
        <w:widowControl w:val="0"/>
        <w:kinsoku/>
        <w:wordWrap/>
        <w:overflowPunct/>
        <w:topLinePunct w:val="0"/>
        <w:autoSpaceDE/>
        <w:autoSpaceDN/>
        <w:bidi w:val="0"/>
        <w:adjustRightInd/>
        <w:spacing w:line="360" w:lineRule="auto"/>
        <w:ind w:left="0" w:leftChars="0" w:firstLine="422" w:firstLineChars="200"/>
        <w:textAlignment w:val="auto"/>
        <w:outlineLvl w:val="9"/>
        <w:rPr>
          <w:rFonts w:hint="eastAsia" w:ascii="宋体" w:hAnsi="宋体" w:eastAsia="宋体" w:cs="宋体"/>
          <w:b/>
          <w:color w:val="auto"/>
          <w:kern w:val="0"/>
          <w:sz w:val="21"/>
          <w:szCs w:val="21"/>
          <w:highlight w:val="none"/>
          <w:shd w:val="clear" w:color="auto" w:fill="auto"/>
          <w:lang w:val="en-US" w:eastAsia="zh-CN" w:bidi="ar-SA"/>
        </w:rPr>
      </w:pPr>
      <w:r>
        <w:rPr>
          <w:rFonts w:hint="eastAsia" w:ascii="宋体" w:hAnsi="宋体" w:eastAsia="宋体" w:cs="宋体"/>
          <w:b/>
          <w:color w:val="auto"/>
          <w:kern w:val="0"/>
          <w:sz w:val="21"/>
          <w:szCs w:val="21"/>
          <w:highlight w:val="none"/>
          <w:shd w:val="clear" w:color="auto" w:fill="auto"/>
          <w:lang w:val="en-US" w:eastAsia="zh-CN" w:bidi="ar-SA"/>
        </w:rPr>
        <w:t xml:space="preserve">注：供应商的第二次磋商报价不得高于该供应商第一次磋商报价，否则做无效标处理。如供应商维持磋商报价不变，以原磋商报价作为供应商最后报价；如供应商需要改变原磋商报价时，供应商应预先准备好调整后的已标价的工程量清单（在提交最后报价时以附件形式上传）。如供应商在磋商过程中，改变原报价且未按竞争性磋商文件要求提供调整后的已标价的工程量清单，其报价不予认可，视供应商维持原磋商报价不变。 </w:t>
      </w:r>
    </w:p>
    <w:p w14:paraId="63D57511">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14. 响应文件有效期</w:t>
      </w:r>
      <w:bookmarkEnd w:id="146"/>
      <w:bookmarkEnd w:id="147"/>
      <w:bookmarkEnd w:id="148"/>
    </w:p>
    <w:p w14:paraId="3F7A6D5B">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14.1 响应文件有效期：响应文件递交截止时间之日起90天，有效期不足的响应文件将被拒绝。</w:t>
      </w:r>
    </w:p>
    <w:p w14:paraId="3A0F4B89">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14.2 出现特殊情况下，需要延长响应文件有效期的，采购代理机构书面通知供应商延长响应文件有效期。供应商同意延长的，但不能修改响应文件。供应商拒绝延长的，其响应文件无效。</w:t>
      </w:r>
    </w:p>
    <w:p w14:paraId="5652D6D8">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bookmarkStart w:id="149" w:name="_Toc31274"/>
      <w:bookmarkStart w:id="150" w:name="_Toc22602"/>
      <w:bookmarkStart w:id="151" w:name="_Toc30637"/>
      <w:r>
        <w:rPr>
          <w:rFonts w:hint="eastAsia" w:ascii="宋体" w:hAnsi="宋体" w:eastAsia="宋体" w:cs="宋体"/>
          <w:color w:val="auto"/>
          <w:sz w:val="21"/>
          <w:szCs w:val="21"/>
          <w:highlight w:val="none"/>
          <w:shd w:val="clear" w:color="auto" w:fill="auto"/>
        </w:rPr>
        <w:t>15. 保证金</w:t>
      </w:r>
      <w:bookmarkEnd w:id="149"/>
      <w:bookmarkEnd w:id="150"/>
      <w:bookmarkEnd w:id="151"/>
    </w:p>
    <w:p w14:paraId="085920BE">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b/>
          <w:bCs/>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本项目无需交纳磋商保证金。</w:t>
      </w:r>
    </w:p>
    <w:p w14:paraId="55F5F9D5">
      <w:pPr>
        <w:widowControl w:val="0"/>
        <w:spacing w:before="0" w:after="0" w:line="360" w:lineRule="auto"/>
        <w:ind w:firstLine="420" w:firstLineChars="200"/>
        <w:outlineLvl w:val="9"/>
        <w:rPr>
          <w:rFonts w:hint="eastAsia" w:ascii="宋体" w:hAnsi="宋体" w:eastAsia="宋体" w:cs="宋体"/>
          <w:color w:val="auto"/>
          <w:sz w:val="21"/>
          <w:szCs w:val="21"/>
          <w:highlight w:val="none"/>
        </w:rPr>
      </w:pPr>
      <w:bookmarkStart w:id="152" w:name="_Toc387"/>
      <w:bookmarkStart w:id="153" w:name="_Toc30118"/>
      <w:bookmarkStart w:id="154" w:name="_Toc26908"/>
      <w:bookmarkStart w:id="155" w:name="_Toc12"/>
      <w:r>
        <w:rPr>
          <w:rFonts w:hint="eastAsia" w:ascii="宋体" w:hAnsi="宋体" w:eastAsia="宋体" w:cs="宋体"/>
          <w:color w:val="auto"/>
          <w:sz w:val="21"/>
          <w:szCs w:val="21"/>
          <w:highlight w:val="none"/>
        </w:rPr>
        <w:t>16. 竞争性磋商响应文件的</w:t>
      </w:r>
      <w:bookmarkEnd w:id="152"/>
      <w:r>
        <w:rPr>
          <w:rFonts w:hint="eastAsia" w:ascii="宋体" w:hAnsi="宋体" w:eastAsia="宋体" w:cs="宋体"/>
          <w:color w:val="auto"/>
          <w:sz w:val="21"/>
          <w:szCs w:val="21"/>
          <w:highlight w:val="none"/>
        </w:rPr>
        <w:t>制作</w:t>
      </w:r>
      <w:bookmarkEnd w:id="153"/>
    </w:p>
    <w:p w14:paraId="6759FCE7">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 电子磋商响应文件中须加盖供应商公章部分均采用 CA 签章，并根据“政府采购项目电子交易管理操作指南-供应商” 及本磋商文件规定的格式和顺序编制电子磋商响应文件并进行关联定位，以便磋商小组在评审时，点击评分项可直接定位到该评分项内容。如对磋商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漏读，或者在按采购文件规定的部位查找不到相关内容的，由供应商自行承担。</w:t>
      </w:r>
    </w:p>
    <w:p w14:paraId="4C7FA94C">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供应商法人（负责人）或授权代表持有广西政府采购云平台个人CA签章的，应在响应文件中涉及到签字的位置使用个人CA签章，没有办理广西政府采购云平台个人CA签章的可在响应文件中涉及到签字的位置手写签字后扫描或者拍照做成 PDF 的格式上传即可。</w:t>
      </w:r>
    </w:p>
    <w:p w14:paraId="51ACA909">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 磋商响应文件不得涂改，若有修改错漏处，须法定代表人（负责人）或授权委托人签字（或个人CA签章）。磋商响应文件因字迹潦草或表达不清所引起的后果由供应商负责。</w:t>
      </w:r>
    </w:p>
    <w:p w14:paraId="4B4CB9A1">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16.4磋商前准备 </w:t>
      </w:r>
    </w:p>
    <w:p w14:paraId="52C3CD2A">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16.4.1本项目实行在线磋商，采用电子磋商响应文件。若供应商参与磋商，自行承担磋商一切费用。 </w:t>
      </w:r>
    </w:p>
    <w:p w14:paraId="6D278B6B">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16.4.2各供应商应在截标前应确保成为广西政府采购云平台正式注册入库供应商，并完成 CA 数字证书申领。因未注册入库、未办理 CA 数字证书等原因造成无法磋商或磋商失败等后果由供应商自行承担。 </w:t>
      </w:r>
    </w:p>
    <w:p w14:paraId="37C174D6">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16.4.3供应商将广西政府采购云平台电子交易客户端下载、安装完成后，可通过账号密码或 CA 登录客户端进行响应文件制作。客户端请至网站下载专区查看，如有问题可拨打广西政府采购云平台客户服务热线 95763 进行咨询。</w:t>
      </w:r>
    </w:p>
    <w:p w14:paraId="31AA8368">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17. 响应文件的修改和撤回</w:t>
      </w:r>
      <w:bookmarkEnd w:id="154"/>
      <w:bookmarkEnd w:id="155"/>
    </w:p>
    <w:p w14:paraId="12A52F61">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17.1 响应文件递交截止时间前可以撤回电子磋商响应文件。补充或者修改电子磋商响应文件的，应当先行撤回原文件，补充、修改后重新传输递交，磋商响应文件递交截止时间前未完成传输的，视为撤回磋商响应文件。</w:t>
      </w:r>
    </w:p>
    <w:p w14:paraId="4D65A6BB">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17.2 在响应文件递交截止时间后的响应文件有效期内，供应商不得撤回其响应文件。</w:t>
      </w:r>
    </w:p>
    <w:p w14:paraId="7F3714D9">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bookmarkStart w:id="156" w:name="_Toc30156"/>
      <w:bookmarkStart w:id="157" w:name="_Toc10164"/>
      <w:bookmarkStart w:id="158" w:name="_Toc26434"/>
      <w:r>
        <w:rPr>
          <w:rFonts w:hint="eastAsia" w:ascii="宋体" w:hAnsi="宋体" w:eastAsia="宋体" w:cs="宋体"/>
          <w:color w:val="auto"/>
          <w:sz w:val="21"/>
          <w:szCs w:val="21"/>
          <w:highlight w:val="none"/>
          <w:shd w:val="clear" w:color="auto" w:fill="auto"/>
        </w:rPr>
        <w:t>18. 响应文件的递交和解密</w:t>
      </w:r>
      <w:bookmarkEnd w:id="156"/>
      <w:bookmarkEnd w:id="157"/>
      <w:bookmarkEnd w:id="158"/>
    </w:p>
    <w:p w14:paraId="6A7C4755">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18.1响应文件递交截止时间：于</w:t>
      </w:r>
      <w:r>
        <w:rPr>
          <w:rFonts w:hint="eastAsia" w:ascii="宋体" w:hAnsi="宋体" w:cs="宋体"/>
          <w:color w:val="auto"/>
          <w:sz w:val="21"/>
          <w:szCs w:val="21"/>
          <w:highlight w:val="none"/>
          <w:u w:val="single"/>
          <w:shd w:val="clear" w:color="auto" w:fill="auto"/>
          <w:lang w:eastAsia="zh-CN"/>
        </w:rPr>
        <w:t>2026</w:t>
      </w:r>
      <w:r>
        <w:rPr>
          <w:rFonts w:hint="eastAsia" w:ascii="宋体" w:hAnsi="宋体" w:eastAsia="宋体" w:cs="宋体"/>
          <w:color w:val="auto"/>
          <w:sz w:val="21"/>
          <w:szCs w:val="21"/>
          <w:highlight w:val="none"/>
          <w:u w:val="single"/>
          <w:shd w:val="clear" w:color="auto" w:fill="auto"/>
          <w:lang w:eastAsia="zh-CN"/>
        </w:rPr>
        <w:t>年</w:t>
      </w:r>
      <w:r>
        <w:rPr>
          <w:rFonts w:hint="eastAsia" w:ascii="宋体" w:hAnsi="宋体" w:eastAsia="宋体" w:cs="宋体"/>
          <w:color w:val="auto"/>
          <w:sz w:val="21"/>
          <w:szCs w:val="21"/>
          <w:highlight w:val="none"/>
          <w:u w:val="single"/>
          <w:shd w:val="clear" w:color="auto" w:fill="auto"/>
          <w:lang w:val="en-US" w:eastAsia="zh-CN"/>
        </w:rPr>
        <w:t>8月28日09</w:t>
      </w:r>
      <w:r>
        <w:rPr>
          <w:rFonts w:hint="eastAsia" w:ascii="宋体" w:hAnsi="宋体" w:eastAsia="宋体" w:cs="宋体"/>
          <w:color w:val="auto"/>
          <w:sz w:val="21"/>
          <w:szCs w:val="21"/>
          <w:highlight w:val="none"/>
          <w:u w:val="single"/>
          <w:shd w:val="clear" w:color="auto" w:fill="auto"/>
        </w:rPr>
        <w:t>时30分</w:t>
      </w:r>
      <w:r>
        <w:rPr>
          <w:rFonts w:hint="eastAsia" w:ascii="宋体" w:hAnsi="宋体" w:eastAsia="宋体" w:cs="宋体"/>
          <w:color w:val="auto"/>
          <w:sz w:val="21"/>
          <w:szCs w:val="21"/>
          <w:highlight w:val="none"/>
          <w:shd w:val="clear" w:color="auto" w:fill="auto"/>
        </w:rPr>
        <w:t>之前将电子磋商响应文件上传到</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。应按照本项目磋商文件和</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的要求编制、加密传输磋商响应文件。供应商在使用系统进行响应的过程中遇到涉及平台使用的任何问题，可致电</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技术支持热线咨询，联系方式：</w:t>
      </w:r>
      <w:r>
        <w:rPr>
          <w:rFonts w:hint="eastAsia" w:ascii="宋体" w:hAnsi="宋体" w:eastAsia="宋体" w:cs="宋体"/>
          <w:color w:val="auto"/>
          <w:sz w:val="21"/>
          <w:szCs w:val="21"/>
          <w:highlight w:val="none"/>
          <w:shd w:val="clear" w:color="auto" w:fill="auto"/>
          <w:lang w:eastAsia="zh-CN"/>
        </w:rPr>
        <w:t>400-881-7190或95763</w:t>
      </w:r>
      <w:r>
        <w:rPr>
          <w:rFonts w:hint="eastAsia" w:ascii="宋体" w:hAnsi="宋体" w:eastAsia="宋体" w:cs="宋体"/>
          <w:color w:val="auto"/>
          <w:sz w:val="21"/>
          <w:szCs w:val="21"/>
          <w:highlight w:val="none"/>
          <w:shd w:val="clear" w:color="auto" w:fill="auto"/>
        </w:rPr>
        <w:t>。</w:t>
      </w:r>
    </w:p>
    <w:p w14:paraId="5A025630">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18.2磋商响应文件解密时间：截标时间后</w:t>
      </w:r>
      <w:r>
        <w:rPr>
          <w:rFonts w:hint="eastAsia" w:ascii="宋体" w:hAnsi="宋体" w:eastAsia="宋体" w:cs="宋体"/>
          <w:color w:val="auto"/>
          <w:sz w:val="21"/>
          <w:szCs w:val="21"/>
          <w:highlight w:val="none"/>
          <w:u w:val="single"/>
          <w:shd w:val="clear" w:color="auto" w:fill="auto"/>
        </w:rPr>
        <w:t>30</w:t>
      </w:r>
      <w:r>
        <w:rPr>
          <w:rFonts w:hint="eastAsia" w:ascii="宋体" w:hAnsi="宋体" w:eastAsia="宋体" w:cs="宋体"/>
          <w:color w:val="auto"/>
          <w:sz w:val="21"/>
          <w:szCs w:val="21"/>
          <w:highlight w:val="none"/>
          <w:shd w:val="clear" w:color="auto" w:fill="auto"/>
        </w:rPr>
        <w:t>分钟内（</w:t>
      </w:r>
      <w:r>
        <w:rPr>
          <w:rFonts w:hint="eastAsia" w:ascii="宋体" w:hAnsi="宋体" w:cs="宋体"/>
          <w:color w:val="auto"/>
          <w:sz w:val="21"/>
          <w:szCs w:val="21"/>
          <w:highlight w:val="none"/>
          <w:u w:val="single"/>
          <w:shd w:val="clear" w:color="auto" w:fill="auto"/>
          <w:lang w:eastAsia="zh-CN"/>
        </w:rPr>
        <w:t>2026</w:t>
      </w:r>
      <w:r>
        <w:rPr>
          <w:rFonts w:hint="eastAsia" w:ascii="宋体" w:hAnsi="宋体" w:eastAsia="宋体" w:cs="宋体"/>
          <w:color w:val="auto"/>
          <w:sz w:val="21"/>
          <w:szCs w:val="21"/>
          <w:highlight w:val="none"/>
          <w:u w:val="single"/>
          <w:shd w:val="clear" w:color="auto" w:fill="auto"/>
          <w:lang w:eastAsia="zh-CN"/>
        </w:rPr>
        <w:t>年</w:t>
      </w:r>
      <w:r>
        <w:rPr>
          <w:rFonts w:hint="eastAsia" w:ascii="宋体" w:hAnsi="宋体" w:eastAsia="宋体" w:cs="宋体"/>
          <w:color w:val="auto"/>
          <w:sz w:val="21"/>
          <w:szCs w:val="21"/>
          <w:highlight w:val="none"/>
          <w:u w:val="single"/>
          <w:shd w:val="clear" w:color="auto" w:fill="auto"/>
          <w:lang w:val="en-US" w:eastAsia="zh-CN"/>
        </w:rPr>
        <w:t>8月28日09</w:t>
      </w:r>
      <w:r>
        <w:rPr>
          <w:rFonts w:hint="eastAsia" w:ascii="宋体" w:hAnsi="宋体" w:eastAsia="宋体" w:cs="宋体"/>
          <w:color w:val="auto"/>
          <w:sz w:val="21"/>
          <w:szCs w:val="21"/>
          <w:highlight w:val="none"/>
          <w:u w:val="single"/>
          <w:shd w:val="clear" w:color="auto" w:fill="auto"/>
        </w:rPr>
        <w:t>时30分至1</w:t>
      </w:r>
      <w:r>
        <w:rPr>
          <w:rFonts w:hint="eastAsia" w:ascii="宋体" w:hAnsi="宋体" w:eastAsia="宋体" w:cs="宋体"/>
          <w:color w:val="auto"/>
          <w:sz w:val="21"/>
          <w:szCs w:val="21"/>
          <w:highlight w:val="none"/>
          <w:u w:val="single"/>
          <w:shd w:val="clear" w:color="auto" w:fill="auto"/>
          <w:lang w:val="en-US" w:eastAsia="zh-CN"/>
        </w:rPr>
        <w:t>0</w:t>
      </w:r>
      <w:r>
        <w:rPr>
          <w:rFonts w:hint="eastAsia" w:ascii="宋体" w:hAnsi="宋体" w:eastAsia="宋体" w:cs="宋体"/>
          <w:color w:val="auto"/>
          <w:sz w:val="21"/>
          <w:szCs w:val="21"/>
          <w:highlight w:val="none"/>
          <w:u w:val="single"/>
          <w:shd w:val="clear" w:color="auto" w:fill="auto"/>
        </w:rPr>
        <w:t>时00分</w:t>
      </w:r>
      <w:r>
        <w:rPr>
          <w:rFonts w:hint="eastAsia" w:ascii="宋体" w:hAnsi="宋体" w:eastAsia="宋体" w:cs="宋体"/>
          <w:color w:val="auto"/>
          <w:sz w:val="21"/>
          <w:szCs w:val="21"/>
          <w:highlight w:val="none"/>
          <w:shd w:val="clear" w:color="auto" w:fill="auto"/>
        </w:rPr>
        <w:t>)磋商供应商可以登录</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，用“项目采购-开标评标”功能进行解密磋商文件。若磋商供应商在规定时间内无法解密或解密失败，可以以电子备份磋商响应文件作为依据</w:t>
      </w:r>
      <w:r>
        <w:rPr>
          <w:rFonts w:hint="eastAsia" w:ascii="宋体" w:hAnsi="宋体" w:eastAsia="宋体" w:cs="宋体"/>
          <w:b/>
          <w:bCs/>
          <w:color w:val="auto"/>
          <w:sz w:val="21"/>
          <w:szCs w:val="21"/>
          <w:highlight w:val="none"/>
          <w:shd w:val="clear" w:color="auto" w:fill="auto"/>
        </w:rPr>
        <w:t>【在接到无法解密或解密失败的通知后，磋商供应商可根据自身实际情况按通知时要求的时间到桂林市公共资源交易中心</w:t>
      </w:r>
      <w:r>
        <w:rPr>
          <w:rFonts w:hint="eastAsia" w:ascii="宋体" w:hAnsi="宋体" w:eastAsia="宋体" w:cs="宋体"/>
          <w:b/>
          <w:bCs/>
          <w:color w:val="auto"/>
          <w:sz w:val="21"/>
          <w:szCs w:val="21"/>
          <w:highlight w:val="none"/>
          <w:u w:val="single"/>
          <w:shd w:val="clear" w:color="auto" w:fill="auto"/>
          <w:lang w:val="en-US" w:eastAsia="zh-CN"/>
        </w:rPr>
        <w:t xml:space="preserve"> </w:t>
      </w:r>
      <w:r>
        <w:rPr>
          <w:rFonts w:hint="eastAsia" w:ascii="宋体" w:hAnsi="宋体" w:cs="宋体"/>
          <w:b/>
          <w:bCs/>
          <w:color w:val="auto"/>
          <w:sz w:val="21"/>
          <w:szCs w:val="21"/>
          <w:highlight w:val="none"/>
          <w:u w:val="single"/>
          <w:shd w:val="clear" w:color="auto" w:fill="auto"/>
          <w:lang w:val="en-US" w:eastAsia="zh-CN"/>
        </w:rPr>
        <w:t xml:space="preserve"> 5</w:t>
      </w:r>
      <w:r>
        <w:rPr>
          <w:rFonts w:hint="eastAsia" w:ascii="宋体" w:hAnsi="宋体" w:eastAsia="宋体" w:cs="宋体"/>
          <w:b/>
          <w:bCs/>
          <w:color w:val="auto"/>
          <w:sz w:val="21"/>
          <w:szCs w:val="21"/>
          <w:highlight w:val="none"/>
          <w:u w:val="single"/>
          <w:shd w:val="clear" w:color="auto" w:fill="auto"/>
          <w:lang w:val="en-US" w:eastAsia="zh-CN"/>
        </w:rPr>
        <w:t xml:space="preserve"> </w:t>
      </w:r>
      <w:r>
        <w:rPr>
          <w:rFonts w:hint="eastAsia" w:ascii="宋体" w:hAnsi="宋体" w:cs="宋体"/>
          <w:b/>
          <w:bCs/>
          <w:color w:val="auto"/>
          <w:sz w:val="21"/>
          <w:szCs w:val="21"/>
          <w:highlight w:val="none"/>
          <w:u w:val="single"/>
          <w:shd w:val="clear" w:color="auto" w:fill="auto"/>
          <w:lang w:val="en-US" w:eastAsia="zh-CN"/>
        </w:rPr>
        <w:t xml:space="preserve"> </w:t>
      </w:r>
      <w:r>
        <w:rPr>
          <w:rFonts w:hint="eastAsia" w:ascii="宋体" w:hAnsi="宋体" w:eastAsia="宋体" w:cs="宋体"/>
          <w:b/>
          <w:bCs/>
          <w:color w:val="auto"/>
          <w:sz w:val="21"/>
          <w:szCs w:val="21"/>
          <w:highlight w:val="none"/>
          <w:shd w:val="clear" w:color="auto" w:fill="auto"/>
        </w:rPr>
        <w:t>号</w:t>
      </w:r>
      <w:r>
        <w:rPr>
          <w:rFonts w:hint="eastAsia" w:ascii="宋体" w:hAnsi="宋体" w:eastAsia="宋体" w:cs="宋体"/>
          <w:b/>
          <w:bCs/>
          <w:color w:val="auto"/>
          <w:sz w:val="21"/>
          <w:szCs w:val="21"/>
          <w:highlight w:val="none"/>
          <w:shd w:val="clear" w:color="auto" w:fill="auto"/>
          <w:lang w:val="en-US" w:eastAsia="zh-CN"/>
        </w:rPr>
        <w:t>政采开标仓</w:t>
      </w:r>
      <w:r>
        <w:rPr>
          <w:rFonts w:hint="eastAsia" w:ascii="宋体" w:hAnsi="宋体" w:eastAsia="宋体" w:cs="宋体"/>
          <w:b/>
          <w:bCs/>
          <w:color w:val="auto"/>
          <w:sz w:val="21"/>
          <w:szCs w:val="21"/>
          <w:highlight w:val="none"/>
          <w:shd w:val="clear" w:color="auto" w:fill="auto"/>
        </w:rPr>
        <w:t>现场提交或以电子邮件的形式（以通知时所告知的电子邮箱地址为准）提交电子备份磋商响应文件】</w:t>
      </w:r>
      <w:r>
        <w:rPr>
          <w:rFonts w:hint="eastAsia" w:ascii="宋体" w:hAnsi="宋体" w:eastAsia="宋体" w:cs="宋体"/>
          <w:color w:val="auto"/>
          <w:sz w:val="21"/>
          <w:szCs w:val="21"/>
          <w:highlight w:val="none"/>
          <w:shd w:val="clear" w:color="auto" w:fill="auto"/>
        </w:rPr>
        <w:t>，若磋商供应商在规定时间内无法解密或解密失败且未提供电子备份磋商响应文件的(包含提供的电子备份文件无效或无法解密的情况)，视为响应文件撤回。</w:t>
      </w:r>
    </w:p>
    <w:p w14:paraId="7B7999DA">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18.3 除竞争性磋商文件另有规定外，供应商所递交的响应文件不予退还。</w:t>
      </w:r>
    </w:p>
    <w:p w14:paraId="5635193F">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18.4 电子响应文件的相关说明</w:t>
      </w:r>
    </w:p>
    <w:p w14:paraId="0AA48D03">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 xml:space="preserve">（1）供应商进行电子响应应安装客户端软件，并按照采购文件和电子交易平台的要求编制并加密磋商响应文件。供应商未按规定加密的磋商响应文件，电子交易平台将拒收。供应商应当在磋商截止时间前完成磋商响应文件的传输递交，并可以补充、修改或者撤回磋商响应文件。补充或者修改磋商响应文件的，应当先行撤回原文件，补充、修改后重新传输递交。磋商截止时间前未完成传输的，视为撤回磋商响应文件。磋商截止时间后递交的磋商响应文件，电子交易平台将拒收。 </w:t>
      </w:r>
    </w:p>
    <w:p w14:paraId="48C8DB81">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（2）如有特殊情况，采购代理机构延长截止时间和开标时间，采购代理机构和供应商的权利和义务将受到新的截止时间和开标时间的约束。</w:t>
      </w:r>
      <w:bookmarkStart w:id="159" w:name="_Toc26492"/>
      <w:bookmarkStart w:id="160" w:name="_Toc15799"/>
      <w:bookmarkStart w:id="161" w:name="_Toc2433"/>
    </w:p>
    <w:p w14:paraId="029B5FEB">
      <w:pPr>
        <w:pageBreakBefore w:val="0"/>
        <w:widowControl w:val="0"/>
        <w:kinsoku/>
        <w:wordWrap/>
        <w:overflowPunct/>
        <w:topLinePunct w:val="0"/>
        <w:autoSpaceDE/>
        <w:autoSpaceDN/>
        <w:bidi w:val="0"/>
        <w:adjustRightInd/>
        <w:spacing w:line="360" w:lineRule="auto"/>
        <w:ind w:left="0" w:leftChars="0"/>
        <w:jc w:val="center"/>
        <w:textAlignment w:val="auto"/>
        <w:outlineLvl w:val="9"/>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四、竞争性磋商（简称磋商）与评审</w:t>
      </w:r>
      <w:bookmarkEnd w:id="159"/>
      <w:bookmarkEnd w:id="160"/>
      <w:bookmarkEnd w:id="161"/>
    </w:p>
    <w:p w14:paraId="48F21F19">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bookmarkStart w:id="162" w:name="_Toc29946"/>
      <w:bookmarkStart w:id="163" w:name="_Toc7595"/>
      <w:bookmarkStart w:id="164" w:name="_Toc31588"/>
      <w:r>
        <w:rPr>
          <w:rFonts w:hint="eastAsia" w:ascii="宋体" w:hAnsi="宋体" w:eastAsia="宋体" w:cs="宋体"/>
          <w:color w:val="auto"/>
          <w:sz w:val="21"/>
          <w:szCs w:val="21"/>
          <w:highlight w:val="none"/>
          <w:shd w:val="clear" w:color="auto" w:fill="auto"/>
        </w:rPr>
        <w:t>19. 磋商小组组成及磋商时间、地点、人员</w:t>
      </w:r>
      <w:bookmarkEnd w:id="162"/>
      <w:bookmarkEnd w:id="163"/>
      <w:bookmarkEnd w:id="164"/>
    </w:p>
    <w:p w14:paraId="23E5C1EA">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19.1 磋商小组组成：</w:t>
      </w:r>
    </w:p>
    <w:p w14:paraId="33E93FFF">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磋商及评审工作由采购代理机构负责组织，具体磋商、评审工作由依法组建的磋商小组负责，磋商小组由采购人代表和有关方面的专家组成。磋商小组的构成：</w:t>
      </w:r>
      <w:r>
        <w:rPr>
          <w:rFonts w:hint="eastAsia" w:ascii="宋体" w:hAnsi="宋体" w:eastAsia="宋体" w:cs="宋体"/>
          <w:color w:val="auto"/>
          <w:sz w:val="21"/>
          <w:szCs w:val="21"/>
          <w:highlight w:val="none"/>
          <w:u w:val="single"/>
          <w:shd w:val="clear" w:color="auto" w:fill="auto"/>
        </w:rPr>
        <w:t xml:space="preserve"> 3 </w:t>
      </w:r>
      <w:r>
        <w:rPr>
          <w:rFonts w:hint="eastAsia" w:ascii="宋体" w:hAnsi="宋体" w:eastAsia="宋体" w:cs="宋体"/>
          <w:color w:val="auto"/>
          <w:sz w:val="21"/>
          <w:szCs w:val="21"/>
          <w:highlight w:val="none"/>
          <w:shd w:val="clear" w:color="auto" w:fill="auto"/>
        </w:rPr>
        <w:t>人，其中采购人代表</w:t>
      </w:r>
      <w:r>
        <w:rPr>
          <w:rFonts w:hint="eastAsia" w:ascii="宋体" w:hAnsi="宋体" w:eastAsia="宋体" w:cs="宋体"/>
          <w:color w:val="auto"/>
          <w:sz w:val="21"/>
          <w:szCs w:val="21"/>
          <w:highlight w:val="none"/>
          <w:u w:val="single"/>
          <w:shd w:val="clear" w:color="auto" w:fill="auto"/>
        </w:rPr>
        <w:t xml:space="preserve"> 1 </w:t>
      </w:r>
      <w:r>
        <w:rPr>
          <w:rFonts w:hint="eastAsia" w:ascii="宋体" w:hAnsi="宋体" w:eastAsia="宋体" w:cs="宋体"/>
          <w:color w:val="auto"/>
          <w:sz w:val="21"/>
          <w:szCs w:val="21"/>
          <w:highlight w:val="none"/>
          <w:shd w:val="clear" w:color="auto" w:fill="auto"/>
        </w:rPr>
        <w:t>人， 专家</w:t>
      </w:r>
      <w:r>
        <w:rPr>
          <w:rFonts w:hint="eastAsia" w:ascii="宋体" w:hAnsi="宋体" w:eastAsia="宋体" w:cs="宋体"/>
          <w:color w:val="auto"/>
          <w:sz w:val="21"/>
          <w:szCs w:val="21"/>
          <w:highlight w:val="none"/>
          <w:u w:val="single"/>
          <w:shd w:val="clear" w:color="auto" w:fill="auto"/>
        </w:rPr>
        <w:t xml:space="preserve"> 2 </w:t>
      </w:r>
      <w:r>
        <w:rPr>
          <w:rFonts w:hint="eastAsia" w:ascii="宋体" w:hAnsi="宋体" w:eastAsia="宋体" w:cs="宋体"/>
          <w:color w:val="auto"/>
          <w:sz w:val="21"/>
          <w:szCs w:val="21"/>
          <w:highlight w:val="none"/>
          <w:shd w:val="clear" w:color="auto" w:fill="auto"/>
        </w:rPr>
        <w:t>人。</w:t>
      </w:r>
    </w:p>
    <w:p w14:paraId="26DC9AF2">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19.2 磋商时间、地点、人员：</w:t>
      </w:r>
    </w:p>
    <w:p w14:paraId="792F0602">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bookmarkStart w:id="165" w:name="_Toc9878"/>
      <w:r>
        <w:rPr>
          <w:rFonts w:hint="eastAsia" w:ascii="宋体" w:hAnsi="宋体" w:eastAsia="宋体" w:cs="宋体"/>
          <w:color w:val="auto"/>
          <w:sz w:val="21"/>
          <w:szCs w:val="21"/>
          <w:highlight w:val="none"/>
          <w:shd w:val="clear" w:color="auto" w:fill="auto"/>
        </w:rPr>
        <w:t>19.2.1磋商时间：响应文件递交截止时间后。</w:t>
      </w:r>
      <w:bookmarkEnd w:id="165"/>
    </w:p>
    <w:p w14:paraId="1D9A5E91">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bCs/>
          <w:color w:val="auto"/>
          <w:sz w:val="21"/>
          <w:szCs w:val="21"/>
          <w:highlight w:val="none"/>
          <w:shd w:val="clear" w:color="auto" w:fill="auto"/>
        </w:rPr>
      </w:pPr>
      <w:bookmarkStart w:id="166" w:name="_Toc29268"/>
      <w:r>
        <w:rPr>
          <w:rFonts w:hint="eastAsia" w:ascii="宋体" w:hAnsi="宋体" w:eastAsia="宋体" w:cs="宋体"/>
          <w:color w:val="auto"/>
          <w:sz w:val="21"/>
          <w:szCs w:val="21"/>
          <w:highlight w:val="none"/>
          <w:shd w:val="clear" w:color="auto" w:fill="auto"/>
        </w:rPr>
        <w:t>19.2.2磋商地点：</w:t>
      </w:r>
      <w:bookmarkEnd w:id="166"/>
      <w:bookmarkStart w:id="167" w:name="_Toc21307"/>
      <w:r>
        <w:rPr>
          <w:rFonts w:hint="eastAsia" w:ascii="宋体" w:hAnsi="宋体" w:eastAsia="宋体" w:cs="宋体"/>
          <w:bCs/>
          <w:color w:val="auto"/>
          <w:sz w:val="21"/>
          <w:szCs w:val="21"/>
          <w:highlight w:val="none"/>
          <w:shd w:val="clear" w:color="auto" w:fill="auto"/>
        </w:rPr>
        <w:t>供应商代表在响应文件提交当天实时</w:t>
      </w:r>
      <w:r>
        <w:rPr>
          <w:rFonts w:hint="eastAsia" w:ascii="宋体" w:hAnsi="宋体" w:cs="宋体"/>
          <w:bCs/>
          <w:color w:val="auto"/>
          <w:sz w:val="21"/>
          <w:szCs w:val="21"/>
          <w:highlight w:val="none"/>
          <w:shd w:val="clear" w:color="auto" w:fill="auto"/>
          <w:lang w:eastAsia="zh-CN"/>
        </w:rPr>
        <w:t>登录</w:t>
      </w:r>
      <w:r>
        <w:rPr>
          <w:rFonts w:hint="eastAsia" w:ascii="宋体" w:hAnsi="宋体" w:eastAsia="宋体" w:cs="宋体"/>
          <w:bCs/>
          <w:color w:val="auto"/>
          <w:sz w:val="21"/>
          <w:szCs w:val="21"/>
          <w:highlight w:val="none"/>
          <w:shd w:val="clear" w:color="auto" w:fill="auto"/>
        </w:rPr>
        <w:t>“</w:t>
      </w:r>
      <w:r>
        <w:rPr>
          <w:rFonts w:hint="eastAsia" w:ascii="宋体" w:hAnsi="宋体" w:eastAsia="宋体" w:cs="宋体"/>
          <w:bCs/>
          <w:color w:val="auto"/>
          <w:sz w:val="21"/>
          <w:szCs w:val="21"/>
          <w:highlight w:val="none"/>
          <w:shd w:val="clear" w:color="auto" w:fill="auto"/>
          <w:lang w:eastAsia="zh-CN"/>
        </w:rPr>
        <w:t>广西政府采购云平台</w:t>
      </w:r>
      <w:r>
        <w:rPr>
          <w:rFonts w:hint="eastAsia" w:ascii="宋体" w:hAnsi="宋体" w:eastAsia="宋体" w:cs="宋体"/>
          <w:bCs/>
          <w:color w:val="auto"/>
          <w:sz w:val="21"/>
          <w:szCs w:val="21"/>
          <w:highlight w:val="none"/>
          <w:shd w:val="clear" w:color="auto" w:fill="auto"/>
        </w:rPr>
        <w:t>”，按磋商小组要求在线等候参与磋商及提交最后报价。因供应商未保持实时在线，导致磋商小组无法及时与其取得联系，从而造成供应商未按规定参与磋商或报价的，其不利后果由供应商自行承担。</w:t>
      </w:r>
    </w:p>
    <w:bookmarkEnd w:id="167"/>
    <w:p w14:paraId="11C4649B">
      <w:pPr>
        <w:spacing w:line="360" w:lineRule="auto"/>
        <w:ind w:firstLine="420" w:firstLineChars="200"/>
        <w:outlineLvl w:val="9"/>
        <w:rPr>
          <w:rFonts w:hint="eastAsia" w:ascii="宋体" w:hAnsi="宋体" w:eastAsia="宋体" w:cs="宋体"/>
          <w:bCs/>
          <w:color w:val="auto"/>
          <w:szCs w:val="21"/>
          <w:highlight w:val="none"/>
        </w:rPr>
      </w:pPr>
      <w:bookmarkStart w:id="168" w:name="_Toc6288"/>
      <w:r>
        <w:rPr>
          <w:rFonts w:hint="eastAsia" w:ascii="宋体" w:hAnsi="宋体" w:eastAsia="宋体" w:cs="宋体"/>
          <w:color w:val="auto"/>
          <w:szCs w:val="21"/>
          <w:highlight w:val="none"/>
        </w:rPr>
        <w:t>19</w:t>
      </w:r>
      <w:r>
        <w:rPr>
          <w:rFonts w:hint="eastAsia" w:ascii="宋体" w:hAnsi="宋体" w:eastAsia="宋体" w:cs="宋体"/>
          <w:bCs/>
          <w:color w:val="auto"/>
          <w:szCs w:val="21"/>
          <w:highlight w:val="none"/>
        </w:rPr>
        <w:t>.2.3磋商参加人员：</w:t>
      </w:r>
      <w:r>
        <w:rPr>
          <w:rFonts w:hint="eastAsia" w:ascii="宋体" w:hAnsi="宋体" w:cs="宋体"/>
          <w:color w:val="auto"/>
          <w:sz w:val="21"/>
          <w:szCs w:val="21"/>
          <w:highlight w:val="none"/>
        </w:rPr>
        <w:t>供应商法定代表人或相应的委托代理人参加磋商。请供应商</w:t>
      </w:r>
      <w:r>
        <w:rPr>
          <w:rFonts w:hint="eastAsia" w:ascii="宋体" w:hAnsi="宋体" w:cs="宋体"/>
          <w:bCs/>
          <w:color w:val="auto"/>
          <w:sz w:val="21"/>
          <w:szCs w:val="21"/>
          <w:highlight w:val="none"/>
        </w:rPr>
        <w:t>实时登录</w:t>
      </w:r>
      <w:r>
        <w:rPr>
          <w:rFonts w:hint="eastAsia" w:ascii="宋体" w:hAnsi="宋体" w:cs="宋体"/>
          <w:color w:val="auto"/>
          <w:sz w:val="21"/>
          <w:szCs w:val="24"/>
          <w:highlight w:val="none"/>
        </w:rPr>
        <w:t>广西政府采购云平台</w:t>
      </w:r>
      <w:r>
        <w:rPr>
          <w:rFonts w:hint="eastAsia" w:ascii="宋体" w:hAnsi="宋体" w:cs="宋体"/>
          <w:color w:val="auto"/>
          <w:sz w:val="21"/>
          <w:szCs w:val="21"/>
          <w:highlight w:val="none"/>
        </w:rPr>
        <w:t>等候在线磋商</w:t>
      </w:r>
      <w:r>
        <w:rPr>
          <w:rFonts w:hint="eastAsia" w:ascii="宋体" w:hAnsi="宋体" w:eastAsia="宋体" w:cs="宋体"/>
          <w:bCs/>
          <w:color w:val="auto"/>
          <w:szCs w:val="21"/>
          <w:highlight w:val="none"/>
        </w:rPr>
        <w:t>。</w:t>
      </w:r>
    </w:p>
    <w:p w14:paraId="5BA3A5F9">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19.2.4响应文件递交截止时间后，由磋商小组在评标室内线上开启响应文件。</w:t>
      </w:r>
      <w:bookmarkEnd w:id="168"/>
    </w:p>
    <w:p w14:paraId="2B14E4B1">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bookmarkStart w:id="169" w:name="_Toc3381"/>
      <w:bookmarkStart w:id="170" w:name="_Toc25258"/>
      <w:bookmarkStart w:id="171" w:name="_Toc22332"/>
      <w:r>
        <w:rPr>
          <w:rFonts w:hint="eastAsia" w:ascii="宋体" w:hAnsi="宋体" w:eastAsia="宋体" w:cs="宋体"/>
          <w:color w:val="auto"/>
          <w:sz w:val="21"/>
          <w:szCs w:val="21"/>
          <w:highlight w:val="none"/>
          <w:shd w:val="clear" w:color="auto" w:fill="auto"/>
        </w:rPr>
        <w:t>20. 评审原则</w:t>
      </w:r>
      <w:bookmarkEnd w:id="169"/>
      <w:bookmarkEnd w:id="170"/>
      <w:bookmarkEnd w:id="171"/>
    </w:p>
    <w:p w14:paraId="1ED3D8B9">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20.1 磋商小组必须坚持公平、公正、科学和择优的原则。</w:t>
      </w:r>
    </w:p>
    <w:p w14:paraId="67D3CD71">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20.2 评审办法：综合评分法，具体详见第</w:t>
      </w:r>
      <w:r>
        <w:rPr>
          <w:rFonts w:hint="eastAsia" w:ascii="宋体" w:hAnsi="宋体" w:cs="宋体"/>
          <w:color w:val="auto"/>
          <w:sz w:val="21"/>
          <w:szCs w:val="21"/>
          <w:highlight w:val="none"/>
          <w:shd w:val="clear" w:color="auto" w:fill="auto"/>
          <w:lang w:eastAsia="zh-CN"/>
        </w:rPr>
        <w:t>四</w:t>
      </w:r>
      <w:r>
        <w:rPr>
          <w:rFonts w:hint="eastAsia" w:ascii="宋体" w:hAnsi="宋体" w:eastAsia="宋体" w:cs="宋体"/>
          <w:color w:val="auto"/>
          <w:sz w:val="21"/>
          <w:szCs w:val="21"/>
          <w:highlight w:val="none"/>
          <w:shd w:val="clear" w:color="auto" w:fill="auto"/>
        </w:rPr>
        <w:t>章评审办法。</w:t>
      </w:r>
    </w:p>
    <w:p w14:paraId="4C14B242">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20.3 磋商小组应按磋商文件进行评审，不得擅自更改评审办法。</w:t>
      </w:r>
    </w:p>
    <w:p w14:paraId="67015F02">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20.4 在评审过程中，磋商小组任何人不得对某个供应商发表任何倾向性意见，不得向其他磋商小组成员明示或者暗示自己的评审意见。</w:t>
      </w:r>
    </w:p>
    <w:p w14:paraId="4A023A49">
      <w:pPr>
        <w:pageBreakBefore w:val="0"/>
        <w:widowControl w:val="0"/>
        <w:kinsoku/>
        <w:wordWrap/>
        <w:overflowPunct/>
        <w:topLinePunct w:val="0"/>
        <w:autoSpaceDE/>
        <w:autoSpaceDN/>
        <w:bidi w:val="0"/>
        <w:adjustRightInd/>
        <w:spacing w:line="360" w:lineRule="auto"/>
        <w:ind w:left="0" w:leftChars="0" w:firstLine="420" w:firstLineChars="200"/>
        <w:jc w:val="left"/>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20.5 磋商小组成员对需要共同认定的事项存在争议的，按照少数服从多数的原则作出结论。持不同意见的磋商小组成员应当在评审报告上签署不同意见并说明理由，否则视为同意。</w:t>
      </w:r>
    </w:p>
    <w:p w14:paraId="39D544F5">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20.6 响应文件最后报价出现前后不一致的，除竞争性磋商文件另有规定外，按照下列规定修正：</w:t>
      </w:r>
    </w:p>
    <w:p w14:paraId="5B4F2E9B">
      <w:pPr>
        <w:pStyle w:val="84"/>
        <w:pageBreakBefore w:val="0"/>
        <w:widowControl w:val="0"/>
        <w:tabs>
          <w:tab w:val="left" w:pos="1099"/>
        </w:tabs>
        <w:kinsoku/>
        <w:wordWrap/>
        <w:overflowPunct/>
        <w:topLinePunct w:val="0"/>
        <w:autoSpaceDE/>
        <w:autoSpaceDN/>
        <w:bidi w:val="0"/>
        <w:adjustRightInd/>
        <w:spacing w:line="360" w:lineRule="auto"/>
        <w:ind w:left="0" w:leftChars="0" w:firstLine="0" w:firstLineChars="0"/>
        <w:jc w:val="left"/>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 响应文件中磋商报价表内容与响应文件中相应内容不一致的，以最后磋商报价表为准；</w:t>
      </w:r>
    </w:p>
    <w:p w14:paraId="7810201C">
      <w:pPr>
        <w:pStyle w:val="84"/>
        <w:pageBreakBefore w:val="0"/>
        <w:widowControl w:val="0"/>
        <w:tabs>
          <w:tab w:val="left" w:pos="1099"/>
        </w:tabs>
        <w:kinsoku/>
        <w:wordWrap/>
        <w:overflowPunct/>
        <w:topLinePunct w:val="0"/>
        <w:autoSpaceDE/>
        <w:autoSpaceDN/>
        <w:bidi w:val="0"/>
        <w:adjustRightInd/>
        <w:spacing w:line="360" w:lineRule="auto"/>
        <w:ind w:left="0" w:leftChars="0" w:firstLine="0" w:firstLineChars="0"/>
        <w:jc w:val="left"/>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 大写金额和小写金额不一致的，以大写金额为准；</w:t>
      </w:r>
    </w:p>
    <w:p w14:paraId="716FBD90">
      <w:pPr>
        <w:pStyle w:val="84"/>
        <w:pageBreakBefore w:val="0"/>
        <w:widowControl w:val="0"/>
        <w:tabs>
          <w:tab w:val="left" w:pos="1099"/>
        </w:tabs>
        <w:kinsoku/>
        <w:wordWrap/>
        <w:overflowPunct/>
        <w:topLinePunct w:val="0"/>
        <w:autoSpaceDE/>
        <w:autoSpaceDN/>
        <w:bidi w:val="0"/>
        <w:adjustRightInd/>
        <w:spacing w:line="360" w:lineRule="auto"/>
        <w:ind w:left="0" w:leftChars="0" w:firstLine="0" w:firstLineChars="0"/>
        <w:jc w:val="left"/>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 单价金额小数点或者百分比有明显错位的，以报价表的总价为准，并修改单价；</w:t>
      </w:r>
    </w:p>
    <w:p w14:paraId="3F992DD6">
      <w:pPr>
        <w:pStyle w:val="84"/>
        <w:pageBreakBefore w:val="0"/>
        <w:widowControl w:val="0"/>
        <w:tabs>
          <w:tab w:val="left" w:pos="1099"/>
        </w:tabs>
        <w:kinsoku/>
        <w:wordWrap/>
        <w:overflowPunct/>
        <w:topLinePunct w:val="0"/>
        <w:autoSpaceDE/>
        <w:autoSpaceDN/>
        <w:bidi w:val="0"/>
        <w:adjustRightInd/>
        <w:spacing w:line="360" w:lineRule="auto"/>
        <w:ind w:left="0" w:leftChars="0" w:firstLine="0" w:firstLineChars="0"/>
        <w:jc w:val="left"/>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(4) 总价金额与按单价汇总金额不一致的，以单价金额计算结果为准。</w:t>
      </w:r>
    </w:p>
    <w:p w14:paraId="500DAAC8">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同时出现两种以上不一致的，按照前款规定的顺序修正。修正后的报价（不得超出响应文件的范围或者改变响应文件的实质性内容）经磋商供应商确认后产生约束力，磋商供应商不确认的，作无效响应处理。</w:t>
      </w:r>
    </w:p>
    <w:p w14:paraId="2022B12B">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bookmarkStart w:id="172" w:name="_Toc27193"/>
      <w:bookmarkStart w:id="173" w:name="_Toc31876"/>
      <w:bookmarkStart w:id="174" w:name="_Toc9284"/>
      <w:r>
        <w:rPr>
          <w:rFonts w:hint="eastAsia" w:ascii="宋体" w:hAnsi="宋体" w:eastAsia="宋体" w:cs="宋体"/>
          <w:color w:val="auto"/>
          <w:sz w:val="21"/>
          <w:szCs w:val="21"/>
          <w:highlight w:val="none"/>
          <w:shd w:val="clear" w:color="auto" w:fill="auto"/>
        </w:rPr>
        <w:t>21. 评审程序及磋商要求</w:t>
      </w:r>
      <w:bookmarkEnd w:id="172"/>
      <w:bookmarkEnd w:id="173"/>
      <w:bookmarkEnd w:id="174"/>
    </w:p>
    <w:p w14:paraId="3D5528D5">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21.1磋商小组成员的通讯工具或相关电子设备交由桂林市公共资源交易中心统一保管后到达评标室，采购代理机构核实磋商小组成员身份，告知回避要求，宣布评审工作纪律和程序，推选磋商小组组长。</w:t>
      </w:r>
    </w:p>
    <w:p w14:paraId="4A40D577">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21.2磋商小组应当对发布公告的竞争性磋商文件（简称磋商文件）进行确认，审查供应商的响应文件并作出评价；要求供应商解释或者澄清其响应文件；编写评审报告；告知采购人、采购代理机构在评审过程中发现的供应商的违法违规行为。</w:t>
      </w:r>
    </w:p>
    <w:p w14:paraId="340B9EA5">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 xml:space="preserve">21.3磋商小组依据竞争性磋商文件的规定，首先对响应文件进行资格性审查，以确定供应商是否具备本项目供应商资格；再对通过资格性审查的供应商响应文件的有效性、完整性和对磋商文件的响应程度进行符合性审查，以确定是否对磋商文件的实质性要求做出响应。 </w:t>
      </w:r>
    </w:p>
    <w:p w14:paraId="69A5B174">
      <w:pPr>
        <w:pageBreakBefore w:val="0"/>
        <w:widowControl w:val="0"/>
        <w:kinsoku/>
        <w:wordWrap/>
        <w:overflowPunct/>
        <w:topLinePunct w:val="0"/>
        <w:autoSpaceDE/>
        <w:autoSpaceDN/>
        <w:bidi w:val="0"/>
        <w:adjustRightInd/>
        <w:spacing w:line="360" w:lineRule="auto"/>
        <w:ind w:left="0" w:leftChars="0" w:firstLine="422" w:firstLineChars="200"/>
        <w:textAlignment w:val="auto"/>
        <w:outlineLvl w:val="9"/>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21.4 磋商小组在对供应商进行资格性审查时，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响应文件无效处理。</w:t>
      </w:r>
    </w:p>
    <w:p w14:paraId="378A0677">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21.4.1 查询渠道：《国家企业信用信息公示系统》（网址：www.gsxt.gov.cn/index.html）</w:t>
      </w:r>
    </w:p>
    <w:p w14:paraId="2D2D9166">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21.4.2 审查流程：</w:t>
      </w:r>
    </w:p>
    <w:p w14:paraId="3B494275">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（1）进入《国家企业信用信息公示系统》（网址：www.gsxt.gov.cn/index.html），输入企业名称，进入企业信息主页面；</w:t>
      </w:r>
    </w:p>
    <w:p w14:paraId="27D4F050">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（2）查看主页“股东及出资信息”栏，或年报中的“股东及出资信息”栏信息；</w:t>
      </w:r>
    </w:p>
    <w:p w14:paraId="1CB29C4A">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（3）将各供应商的股东及出资信息进行比对，得出审查结论；</w:t>
      </w:r>
    </w:p>
    <w:p w14:paraId="47A00A43">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（4）将相关资料作为评审资料打印存档。</w:t>
      </w:r>
    </w:p>
    <w:p w14:paraId="24A7BD19">
      <w:pPr>
        <w:pageBreakBefore w:val="0"/>
        <w:widowControl w:val="0"/>
        <w:kinsoku/>
        <w:wordWrap/>
        <w:overflowPunct/>
        <w:topLinePunct w:val="0"/>
        <w:autoSpaceDE/>
        <w:autoSpaceDN/>
        <w:bidi w:val="0"/>
        <w:adjustRightInd/>
        <w:spacing w:line="360" w:lineRule="auto"/>
        <w:ind w:left="0" w:leftChars="0" w:firstLine="422" w:firstLineChars="200"/>
        <w:textAlignment w:val="auto"/>
        <w:outlineLvl w:val="9"/>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21.5 磋商小组如发现供应商提供的证明文件不齐全或不符合规定格式的，应一次性告知供应商，供应商应在规定的时间内线上补正或更正。</w:t>
      </w:r>
    </w:p>
    <w:p w14:paraId="65054D79">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21.6 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澄清、说明或者更正应由其法定代表人或相应的授权委托代表签字（个人CA签章)或者加盖供应商公章(CA签章)。</w:t>
      </w:r>
    </w:p>
    <w:p w14:paraId="5537C9E7">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根据磋商文件规定的程序、评定成交的标准等事项与实质性响应竞争性磋商文件要求的供应商进行磋商。</w:t>
      </w:r>
    </w:p>
    <w:p w14:paraId="3C813B2D">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 xml:space="preserve">未实质性响应磋商文件的响应文件按无效处理，磋商小组应当告知有关供应商。 </w:t>
      </w:r>
    </w:p>
    <w:p w14:paraId="1D874E6B">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磋商小组所有成员应当按已确定的磋商顺序集中与单一供应商分别进行磋商，并给予所有实质性响应竞争性磋商文件要求的供应商平等的磋商机会。</w:t>
      </w:r>
    </w:p>
    <w:p w14:paraId="2143A178">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 xml:space="preserve">磋商中，磋商小组不得透露与磋商有关的其他供应商的技术资料、价格和其他信息。 </w:t>
      </w:r>
    </w:p>
    <w:p w14:paraId="4DA202D3">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磋商小组对磋商过程和重要磋商内容进行记录，磋商双方在记录上签字确认（个人CA签章)或者加盖供应商公章(CA签章)。</w:t>
      </w:r>
    </w:p>
    <w:p w14:paraId="45E51DE6">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21.7当磋商小组一致确定磋商供应商的竞争性磋商响应文件能够详细列明采购标的的技术、服务要求且符合竞争性磋商文件要求，无需再磋商的，磋商小组按竞争性磋商文件设定的21.11、21.16程序和综合评分法确定成交候选人。第一轮磋商后竞争性磋商文件有实质性变动或仍需磋商的，磋商小组对竞争性磋商文件变动或提出磋商意见后进行第二轮磋商。</w:t>
      </w:r>
    </w:p>
    <w:p w14:paraId="127CBA65">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 xml:space="preserve">21.8 在磋商过程中，磋商小组可以根据磋商文件和磋商情况实质性变动项目需求中的技术、服务要求以及合同草案条款，但不得变动磋商文件中的其他内容。实质性变动的内容，须经采购人代表确认。 </w:t>
      </w:r>
    </w:p>
    <w:p w14:paraId="64D09FB3">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对磋商文件作出的实质性变动是磋商文件的有效组成部分，磋商小组应当及时通过</w:t>
      </w:r>
      <w:r>
        <w:rPr>
          <w:rFonts w:hint="eastAsia" w:ascii="宋体" w:hAnsi="宋体" w:eastAsia="宋体" w:cs="宋体"/>
          <w:color w:val="auto"/>
          <w:sz w:val="21"/>
          <w:szCs w:val="21"/>
          <w:highlight w:val="none"/>
          <w:shd w:val="clear" w:color="auto" w:fill="auto"/>
          <w:lang w:eastAsia="zh-CN"/>
        </w:rPr>
        <w:t>广西政府采购云平台</w:t>
      </w:r>
      <w:r>
        <w:rPr>
          <w:rFonts w:hint="eastAsia" w:ascii="宋体" w:hAnsi="宋体" w:eastAsia="宋体" w:cs="宋体"/>
          <w:color w:val="auto"/>
          <w:sz w:val="21"/>
          <w:szCs w:val="21"/>
          <w:highlight w:val="none"/>
          <w:shd w:val="clear" w:color="auto" w:fill="auto"/>
        </w:rPr>
        <w:t xml:space="preserve">同时通知所有参加磋商的供应商。 </w:t>
      </w:r>
    </w:p>
    <w:p w14:paraId="195CA0B6">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 xml:space="preserve">供应商应当按照磋商文件的变动情况和磋商小组的要求重新提交响应文件，并由其法定代表人、负责人、自然人或相应的授权委托代表签字（个人CA签章）或者加盖供应商公章(CA签章)。逾时不交的，视同放弃磋商。 </w:t>
      </w:r>
    </w:p>
    <w:p w14:paraId="30B3D03B">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21.9 第二轮磋商</w:t>
      </w:r>
    </w:p>
    <w:p w14:paraId="3BBCF263">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磋商小组集中就重新提交的响应文件或磋商小组提出的磋商意见与单一响应供应商分别进行磋商。磋商小组对磋商过程和重要磋商内容进行记录，磋商双方在记录上签字确认（CA签章确认）。</w:t>
      </w:r>
    </w:p>
    <w:p w14:paraId="5213EFCA">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磋商后，供应商根据磋商小组统一整理的书面磋商记录要求做出书面承诺，并由其法定代表人或授权代表签字或者加盖公章（CA签章）后按时线上提交。</w:t>
      </w:r>
    </w:p>
    <w:p w14:paraId="767AE972">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当磋商小组一致确定供应商的竞争性磋商响应文件符合竞争性磋商文件要求，无需再磋商的，磋商小组按竞争性磋商文件设定的21.11、21.16程序和评审方法确定成交候选人。第二轮磋商后竞争性磋商文件仍有实质性变动的或仍需磋商的，磋商小组对竞争性磋商文件变动或提出磋商意见后进行第三轮磋商。以此类推。</w:t>
      </w:r>
    </w:p>
    <w:p w14:paraId="2DAC398F">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 xml:space="preserve">21.10 在采购过程中符合竞争要求的供应商或者报价未超过采购预算的供应商不足3家的，采购人或者采购代理机构应当终止竞争性磋商采购活动。 </w:t>
      </w:r>
    </w:p>
    <w:p w14:paraId="0A6E7C6A">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 xml:space="preserve">21.11 最后报价 </w:t>
      </w:r>
    </w:p>
    <w:p w14:paraId="04DBBA30">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 xml:space="preserve">21.11.1 磋商文件能够详细列明采购标的的技术、服务要求的，磋商结束后，磋商小组应当要求所有继续参加磋商的供应商在规定时间内线上提交最后报价，提交最后报价的供应商不得少于3家。 </w:t>
      </w:r>
    </w:p>
    <w:p w14:paraId="10DCA6A8">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 xml:space="preserve">21.11.2 磋商文件不能详细列明采购标的的技术、服务要求的，需由磋商供应商提供最终设计方案或解决方案的，磋商结束后，磋商小组应当按照少数服从多数的原则投票推荐3家以上（含3家）供应商的设计方案或者解决方案，并要求其在规定时间内线上提交最后报价。 </w:t>
      </w:r>
    </w:p>
    <w:p w14:paraId="0C7A11C1">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21.11.3 根据《财政部关于政府采购竞争性磋商采购方式管理暂行办法有关问题的补充通知》(财库〔2014〕214号)的规定，如采购项目为政府购买服务项目（含政府和社会资本合作项目），在采购过程中符合要求的供应商（社会资本）只有2家的，竞争性磋商采购活动可以继续进行，并要求其在规定时间内线上提交最后报价；采购过程中符合要求的供应商（社会资本）只有1家的，采购人或者采购代理机构应当终止竞争性磋商采购活动，发布项目终止公告并说明原因，重新开展采购活动。</w:t>
      </w:r>
    </w:p>
    <w:p w14:paraId="74BD604C">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bCs/>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21.11.4 根据《政府采购竞争性磋商采购方式管理暂行办法》(财库〔2014〕214号)的规定：</w:t>
      </w:r>
      <w:r>
        <w:rPr>
          <w:rFonts w:hint="eastAsia" w:ascii="宋体" w:hAnsi="宋体" w:eastAsia="宋体" w:cs="宋体"/>
          <w:bCs/>
          <w:color w:val="auto"/>
          <w:sz w:val="21"/>
          <w:szCs w:val="21"/>
          <w:highlight w:val="none"/>
          <w:shd w:val="clear" w:color="auto" w:fill="auto"/>
        </w:rPr>
        <w:t>最后报价是供应商响应文件的有效组成部分。</w:t>
      </w:r>
      <w:r>
        <w:rPr>
          <w:rFonts w:hint="eastAsia" w:ascii="宋体" w:hAnsi="宋体" w:eastAsia="宋体" w:cs="宋体"/>
          <w:color w:val="auto"/>
          <w:sz w:val="21"/>
          <w:szCs w:val="21"/>
          <w:highlight w:val="none"/>
          <w:shd w:val="clear" w:color="auto" w:fill="auto"/>
        </w:rPr>
        <w:t>符合本办法(财库〔2014〕214号文)第三条第四项情形的，提交最后报价的供应商可以为2家。</w:t>
      </w:r>
      <w:r>
        <w:rPr>
          <w:rFonts w:hint="eastAsia" w:ascii="宋体" w:hAnsi="宋体" w:eastAsia="宋体" w:cs="宋体"/>
          <w:bCs/>
          <w:color w:val="auto"/>
          <w:sz w:val="21"/>
          <w:szCs w:val="21"/>
          <w:highlight w:val="none"/>
          <w:shd w:val="clear" w:color="auto" w:fill="auto"/>
        </w:rPr>
        <w:t>（财库〔2014〕214号文第三条第四项：市场竞争不充分的科研项目，以及需要扶持的科技成果转化项目。）</w:t>
      </w:r>
    </w:p>
    <w:p w14:paraId="27E7B35D">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21.12 已提交响应文件的供应商，在提交最后报价之前，可以根据磋商情况书面退出磋商。</w:t>
      </w:r>
    </w:p>
    <w:p w14:paraId="6C237A94">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未书面退出磋商的供应商在规定时间内线上提交最后报价，其最后报价超出采购预算导致已通过评审的响应文件无效的，按供应商在提交响应文件截止时间后撤回响应文件处理。</w:t>
      </w:r>
    </w:p>
    <w:p w14:paraId="72618BDE">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21.13 评审报告</w:t>
      </w:r>
    </w:p>
    <w:p w14:paraId="35C88A85">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磋商小组应当从质量和服务均能满足磋商文件全部实质性响应要求的供应商中，按照最后综合得分由高到低的顺序提出3名以上（含3名）成交候选人，并编写评审报告。</w:t>
      </w:r>
    </w:p>
    <w:p w14:paraId="3AABE0E7">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21.14 在评审过程中出现法律法规和磋商文件均没有明确规定的情形时，由磋商小组现场协商解决，协商不一致的，由全体磋商小组投票表决，以得票率二分之一以上磋商小组成员的意见为准。</w:t>
      </w:r>
    </w:p>
    <w:p w14:paraId="083C249A">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21.15 采购代理机构发现磋商小组有明显的违规倾向或歧视现象，或不按评审办法进行，或其他不正常行为的，应当及时制止。如制止无效，应及时向</w:t>
      </w:r>
      <w:r>
        <w:rPr>
          <w:rFonts w:hint="eastAsia" w:ascii="宋体" w:hAnsi="宋体" w:eastAsia="宋体" w:cs="宋体"/>
          <w:color w:val="auto"/>
          <w:kern w:val="0"/>
          <w:sz w:val="21"/>
          <w:szCs w:val="21"/>
          <w:highlight w:val="none"/>
          <w:shd w:val="clear" w:color="auto" w:fill="auto"/>
          <w:lang w:eastAsia="zh-CN"/>
        </w:rPr>
        <w:t>桂林市</w:t>
      </w:r>
      <w:r>
        <w:rPr>
          <w:rFonts w:hint="eastAsia" w:ascii="宋体" w:hAnsi="宋体" w:cs="宋体"/>
          <w:color w:val="auto"/>
          <w:kern w:val="0"/>
          <w:sz w:val="21"/>
          <w:szCs w:val="21"/>
          <w:highlight w:val="none"/>
          <w:shd w:val="clear" w:color="auto" w:fill="auto"/>
          <w:lang w:val="en-US" w:eastAsia="zh-CN"/>
        </w:rPr>
        <w:t>临桂区</w:t>
      </w:r>
      <w:r>
        <w:rPr>
          <w:rFonts w:hint="eastAsia" w:ascii="宋体" w:hAnsi="宋体" w:eastAsia="宋体" w:cs="宋体"/>
          <w:color w:val="auto"/>
          <w:kern w:val="0"/>
          <w:sz w:val="21"/>
          <w:szCs w:val="21"/>
          <w:highlight w:val="none"/>
          <w:shd w:val="clear" w:color="auto" w:fill="auto"/>
          <w:lang w:eastAsia="zh-CN"/>
        </w:rPr>
        <w:t>政府采购办公室</w:t>
      </w:r>
      <w:r>
        <w:rPr>
          <w:rFonts w:hint="eastAsia" w:ascii="宋体" w:hAnsi="宋体" w:eastAsia="宋体" w:cs="宋体"/>
          <w:color w:val="auto"/>
          <w:sz w:val="21"/>
          <w:szCs w:val="21"/>
          <w:highlight w:val="none"/>
          <w:shd w:val="clear" w:color="auto" w:fill="auto"/>
        </w:rPr>
        <w:t>监督管理机构报告。</w:t>
      </w:r>
    </w:p>
    <w:p w14:paraId="7D5AC6F4">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b/>
          <w:bCs/>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21.16 本采购项目的评审依据为竞争性磋商文件和竞争性磋商响应文件，采用的评审方法为</w:t>
      </w:r>
      <w:r>
        <w:rPr>
          <w:rFonts w:hint="eastAsia" w:ascii="宋体" w:hAnsi="宋体" w:eastAsia="宋体" w:cs="宋体"/>
          <w:b/>
          <w:bCs/>
          <w:color w:val="auto"/>
          <w:sz w:val="21"/>
          <w:szCs w:val="21"/>
          <w:highlight w:val="none"/>
          <w:shd w:val="clear" w:color="auto" w:fill="auto"/>
        </w:rPr>
        <w:t>综合评分法。</w:t>
      </w:r>
    </w:p>
    <w:p w14:paraId="4AFC1D2E">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bookmarkStart w:id="175" w:name="_Toc6719"/>
      <w:bookmarkStart w:id="176" w:name="_Toc15346"/>
      <w:bookmarkStart w:id="177" w:name="_Toc32470"/>
      <w:r>
        <w:rPr>
          <w:rFonts w:hint="eastAsia" w:ascii="宋体" w:hAnsi="宋体" w:eastAsia="宋体" w:cs="宋体"/>
          <w:color w:val="auto"/>
          <w:sz w:val="21"/>
          <w:szCs w:val="21"/>
          <w:highlight w:val="none"/>
          <w:shd w:val="clear" w:color="auto" w:fill="auto"/>
        </w:rPr>
        <w:t>22. 确定成交供应商</w:t>
      </w:r>
      <w:bookmarkEnd w:id="175"/>
      <w:bookmarkEnd w:id="176"/>
      <w:bookmarkEnd w:id="177"/>
    </w:p>
    <w:p w14:paraId="32F148E6">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22.1磋商小组应当根据综合得分情况，按照综合得分由高到低顺序推荐成交候选人，并编写评审报告。磋商小组根据综合得分由高到低排列次序，若得分相同时，以最后报价由低到高顺序排列；若得分相同且最后报价相同的，由磋商小组按照技术指标优劣顺序推荐。</w:t>
      </w:r>
    </w:p>
    <w:p w14:paraId="0FC71F0B">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22.2采购单位应当确定磋商小组推荐排名第一的成交候选人为成交供应商。</w:t>
      </w:r>
    </w:p>
    <w:p w14:paraId="49168650">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22.3排名第一的成交候选人放弃成交、因不可抗力提出不能履行合同，或信用信息记录不符合相关规定的，或者磋商文件规定应当提交履约保证金而在规定的期限内未能提交的，采购单位可以依法确定排名第二的成交候选人为成交供应商。</w:t>
      </w:r>
    </w:p>
    <w:p w14:paraId="5599FF9C">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22.4排名第二的成交候选人因前款规定的同样原因不能签订合同的，采购单位可以依法确定排名第三的成交候选人为成交供应商。</w:t>
      </w:r>
    </w:p>
    <w:p w14:paraId="79279411">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bookmarkStart w:id="178" w:name="_Toc582"/>
      <w:bookmarkStart w:id="179" w:name="_Toc30087"/>
      <w:bookmarkStart w:id="180" w:name="_Toc21715"/>
      <w:r>
        <w:rPr>
          <w:rFonts w:hint="eastAsia" w:ascii="宋体" w:hAnsi="宋体" w:eastAsia="宋体" w:cs="宋体"/>
          <w:color w:val="auto"/>
          <w:sz w:val="21"/>
          <w:szCs w:val="21"/>
          <w:highlight w:val="none"/>
          <w:shd w:val="clear" w:color="auto" w:fill="auto"/>
        </w:rPr>
        <w:t>23. 属于下列情况之一者，响应文件无效</w:t>
      </w:r>
      <w:bookmarkEnd w:id="178"/>
      <w:bookmarkEnd w:id="179"/>
      <w:bookmarkEnd w:id="180"/>
    </w:p>
    <w:p w14:paraId="2C7047D7">
      <w:pPr>
        <w:pStyle w:val="16"/>
        <w:keepNext w:val="0"/>
        <w:keepLines w:val="0"/>
        <w:pageBreakBefore w:val="0"/>
        <w:widowControl w:val="0"/>
        <w:kinsoku/>
        <w:wordWrap w:val="0"/>
        <w:overflowPunct/>
        <w:topLinePunct w:val="0"/>
        <w:bidi w:val="0"/>
        <w:spacing w:line="360" w:lineRule="auto"/>
        <w:ind w:left="0" w:right="0" w:firstLine="456" w:firstLineChars="200"/>
        <w:outlineLvl w:val="9"/>
        <w:rPr>
          <w:rFonts w:hint="eastAsia" w:asciiTheme="minorEastAsia" w:hAnsiTheme="minorEastAsia" w:eastAsiaTheme="minorEastAsia" w:cstheme="minorEastAsia"/>
          <w:color w:val="auto"/>
          <w:position w:val="0"/>
          <w:sz w:val="21"/>
          <w:szCs w:val="21"/>
          <w:highlight w:val="none"/>
        </w:rPr>
      </w:pPr>
      <w:bookmarkStart w:id="181" w:name="_Toc28481"/>
      <w:bookmarkStart w:id="182" w:name="_Toc933"/>
      <w:r>
        <w:rPr>
          <w:rFonts w:hint="eastAsia" w:asciiTheme="minorEastAsia" w:hAnsiTheme="minorEastAsia" w:eastAsiaTheme="minorEastAsia" w:cstheme="minorEastAsia"/>
          <w:color w:val="auto"/>
          <w:spacing w:val="9"/>
          <w:position w:val="0"/>
          <w:sz w:val="21"/>
          <w:szCs w:val="21"/>
          <w:highlight w:val="none"/>
        </w:rPr>
        <w:t>（1）未按磋商文件规定完整线上提交响应文件或未按规定要求线上签字、签章的；</w:t>
      </w:r>
      <w:bookmarkEnd w:id="181"/>
      <w:bookmarkEnd w:id="182"/>
    </w:p>
    <w:p w14:paraId="049A11AD">
      <w:pPr>
        <w:pStyle w:val="16"/>
        <w:keepNext w:val="0"/>
        <w:keepLines w:val="0"/>
        <w:pageBreakBefore w:val="0"/>
        <w:widowControl w:val="0"/>
        <w:kinsoku/>
        <w:wordWrap w:val="0"/>
        <w:overflowPunct/>
        <w:topLinePunct w:val="0"/>
        <w:bidi w:val="0"/>
        <w:spacing w:line="360" w:lineRule="auto"/>
        <w:ind w:left="0" w:right="0" w:firstLine="456" w:firstLineChars="200"/>
        <w:outlineLvl w:val="9"/>
        <w:rPr>
          <w:rFonts w:hint="eastAsia" w:asciiTheme="minorEastAsia" w:hAnsiTheme="minorEastAsia" w:eastAsiaTheme="minorEastAsia" w:cstheme="minorEastAsia"/>
          <w:color w:val="auto"/>
          <w:position w:val="0"/>
          <w:sz w:val="21"/>
          <w:szCs w:val="21"/>
          <w:highlight w:val="none"/>
        </w:rPr>
      </w:pPr>
      <w:bookmarkStart w:id="183" w:name="_Toc14571"/>
      <w:bookmarkStart w:id="184" w:name="_Toc6460"/>
      <w:r>
        <w:rPr>
          <w:rFonts w:hint="eastAsia" w:asciiTheme="minorEastAsia" w:hAnsiTheme="minorEastAsia" w:eastAsiaTheme="minorEastAsia" w:cstheme="minorEastAsia"/>
          <w:color w:val="auto"/>
          <w:spacing w:val="9"/>
          <w:position w:val="0"/>
          <w:sz w:val="21"/>
          <w:szCs w:val="21"/>
          <w:highlight w:val="none"/>
        </w:rPr>
        <w:t>（2）超越了按照法律法规规定必须获得行政许可或者行政审批的经营范围的；</w:t>
      </w:r>
      <w:bookmarkEnd w:id="183"/>
      <w:bookmarkEnd w:id="184"/>
    </w:p>
    <w:p w14:paraId="4D79947F">
      <w:pPr>
        <w:pStyle w:val="16"/>
        <w:keepNext w:val="0"/>
        <w:keepLines w:val="0"/>
        <w:pageBreakBefore w:val="0"/>
        <w:widowControl w:val="0"/>
        <w:kinsoku/>
        <w:wordWrap w:val="0"/>
        <w:overflowPunct/>
        <w:topLinePunct w:val="0"/>
        <w:bidi w:val="0"/>
        <w:spacing w:line="360" w:lineRule="auto"/>
        <w:ind w:left="0" w:right="0" w:firstLine="452" w:firstLineChars="200"/>
        <w:outlineLvl w:val="9"/>
        <w:rPr>
          <w:rFonts w:hint="eastAsia" w:asciiTheme="minorEastAsia" w:hAnsiTheme="minorEastAsia" w:eastAsiaTheme="minorEastAsia" w:cstheme="minorEastAsia"/>
          <w:color w:val="auto"/>
          <w:position w:val="0"/>
          <w:sz w:val="21"/>
          <w:szCs w:val="21"/>
          <w:highlight w:val="none"/>
        </w:rPr>
      </w:pPr>
      <w:bookmarkStart w:id="185" w:name="_Toc11467"/>
      <w:bookmarkStart w:id="186" w:name="_Toc14419"/>
      <w:r>
        <w:rPr>
          <w:rFonts w:hint="eastAsia" w:asciiTheme="minorEastAsia" w:hAnsiTheme="minorEastAsia" w:eastAsiaTheme="minorEastAsia" w:cstheme="minorEastAsia"/>
          <w:color w:val="auto"/>
          <w:spacing w:val="8"/>
          <w:position w:val="0"/>
          <w:sz w:val="21"/>
          <w:szCs w:val="21"/>
          <w:highlight w:val="none"/>
        </w:rPr>
        <w:t>（3）不具备磋商文件规定的资格要求的；</w:t>
      </w:r>
      <w:bookmarkEnd w:id="185"/>
      <w:bookmarkEnd w:id="186"/>
    </w:p>
    <w:p w14:paraId="76D848C5">
      <w:pPr>
        <w:pStyle w:val="16"/>
        <w:keepNext w:val="0"/>
        <w:keepLines w:val="0"/>
        <w:pageBreakBefore w:val="0"/>
        <w:widowControl w:val="0"/>
        <w:kinsoku/>
        <w:wordWrap w:val="0"/>
        <w:overflowPunct/>
        <w:topLinePunct w:val="0"/>
        <w:bidi w:val="0"/>
        <w:spacing w:line="360" w:lineRule="auto"/>
        <w:ind w:left="0" w:right="0" w:firstLine="456" w:firstLineChars="200"/>
        <w:outlineLvl w:val="9"/>
        <w:rPr>
          <w:rFonts w:hint="eastAsia" w:asciiTheme="minorEastAsia" w:hAnsiTheme="minorEastAsia" w:eastAsiaTheme="minorEastAsia" w:cstheme="minorEastAsia"/>
          <w:color w:val="auto"/>
          <w:position w:val="0"/>
          <w:sz w:val="21"/>
          <w:szCs w:val="21"/>
          <w:highlight w:val="none"/>
        </w:rPr>
      </w:pPr>
      <w:bookmarkStart w:id="187" w:name="_Toc24492"/>
      <w:bookmarkStart w:id="188" w:name="_Toc8577"/>
      <w:r>
        <w:rPr>
          <w:rFonts w:hint="eastAsia" w:asciiTheme="minorEastAsia" w:hAnsiTheme="minorEastAsia" w:eastAsiaTheme="minorEastAsia" w:cstheme="minorEastAsia"/>
          <w:color w:val="auto"/>
          <w:spacing w:val="9"/>
          <w:position w:val="0"/>
          <w:sz w:val="21"/>
          <w:szCs w:val="21"/>
          <w:highlight w:val="none"/>
        </w:rPr>
        <w:t>（4）响应文件未按磋商文件的内容和要求编制，或提供虚假</w:t>
      </w:r>
      <w:r>
        <w:rPr>
          <w:rFonts w:hint="eastAsia" w:asciiTheme="minorEastAsia" w:hAnsiTheme="minorEastAsia" w:eastAsiaTheme="minorEastAsia" w:cstheme="minorEastAsia"/>
          <w:color w:val="auto"/>
          <w:spacing w:val="8"/>
          <w:position w:val="0"/>
          <w:sz w:val="21"/>
          <w:szCs w:val="21"/>
          <w:highlight w:val="none"/>
        </w:rPr>
        <w:t>材料的；</w:t>
      </w:r>
      <w:bookmarkEnd w:id="187"/>
      <w:bookmarkEnd w:id="188"/>
    </w:p>
    <w:p w14:paraId="3F78C44E">
      <w:pPr>
        <w:pStyle w:val="16"/>
        <w:keepNext w:val="0"/>
        <w:keepLines w:val="0"/>
        <w:pageBreakBefore w:val="0"/>
        <w:widowControl w:val="0"/>
        <w:kinsoku/>
        <w:wordWrap w:val="0"/>
        <w:overflowPunct/>
        <w:topLinePunct w:val="0"/>
        <w:bidi w:val="0"/>
        <w:spacing w:line="360" w:lineRule="auto"/>
        <w:ind w:left="0" w:right="0" w:firstLine="456" w:firstLineChars="200"/>
        <w:outlineLvl w:val="9"/>
        <w:rPr>
          <w:rFonts w:hint="eastAsia" w:asciiTheme="minorEastAsia" w:hAnsiTheme="minorEastAsia" w:eastAsiaTheme="minorEastAsia" w:cstheme="minorEastAsia"/>
          <w:color w:val="auto"/>
          <w:position w:val="0"/>
          <w:sz w:val="21"/>
          <w:szCs w:val="21"/>
          <w:highlight w:val="none"/>
        </w:rPr>
      </w:pPr>
      <w:bookmarkStart w:id="189" w:name="_Toc12086"/>
      <w:bookmarkStart w:id="190" w:name="_Toc8065"/>
      <w:r>
        <w:rPr>
          <w:rFonts w:hint="eastAsia" w:asciiTheme="minorEastAsia" w:hAnsiTheme="minorEastAsia" w:eastAsiaTheme="minorEastAsia" w:cstheme="minorEastAsia"/>
          <w:color w:val="auto"/>
          <w:spacing w:val="9"/>
          <w:position w:val="0"/>
          <w:sz w:val="21"/>
          <w:szCs w:val="21"/>
          <w:highlight w:val="none"/>
        </w:rPr>
        <w:t>（5）响应文件有效期、质量要求、工期要求不能满足磋商文件要求</w:t>
      </w:r>
      <w:r>
        <w:rPr>
          <w:rFonts w:hint="eastAsia" w:asciiTheme="minorEastAsia" w:hAnsiTheme="minorEastAsia" w:eastAsiaTheme="minorEastAsia" w:cstheme="minorEastAsia"/>
          <w:color w:val="auto"/>
          <w:spacing w:val="8"/>
          <w:position w:val="0"/>
          <w:sz w:val="21"/>
          <w:szCs w:val="21"/>
          <w:highlight w:val="none"/>
        </w:rPr>
        <w:t>的；</w:t>
      </w:r>
      <w:bookmarkEnd w:id="189"/>
      <w:bookmarkEnd w:id="190"/>
    </w:p>
    <w:p w14:paraId="1281354E">
      <w:pPr>
        <w:pStyle w:val="16"/>
        <w:keepNext w:val="0"/>
        <w:keepLines w:val="0"/>
        <w:pageBreakBefore w:val="0"/>
        <w:widowControl w:val="0"/>
        <w:kinsoku/>
        <w:wordWrap w:val="0"/>
        <w:overflowPunct/>
        <w:topLinePunct w:val="0"/>
        <w:bidi w:val="0"/>
        <w:spacing w:line="360" w:lineRule="auto"/>
        <w:ind w:left="0" w:right="0" w:firstLine="452" w:firstLineChars="200"/>
        <w:outlineLvl w:val="9"/>
        <w:rPr>
          <w:rFonts w:hint="eastAsia" w:asciiTheme="minorEastAsia" w:hAnsiTheme="minorEastAsia" w:eastAsiaTheme="minorEastAsia" w:cstheme="minorEastAsia"/>
          <w:color w:val="auto"/>
          <w:position w:val="0"/>
          <w:sz w:val="21"/>
          <w:szCs w:val="21"/>
          <w:highlight w:val="none"/>
        </w:rPr>
      </w:pPr>
      <w:bookmarkStart w:id="191" w:name="_Toc8770"/>
      <w:r>
        <w:rPr>
          <w:rFonts w:hint="eastAsia" w:asciiTheme="minorEastAsia" w:hAnsiTheme="minorEastAsia" w:eastAsiaTheme="minorEastAsia" w:cstheme="minorEastAsia"/>
          <w:color w:val="auto"/>
          <w:spacing w:val="8"/>
          <w:position w:val="0"/>
          <w:sz w:val="21"/>
          <w:szCs w:val="21"/>
          <w:highlight w:val="none"/>
        </w:rPr>
        <w:t>（6）供应商磋商报价超出招标控制价</w:t>
      </w:r>
      <w:r>
        <w:rPr>
          <w:rFonts w:hint="eastAsia" w:asciiTheme="minorEastAsia" w:hAnsiTheme="minorEastAsia" w:eastAsiaTheme="minorEastAsia" w:cstheme="minorEastAsia"/>
          <w:color w:val="auto"/>
          <w:spacing w:val="8"/>
          <w:position w:val="0"/>
          <w:sz w:val="21"/>
          <w:szCs w:val="21"/>
          <w:highlight w:val="none"/>
          <w:lang w:val="en-US" w:eastAsia="zh-CN"/>
        </w:rPr>
        <w:t>（最高投标限价）</w:t>
      </w:r>
      <w:r>
        <w:rPr>
          <w:rFonts w:hint="eastAsia" w:asciiTheme="minorEastAsia" w:hAnsiTheme="minorEastAsia" w:eastAsiaTheme="minorEastAsia" w:cstheme="minorEastAsia"/>
          <w:color w:val="auto"/>
          <w:spacing w:val="8"/>
          <w:position w:val="0"/>
          <w:sz w:val="21"/>
          <w:szCs w:val="21"/>
          <w:highlight w:val="none"/>
        </w:rPr>
        <w:t>的；</w:t>
      </w:r>
      <w:bookmarkEnd w:id="191"/>
    </w:p>
    <w:p w14:paraId="6DEFAA6F">
      <w:pPr>
        <w:pStyle w:val="16"/>
        <w:keepNext w:val="0"/>
        <w:keepLines w:val="0"/>
        <w:pageBreakBefore w:val="0"/>
        <w:widowControl w:val="0"/>
        <w:kinsoku/>
        <w:wordWrap w:val="0"/>
        <w:overflowPunct/>
        <w:topLinePunct w:val="0"/>
        <w:bidi w:val="0"/>
        <w:spacing w:line="360" w:lineRule="auto"/>
        <w:ind w:left="0" w:right="0" w:firstLine="452" w:firstLineChars="200"/>
        <w:outlineLvl w:val="9"/>
        <w:rPr>
          <w:rFonts w:hint="eastAsia" w:asciiTheme="minorEastAsia" w:hAnsiTheme="minorEastAsia" w:eastAsiaTheme="minorEastAsia" w:cstheme="minorEastAsia"/>
          <w:color w:val="auto"/>
          <w:position w:val="0"/>
          <w:sz w:val="21"/>
          <w:szCs w:val="21"/>
          <w:highlight w:val="none"/>
        </w:rPr>
      </w:pPr>
      <w:bookmarkStart w:id="192" w:name="_Toc5808"/>
      <w:bookmarkStart w:id="193" w:name="_Toc12984"/>
      <w:r>
        <w:rPr>
          <w:rFonts w:hint="eastAsia" w:asciiTheme="minorEastAsia" w:hAnsiTheme="minorEastAsia" w:eastAsiaTheme="minorEastAsia" w:cstheme="minorEastAsia"/>
          <w:color w:val="auto"/>
          <w:spacing w:val="8"/>
          <w:position w:val="0"/>
          <w:sz w:val="21"/>
          <w:szCs w:val="21"/>
          <w:highlight w:val="none"/>
        </w:rPr>
        <w:t>（7）未在磋商小组规定的时间内提交响应文件(包括最后报价)的；</w:t>
      </w:r>
      <w:bookmarkEnd w:id="192"/>
      <w:bookmarkEnd w:id="193"/>
    </w:p>
    <w:p w14:paraId="1479EB3F">
      <w:pPr>
        <w:pStyle w:val="16"/>
        <w:keepNext w:val="0"/>
        <w:keepLines w:val="0"/>
        <w:pageBreakBefore w:val="0"/>
        <w:widowControl w:val="0"/>
        <w:kinsoku/>
        <w:wordWrap w:val="0"/>
        <w:overflowPunct/>
        <w:topLinePunct w:val="0"/>
        <w:bidi w:val="0"/>
        <w:spacing w:line="360" w:lineRule="auto"/>
        <w:ind w:left="0" w:right="0" w:firstLine="456" w:firstLineChars="200"/>
        <w:outlineLvl w:val="9"/>
        <w:rPr>
          <w:rFonts w:hint="eastAsia" w:asciiTheme="minorEastAsia" w:hAnsiTheme="minorEastAsia" w:eastAsiaTheme="minorEastAsia" w:cstheme="minorEastAsia"/>
          <w:color w:val="auto"/>
          <w:position w:val="0"/>
          <w:sz w:val="21"/>
          <w:szCs w:val="21"/>
          <w:highlight w:val="none"/>
        </w:rPr>
      </w:pPr>
      <w:bookmarkStart w:id="194" w:name="_Toc32236"/>
      <w:bookmarkStart w:id="195" w:name="_Toc10884"/>
      <w:r>
        <w:rPr>
          <w:rFonts w:hint="eastAsia" w:asciiTheme="minorEastAsia" w:hAnsiTheme="minorEastAsia" w:eastAsiaTheme="minorEastAsia" w:cstheme="minorEastAsia"/>
          <w:color w:val="auto"/>
          <w:spacing w:val="9"/>
          <w:position w:val="0"/>
          <w:sz w:val="21"/>
          <w:szCs w:val="21"/>
          <w:highlight w:val="none"/>
        </w:rPr>
        <w:t>（8）未满足磋商文件实质性要求的或者响应文件有采购人不能接受的附加条件的；</w:t>
      </w:r>
      <w:bookmarkEnd w:id="194"/>
      <w:bookmarkEnd w:id="195"/>
    </w:p>
    <w:p w14:paraId="20A0AB16">
      <w:pPr>
        <w:pStyle w:val="16"/>
        <w:keepNext w:val="0"/>
        <w:keepLines w:val="0"/>
        <w:pageBreakBefore w:val="0"/>
        <w:widowControl w:val="0"/>
        <w:kinsoku/>
        <w:wordWrap w:val="0"/>
        <w:overflowPunct/>
        <w:topLinePunct w:val="0"/>
        <w:bidi w:val="0"/>
        <w:spacing w:line="360" w:lineRule="auto"/>
        <w:ind w:left="0" w:right="0" w:firstLine="456" w:firstLineChars="200"/>
        <w:outlineLvl w:val="9"/>
        <w:rPr>
          <w:rFonts w:hint="eastAsia" w:asciiTheme="minorEastAsia" w:hAnsiTheme="minorEastAsia" w:eastAsiaTheme="minorEastAsia" w:cstheme="minorEastAsia"/>
          <w:color w:val="auto"/>
          <w:position w:val="0"/>
          <w:sz w:val="21"/>
          <w:szCs w:val="21"/>
          <w:highlight w:val="none"/>
        </w:rPr>
      </w:pPr>
      <w:bookmarkStart w:id="196" w:name="_Toc9753"/>
      <w:bookmarkStart w:id="197" w:name="_Toc14955"/>
      <w:r>
        <w:rPr>
          <w:rFonts w:hint="eastAsia" w:asciiTheme="minorEastAsia" w:hAnsiTheme="minorEastAsia" w:eastAsiaTheme="minorEastAsia" w:cstheme="minorEastAsia"/>
          <w:color w:val="auto"/>
          <w:spacing w:val="9"/>
          <w:position w:val="0"/>
          <w:sz w:val="21"/>
          <w:szCs w:val="21"/>
          <w:highlight w:val="none"/>
        </w:rPr>
        <w:t>（9）响应文件实质性要求未做变动，供应商最后报价高于第一次报价</w:t>
      </w:r>
      <w:r>
        <w:rPr>
          <w:rFonts w:hint="eastAsia" w:asciiTheme="minorEastAsia" w:hAnsiTheme="minorEastAsia" w:eastAsiaTheme="minorEastAsia" w:cstheme="minorEastAsia"/>
          <w:color w:val="auto"/>
          <w:spacing w:val="8"/>
          <w:position w:val="0"/>
          <w:sz w:val="21"/>
          <w:szCs w:val="21"/>
          <w:highlight w:val="none"/>
        </w:rPr>
        <w:t>的；</w:t>
      </w:r>
      <w:bookmarkEnd w:id="196"/>
      <w:bookmarkEnd w:id="197"/>
    </w:p>
    <w:p w14:paraId="5D5B6A13">
      <w:pPr>
        <w:pStyle w:val="16"/>
        <w:keepNext w:val="0"/>
        <w:keepLines w:val="0"/>
        <w:pageBreakBefore w:val="0"/>
        <w:widowControl w:val="0"/>
        <w:kinsoku/>
        <w:wordWrap w:val="0"/>
        <w:overflowPunct/>
        <w:topLinePunct w:val="0"/>
        <w:bidi w:val="0"/>
        <w:spacing w:line="360" w:lineRule="auto"/>
        <w:ind w:left="0" w:right="0" w:firstLine="456" w:firstLineChars="200"/>
        <w:outlineLvl w:val="9"/>
        <w:rPr>
          <w:rFonts w:hint="eastAsia" w:asciiTheme="minorEastAsia" w:hAnsiTheme="minorEastAsia" w:eastAsiaTheme="minorEastAsia" w:cstheme="minorEastAsia"/>
          <w:color w:val="auto"/>
          <w:position w:val="0"/>
          <w:sz w:val="21"/>
          <w:szCs w:val="21"/>
          <w:highlight w:val="none"/>
        </w:rPr>
      </w:pPr>
      <w:r>
        <w:rPr>
          <w:rFonts w:hint="eastAsia" w:asciiTheme="minorEastAsia" w:hAnsiTheme="minorEastAsia" w:eastAsiaTheme="minorEastAsia" w:cstheme="minorEastAsia"/>
          <w:color w:val="auto"/>
          <w:spacing w:val="9"/>
          <w:position w:val="0"/>
          <w:sz w:val="21"/>
          <w:szCs w:val="21"/>
          <w:highlight w:val="none"/>
        </w:rPr>
        <w:t>（10）不符合法律、法规和磋商文件规定的其他</w:t>
      </w:r>
      <w:r>
        <w:rPr>
          <w:rFonts w:hint="eastAsia" w:asciiTheme="minorEastAsia" w:hAnsiTheme="minorEastAsia" w:eastAsiaTheme="minorEastAsia" w:cstheme="minorEastAsia"/>
          <w:color w:val="auto"/>
          <w:spacing w:val="8"/>
          <w:position w:val="0"/>
          <w:sz w:val="21"/>
          <w:szCs w:val="21"/>
          <w:highlight w:val="none"/>
        </w:rPr>
        <w:t>实质性要求和条件的。</w:t>
      </w:r>
    </w:p>
    <w:p w14:paraId="0F06AB5A">
      <w:pPr>
        <w:pageBreakBefore w:val="0"/>
        <w:widowControl w:val="0"/>
        <w:kinsoku/>
        <w:wordWrap/>
        <w:overflowPunct/>
        <w:topLinePunct w:val="0"/>
        <w:autoSpaceDE/>
        <w:autoSpaceDN/>
        <w:bidi w:val="0"/>
        <w:adjustRightInd/>
        <w:spacing w:line="360" w:lineRule="auto"/>
        <w:ind w:left="0" w:leftChars="0" w:firstLine="422" w:firstLineChars="200"/>
        <w:textAlignment w:val="auto"/>
        <w:outlineLvl w:val="9"/>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供应商有下列情形之一的视为供应商相互串通磋商，响应文件将被视为无效</w:t>
      </w:r>
    </w:p>
    <w:p w14:paraId="77AD65B4">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（1）不同供应商的响应文件由同一单位或者个人编制；或不同供应商报名的IP地址一致的；</w:t>
      </w:r>
    </w:p>
    <w:p w14:paraId="6171965B">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（2）不同供应商委托同一单位或者个人办理磋商事宜；</w:t>
      </w:r>
    </w:p>
    <w:p w14:paraId="3F835117">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（3）不同的供应商的响应文件载明的项目管理员为同一个人；</w:t>
      </w:r>
    </w:p>
    <w:p w14:paraId="183285F9">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（4）不同供应商的响应文件异常一致或磋商报价呈规律性差异；</w:t>
      </w:r>
    </w:p>
    <w:p w14:paraId="55115FF8">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（5）不同供应商的响应文件相互混编。</w:t>
      </w:r>
    </w:p>
    <w:p w14:paraId="438ECD7E">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bookmarkStart w:id="198" w:name="_Toc4124"/>
      <w:bookmarkStart w:id="199" w:name="_Toc5714"/>
      <w:bookmarkStart w:id="200" w:name="_Toc14842"/>
      <w:r>
        <w:rPr>
          <w:rFonts w:hint="eastAsia" w:ascii="宋体" w:hAnsi="宋体" w:eastAsia="宋体" w:cs="宋体"/>
          <w:color w:val="auto"/>
          <w:sz w:val="21"/>
          <w:szCs w:val="21"/>
          <w:highlight w:val="none"/>
          <w:shd w:val="clear" w:color="auto" w:fill="auto"/>
        </w:rPr>
        <w:t>24. 出现下列情形之一的，采购人或者采购代理机构应当终止竞争性磋商采购活动，发布项目终止公告并说明原因，重新开展采购活动</w:t>
      </w:r>
      <w:bookmarkEnd w:id="198"/>
      <w:bookmarkEnd w:id="199"/>
      <w:bookmarkEnd w:id="200"/>
    </w:p>
    <w:p w14:paraId="0FA9217C">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（1）因情况变化，不再符合规定的竞争性磋商采购方式适用情形的；</w:t>
      </w:r>
    </w:p>
    <w:p w14:paraId="2DBD4EF5">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 xml:space="preserve">（2）出现影响采购公正的违法、违规行为的； </w:t>
      </w:r>
    </w:p>
    <w:p w14:paraId="4499374C">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 xml:space="preserve">（3）在采购过程中符合竞争要求的供应商或者报价未超过采购预算的供应商不足3家的。（除财库〔2014〕214 号《政府采购竞争性磋商采购方式管理暂行办法》第二十一条第三款规定的情形外） </w:t>
      </w:r>
    </w:p>
    <w:p w14:paraId="207DF3EC">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bookmarkStart w:id="201" w:name="_Toc7572"/>
      <w:bookmarkStart w:id="202" w:name="_Toc6771"/>
      <w:bookmarkStart w:id="203" w:name="_Toc19105"/>
      <w:r>
        <w:rPr>
          <w:rFonts w:hint="eastAsia" w:ascii="宋体" w:hAnsi="宋体" w:eastAsia="宋体" w:cs="宋体"/>
          <w:color w:val="auto"/>
          <w:sz w:val="21"/>
          <w:szCs w:val="21"/>
          <w:highlight w:val="none"/>
          <w:shd w:val="clear" w:color="auto" w:fill="auto"/>
        </w:rPr>
        <w:t>25. 磋商过程的监控</w:t>
      </w:r>
      <w:bookmarkEnd w:id="201"/>
      <w:bookmarkEnd w:id="202"/>
      <w:bookmarkEnd w:id="203"/>
    </w:p>
    <w:p w14:paraId="5A7358C1">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本项目磋商过程实行全程录音、录像监控，供应商在磋商过程中所进行的试图影响磋商结果的不公正活动，可能导致其磋商被拒绝。</w:t>
      </w:r>
    </w:p>
    <w:p w14:paraId="05CB8B4A">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bookmarkStart w:id="204" w:name="_Toc7544"/>
      <w:bookmarkStart w:id="205" w:name="_Toc14787"/>
      <w:bookmarkStart w:id="206" w:name="_Toc1014"/>
      <w:r>
        <w:rPr>
          <w:rFonts w:hint="eastAsia" w:ascii="宋体" w:hAnsi="宋体" w:eastAsia="宋体" w:cs="宋体"/>
          <w:color w:val="auto"/>
          <w:sz w:val="21"/>
          <w:szCs w:val="21"/>
          <w:highlight w:val="none"/>
          <w:shd w:val="clear" w:color="auto" w:fill="auto"/>
        </w:rPr>
        <w:t>26. 信用查询</w:t>
      </w:r>
      <w:bookmarkEnd w:id="204"/>
      <w:bookmarkEnd w:id="205"/>
      <w:bookmarkEnd w:id="206"/>
    </w:p>
    <w:p w14:paraId="1DE02BC4">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根据《关于做好政府采购有关信用主体标识码登记及在政府采购活动中查询使用信用记录有关问题的通知》桂财采〔2016〕37号的通知，采购代理机构对成交供应商的成交资格进行信用查询：</w:t>
      </w:r>
    </w:p>
    <w:p w14:paraId="2B0EBFCA">
      <w:pPr>
        <w:pageBreakBefore w:val="0"/>
        <w:widowControl w:val="0"/>
        <w:kinsoku/>
        <w:wordWrap/>
        <w:overflowPunct/>
        <w:topLinePunct w:val="0"/>
        <w:autoSpaceDE/>
        <w:autoSpaceDN/>
        <w:bidi w:val="0"/>
        <w:adjustRightInd/>
        <w:spacing w:line="360" w:lineRule="auto"/>
        <w:ind w:left="0" w:leftChars="0" w:firstLine="210" w:firstLineChars="1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（1）查询渠道：“信用中国”网站(www.creditchina.gov.cn)、中国政府采购网(www.ccgp.gov.cn)等；</w:t>
      </w:r>
    </w:p>
    <w:p w14:paraId="2ACC69BB">
      <w:pPr>
        <w:pageBreakBefore w:val="0"/>
        <w:widowControl w:val="0"/>
        <w:kinsoku/>
        <w:wordWrap/>
        <w:overflowPunct/>
        <w:topLinePunct w:val="0"/>
        <w:autoSpaceDE/>
        <w:autoSpaceDN/>
        <w:bidi w:val="0"/>
        <w:adjustRightInd/>
        <w:spacing w:line="360" w:lineRule="auto"/>
        <w:ind w:left="0" w:leftChars="0" w:firstLine="210" w:firstLineChars="1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（2）查询时间：成交通知书发出前；</w:t>
      </w:r>
    </w:p>
    <w:p w14:paraId="535085C1">
      <w:pPr>
        <w:pageBreakBefore w:val="0"/>
        <w:widowControl w:val="0"/>
        <w:kinsoku/>
        <w:wordWrap/>
        <w:overflowPunct/>
        <w:topLinePunct w:val="0"/>
        <w:autoSpaceDE/>
        <w:autoSpaceDN/>
        <w:bidi w:val="0"/>
        <w:adjustRightInd/>
        <w:spacing w:line="360" w:lineRule="auto"/>
        <w:ind w:left="0" w:leftChars="0" w:firstLine="210" w:firstLineChars="1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（3）信用信息查询记录和证据留存方式：在查询网站中直接打印查询记录，打印材料作为采购活动资料保存。</w:t>
      </w:r>
    </w:p>
    <w:p w14:paraId="691A20FD">
      <w:pPr>
        <w:pageBreakBefore w:val="0"/>
        <w:widowControl w:val="0"/>
        <w:kinsoku/>
        <w:wordWrap/>
        <w:overflowPunct/>
        <w:topLinePunct w:val="0"/>
        <w:autoSpaceDE/>
        <w:autoSpaceDN/>
        <w:bidi w:val="0"/>
        <w:adjustRightInd/>
        <w:spacing w:line="360" w:lineRule="auto"/>
        <w:ind w:left="0" w:leftChars="0" w:firstLine="210" w:firstLineChars="1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（4）信用信息使用规则：对在“信用中国”网站(www.creditchina.gov.cn)、中国政府采购网(www.ccgp.gov.cn)等渠道列入失信被执行人、</w:t>
      </w:r>
      <w:r>
        <w:rPr>
          <w:rFonts w:hint="eastAsia" w:ascii="宋体" w:hAnsi="宋体" w:eastAsia="宋体" w:cs="宋体"/>
          <w:color w:val="auto"/>
          <w:sz w:val="21"/>
          <w:szCs w:val="21"/>
          <w:highlight w:val="none"/>
          <w:shd w:val="clear" w:color="auto" w:fill="auto"/>
          <w:lang w:eastAsia="zh-CN"/>
        </w:rPr>
        <w:t>重大税收违法失信主体</w:t>
      </w:r>
      <w:r>
        <w:rPr>
          <w:rFonts w:hint="eastAsia" w:ascii="宋体" w:hAnsi="宋体" w:eastAsia="宋体" w:cs="宋体"/>
          <w:color w:val="auto"/>
          <w:sz w:val="21"/>
          <w:szCs w:val="21"/>
          <w:highlight w:val="none"/>
          <w:shd w:val="clear" w:color="auto" w:fill="auto"/>
        </w:rPr>
        <w:t>、政府采购严重违法失信行为记录名单及其他不符合《中华人民共和国政府采购法》第二十二条规定条件的供应商，不得参与政府采购活动，取消其成交候选人资格。采购人依法按照评审报告中磋商小组推荐成交候选人排序表依法确定排名第二的成交候选人为成交供应商或者重新组织采购。</w:t>
      </w:r>
    </w:p>
    <w:p w14:paraId="3AA81A90">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bookmarkStart w:id="207" w:name="_Toc28958"/>
      <w:bookmarkStart w:id="208" w:name="_Toc9438"/>
      <w:bookmarkStart w:id="209" w:name="_Toc13703"/>
      <w:r>
        <w:rPr>
          <w:rFonts w:hint="eastAsia" w:ascii="宋体" w:hAnsi="宋体" w:eastAsia="宋体" w:cs="宋体"/>
          <w:color w:val="auto"/>
          <w:sz w:val="21"/>
          <w:szCs w:val="21"/>
          <w:highlight w:val="none"/>
          <w:shd w:val="clear" w:color="auto" w:fill="auto"/>
        </w:rPr>
        <w:t>27. 成交结果公告及成交通知书</w:t>
      </w:r>
      <w:bookmarkEnd w:id="207"/>
      <w:bookmarkEnd w:id="208"/>
      <w:bookmarkEnd w:id="209"/>
    </w:p>
    <w:p w14:paraId="434ED4BE">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27.1 采购代理机构于磋商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7F173171">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27.2 在发布成交公告的同时，采购代理机构向成交供应商发出成交通知书。成交供应商自接到通知之日起七个工作日内，办理成交通知书领取手续。</w:t>
      </w:r>
    </w:p>
    <w:p w14:paraId="7BB0A7A3">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27.3 采购代理机构无义务向未成交的供应商解释未成交原因和退还响应文件。</w:t>
      </w:r>
      <w:bookmarkStart w:id="210" w:name="_Toc7859"/>
      <w:bookmarkStart w:id="211" w:name="_Toc25593"/>
    </w:p>
    <w:p w14:paraId="7781E937">
      <w:pPr>
        <w:pageBreakBefore w:val="0"/>
        <w:widowControl w:val="0"/>
        <w:kinsoku/>
        <w:wordWrap/>
        <w:overflowPunct/>
        <w:topLinePunct w:val="0"/>
        <w:autoSpaceDE/>
        <w:autoSpaceDN/>
        <w:bidi w:val="0"/>
        <w:adjustRightInd/>
        <w:spacing w:line="360" w:lineRule="auto"/>
        <w:ind w:left="0" w:leftChars="0"/>
        <w:jc w:val="center"/>
        <w:textAlignment w:val="auto"/>
        <w:outlineLvl w:val="9"/>
        <w:rPr>
          <w:rFonts w:hint="eastAsia" w:ascii="宋体" w:hAnsi="宋体" w:eastAsia="宋体" w:cs="宋体"/>
          <w:b/>
          <w:bCs/>
          <w:color w:val="auto"/>
          <w:sz w:val="21"/>
          <w:szCs w:val="21"/>
          <w:highlight w:val="none"/>
          <w:shd w:val="clear" w:color="auto" w:fill="auto"/>
        </w:rPr>
      </w:pPr>
      <w:bookmarkStart w:id="212" w:name="_Toc8877"/>
    </w:p>
    <w:p w14:paraId="3368831F">
      <w:pPr>
        <w:pageBreakBefore w:val="0"/>
        <w:widowControl w:val="0"/>
        <w:kinsoku/>
        <w:wordWrap/>
        <w:overflowPunct/>
        <w:topLinePunct w:val="0"/>
        <w:autoSpaceDE/>
        <w:autoSpaceDN/>
        <w:bidi w:val="0"/>
        <w:adjustRightInd/>
        <w:spacing w:line="360" w:lineRule="auto"/>
        <w:ind w:left="0" w:leftChars="0"/>
        <w:jc w:val="center"/>
        <w:textAlignment w:val="auto"/>
        <w:outlineLvl w:val="9"/>
        <w:rPr>
          <w:rFonts w:hint="eastAsia" w:ascii="宋体" w:hAnsi="宋体" w:eastAsia="宋体" w:cs="宋体"/>
          <w:b/>
          <w:bCs/>
          <w:color w:val="auto"/>
          <w:sz w:val="21"/>
          <w:szCs w:val="21"/>
          <w:highlight w:val="none"/>
          <w:shd w:val="clear" w:color="auto" w:fill="auto"/>
        </w:rPr>
      </w:pPr>
    </w:p>
    <w:p w14:paraId="217DB65D">
      <w:pPr>
        <w:pageBreakBefore w:val="0"/>
        <w:widowControl w:val="0"/>
        <w:kinsoku/>
        <w:wordWrap/>
        <w:overflowPunct/>
        <w:topLinePunct w:val="0"/>
        <w:autoSpaceDE/>
        <w:autoSpaceDN/>
        <w:bidi w:val="0"/>
        <w:adjustRightInd/>
        <w:spacing w:line="360" w:lineRule="auto"/>
        <w:ind w:left="0" w:leftChars="0"/>
        <w:jc w:val="center"/>
        <w:textAlignment w:val="auto"/>
        <w:outlineLvl w:val="9"/>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五、签订合同</w:t>
      </w:r>
      <w:bookmarkEnd w:id="210"/>
      <w:bookmarkEnd w:id="211"/>
      <w:bookmarkEnd w:id="212"/>
    </w:p>
    <w:p w14:paraId="64552ED2">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lang w:val="en-US" w:eastAsia="zh-CN"/>
        </w:rPr>
      </w:pPr>
      <w:bookmarkStart w:id="213" w:name="_Toc20760"/>
      <w:bookmarkStart w:id="214" w:name="_Toc26520"/>
      <w:bookmarkStart w:id="215" w:name="_Toc21789"/>
      <w:r>
        <w:rPr>
          <w:rFonts w:hint="eastAsia" w:ascii="宋体" w:hAnsi="宋体" w:eastAsia="宋体" w:cs="宋体"/>
          <w:color w:val="auto"/>
          <w:sz w:val="21"/>
          <w:szCs w:val="21"/>
          <w:highlight w:val="none"/>
          <w:shd w:val="clear" w:color="auto" w:fill="auto"/>
        </w:rPr>
        <w:t>28. 履约保证金</w:t>
      </w:r>
      <w:bookmarkEnd w:id="213"/>
      <w:bookmarkEnd w:id="214"/>
      <w:bookmarkEnd w:id="215"/>
      <w:bookmarkStart w:id="216" w:name="_Toc4956"/>
      <w:bookmarkStart w:id="217" w:name="_Toc8924"/>
      <w:bookmarkStart w:id="218" w:name="_Toc10846"/>
      <w:r>
        <w:rPr>
          <w:rFonts w:hint="eastAsia" w:ascii="宋体" w:hAnsi="宋体" w:eastAsia="宋体" w:cs="宋体"/>
          <w:color w:val="auto"/>
          <w:sz w:val="21"/>
          <w:szCs w:val="21"/>
          <w:highlight w:val="none"/>
          <w:shd w:val="clear" w:color="auto" w:fill="auto"/>
          <w:lang w:val="en-US" w:eastAsia="zh-CN"/>
        </w:rPr>
        <w:t xml:space="preserve"> </w:t>
      </w:r>
    </w:p>
    <w:p w14:paraId="6491A5BF">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本项目无需递交履约保证金</w:t>
      </w:r>
      <w:r>
        <w:rPr>
          <w:rFonts w:hint="eastAsia" w:ascii="宋体" w:hAnsi="宋体" w:eastAsia="宋体" w:cs="宋体"/>
          <w:color w:val="auto"/>
          <w:sz w:val="21"/>
          <w:szCs w:val="21"/>
          <w:highlight w:val="none"/>
          <w:shd w:val="clear" w:color="auto" w:fill="auto"/>
        </w:rPr>
        <w:t>。</w:t>
      </w:r>
    </w:p>
    <w:p w14:paraId="74C77728">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29. 签订合同</w:t>
      </w:r>
      <w:bookmarkEnd w:id="216"/>
      <w:bookmarkEnd w:id="217"/>
      <w:bookmarkEnd w:id="218"/>
    </w:p>
    <w:p w14:paraId="16EAE6A4">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29.1 签订合同时间：成交通知书发出之日</w:t>
      </w:r>
      <w:r>
        <w:rPr>
          <w:rFonts w:hint="eastAsia" w:ascii="宋体" w:hAnsi="宋体" w:eastAsia="宋体" w:cs="宋体"/>
          <w:color w:val="auto"/>
          <w:sz w:val="21"/>
          <w:szCs w:val="21"/>
          <w:highlight w:val="none"/>
          <w:shd w:val="clear" w:color="auto" w:fill="auto"/>
          <w:lang w:eastAsia="zh-CN"/>
        </w:rPr>
        <w:t>起8工作日内签订合同</w:t>
      </w:r>
      <w:r>
        <w:rPr>
          <w:rFonts w:hint="eastAsia" w:ascii="宋体" w:hAnsi="宋体" w:eastAsia="宋体" w:cs="宋体"/>
          <w:color w:val="auto"/>
          <w:sz w:val="21"/>
          <w:szCs w:val="21"/>
          <w:highlight w:val="none"/>
          <w:shd w:val="clear" w:color="auto" w:fill="auto"/>
        </w:rPr>
        <w:t>。成交供应商领取成交通知书后，应按规定与采购人签订合同。</w:t>
      </w:r>
    </w:p>
    <w:p w14:paraId="67223A9A">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29.2 如成交供应商有下列情形之一的，情节严重的，由财政部门将其列入不良行为记录名单，在一至三年内禁止参加政府采购活动，并予以通报。采购代理机构可从磋商小组推荐的成交候选人中按顺序重新确定成交供应商或重新组织采购。拒绝签订政府采购合同的成交供应商不得参加对该项目重新开展的采购活动。</w:t>
      </w:r>
    </w:p>
    <w:p w14:paraId="78540DF8">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（1）成交后不与采购人签订合同的（不可抗力除外）；</w:t>
      </w:r>
    </w:p>
    <w:p w14:paraId="24357602">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（2）将成交项目转让给他人，或者在响应文件中未说明，且未经采购人同意，将成交项目分包给他人的；</w:t>
      </w:r>
    </w:p>
    <w:p w14:paraId="0C914917">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（3）拒绝履行合同义务的。</w:t>
      </w:r>
    </w:p>
    <w:p w14:paraId="2FBA9E66">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29.3 合同备案存档：</w:t>
      </w:r>
      <w:r>
        <w:rPr>
          <w:rFonts w:hint="eastAsia" w:ascii="宋体" w:hAnsi="宋体" w:eastAsia="宋体" w:cs="宋体"/>
          <w:bCs/>
          <w:color w:val="auto"/>
          <w:kern w:val="0"/>
          <w:sz w:val="21"/>
          <w:szCs w:val="21"/>
          <w:highlight w:val="none"/>
          <w:shd w:val="clear" w:color="auto" w:fill="auto"/>
        </w:rPr>
        <w:t>政府采购合同双方自签订之日起1个工作日内将合同原件</w:t>
      </w:r>
      <w:r>
        <w:rPr>
          <w:rFonts w:hint="eastAsia" w:ascii="宋体" w:hAnsi="宋体" w:eastAsia="宋体" w:cs="宋体"/>
          <w:bCs/>
          <w:color w:val="auto"/>
          <w:kern w:val="0"/>
          <w:sz w:val="21"/>
          <w:szCs w:val="21"/>
          <w:highlight w:val="none"/>
          <w:shd w:val="clear" w:color="auto" w:fill="auto"/>
          <w:lang w:val="en-US" w:eastAsia="zh-CN"/>
        </w:rPr>
        <w:t>壹</w:t>
      </w:r>
      <w:r>
        <w:rPr>
          <w:rFonts w:hint="eastAsia" w:ascii="宋体" w:hAnsi="宋体" w:eastAsia="宋体" w:cs="宋体"/>
          <w:bCs/>
          <w:color w:val="auto"/>
          <w:kern w:val="0"/>
          <w:sz w:val="21"/>
          <w:szCs w:val="21"/>
          <w:highlight w:val="none"/>
          <w:shd w:val="clear" w:color="auto" w:fill="auto"/>
        </w:rPr>
        <w:t>份交采购代理机构。采购代理机构将政府采购合同在省级以上人民政府财政部门指定媒体上公告。</w:t>
      </w:r>
      <w:bookmarkStart w:id="219" w:name="_Toc16348"/>
      <w:bookmarkStart w:id="220" w:name="_Toc3819"/>
      <w:bookmarkStart w:id="221" w:name="_Toc24218"/>
    </w:p>
    <w:p w14:paraId="199302F0">
      <w:pPr>
        <w:pageBreakBefore w:val="0"/>
        <w:widowControl w:val="0"/>
        <w:kinsoku/>
        <w:wordWrap/>
        <w:overflowPunct/>
        <w:topLinePunct w:val="0"/>
        <w:autoSpaceDE/>
        <w:autoSpaceDN/>
        <w:bidi w:val="0"/>
        <w:adjustRightInd/>
        <w:spacing w:line="360" w:lineRule="auto"/>
        <w:ind w:left="0" w:leftChars="0"/>
        <w:jc w:val="center"/>
        <w:textAlignment w:val="auto"/>
        <w:outlineLvl w:val="9"/>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六、其他事项</w:t>
      </w:r>
      <w:bookmarkEnd w:id="219"/>
      <w:bookmarkEnd w:id="220"/>
      <w:bookmarkEnd w:id="221"/>
    </w:p>
    <w:p w14:paraId="11727C5C">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bookmarkStart w:id="222" w:name="_Toc3434"/>
      <w:bookmarkStart w:id="223" w:name="_Toc28647"/>
      <w:bookmarkStart w:id="224" w:name="_Toc20283"/>
      <w:r>
        <w:rPr>
          <w:rFonts w:hint="eastAsia" w:ascii="宋体" w:hAnsi="宋体" w:eastAsia="宋体" w:cs="宋体"/>
          <w:color w:val="auto"/>
          <w:sz w:val="21"/>
          <w:szCs w:val="21"/>
          <w:highlight w:val="none"/>
          <w:shd w:val="clear" w:color="auto" w:fill="auto"/>
        </w:rPr>
        <w:t>30. 采购代理服务费</w:t>
      </w:r>
      <w:bookmarkEnd w:id="222"/>
      <w:bookmarkEnd w:id="223"/>
      <w:bookmarkEnd w:id="224"/>
    </w:p>
    <w:p w14:paraId="5A06A352">
      <w:pPr>
        <w:pageBreakBefore w:val="0"/>
        <w:widowControl w:val="0"/>
        <w:kinsoku/>
        <w:wordWrap/>
        <w:overflowPunct/>
        <w:topLinePunct w:val="0"/>
        <w:autoSpaceDE/>
        <w:autoSpaceDN/>
        <w:bidi w:val="0"/>
        <w:adjustRightInd/>
        <w:spacing w:line="360" w:lineRule="auto"/>
        <w:ind w:left="0" w:leftChars="0" w:firstLine="420"/>
        <w:textAlignment w:val="auto"/>
        <w:outlineLvl w:val="9"/>
        <w:rPr>
          <w:rFonts w:hint="eastAsia" w:ascii="宋体" w:hAnsi="宋体" w:eastAsia="宋体" w:cs="宋体"/>
          <w:color w:val="auto"/>
          <w:sz w:val="21"/>
          <w:szCs w:val="21"/>
          <w:highlight w:val="none"/>
          <w:shd w:val="clear" w:color="auto" w:fill="auto"/>
        </w:rPr>
      </w:pPr>
      <w:bookmarkStart w:id="225" w:name="_Toc12374"/>
      <w:r>
        <w:rPr>
          <w:rFonts w:hint="eastAsia" w:ascii="宋体" w:hAnsi="宋体" w:eastAsia="宋体" w:cs="宋体"/>
          <w:color w:val="auto"/>
          <w:sz w:val="21"/>
          <w:szCs w:val="21"/>
          <w:highlight w:val="none"/>
          <w:shd w:val="clear" w:color="auto" w:fill="auto"/>
        </w:rPr>
        <w:t>30.1成交供应商在领取成交通知书前，向采购代理机构一次性付清采购代理服务费，本项目采购代理服务收费标准参照计价格〔2002〕1980号《招标代理服务收费管理暂行办法》工程类收费标准</w:t>
      </w:r>
      <w:r>
        <w:rPr>
          <w:rFonts w:hint="eastAsia" w:ascii="宋体" w:hAnsi="宋体" w:cs="宋体"/>
          <w:color w:val="auto"/>
          <w:sz w:val="21"/>
          <w:szCs w:val="21"/>
          <w:highlight w:val="none"/>
          <w:shd w:val="clear" w:color="auto" w:fill="auto"/>
          <w:lang w:val="en-US" w:eastAsia="zh-CN"/>
        </w:rPr>
        <w:t>的60%</w:t>
      </w:r>
      <w:r>
        <w:rPr>
          <w:rFonts w:hint="eastAsia" w:ascii="宋体" w:hAnsi="宋体" w:cs="宋体"/>
          <w:color w:val="auto"/>
          <w:sz w:val="21"/>
          <w:szCs w:val="21"/>
          <w:highlight w:val="none"/>
          <w:shd w:val="clear" w:color="auto" w:fill="auto"/>
          <w:lang w:eastAsia="zh-CN"/>
        </w:rPr>
        <w:t>（</w:t>
      </w:r>
      <w:r>
        <w:rPr>
          <w:rFonts w:hint="eastAsia" w:ascii="宋体" w:hAnsi="宋体" w:cs="宋体"/>
          <w:color w:val="auto"/>
          <w:sz w:val="21"/>
          <w:szCs w:val="21"/>
          <w:highlight w:val="none"/>
          <w:shd w:val="clear" w:color="auto" w:fill="auto"/>
          <w:lang w:val="en-US" w:eastAsia="zh-CN"/>
        </w:rPr>
        <w:t>不足5000按5000收取</w:t>
      </w:r>
      <w:r>
        <w:rPr>
          <w:rFonts w:hint="eastAsia" w:ascii="宋体" w:hAnsi="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向成交供应商收取。</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841"/>
        <w:gridCol w:w="1992"/>
        <w:gridCol w:w="2293"/>
      </w:tblGrid>
      <w:tr w14:paraId="2ABCB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880" w:type="dxa"/>
            <w:noWrap w:val="0"/>
            <w:vAlign w:val="top"/>
          </w:tcPr>
          <w:p w14:paraId="10B6FBC9">
            <w:pPr>
              <w:wordWrap w:val="0"/>
              <w:spacing w:line="360" w:lineRule="auto"/>
              <w:ind w:left="25"/>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mc:AlternateContent>
                <mc:Choice Requires="wps">
                  <w:drawing>
                    <wp:anchor distT="0" distB="0" distL="114300" distR="114300" simplePos="0" relativeHeight="251659264" behindDoc="0" locked="0" layoutInCell="1" allowOverlap="1">
                      <wp:simplePos x="0" y="0"/>
                      <wp:positionH relativeFrom="column">
                        <wp:posOffset>296545</wp:posOffset>
                      </wp:positionH>
                      <wp:positionV relativeFrom="paragraph">
                        <wp:posOffset>10795</wp:posOffset>
                      </wp:positionV>
                      <wp:extent cx="1463675" cy="653415"/>
                      <wp:effectExtent l="1905" t="4445" r="20320" b="8890"/>
                      <wp:wrapNone/>
                      <wp:docPr id="2" name="直线 6"/>
                      <wp:cNvGraphicFramePr/>
                      <a:graphic xmlns:a="http://schemas.openxmlformats.org/drawingml/2006/main">
                        <a:graphicData uri="http://schemas.microsoft.com/office/word/2010/wordprocessingShape">
                          <wps:wsp>
                            <wps:cNvCnPr/>
                            <wps:spPr>
                              <a:xfrm>
                                <a:off x="0" y="0"/>
                                <a:ext cx="1463675" cy="65341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 o:spid="_x0000_s1026" o:spt="20" style="position:absolute;left:0pt;margin-left:23.35pt;margin-top:0.85pt;height:51.45pt;width:115.25pt;z-index:251659264;mso-width-relative:page;mso-height-relative:page;" filled="f" stroked="t" coordsize="21600,21600" o:gfxdata="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UgFT&#10;NNYAAAAIAQAADwAAAAAAAAABACAAAAAiAAAAZHJzL2Rvd25yZXYueG1sUEsBAhQAFAAAAAgAh07i&#10;QJiR+ODrAQAA4AMAAA4AAAAAAAAAAQAgAAAAJQEAAGRycy9lMm9Eb2MueG1sUEsFBgAAAAAGAAYA&#10;WQEAAIIFAAAAAA==&#10;">
                      <v:fill on="f" focussize="0,0"/>
                      <v:stroke color="#000000" joinstyle="round"/>
                      <v:imagedata o:title=""/>
                      <o:lock v:ext="edit" aspectratio="f"/>
                    </v:line>
                  </w:pict>
                </mc:Fallback>
              </mc:AlternateContent>
            </w:r>
            <w:r>
              <w:rPr>
                <w:rFonts w:hint="eastAsia" w:ascii="宋体" w:hAnsi="宋体" w:eastAsia="宋体" w:cs="宋体"/>
                <w:color w:val="auto"/>
                <w:szCs w:val="21"/>
                <w:highlight w:val="none"/>
              </w:rPr>
              <w:t>费率         服务类型</w:t>
            </w:r>
          </w:p>
          <w:p w14:paraId="2C8A0B25">
            <w:pPr>
              <w:wordWrap w:val="0"/>
              <w:spacing w:line="360" w:lineRule="auto"/>
              <w:ind w:left="25"/>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mc:AlternateContent>
                <mc:Choice Requires="wps">
                  <w:drawing>
                    <wp:anchor distT="0" distB="0" distL="114300" distR="114300" simplePos="0" relativeHeight="251660288" behindDoc="0" locked="0" layoutInCell="1" allowOverlap="1">
                      <wp:simplePos x="0" y="0"/>
                      <wp:positionH relativeFrom="column">
                        <wp:posOffset>-68580</wp:posOffset>
                      </wp:positionH>
                      <wp:positionV relativeFrom="paragraph">
                        <wp:posOffset>39370</wp:posOffset>
                      </wp:positionV>
                      <wp:extent cx="1828800" cy="396240"/>
                      <wp:effectExtent l="1270" t="4445" r="17780" b="18415"/>
                      <wp:wrapNone/>
                      <wp:docPr id="3" name="直线 7"/>
                      <wp:cNvGraphicFramePr/>
                      <a:graphic xmlns:a="http://schemas.openxmlformats.org/drawingml/2006/main">
                        <a:graphicData uri="http://schemas.microsoft.com/office/word/2010/wordprocessingShape">
                          <wps:wsp>
                            <wps:cNvCnPr/>
                            <wps:spPr>
                              <a:xfrm>
                                <a:off x="0" y="0"/>
                                <a:ext cx="1828800" cy="39624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 o:spid="_x0000_s1026" o:spt="20" style="position:absolute;left:0pt;margin-left:-5.4pt;margin-top:3.1pt;height:31.2pt;width:144pt;z-index:251660288;mso-width-relative:page;mso-height-relative:page;" filled="f" stroked="t" coordsize="21600,21600" o:gfxdata="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AOr0TWAAAACAEAAA8AAAAAAAAAAQAgAAAAIgAAAGRycy9kb3ducmV2LnhtbFBLAQIUABQAAAAI&#10;AIdO4kBO/4i57wEAAOADAAAOAAAAAAAAAAEAIAAAACUBAABkcnMvZTJvRG9jLnhtbFBLBQYAAAAA&#10;BgAGAFkBAACGBQAAAAA=&#10;">
                      <v:fill on="f" focussize="0,0"/>
                      <v:stroke color="#000000" joinstyle="round"/>
                      <v:imagedata o:title=""/>
                      <o:lock v:ext="edit" aspectratio="f"/>
                    </v:line>
                  </w:pict>
                </mc:Fallback>
              </mc:AlternateContent>
            </w:r>
          </w:p>
          <w:p w14:paraId="68B483CA">
            <w:pPr>
              <w:wordWrap w:val="0"/>
              <w:spacing w:line="360" w:lineRule="auto"/>
              <w:ind w:left="25"/>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中标金额（万元）</w:t>
            </w:r>
          </w:p>
        </w:tc>
        <w:tc>
          <w:tcPr>
            <w:tcW w:w="1841" w:type="dxa"/>
            <w:noWrap w:val="0"/>
            <w:vAlign w:val="center"/>
          </w:tcPr>
          <w:p w14:paraId="40F82835">
            <w:pPr>
              <w:wordWrap w:val="0"/>
              <w:spacing w:line="360" w:lineRule="auto"/>
              <w:ind w:left="25"/>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货物招标</w:t>
            </w:r>
          </w:p>
        </w:tc>
        <w:tc>
          <w:tcPr>
            <w:tcW w:w="1992" w:type="dxa"/>
            <w:noWrap w:val="0"/>
            <w:vAlign w:val="center"/>
          </w:tcPr>
          <w:p w14:paraId="703F6F2F">
            <w:pPr>
              <w:wordWrap w:val="0"/>
              <w:spacing w:line="360" w:lineRule="auto"/>
              <w:ind w:left="25"/>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服务招标</w:t>
            </w:r>
          </w:p>
        </w:tc>
        <w:tc>
          <w:tcPr>
            <w:tcW w:w="2293" w:type="dxa"/>
            <w:noWrap w:val="0"/>
            <w:vAlign w:val="center"/>
          </w:tcPr>
          <w:p w14:paraId="600BD68C">
            <w:pPr>
              <w:wordWrap w:val="0"/>
              <w:spacing w:line="360" w:lineRule="auto"/>
              <w:ind w:left="25"/>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工程招标</w:t>
            </w:r>
          </w:p>
        </w:tc>
      </w:tr>
      <w:tr w14:paraId="6B0E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2880" w:type="dxa"/>
            <w:noWrap w:val="0"/>
            <w:vAlign w:val="top"/>
          </w:tcPr>
          <w:p w14:paraId="1F11928B">
            <w:pPr>
              <w:wordWrap w:val="0"/>
              <w:spacing w:line="360" w:lineRule="auto"/>
              <w:ind w:left="25"/>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100以下</w:t>
            </w:r>
          </w:p>
        </w:tc>
        <w:tc>
          <w:tcPr>
            <w:tcW w:w="1841" w:type="dxa"/>
            <w:noWrap w:val="0"/>
            <w:vAlign w:val="top"/>
          </w:tcPr>
          <w:p w14:paraId="107DA2F3">
            <w:pPr>
              <w:wordWrap w:val="0"/>
              <w:spacing w:line="360" w:lineRule="auto"/>
              <w:ind w:left="25"/>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1992" w:type="dxa"/>
            <w:noWrap w:val="0"/>
            <w:vAlign w:val="top"/>
          </w:tcPr>
          <w:p w14:paraId="4E361ADA">
            <w:pPr>
              <w:wordWrap w:val="0"/>
              <w:spacing w:line="360" w:lineRule="auto"/>
              <w:ind w:left="25"/>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2293" w:type="dxa"/>
            <w:noWrap w:val="0"/>
            <w:vAlign w:val="top"/>
          </w:tcPr>
          <w:p w14:paraId="58B58B72">
            <w:pPr>
              <w:wordWrap w:val="0"/>
              <w:spacing w:line="360" w:lineRule="auto"/>
              <w:ind w:left="25"/>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p>
        </w:tc>
      </w:tr>
      <w:tr w14:paraId="34312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2880" w:type="dxa"/>
            <w:noWrap w:val="0"/>
            <w:vAlign w:val="top"/>
          </w:tcPr>
          <w:p w14:paraId="364C6EF4">
            <w:pPr>
              <w:wordWrap w:val="0"/>
              <w:spacing w:line="360" w:lineRule="auto"/>
              <w:ind w:left="25"/>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100-500</w:t>
            </w:r>
          </w:p>
        </w:tc>
        <w:tc>
          <w:tcPr>
            <w:tcW w:w="1841" w:type="dxa"/>
            <w:noWrap w:val="0"/>
            <w:vAlign w:val="top"/>
          </w:tcPr>
          <w:p w14:paraId="43B102F2">
            <w:pPr>
              <w:wordWrap w:val="0"/>
              <w:spacing w:line="360" w:lineRule="auto"/>
              <w:ind w:left="25"/>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1992" w:type="dxa"/>
            <w:noWrap w:val="0"/>
            <w:vAlign w:val="top"/>
          </w:tcPr>
          <w:p w14:paraId="53A51526">
            <w:pPr>
              <w:wordWrap w:val="0"/>
              <w:spacing w:line="360" w:lineRule="auto"/>
              <w:ind w:left="25"/>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0.8%</w:t>
            </w:r>
          </w:p>
        </w:tc>
        <w:tc>
          <w:tcPr>
            <w:tcW w:w="2293" w:type="dxa"/>
            <w:noWrap w:val="0"/>
            <w:vAlign w:val="top"/>
          </w:tcPr>
          <w:p w14:paraId="2F01ADB3">
            <w:pPr>
              <w:wordWrap w:val="0"/>
              <w:spacing w:line="360" w:lineRule="auto"/>
              <w:ind w:left="25"/>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0.7%</w:t>
            </w:r>
          </w:p>
        </w:tc>
      </w:tr>
      <w:tr w14:paraId="4729B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2880" w:type="dxa"/>
            <w:noWrap w:val="0"/>
            <w:vAlign w:val="top"/>
          </w:tcPr>
          <w:p w14:paraId="5A4A75E4">
            <w:pPr>
              <w:wordWrap w:val="0"/>
              <w:spacing w:line="360" w:lineRule="auto"/>
              <w:ind w:left="25"/>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500-1000</w:t>
            </w:r>
          </w:p>
        </w:tc>
        <w:tc>
          <w:tcPr>
            <w:tcW w:w="1841" w:type="dxa"/>
            <w:noWrap w:val="0"/>
            <w:vAlign w:val="top"/>
          </w:tcPr>
          <w:p w14:paraId="408383E1">
            <w:pPr>
              <w:wordWrap w:val="0"/>
              <w:spacing w:line="360" w:lineRule="auto"/>
              <w:ind w:left="25"/>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0.8%</w:t>
            </w:r>
          </w:p>
        </w:tc>
        <w:tc>
          <w:tcPr>
            <w:tcW w:w="1992" w:type="dxa"/>
            <w:noWrap w:val="0"/>
            <w:vAlign w:val="top"/>
          </w:tcPr>
          <w:p w14:paraId="58B9EFE1">
            <w:pPr>
              <w:wordWrap w:val="0"/>
              <w:spacing w:line="360" w:lineRule="auto"/>
              <w:ind w:left="25"/>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0.45%</w:t>
            </w:r>
          </w:p>
        </w:tc>
        <w:tc>
          <w:tcPr>
            <w:tcW w:w="2293" w:type="dxa"/>
            <w:noWrap w:val="0"/>
            <w:vAlign w:val="top"/>
          </w:tcPr>
          <w:p w14:paraId="335C262F">
            <w:pPr>
              <w:wordWrap w:val="0"/>
              <w:spacing w:line="360" w:lineRule="auto"/>
              <w:ind w:left="25"/>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0.55%</w:t>
            </w:r>
          </w:p>
        </w:tc>
      </w:tr>
      <w:tr w14:paraId="50B44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2880" w:type="dxa"/>
            <w:noWrap w:val="0"/>
            <w:vAlign w:val="top"/>
          </w:tcPr>
          <w:p w14:paraId="52263F92">
            <w:pPr>
              <w:wordWrap w:val="0"/>
              <w:spacing w:line="360" w:lineRule="auto"/>
              <w:ind w:left="25"/>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1000-5000</w:t>
            </w:r>
          </w:p>
        </w:tc>
        <w:tc>
          <w:tcPr>
            <w:tcW w:w="1841" w:type="dxa"/>
            <w:noWrap w:val="0"/>
            <w:vAlign w:val="top"/>
          </w:tcPr>
          <w:p w14:paraId="7CDCAC51">
            <w:pPr>
              <w:wordWrap w:val="0"/>
              <w:spacing w:line="360" w:lineRule="auto"/>
              <w:ind w:left="25"/>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0.5%</w:t>
            </w:r>
          </w:p>
        </w:tc>
        <w:tc>
          <w:tcPr>
            <w:tcW w:w="1992" w:type="dxa"/>
            <w:noWrap w:val="0"/>
            <w:vAlign w:val="top"/>
          </w:tcPr>
          <w:p w14:paraId="1452D5DC">
            <w:pPr>
              <w:wordWrap w:val="0"/>
              <w:spacing w:line="360" w:lineRule="auto"/>
              <w:ind w:left="25"/>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0.25%</w:t>
            </w:r>
          </w:p>
        </w:tc>
        <w:tc>
          <w:tcPr>
            <w:tcW w:w="2293" w:type="dxa"/>
            <w:noWrap w:val="0"/>
            <w:vAlign w:val="top"/>
          </w:tcPr>
          <w:p w14:paraId="3D3C1DE9">
            <w:pPr>
              <w:wordWrap w:val="0"/>
              <w:spacing w:line="360" w:lineRule="auto"/>
              <w:ind w:left="25"/>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0.35%</w:t>
            </w:r>
          </w:p>
        </w:tc>
      </w:tr>
      <w:tr w14:paraId="37F74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2880" w:type="dxa"/>
            <w:noWrap w:val="0"/>
            <w:vAlign w:val="top"/>
          </w:tcPr>
          <w:p w14:paraId="69AA9717">
            <w:pPr>
              <w:wordWrap w:val="0"/>
              <w:spacing w:line="360" w:lineRule="auto"/>
              <w:ind w:left="25"/>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5000-10000</w:t>
            </w:r>
          </w:p>
        </w:tc>
        <w:tc>
          <w:tcPr>
            <w:tcW w:w="1841" w:type="dxa"/>
            <w:noWrap w:val="0"/>
            <w:vAlign w:val="top"/>
          </w:tcPr>
          <w:p w14:paraId="26002F7A">
            <w:pPr>
              <w:wordWrap w:val="0"/>
              <w:spacing w:line="360" w:lineRule="auto"/>
              <w:ind w:left="25"/>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0.25%</w:t>
            </w:r>
          </w:p>
        </w:tc>
        <w:tc>
          <w:tcPr>
            <w:tcW w:w="1992" w:type="dxa"/>
            <w:noWrap w:val="0"/>
            <w:vAlign w:val="top"/>
          </w:tcPr>
          <w:p w14:paraId="2A445383">
            <w:pPr>
              <w:wordWrap w:val="0"/>
              <w:spacing w:line="360" w:lineRule="auto"/>
              <w:ind w:left="25"/>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0.1%</w:t>
            </w:r>
          </w:p>
        </w:tc>
        <w:tc>
          <w:tcPr>
            <w:tcW w:w="2293" w:type="dxa"/>
            <w:noWrap w:val="0"/>
            <w:vAlign w:val="top"/>
          </w:tcPr>
          <w:p w14:paraId="45316D2D">
            <w:pPr>
              <w:wordWrap w:val="0"/>
              <w:spacing w:line="360" w:lineRule="auto"/>
              <w:ind w:left="25"/>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0.2%</w:t>
            </w:r>
          </w:p>
        </w:tc>
      </w:tr>
    </w:tbl>
    <w:p w14:paraId="1BB9A04D">
      <w:pPr>
        <w:pageBreakBefore w:val="0"/>
        <w:widowControl w:val="0"/>
        <w:kinsoku/>
        <w:wordWrap/>
        <w:overflowPunct/>
        <w:topLinePunct w:val="0"/>
        <w:autoSpaceDE/>
        <w:autoSpaceDN/>
        <w:bidi w:val="0"/>
        <w:adjustRightInd/>
        <w:spacing w:line="360" w:lineRule="auto"/>
        <w:ind w:left="0" w:leftChars="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注：采购代理服务收费按差额定率累进法计算。</w:t>
      </w:r>
    </w:p>
    <w:p w14:paraId="7DE2E521">
      <w:pPr>
        <w:pageBreakBefore w:val="0"/>
        <w:widowControl w:val="0"/>
        <w:kinsoku/>
        <w:wordWrap/>
        <w:overflowPunct/>
        <w:topLinePunct w:val="0"/>
        <w:autoSpaceDE/>
        <w:autoSpaceDN/>
        <w:bidi w:val="0"/>
        <w:adjustRightInd/>
        <w:spacing w:line="360" w:lineRule="auto"/>
        <w:ind w:left="0" w:leftChars="0" w:firstLine="422"/>
        <w:textAlignment w:val="auto"/>
        <w:outlineLvl w:val="9"/>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30.2采购代理服务费交纳账户：</w:t>
      </w:r>
    </w:p>
    <w:p w14:paraId="5DFDE489">
      <w:pPr>
        <w:pStyle w:val="22"/>
        <w:snapToGrid w:val="0"/>
        <w:spacing w:line="360" w:lineRule="auto"/>
        <w:ind w:firstLine="420" w:firstLineChars="200"/>
        <w:rPr>
          <w:rFonts w:hAnsi="宋体" w:cs="宋体"/>
          <w:bCs/>
          <w:color w:val="auto"/>
          <w:sz w:val="21"/>
          <w:szCs w:val="21"/>
          <w:highlight w:val="none"/>
        </w:rPr>
      </w:pPr>
      <w:bookmarkStart w:id="226" w:name="_Toc7494"/>
      <w:bookmarkStart w:id="227" w:name="_Toc15204"/>
      <w:r>
        <w:rPr>
          <w:rFonts w:hint="eastAsia" w:hAnsi="宋体" w:cs="宋体"/>
          <w:bCs/>
          <w:color w:val="auto"/>
          <w:sz w:val="21"/>
          <w:szCs w:val="21"/>
          <w:highlight w:val="none"/>
        </w:rPr>
        <w:t>账户名称：广西鼎策工程顾问有限责任公司</w:t>
      </w:r>
    </w:p>
    <w:p w14:paraId="730CC735">
      <w:pPr>
        <w:pStyle w:val="22"/>
        <w:snapToGrid w:val="0"/>
        <w:spacing w:line="360" w:lineRule="auto"/>
        <w:ind w:firstLine="420" w:firstLineChars="200"/>
        <w:rPr>
          <w:rFonts w:hAnsi="宋体" w:cs="宋体"/>
          <w:bCs/>
          <w:color w:val="auto"/>
          <w:sz w:val="21"/>
          <w:szCs w:val="21"/>
          <w:highlight w:val="none"/>
        </w:rPr>
      </w:pPr>
      <w:r>
        <w:rPr>
          <w:rFonts w:hint="eastAsia" w:hAnsi="宋体" w:cs="宋体"/>
          <w:bCs/>
          <w:color w:val="auto"/>
          <w:sz w:val="21"/>
          <w:szCs w:val="21"/>
          <w:highlight w:val="none"/>
        </w:rPr>
        <w:t>开户银行：建行南宁金湖北路支行</w:t>
      </w:r>
    </w:p>
    <w:p w14:paraId="67272D41">
      <w:pPr>
        <w:pStyle w:val="22"/>
        <w:snapToGrid w:val="0"/>
        <w:spacing w:line="360" w:lineRule="auto"/>
        <w:ind w:firstLine="420" w:firstLineChars="200"/>
        <w:rPr>
          <w:rFonts w:hint="eastAsia" w:hAnsi="宋体" w:cs="宋体"/>
          <w:bCs/>
          <w:color w:val="auto"/>
          <w:sz w:val="21"/>
          <w:szCs w:val="21"/>
          <w:highlight w:val="none"/>
          <w:lang w:val="en-US" w:eastAsia="zh-CN"/>
        </w:rPr>
      </w:pPr>
      <w:r>
        <w:rPr>
          <w:rFonts w:hint="eastAsia" w:hAnsi="宋体" w:cs="宋体"/>
          <w:bCs/>
          <w:color w:val="auto"/>
          <w:sz w:val="21"/>
          <w:szCs w:val="21"/>
          <w:highlight w:val="none"/>
        </w:rPr>
        <w:t>银行账号：4500 1604 2640 5070 0796</w:t>
      </w:r>
    </w:p>
    <w:p w14:paraId="72D1FA8E">
      <w:pPr>
        <w:spacing w:line="360" w:lineRule="auto"/>
        <w:ind w:firstLine="422" w:firstLineChars="200"/>
        <w:outlineLvl w:val="9"/>
        <w:rPr>
          <w:rFonts w:hint="eastAsia" w:ascii="宋体" w:hAnsi="宋体" w:eastAsia="宋体" w:cs="宋体"/>
          <w:color w:val="auto"/>
          <w:sz w:val="21"/>
          <w:szCs w:val="21"/>
          <w:highlight w:val="none"/>
          <w:shd w:val="clear" w:color="auto" w:fill="auto"/>
        </w:rPr>
      </w:pPr>
      <w:r>
        <w:rPr>
          <w:rStyle w:val="56"/>
          <w:rFonts w:hint="eastAsia" w:ascii="宋体" w:hAnsi="宋体" w:eastAsia="宋体" w:cs="宋体"/>
          <w:color w:val="auto"/>
          <w:sz w:val="21"/>
          <w:szCs w:val="21"/>
          <w:highlight w:val="none"/>
          <w:shd w:val="clear" w:color="auto" w:fill="auto"/>
        </w:rPr>
        <w:t xml:space="preserve">31. </w:t>
      </w:r>
      <w:bookmarkEnd w:id="225"/>
      <w:r>
        <w:rPr>
          <w:rStyle w:val="56"/>
          <w:rFonts w:hint="eastAsia" w:ascii="宋体" w:hAnsi="宋体" w:eastAsia="宋体" w:cs="宋体"/>
          <w:color w:val="auto"/>
          <w:sz w:val="21"/>
          <w:szCs w:val="21"/>
          <w:highlight w:val="none"/>
          <w:shd w:val="clear" w:color="auto" w:fill="auto"/>
        </w:rPr>
        <w:t>编制依据</w:t>
      </w:r>
      <w:bookmarkEnd w:id="226"/>
      <w:bookmarkEnd w:id="227"/>
      <w:r>
        <w:rPr>
          <w:rFonts w:hint="eastAsia" w:ascii="宋体" w:hAnsi="宋体" w:eastAsia="宋体" w:cs="宋体"/>
          <w:color w:val="auto"/>
          <w:sz w:val="21"/>
          <w:szCs w:val="21"/>
          <w:highlight w:val="none"/>
          <w:shd w:val="clear" w:color="auto" w:fill="auto"/>
        </w:rPr>
        <w:t>：</w:t>
      </w:r>
      <w:bookmarkStart w:id="228" w:name="_Toc28899"/>
      <w:bookmarkStart w:id="229" w:name="_Toc27500"/>
      <w:r>
        <w:rPr>
          <w:rFonts w:hint="eastAsia" w:ascii="宋体" w:hAnsi="宋体" w:eastAsia="宋体" w:cs="宋体"/>
          <w:color w:val="auto"/>
          <w:sz w:val="21"/>
          <w:szCs w:val="21"/>
          <w:highlight w:val="none"/>
          <w:shd w:val="clear" w:color="auto" w:fill="auto"/>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p w14:paraId="558D2D3B">
      <w:pPr>
        <w:spacing w:line="360" w:lineRule="auto"/>
        <w:ind w:left="315"/>
        <w:outlineLvl w:val="9"/>
        <w:rPr>
          <w:rFonts w:hint="eastAsia" w:ascii="宋体" w:hAnsi="宋体" w:eastAsia="宋体" w:cs="宋体"/>
          <w:color w:val="auto"/>
          <w:highlight w:val="none"/>
          <w:lang w:eastAsia="zh-CN"/>
        </w:rPr>
      </w:pPr>
      <w:r>
        <w:rPr>
          <w:rStyle w:val="56"/>
          <w:rFonts w:hint="eastAsia" w:ascii="宋体" w:hAnsi="宋体" w:eastAsia="宋体" w:cs="宋体"/>
          <w:color w:val="auto"/>
          <w:sz w:val="21"/>
          <w:szCs w:val="21"/>
          <w:highlight w:val="none"/>
          <w:shd w:val="clear" w:color="auto" w:fill="auto"/>
        </w:rPr>
        <w:t>32. 监督管理机构</w:t>
      </w:r>
      <w:bookmarkEnd w:id="228"/>
      <w:bookmarkEnd w:id="229"/>
      <w:r>
        <w:rPr>
          <w:rFonts w:hint="eastAsia" w:ascii="宋体" w:hAnsi="宋体" w:eastAsia="宋体" w:cs="宋体"/>
          <w:color w:val="auto"/>
          <w:sz w:val="21"/>
          <w:szCs w:val="21"/>
          <w:highlight w:val="none"/>
          <w:shd w:val="clear" w:color="auto" w:fill="auto"/>
        </w:rPr>
        <w:t>：</w:t>
      </w:r>
      <w:bookmarkStart w:id="230" w:name="_Toc12767"/>
      <w:bookmarkStart w:id="231" w:name="_Toc30995"/>
      <w:bookmarkStart w:id="232" w:name="_Toc15551"/>
      <w:r>
        <w:rPr>
          <w:rFonts w:hint="eastAsia" w:ascii="宋体" w:hAnsi="宋体" w:eastAsia="宋体" w:cs="宋体"/>
          <w:color w:val="auto"/>
          <w:szCs w:val="21"/>
          <w:highlight w:val="none"/>
          <w:lang w:eastAsia="zh-CN"/>
        </w:rPr>
        <w:t>桂林市临桂区财政局政府采购监督管理股</w:t>
      </w:r>
      <w:r>
        <w:rPr>
          <w:rFonts w:hint="eastAsia" w:ascii="宋体" w:hAnsi="宋体" w:eastAsia="宋体" w:cs="宋体"/>
          <w:color w:val="auto"/>
          <w:szCs w:val="21"/>
          <w:highlight w:val="none"/>
        </w:rPr>
        <w:t xml:space="preserve">    电话：</w:t>
      </w:r>
      <w:r>
        <w:rPr>
          <w:rFonts w:hint="eastAsia" w:ascii="宋体" w:hAnsi="宋体" w:eastAsia="宋体" w:cs="宋体"/>
          <w:color w:val="auto"/>
          <w:szCs w:val="21"/>
          <w:highlight w:val="none"/>
          <w:lang w:eastAsia="zh-CN"/>
        </w:rPr>
        <w:t>0773-5593932</w:t>
      </w:r>
    </w:p>
    <w:p w14:paraId="7FB59C9E">
      <w:pPr>
        <w:pageBreakBefore w:val="0"/>
        <w:widowControl w:val="0"/>
        <w:kinsoku/>
        <w:wordWrap/>
        <w:overflowPunct/>
        <w:topLinePunct w:val="0"/>
        <w:autoSpaceDE/>
        <w:autoSpaceDN/>
        <w:bidi w:val="0"/>
        <w:adjustRightInd/>
        <w:spacing w:line="360" w:lineRule="auto"/>
        <w:ind w:left="0" w:leftChars="0" w:firstLine="422" w:firstLineChars="200"/>
        <w:textAlignment w:val="auto"/>
        <w:outlineLvl w:val="9"/>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lang w:val="en-US" w:eastAsia="zh-CN"/>
        </w:rPr>
        <w:t xml:space="preserve">33.根据“桂林市大数据和行政审批局桂林市财政局桂林市住房和城乡建设局桂林市交通运输局桂林市 </w:t>
      </w:r>
    </w:p>
    <w:p w14:paraId="4EAF1A25">
      <w:pPr>
        <w:pageBreakBefore w:val="0"/>
        <w:widowControl w:val="0"/>
        <w:kinsoku/>
        <w:wordWrap/>
        <w:overflowPunct/>
        <w:topLinePunct w:val="0"/>
        <w:autoSpaceDE/>
        <w:autoSpaceDN/>
        <w:bidi w:val="0"/>
        <w:adjustRightInd/>
        <w:spacing w:line="360" w:lineRule="auto"/>
        <w:ind w:left="0" w:leftChars="0" w:firstLine="422"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lang w:val="en-US" w:eastAsia="zh-CN"/>
        </w:rPr>
        <w:t>水利局关于进一步优化招标采购评标机制加强异常低价监管处置办法(市数审[2025]11 号)”之规定，进行 政府采购异常低价审查：</w:t>
      </w:r>
      <w:r>
        <w:rPr>
          <w:rFonts w:hint="eastAsia" w:ascii="宋体" w:hAnsi="宋体" w:eastAsia="宋体" w:cs="宋体"/>
          <w:color w:val="auto"/>
          <w:sz w:val="21"/>
          <w:szCs w:val="21"/>
          <w:highlight w:val="none"/>
          <w:shd w:val="clear" w:color="auto" w:fill="auto"/>
          <w:lang w:val="en-US" w:eastAsia="zh-CN"/>
        </w:rPr>
        <w:t xml:space="preserve"> </w:t>
      </w:r>
    </w:p>
    <w:p w14:paraId="2BABB1BA">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 xml:space="preserve">（一）政府采购评审中出现下列情形之一的，评审委员会应当启动异常低价投标(响应)审查程序:（1） </w:t>
      </w:r>
    </w:p>
    <w:p w14:paraId="4A935C4E">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 xml:space="preserve">投标报价低于全部通过符合性审查的供应商投标报价平均值 50%的，即投标报价＜全部通过符合性审查的供应商投标报价平均值×50%； </w:t>
      </w:r>
    </w:p>
    <w:p w14:paraId="56BA11D9">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 xml:space="preserve">（2）投标报价低于通过符合性审查且报价次低供应商投标报价 50%的，即投标报价＜通过符合性审查 </w:t>
      </w:r>
    </w:p>
    <w:p w14:paraId="4FC0486D">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 xml:space="preserve">且报价次的供应商投标报价×50%； </w:t>
      </w:r>
    </w:p>
    <w:p w14:paraId="09AF4F72">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 xml:space="preserve">（3）投标报价低于采购项目最高限价 45%的，即投标报价＜采购项目最高限价×45%。 </w:t>
      </w:r>
    </w:p>
    <w:p w14:paraId="78511B56">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 xml:space="preserve">（4）评审委员会基于专业判断，认为供应商报价过低，有可能影响产品质量或者不能诚信履约的其他情形。 </w:t>
      </w:r>
    </w:p>
    <w:p w14:paraId="083B59D9">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（二）评标委员会启动异常低价投标（响应）审查后，属于前述第 1 项至第 4 项情形的，应当要求</w:t>
      </w:r>
    </w:p>
    <w:p w14:paraId="63989FDB">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 xml:space="preserve">相关供应商在评审现场合理的时间内对投标（响应）价格作出解释，提供项目具体成本测算等与报价合理 </w:t>
      </w:r>
    </w:p>
    <w:p w14:paraId="05086EEA">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 xml:space="preserve">性相关的书面说明及必要的证明材料，包括但不限于原材料成本、人工成本、制造费用等，给予相关供应商的合理时间一般不少于 30 分钟。其中，属于第 3 项情形，供应商已随投标（响应）文件一并提交相关书面说明及必要的证明材料的，在评审现场可不再重复提交。 </w:t>
      </w:r>
    </w:p>
    <w:p w14:paraId="5542CDA9">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 xml:space="preserve">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 </w:t>
      </w:r>
    </w:p>
    <w:p w14:paraId="6852611C">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 xml:space="preserve">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 </w:t>
      </w:r>
    </w:p>
    <w:p w14:paraId="74E36F92">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异常低价投标（响应）审查的启动原因、审查意见和审查结果应当在评审报告中记录，并随供应商提供的相关书面说明及证明材料，以及评标委员会有关互联网浏览、查询历史一并归档。</w:t>
      </w:r>
    </w:p>
    <w:p w14:paraId="7D2978DE">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p>
    <w:bookmarkEnd w:id="230"/>
    <w:bookmarkEnd w:id="231"/>
    <w:bookmarkEnd w:id="232"/>
    <w:p w14:paraId="7A28B344">
      <w:pPr>
        <w:outlineLvl w:val="9"/>
        <w:rPr>
          <w:rFonts w:hint="eastAsia" w:ascii="宋体" w:hAnsi="宋体" w:cs="宋体"/>
          <w:b/>
          <w:color w:val="auto"/>
          <w:szCs w:val="24"/>
          <w:highlight w:val="none"/>
        </w:rPr>
      </w:pPr>
      <w:bookmarkStart w:id="233" w:name="_Toc2989"/>
      <w:bookmarkStart w:id="234" w:name="_Toc4687"/>
      <w:bookmarkStart w:id="235" w:name="_Toc21742"/>
      <w:r>
        <w:rPr>
          <w:rFonts w:hint="eastAsia" w:ascii="宋体" w:hAnsi="宋体" w:cs="宋体"/>
          <w:b/>
          <w:color w:val="auto"/>
          <w:szCs w:val="24"/>
          <w:highlight w:val="none"/>
        </w:rPr>
        <w:br w:type="page"/>
      </w:r>
    </w:p>
    <w:p w14:paraId="773B729D">
      <w:pPr>
        <w:snapToGrid w:val="0"/>
        <w:spacing w:line="240" w:lineRule="auto"/>
        <w:ind w:firstLine="0" w:firstLineChars="0"/>
        <w:outlineLvl w:val="9"/>
        <w:rPr>
          <w:rFonts w:hint="eastAsia" w:ascii="宋体" w:hAnsi="宋体" w:cs="宋体"/>
          <w:b/>
          <w:color w:val="auto"/>
          <w:szCs w:val="24"/>
          <w:highlight w:val="none"/>
        </w:rPr>
      </w:pPr>
      <w:r>
        <w:rPr>
          <w:rFonts w:hint="eastAsia" w:ascii="宋体" w:hAnsi="宋体" w:cs="宋体"/>
          <w:b/>
          <w:color w:val="auto"/>
          <w:szCs w:val="24"/>
          <w:highlight w:val="none"/>
        </w:rPr>
        <w:t>附表1：</w:t>
      </w:r>
    </w:p>
    <w:p w14:paraId="537AD897">
      <w:pPr>
        <w:spacing w:line="460" w:lineRule="exact"/>
        <w:ind w:firstLine="0" w:firstLineChars="0"/>
        <w:jc w:val="center"/>
        <w:outlineLvl w:val="9"/>
        <w:rPr>
          <w:rFonts w:hint="eastAsia" w:ascii="宋体" w:hAnsi="宋体" w:cs="宋体"/>
          <w:b/>
          <w:bCs/>
          <w:color w:val="auto"/>
          <w:sz w:val="44"/>
          <w:szCs w:val="24"/>
          <w:highlight w:val="none"/>
        </w:rPr>
      </w:pPr>
      <w:r>
        <w:rPr>
          <w:rFonts w:hint="eastAsia" w:ascii="宋体" w:hAnsi="宋体" w:cs="宋体"/>
          <w:b/>
          <w:bCs/>
          <w:color w:val="auto"/>
          <w:sz w:val="44"/>
          <w:szCs w:val="24"/>
          <w:highlight w:val="none"/>
        </w:rPr>
        <w:t>质疑函（格式）</w:t>
      </w:r>
    </w:p>
    <w:p w14:paraId="376639F3">
      <w:pPr>
        <w:snapToGrid w:val="0"/>
        <w:spacing w:line="360" w:lineRule="exact"/>
        <w:ind w:firstLine="422"/>
        <w:outlineLvl w:val="9"/>
        <w:rPr>
          <w:rFonts w:hint="eastAsia" w:ascii="宋体" w:hAnsi="宋体" w:cs="宋体"/>
          <w:b/>
          <w:bCs/>
          <w:color w:val="auto"/>
          <w:sz w:val="21"/>
          <w:szCs w:val="20"/>
          <w:highlight w:val="none"/>
        </w:rPr>
      </w:pPr>
      <w:r>
        <w:rPr>
          <w:rFonts w:hint="eastAsia" w:ascii="宋体" w:hAnsi="宋体" w:cs="宋体"/>
          <w:b/>
          <w:bCs/>
          <w:color w:val="auto"/>
          <w:sz w:val="21"/>
          <w:szCs w:val="20"/>
          <w:highlight w:val="none"/>
        </w:rPr>
        <w:t>一、质疑供应商基本信息：</w:t>
      </w:r>
    </w:p>
    <w:p w14:paraId="2ADE0B98">
      <w:pPr>
        <w:snapToGrid w:val="0"/>
        <w:spacing w:line="360" w:lineRule="exact"/>
        <w:ind w:firstLine="420"/>
        <w:outlineLvl w:val="9"/>
        <w:rPr>
          <w:rFonts w:hint="eastAsia" w:ascii="宋体" w:hAnsi="宋体" w:cs="宋体"/>
          <w:bCs/>
          <w:color w:val="auto"/>
          <w:sz w:val="21"/>
          <w:szCs w:val="20"/>
          <w:highlight w:val="none"/>
          <w:u w:val="single"/>
        </w:rPr>
      </w:pPr>
      <w:r>
        <w:rPr>
          <w:rFonts w:hint="eastAsia" w:ascii="宋体" w:hAnsi="宋体" w:cs="宋体"/>
          <w:bCs/>
          <w:color w:val="auto"/>
          <w:sz w:val="21"/>
          <w:szCs w:val="20"/>
          <w:highlight w:val="none"/>
        </w:rPr>
        <w:t>质疑供应商：</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 xml:space="preserve">                 </w:t>
      </w:r>
    </w:p>
    <w:p w14:paraId="6A1B16AA">
      <w:pPr>
        <w:snapToGrid w:val="0"/>
        <w:spacing w:line="360" w:lineRule="exact"/>
        <w:ind w:firstLine="420"/>
        <w:outlineLvl w:val="9"/>
        <w:rPr>
          <w:rFonts w:hint="eastAsia" w:ascii="宋体" w:hAnsi="宋体" w:cs="宋体"/>
          <w:bCs/>
          <w:color w:val="auto"/>
          <w:sz w:val="21"/>
          <w:szCs w:val="20"/>
          <w:highlight w:val="none"/>
        </w:rPr>
      </w:pPr>
      <w:r>
        <w:rPr>
          <w:rFonts w:hint="eastAsia" w:ascii="宋体" w:hAnsi="宋体" w:cs="宋体"/>
          <w:bCs/>
          <w:color w:val="auto"/>
          <w:sz w:val="21"/>
          <w:szCs w:val="20"/>
          <w:highlight w:val="none"/>
        </w:rPr>
        <w:t>地址：</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邮编：</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 xml:space="preserve">                 </w:t>
      </w:r>
    </w:p>
    <w:p w14:paraId="6BA67989">
      <w:pPr>
        <w:snapToGrid w:val="0"/>
        <w:spacing w:line="360" w:lineRule="exact"/>
        <w:ind w:firstLine="420"/>
        <w:outlineLvl w:val="9"/>
        <w:rPr>
          <w:rFonts w:hint="eastAsia" w:ascii="宋体" w:hAnsi="宋体" w:cs="宋体"/>
          <w:bCs/>
          <w:color w:val="auto"/>
          <w:sz w:val="21"/>
          <w:szCs w:val="20"/>
          <w:highlight w:val="none"/>
        </w:rPr>
      </w:pPr>
      <w:r>
        <w:rPr>
          <w:rFonts w:hint="eastAsia" w:ascii="宋体" w:hAnsi="宋体" w:cs="宋体"/>
          <w:bCs/>
          <w:color w:val="auto"/>
          <w:sz w:val="21"/>
          <w:szCs w:val="20"/>
          <w:highlight w:val="none"/>
        </w:rPr>
        <w:t>联系人：</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联系电话：</w:t>
      </w:r>
      <w:r>
        <w:rPr>
          <w:rFonts w:hint="eastAsia" w:ascii="宋体" w:hAnsi="宋体" w:cs="宋体"/>
          <w:bCs/>
          <w:color w:val="auto"/>
          <w:sz w:val="21"/>
          <w:szCs w:val="20"/>
          <w:highlight w:val="none"/>
          <w:u w:val="single"/>
        </w:rPr>
        <w:t xml:space="preserve">                 </w:t>
      </w:r>
    </w:p>
    <w:p w14:paraId="0EA995B9">
      <w:pPr>
        <w:snapToGrid w:val="0"/>
        <w:spacing w:line="360" w:lineRule="exact"/>
        <w:ind w:firstLine="420"/>
        <w:outlineLvl w:val="9"/>
        <w:rPr>
          <w:rFonts w:hint="eastAsia" w:ascii="宋体" w:hAnsi="宋体" w:cs="宋体"/>
          <w:bCs/>
          <w:color w:val="auto"/>
          <w:sz w:val="21"/>
          <w:szCs w:val="20"/>
          <w:highlight w:val="none"/>
        </w:rPr>
      </w:pPr>
      <w:r>
        <w:rPr>
          <w:rFonts w:hint="eastAsia" w:ascii="宋体" w:hAnsi="宋体" w:cs="宋体"/>
          <w:bCs/>
          <w:color w:val="auto"/>
          <w:sz w:val="21"/>
          <w:szCs w:val="20"/>
          <w:highlight w:val="none"/>
        </w:rPr>
        <w:t>授权代表：</w:t>
      </w:r>
      <w:r>
        <w:rPr>
          <w:rFonts w:hint="eastAsia" w:ascii="宋体" w:hAnsi="宋体" w:cs="宋体"/>
          <w:bCs/>
          <w:color w:val="auto"/>
          <w:sz w:val="21"/>
          <w:szCs w:val="20"/>
          <w:highlight w:val="none"/>
          <w:u w:val="single"/>
        </w:rPr>
        <w:t xml:space="preserve">                      </w:t>
      </w:r>
    </w:p>
    <w:p w14:paraId="7617CAEE">
      <w:pPr>
        <w:snapToGrid w:val="0"/>
        <w:spacing w:line="360" w:lineRule="exact"/>
        <w:ind w:firstLine="420"/>
        <w:outlineLvl w:val="9"/>
        <w:rPr>
          <w:rFonts w:hint="eastAsia" w:ascii="宋体" w:hAnsi="宋体" w:cs="宋体"/>
          <w:bCs/>
          <w:color w:val="auto"/>
          <w:sz w:val="21"/>
          <w:szCs w:val="20"/>
          <w:highlight w:val="none"/>
          <w:u w:val="single"/>
        </w:rPr>
      </w:pPr>
      <w:r>
        <w:rPr>
          <w:rFonts w:hint="eastAsia" w:ascii="宋体" w:hAnsi="宋体" w:cs="宋体"/>
          <w:bCs/>
          <w:color w:val="auto"/>
          <w:sz w:val="21"/>
          <w:szCs w:val="20"/>
          <w:highlight w:val="none"/>
        </w:rPr>
        <w:t>联系电话：</w:t>
      </w:r>
      <w:r>
        <w:rPr>
          <w:rFonts w:hint="eastAsia" w:ascii="宋体" w:hAnsi="宋体" w:cs="宋体"/>
          <w:bCs/>
          <w:color w:val="auto"/>
          <w:sz w:val="21"/>
          <w:szCs w:val="20"/>
          <w:highlight w:val="none"/>
          <w:u w:val="single"/>
        </w:rPr>
        <w:t xml:space="preserve">                      </w:t>
      </w:r>
    </w:p>
    <w:p w14:paraId="1693EED4">
      <w:pPr>
        <w:snapToGrid w:val="0"/>
        <w:spacing w:line="360" w:lineRule="exact"/>
        <w:ind w:firstLine="420"/>
        <w:outlineLvl w:val="9"/>
        <w:rPr>
          <w:rFonts w:hint="eastAsia" w:ascii="宋体" w:hAnsi="宋体" w:cs="宋体"/>
          <w:bCs/>
          <w:color w:val="auto"/>
          <w:sz w:val="21"/>
          <w:szCs w:val="20"/>
          <w:highlight w:val="none"/>
        </w:rPr>
      </w:pPr>
      <w:r>
        <w:rPr>
          <w:rFonts w:hint="eastAsia" w:ascii="宋体" w:hAnsi="宋体" w:cs="宋体"/>
          <w:bCs/>
          <w:color w:val="auto"/>
          <w:sz w:val="21"/>
          <w:szCs w:val="20"/>
          <w:highlight w:val="none"/>
        </w:rPr>
        <w:t>地址：</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邮编：</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 xml:space="preserve">     </w:t>
      </w:r>
    </w:p>
    <w:p w14:paraId="3622EE12">
      <w:pPr>
        <w:snapToGrid w:val="0"/>
        <w:spacing w:line="360" w:lineRule="exact"/>
        <w:ind w:firstLine="422"/>
        <w:outlineLvl w:val="9"/>
        <w:rPr>
          <w:rFonts w:hint="eastAsia" w:ascii="宋体" w:hAnsi="宋体" w:cs="宋体"/>
          <w:b/>
          <w:bCs/>
          <w:color w:val="auto"/>
          <w:sz w:val="21"/>
          <w:szCs w:val="20"/>
          <w:highlight w:val="none"/>
        </w:rPr>
      </w:pPr>
      <w:r>
        <w:rPr>
          <w:rFonts w:hint="eastAsia" w:ascii="宋体" w:hAnsi="宋体" w:cs="宋体"/>
          <w:b/>
          <w:bCs/>
          <w:color w:val="auto"/>
          <w:sz w:val="21"/>
          <w:szCs w:val="20"/>
          <w:highlight w:val="none"/>
        </w:rPr>
        <w:t>二、质疑项目基本情况：</w:t>
      </w:r>
    </w:p>
    <w:p w14:paraId="0A70B0EE">
      <w:pPr>
        <w:spacing w:line="360" w:lineRule="exact"/>
        <w:ind w:left="25" w:leftChars="12" w:firstLine="413" w:firstLineChars="197"/>
        <w:outlineLvl w:val="9"/>
        <w:rPr>
          <w:rFonts w:hint="eastAsia" w:ascii="宋体" w:hAnsi="宋体" w:cs="宋体"/>
          <w:color w:val="auto"/>
          <w:sz w:val="21"/>
          <w:szCs w:val="21"/>
          <w:highlight w:val="none"/>
        </w:rPr>
      </w:pPr>
      <w:r>
        <w:rPr>
          <w:rFonts w:hint="eastAsia" w:ascii="宋体" w:hAnsi="宋体" w:cs="宋体"/>
          <w:bCs/>
          <w:color w:val="auto"/>
          <w:sz w:val="21"/>
          <w:szCs w:val="20"/>
          <w:highlight w:val="none"/>
        </w:rPr>
        <w:t>质疑</w:t>
      </w:r>
      <w:r>
        <w:rPr>
          <w:rFonts w:hint="eastAsia" w:ascii="宋体" w:hAnsi="宋体" w:cs="宋体"/>
          <w:color w:val="auto"/>
          <w:sz w:val="21"/>
          <w:szCs w:val="21"/>
          <w:highlight w:val="none"/>
        </w:rPr>
        <w:t>项目的名称：</w:t>
      </w:r>
      <w:r>
        <w:rPr>
          <w:rFonts w:hint="eastAsia" w:ascii="宋体" w:hAnsi="宋体" w:cs="宋体"/>
          <w:bCs/>
          <w:color w:val="auto"/>
          <w:sz w:val="21"/>
          <w:szCs w:val="20"/>
          <w:highlight w:val="none"/>
          <w:u w:val="single"/>
        </w:rPr>
        <w:t xml:space="preserve">                                     </w:t>
      </w:r>
    </w:p>
    <w:p w14:paraId="1B431BEC">
      <w:pPr>
        <w:spacing w:line="360" w:lineRule="exact"/>
        <w:ind w:left="25" w:leftChars="12" w:firstLine="413" w:firstLineChars="197"/>
        <w:outlineLvl w:val="9"/>
        <w:rPr>
          <w:rFonts w:hint="eastAsia" w:ascii="宋体" w:hAnsi="宋体" w:cs="宋体"/>
          <w:color w:val="auto"/>
          <w:sz w:val="21"/>
          <w:szCs w:val="21"/>
          <w:highlight w:val="none"/>
        </w:rPr>
      </w:pPr>
      <w:r>
        <w:rPr>
          <w:rFonts w:hint="eastAsia" w:ascii="宋体" w:hAnsi="宋体" w:cs="宋体"/>
          <w:bCs/>
          <w:color w:val="auto"/>
          <w:sz w:val="21"/>
          <w:szCs w:val="20"/>
          <w:highlight w:val="none"/>
        </w:rPr>
        <w:t>质疑</w:t>
      </w:r>
      <w:r>
        <w:rPr>
          <w:rFonts w:hint="eastAsia" w:ascii="宋体" w:hAnsi="宋体" w:cs="宋体"/>
          <w:color w:val="auto"/>
          <w:sz w:val="21"/>
          <w:szCs w:val="21"/>
          <w:highlight w:val="none"/>
        </w:rPr>
        <w:t>项目的编号：</w:t>
      </w:r>
      <w:r>
        <w:rPr>
          <w:rFonts w:hint="eastAsia" w:ascii="宋体" w:hAnsi="宋体" w:cs="宋体"/>
          <w:bCs/>
          <w:color w:val="auto"/>
          <w:sz w:val="21"/>
          <w:szCs w:val="20"/>
          <w:highlight w:val="none"/>
          <w:u w:val="single"/>
        </w:rPr>
        <w:t xml:space="preserve">                                     </w:t>
      </w:r>
      <w:r>
        <w:rPr>
          <w:rFonts w:hint="eastAsia" w:ascii="宋体" w:hAnsi="宋体" w:cs="宋体"/>
          <w:color w:val="auto"/>
          <w:sz w:val="21"/>
          <w:szCs w:val="21"/>
          <w:highlight w:val="none"/>
        </w:rPr>
        <w:t>分标：</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w:t>
      </w:r>
    </w:p>
    <w:p w14:paraId="75D99ADC">
      <w:pPr>
        <w:spacing w:line="360" w:lineRule="exact"/>
        <w:ind w:left="25" w:leftChars="12" w:firstLine="413" w:firstLineChars="197"/>
        <w:outlineLvl w:val="9"/>
        <w:rPr>
          <w:rFonts w:hint="eastAsia" w:ascii="宋体" w:hAnsi="宋体" w:cs="宋体"/>
          <w:color w:val="auto"/>
          <w:sz w:val="21"/>
          <w:szCs w:val="21"/>
          <w:highlight w:val="none"/>
        </w:rPr>
      </w:pPr>
      <w:r>
        <w:rPr>
          <w:rFonts w:hint="eastAsia" w:ascii="宋体" w:hAnsi="宋体" w:cs="宋体"/>
          <w:color w:val="auto"/>
          <w:sz w:val="21"/>
          <w:szCs w:val="21"/>
          <w:highlight w:val="none"/>
        </w:rPr>
        <w:t>采购人名称：</w:t>
      </w:r>
      <w:r>
        <w:rPr>
          <w:rFonts w:hint="eastAsia" w:ascii="宋体" w:hAnsi="宋体" w:cs="宋体"/>
          <w:bCs/>
          <w:color w:val="auto"/>
          <w:sz w:val="21"/>
          <w:szCs w:val="20"/>
          <w:highlight w:val="none"/>
          <w:u w:val="single"/>
        </w:rPr>
        <w:t xml:space="preserve">                                         </w:t>
      </w:r>
    </w:p>
    <w:p w14:paraId="69311871">
      <w:pPr>
        <w:spacing w:line="360" w:lineRule="exact"/>
        <w:ind w:left="25" w:leftChars="12" w:firstLine="413" w:firstLineChars="197"/>
        <w:outlineLvl w:val="9"/>
        <w:rPr>
          <w:rFonts w:hint="eastAsia" w:ascii="宋体" w:hAnsi="宋体" w:cs="宋体"/>
          <w:color w:val="auto"/>
          <w:sz w:val="21"/>
          <w:szCs w:val="21"/>
          <w:highlight w:val="none"/>
        </w:rPr>
      </w:pPr>
      <w:r>
        <w:rPr>
          <w:rFonts w:hint="eastAsia" w:ascii="宋体" w:hAnsi="宋体" w:cs="宋体"/>
          <w:color w:val="auto"/>
          <w:sz w:val="21"/>
          <w:szCs w:val="21"/>
          <w:highlight w:val="none"/>
        </w:rPr>
        <w:t>质疑事项：</w:t>
      </w:r>
    </w:p>
    <w:p w14:paraId="2A8ED072">
      <w:pPr>
        <w:spacing w:line="360" w:lineRule="exact"/>
        <w:ind w:left="25" w:leftChars="12" w:firstLine="441" w:firstLineChars="147"/>
        <w:outlineLvl w:val="9"/>
        <w:rPr>
          <w:rFonts w:hint="eastAsia" w:ascii="宋体" w:hAnsi="宋体" w:cs="宋体"/>
          <w:color w:val="auto"/>
          <w:sz w:val="21"/>
          <w:szCs w:val="21"/>
          <w:highlight w:val="none"/>
        </w:rPr>
      </w:pPr>
      <w:r>
        <w:rPr>
          <w:rFonts w:hint="eastAsia" w:ascii="宋体" w:hAnsi="宋体" w:cs="宋体"/>
          <w:color w:val="auto"/>
          <w:sz w:val="30"/>
          <w:szCs w:val="30"/>
          <w:highlight w:val="none"/>
        </w:rPr>
        <w:t>□</w:t>
      </w:r>
      <w:r>
        <w:rPr>
          <w:rFonts w:hint="eastAsia" w:ascii="宋体" w:hAnsi="宋体" w:cs="宋体"/>
          <w:color w:val="auto"/>
          <w:sz w:val="21"/>
          <w:szCs w:val="21"/>
          <w:highlight w:val="none"/>
        </w:rPr>
        <w:t>磋商文件   磋商文件获取日期：</w:t>
      </w:r>
      <w:r>
        <w:rPr>
          <w:rFonts w:hint="eastAsia" w:ascii="宋体" w:hAnsi="宋体" w:cs="宋体"/>
          <w:bCs/>
          <w:color w:val="auto"/>
          <w:sz w:val="21"/>
          <w:szCs w:val="20"/>
          <w:highlight w:val="none"/>
          <w:u w:val="single"/>
        </w:rPr>
        <w:t xml:space="preserve">                                   </w:t>
      </w:r>
    </w:p>
    <w:p w14:paraId="4C61A183">
      <w:pPr>
        <w:spacing w:line="360" w:lineRule="exact"/>
        <w:ind w:left="25" w:leftChars="12" w:firstLine="441" w:firstLineChars="147"/>
        <w:outlineLvl w:val="9"/>
        <w:rPr>
          <w:rFonts w:hint="eastAsia" w:ascii="宋体" w:hAnsi="宋体" w:cs="宋体"/>
          <w:color w:val="auto"/>
          <w:sz w:val="21"/>
          <w:szCs w:val="21"/>
          <w:highlight w:val="none"/>
        </w:rPr>
      </w:pPr>
      <w:r>
        <w:rPr>
          <w:rFonts w:hint="eastAsia" w:ascii="宋体" w:hAnsi="宋体" w:cs="宋体"/>
          <w:color w:val="auto"/>
          <w:sz w:val="30"/>
          <w:szCs w:val="30"/>
          <w:highlight w:val="none"/>
        </w:rPr>
        <w:t>□</w:t>
      </w:r>
      <w:r>
        <w:rPr>
          <w:rFonts w:hint="eastAsia" w:ascii="宋体" w:hAnsi="宋体" w:cs="宋体"/>
          <w:color w:val="auto"/>
          <w:sz w:val="21"/>
          <w:szCs w:val="21"/>
          <w:highlight w:val="none"/>
        </w:rPr>
        <w:t xml:space="preserve">采购过程   </w:t>
      </w:r>
    </w:p>
    <w:p w14:paraId="738B0446">
      <w:pPr>
        <w:spacing w:line="360" w:lineRule="exact"/>
        <w:ind w:left="25" w:leftChars="12" w:firstLine="441" w:firstLineChars="147"/>
        <w:outlineLvl w:val="9"/>
        <w:rPr>
          <w:rFonts w:hint="eastAsia" w:ascii="宋体" w:hAnsi="宋体" w:cs="宋体"/>
          <w:bCs/>
          <w:color w:val="auto"/>
          <w:sz w:val="21"/>
          <w:szCs w:val="20"/>
          <w:highlight w:val="none"/>
          <w:u w:val="single"/>
        </w:rPr>
      </w:pPr>
      <w:r>
        <w:rPr>
          <w:rFonts w:hint="eastAsia" w:ascii="宋体" w:hAnsi="宋体" w:cs="宋体"/>
          <w:color w:val="auto"/>
          <w:sz w:val="30"/>
          <w:szCs w:val="30"/>
          <w:highlight w:val="none"/>
        </w:rPr>
        <w:t>□</w:t>
      </w:r>
      <w:r>
        <w:rPr>
          <w:rFonts w:hint="eastAsia" w:ascii="宋体" w:hAnsi="宋体" w:cs="宋体"/>
          <w:color w:val="auto"/>
          <w:sz w:val="21"/>
          <w:szCs w:val="21"/>
          <w:highlight w:val="none"/>
        </w:rPr>
        <w:t xml:space="preserve">成交结果   </w:t>
      </w:r>
    </w:p>
    <w:p w14:paraId="45BFD689">
      <w:pPr>
        <w:spacing w:line="360" w:lineRule="exact"/>
        <w:ind w:left="25" w:leftChars="12" w:firstLine="413" w:firstLineChars="196"/>
        <w:outlineLvl w:val="9"/>
        <w:rPr>
          <w:rFonts w:hint="eastAsia" w:ascii="宋体" w:hAnsi="宋体" w:cs="宋体"/>
          <w:b/>
          <w:color w:val="auto"/>
          <w:sz w:val="21"/>
          <w:szCs w:val="21"/>
          <w:highlight w:val="none"/>
        </w:rPr>
      </w:pPr>
      <w:r>
        <w:rPr>
          <w:rFonts w:hint="eastAsia" w:ascii="宋体" w:hAnsi="宋体" w:cs="宋体"/>
          <w:b/>
          <w:color w:val="auto"/>
          <w:sz w:val="21"/>
          <w:szCs w:val="21"/>
          <w:highlight w:val="none"/>
        </w:rPr>
        <w:t>三、质疑事项具体内容</w:t>
      </w:r>
    </w:p>
    <w:p w14:paraId="37F50959">
      <w:pPr>
        <w:spacing w:line="360" w:lineRule="exact"/>
        <w:ind w:left="25" w:leftChars="12" w:firstLine="413" w:firstLineChars="197"/>
        <w:outlineLvl w:val="9"/>
        <w:rPr>
          <w:rFonts w:hint="eastAsia" w:ascii="宋体" w:hAnsi="宋体" w:cs="宋体"/>
          <w:color w:val="auto"/>
          <w:sz w:val="21"/>
          <w:szCs w:val="21"/>
          <w:highlight w:val="none"/>
        </w:rPr>
      </w:pPr>
      <w:r>
        <w:rPr>
          <w:rFonts w:hint="eastAsia" w:ascii="宋体" w:hAnsi="宋体" w:cs="宋体"/>
          <w:color w:val="auto"/>
          <w:sz w:val="21"/>
          <w:szCs w:val="21"/>
          <w:highlight w:val="none"/>
        </w:rPr>
        <w:t>质疑事项1：</w:t>
      </w:r>
      <w:r>
        <w:rPr>
          <w:rFonts w:hint="eastAsia" w:ascii="宋体" w:hAnsi="宋体" w:cs="宋体"/>
          <w:bCs/>
          <w:color w:val="auto"/>
          <w:sz w:val="21"/>
          <w:szCs w:val="20"/>
          <w:highlight w:val="none"/>
          <w:u w:val="single"/>
        </w:rPr>
        <w:t xml:space="preserve">                                                                    </w:t>
      </w:r>
    </w:p>
    <w:p w14:paraId="65E401FB">
      <w:pPr>
        <w:spacing w:line="360" w:lineRule="exact"/>
        <w:ind w:left="25" w:leftChars="12" w:firstLine="413" w:firstLineChars="197"/>
        <w:outlineLvl w:val="9"/>
        <w:rPr>
          <w:rFonts w:hint="eastAsia" w:ascii="宋体" w:hAnsi="宋体" w:cs="宋体"/>
          <w:color w:val="auto"/>
          <w:sz w:val="21"/>
          <w:szCs w:val="21"/>
          <w:highlight w:val="none"/>
        </w:rPr>
      </w:pPr>
      <w:r>
        <w:rPr>
          <w:rFonts w:hint="eastAsia" w:ascii="宋体" w:hAnsi="宋体" w:cs="宋体"/>
          <w:color w:val="auto"/>
          <w:sz w:val="21"/>
          <w:szCs w:val="21"/>
          <w:highlight w:val="none"/>
        </w:rPr>
        <w:t>事实依据：</w:t>
      </w:r>
      <w:r>
        <w:rPr>
          <w:rFonts w:hint="eastAsia" w:ascii="宋体" w:hAnsi="宋体" w:cs="宋体"/>
          <w:bCs/>
          <w:color w:val="auto"/>
          <w:sz w:val="21"/>
          <w:szCs w:val="20"/>
          <w:highlight w:val="none"/>
          <w:u w:val="single"/>
        </w:rPr>
        <w:t xml:space="preserve">                                                                      </w:t>
      </w:r>
    </w:p>
    <w:p w14:paraId="172FBD32">
      <w:pPr>
        <w:spacing w:line="360" w:lineRule="exact"/>
        <w:ind w:left="25" w:leftChars="12" w:firstLine="413" w:firstLineChars="197"/>
        <w:outlineLvl w:val="9"/>
        <w:rPr>
          <w:rFonts w:hint="eastAsia" w:ascii="宋体" w:hAnsi="宋体" w:cs="宋体"/>
          <w:color w:val="auto"/>
          <w:sz w:val="21"/>
          <w:szCs w:val="21"/>
          <w:highlight w:val="none"/>
        </w:rPr>
      </w:pPr>
      <w:r>
        <w:rPr>
          <w:rFonts w:hint="eastAsia" w:ascii="宋体" w:hAnsi="宋体" w:cs="宋体"/>
          <w:color w:val="auto"/>
          <w:sz w:val="21"/>
          <w:szCs w:val="21"/>
          <w:highlight w:val="none"/>
        </w:rPr>
        <w:t>法律依据：</w:t>
      </w:r>
      <w:r>
        <w:rPr>
          <w:rFonts w:hint="eastAsia" w:ascii="宋体" w:hAnsi="宋体" w:cs="宋体"/>
          <w:color w:val="auto"/>
          <w:sz w:val="21"/>
          <w:szCs w:val="21"/>
          <w:highlight w:val="none"/>
          <w:u w:val="single"/>
        </w:rPr>
        <w:t xml:space="preserve">                                                        </w:t>
      </w:r>
      <w:r>
        <w:rPr>
          <w:rFonts w:hint="eastAsia" w:ascii="宋体" w:hAnsi="宋体" w:cs="宋体"/>
          <w:bCs/>
          <w:color w:val="auto"/>
          <w:sz w:val="21"/>
          <w:szCs w:val="20"/>
          <w:highlight w:val="none"/>
          <w:u w:val="single"/>
        </w:rPr>
        <w:t xml:space="preserve">               </w:t>
      </w:r>
    </w:p>
    <w:p w14:paraId="7335F3EB">
      <w:pPr>
        <w:spacing w:line="360" w:lineRule="exact"/>
        <w:ind w:left="25" w:leftChars="12" w:firstLine="413" w:firstLineChars="197"/>
        <w:outlineLvl w:val="9"/>
        <w:rPr>
          <w:rFonts w:hint="eastAsia" w:ascii="宋体" w:hAnsi="宋体" w:cs="宋体"/>
          <w:color w:val="auto"/>
          <w:sz w:val="21"/>
          <w:szCs w:val="21"/>
          <w:highlight w:val="none"/>
        </w:rPr>
      </w:pPr>
      <w:r>
        <w:rPr>
          <w:rFonts w:hint="eastAsia" w:ascii="宋体" w:hAnsi="宋体" w:cs="宋体"/>
          <w:color w:val="auto"/>
          <w:sz w:val="21"/>
          <w:szCs w:val="21"/>
          <w:highlight w:val="none"/>
        </w:rPr>
        <w:t>质疑事项2</w:t>
      </w:r>
    </w:p>
    <w:p w14:paraId="21783A65">
      <w:pPr>
        <w:spacing w:line="360" w:lineRule="exact"/>
        <w:ind w:left="25" w:leftChars="12" w:firstLine="413" w:firstLineChars="197"/>
        <w:outlineLvl w:val="9"/>
        <w:rPr>
          <w:rFonts w:hint="eastAsia" w:ascii="宋体" w:hAnsi="宋体" w:cs="宋体"/>
          <w:color w:val="auto"/>
          <w:sz w:val="21"/>
          <w:szCs w:val="21"/>
          <w:highlight w:val="none"/>
        </w:rPr>
      </w:pPr>
      <w:r>
        <w:rPr>
          <w:rFonts w:hint="eastAsia" w:ascii="宋体" w:hAnsi="宋体" w:cs="宋体"/>
          <w:color w:val="auto"/>
          <w:sz w:val="21"/>
          <w:szCs w:val="21"/>
          <w:highlight w:val="none"/>
        </w:rPr>
        <w:t>……</w:t>
      </w:r>
    </w:p>
    <w:p w14:paraId="018DA0D6">
      <w:pPr>
        <w:spacing w:line="360" w:lineRule="exact"/>
        <w:ind w:left="25" w:leftChars="12" w:firstLine="413" w:firstLineChars="197"/>
        <w:outlineLvl w:val="9"/>
        <w:rPr>
          <w:rFonts w:hint="eastAsia" w:ascii="宋体" w:hAnsi="宋体" w:cs="宋体"/>
          <w:color w:val="auto"/>
          <w:sz w:val="21"/>
          <w:szCs w:val="21"/>
          <w:highlight w:val="none"/>
        </w:rPr>
      </w:pPr>
      <w:r>
        <w:rPr>
          <w:rFonts w:hint="eastAsia" w:ascii="宋体" w:hAnsi="宋体" w:cs="宋体"/>
          <w:color w:val="auto"/>
          <w:sz w:val="21"/>
          <w:szCs w:val="21"/>
          <w:highlight w:val="none"/>
        </w:rPr>
        <w:t>四、与质疑事项相关的质疑请求：</w:t>
      </w:r>
    </w:p>
    <w:p w14:paraId="590EA971">
      <w:pPr>
        <w:spacing w:line="360" w:lineRule="exact"/>
        <w:ind w:left="25" w:leftChars="12" w:firstLine="413" w:firstLineChars="197"/>
        <w:outlineLvl w:val="9"/>
        <w:rPr>
          <w:rFonts w:hint="eastAsia" w:ascii="宋体" w:hAnsi="宋体" w:cs="宋体"/>
          <w:color w:val="auto"/>
          <w:sz w:val="21"/>
          <w:szCs w:val="21"/>
          <w:highlight w:val="none"/>
        </w:rPr>
      </w:pPr>
      <w:r>
        <w:rPr>
          <w:rFonts w:hint="eastAsia" w:ascii="宋体" w:hAnsi="宋体" w:cs="宋体"/>
          <w:color w:val="auto"/>
          <w:sz w:val="21"/>
          <w:szCs w:val="21"/>
          <w:highlight w:val="none"/>
        </w:rPr>
        <w:t>请求：</w:t>
      </w:r>
      <w:r>
        <w:rPr>
          <w:rFonts w:hint="eastAsia" w:ascii="宋体" w:hAnsi="宋体" w:cs="宋体"/>
          <w:bCs/>
          <w:color w:val="auto"/>
          <w:sz w:val="21"/>
          <w:szCs w:val="20"/>
          <w:highlight w:val="none"/>
          <w:u w:val="single"/>
        </w:rPr>
        <w:t xml:space="preserve">                                                                </w:t>
      </w:r>
    </w:p>
    <w:p w14:paraId="33F11C13">
      <w:pPr>
        <w:spacing w:line="360" w:lineRule="exact"/>
        <w:ind w:left="25" w:leftChars="12" w:firstLine="308" w:firstLineChars="147"/>
        <w:outlineLvl w:val="9"/>
        <w:rPr>
          <w:rFonts w:hint="eastAsia" w:ascii="宋体" w:hAnsi="宋体" w:cs="宋体"/>
          <w:color w:val="auto"/>
          <w:sz w:val="21"/>
          <w:szCs w:val="21"/>
          <w:highlight w:val="none"/>
        </w:rPr>
      </w:pPr>
    </w:p>
    <w:p w14:paraId="5078FE38">
      <w:pPr>
        <w:spacing w:line="360" w:lineRule="exact"/>
        <w:ind w:left="25" w:leftChars="12" w:firstLine="413" w:firstLineChars="197"/>
        <w:outlineLvl w:val="9"/>
        <w:rPr>
          <w:rFonts w:hint="eastAsia" w:ascii="宋体" w:hAnsi="宋体" w:cs="宋体"/>
          <w:color w:val="auto"/>
          <w:sz w:val="21"/>
          <w:szCs w:val="21"/>
          <w:highlight w:val="none"/>
        </w:rPr>
      </w:pPr>
      <w:r>
        <w:rPr>
          <w:rFonts w:hint="eastAsia" w:ascii="宋体" w:hAnsi="宋体" w:cs="宋体"/>
          <w:color w:val="auto"/>
          <w:sz w:val="21"/>
          <w:szCs w:val="21"/>
          <w:highlight w:val="none"/>
        </w:rPr>
        <w:t>签字（签章）：                                       公章：</w:t>
      </w:r>
    </w:p>
    <w:p w14:paraId="58376F82">
      <w:pPr>
        <w:spacing w:line="360" w:lineRule="exact"/>
        <w:ind w:left="25" w:leftChars="12" w:firstLine="308" w:firstLineChars="147"/>
        <w:outlineLvl w:val="9"/>
        <w:rPr>
          <w:rFonts w:hint="eastAsia" w:ascii="宋体" w:hAnsi="宋体" w:cs="宋体"/>
          <w:color w:val="auto"/>
          <w:sz w:val="21"/>
          <w:szCs w:val="21"/>
          <w:highlight w:val="none"/>
        </w:rPr>
      </w:pPr>
    </w:p>
    <w:p w14:paraId="42838107">
      <w:pPr>
        <w:spacing w:line="360" w:lineRule="exact"/>
        <w:ind w:left="25" w:leftChars="12" w:firstLine="413" w:firstLineChars="197"/>
        <w:outlineLvl w:val="9"/>
        <w:rPr>
          <w:rFonts w:hint="eastAsia" w:ascii="宋体" w:hAnsi="宋体" w:cs="宋体"/>
          <w:color w:val="auto"/>
          <w:sz w:val="21"/>
          <w:szCs w:val="21"/>
          <w:highlight w:val="none"/>
        </w:rPr>
      </w:pPr>
      <w:r>
        <w:rPr>
          <w:rFonts w:hint="eastAsia" w:ascii="宋体" w:hAnsi="宋体" w:cs="宋体"/>
          <w:color w:val="auto"/>
          <w:sz w:val="21"/>
          <w:szCs w:val="21"/>
          <w:highlight w:val="none"/>
        </w:rPr>
        <w:t>日期：</w:t>
      </w:r>
    </w:p>
    <w:p w14:paraId="47A5E5F3">
      <w:pPr>
        <w:snapToGrid w:val="0"/>
        <w:spacing w:line="340" w:lineRule="exact"/>
        <w:ind w:firstLine="0" w:firstLineChars="0"/>
        <w:outlineLvl w:val="9"/>
        <w:rPr>
          <w:rFonts w:hint="eastAsia" w:ascii="宋体" w:hAnsi="宋体" w:cs="宋体"/>
          <w:b/>
          <w:color w:val="auto"/>
          <w:sz w:val="21"/>
          <w:szCs w:val="21"/>
          <w:highlight w:val="none"/>
        </w:rPr>
      </w:pPr>
      <w:r>
        <w:rPr>
          <w:rFonts w:hint="eastAsia" w:ascii="宋体" w:hAnsi="宋体" w:cs="宋体"/>
          <w:b/>
          <w:color w:val="auto"/>
          <w:sz w:val="21"/>
          <w:szCs w:val="21"/>
          <w:highlight w:val="none"/>
        </w:rPr>
        <w:t>说明：</w:t>
      </w:r>
    </w:p>
    <w:p w14:paraId="74F4D9CB">
      <w:pPr>
        <w:snapToGrid w:val="0"/>
        <w:spacing w:line="340" w:lineRule="exact"/>
        <w:ind w:firstLine="0" w:firstLineChars="0"/>
        <w:outlineLvl w:val="9"/>
        <w:rPr>
          <w:rFonts w:hint="eastAsia" w:ascii="宋体" w:hAnsi="宋体" w:cs="宋体"/>
          <w:b/>
          <w:color w:val="auto"/>
          <w:sz w:val="21"/>
          <w:szCs w:val="21"/>
          <w:highlight w:val="none"/>
        </w:rPr>
      </w:pPr>
      <w:r>
        <w:rPr>
          <w:rFonts w:hint="eastAsia" w:ascii="宋体" w:hAnsi="宋体" w:cs="宋体"/>
          <w:b/>
          <w:color w:val="auto"/>
          <w:sz w:val="21"/>
          <w:szCs w:val="21"/>
          <w:highlight w:val="none"/>
        </w:rPr>
        <w:t>1.供应商提出质疑时，应提交质疑函和必要的证明材料。</w:t>
      </w:r>
    </w:p>
    <w:p w14:paraId="787CC519">
      <w:pPr>
        <w:snapToGrid w:val="0"/>
        <w:spacing w:line="340" w:lineRule="exact"/>
        <w:ind w:firstLine="0" w:firstLineChars="0"/>
        <w:outlineLvl w:val="9"/>
        <w:rPr>
          <w:rFonts w:hint="eastAsia" w:ascii="宋体" w:hAnsi="宋体" w:cs="宋体"/>
          <w:b/>
          <w:color w:val="auto"/>
          <w:sz w:val="21"/>
          <w:szCs w:val="21"/>
          <w:highlight w:val="none"/>
        </w:rPr>
      </w:pPr>
      <w:r>
        <w:rPr>
          <w:rFonts w:hint="eastAsia" w:ascii="宋体" w:hAnsi="宋体" w:cs="宋体"/>
          <w:b/>
          <w:color w:val="auto"/>
          <w:sz w:val="21"/>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4A6376A">
      <w:pPr>
        <w:snapToGrid w:val="0"/>
        <w:spacing w:line="340" w:lineRule="exact"/>
        <w:ind w:firstLine="0" w:firstLineChars="0"/>
        <w:outlineLvl w:val="9"/>
        <w:rPr>
          <w:rFonts w:hint="eastAsia" w:ascii="宋体" w:hAnsi="宋体" w:cs="宋体"/>
          <w:b/>
          <w:color w:val="auto"/>
          <w:sz w:val="21"/>
          <w:szCs w:val="21"/>
          <w:highlight w:val="none"/>
        </w:rPr>
      </w:pPr>
      <w:r>
        <w:rPr>
          <w:rFonts w:hint="eastAsia" w:ascii="宋体" w:hAnsi="宋体" w:cs="宋体"/>
          <w:b/>
          <w:color w:val="auto"/>
          <w:sz w:val="21"/>
          <w:szCs w:val="21"/>
          <w:highlight w:val="none"/>
        </w:rPr>
        <w:t>3.如本项目划分分标的，应注明所质疑的分标。质疑函的质疑事项应具体、明确，并有必要的事实依据和法律依据。</w:t>
      </w:r>
    </w:p>
    <w:p w14:paraId="66761849">
      <w:pPr>
        <w:snapToGrid w:val="0"/>
        <w:spacing w:line="340" w:lineRule="exact"/>
        <w:ind w:firstLine="0" w:firstLineChars="0"/>
        <w:outlineLvl w:val="9"/>
        <w:rPr>
          <w:rFonts w:hint="eastAsia" w:ascii="宋体" w:hAnsi="宋体" w:cs="宋体"/>
          <w:b/>
          <w:color w:val="auto"/>
          <w:sz w:val="21"/>
          <w:szCs w:val="21"/>
          <w:highlight w:val="none"/>
        </w:rPr>
      </w:pPr>
      <w:r>
        <w:rPr>
          <w:rFonts w:hint="eastAsia" w:ascii="宋体" w:hAnsi="宋体" w:cs="宋体"/>
          <w:b/>
          <w:color w:val="auto"/>
          <w:sz w:val="21"/>
          <w:szCs w:val="21"/>
          <w:highlight w:val="none"/>
        </w:rPr>
        <w:t>4.质疑函的质疑请求应与质疑事项相关。</w:t>
      </w:r>
    </w:p>
    <w:p w14:paraId="10E8C516">
      <w:pPr>
        <w:snapToGrid w:val="0"/>
        <w:spacing w:line="340" w:lineRule="exact"/>
        <w:ind w:firstLine="0" w:firstLineChars="0"/>
        <w:outlineLvl w:val="9"/>
        <w:rPr>
          <w:rFonts w:hint="eastAsia" w:ascii="宋体" w:hAnsi="宋体" w:cs="宋体"/>
          <w:b/>
          <w:color w:val="auto"/>
          <w:sz w:val="21"/>
          <w:szCs w:val="21"/>
          <w:highlight w:val="none"/>
        </w:rPr>
      </w:pPr>
      <w:r>
        <w:rPr>
          <w:rFonts w:hint="eastAsia" w:ascii="宋体" w:hAnsi="宋体" w:cs="宋体"/>
          <w:b/>
          <w:color w:val="auto"/>
          <w:sz w:val="21"/>
          <w:szCs w:val="21"/>
          <w:highlight w:val="none"/>
        </w:rPr>
        <w:t>5.质疑供应商为自然人的，质疑函应由本人签字；质疑供应商为法人或者其他组织的，质疑函应由法定代表人、主要负责人，或者其授权代表签字或者盖章，并加盖公章。</w:t>
      </w:r>
    </w:p>
    <w:p w14:paraId="56596075">
      <w:pPr>
        <w:pStyle w:val="22"/>
        <w:jc w:val="center"/>
        <w:outlineLvl w:val="9"/>
        <w:rPr>
          <w:rFonts w:hint="eastAsia" w:ascii="宋体" w:hAnsi="宋体" w:cs="宋体"/>
          <w:b/>
          <w:bCs/>
          <w:color w:val="auto"/>
          <w:sz w:val="44"/>
          <w:szCs w:val="24"/>
          <w:highlight w:val="none"/>
          <w:lang w:val="en-US"/>
        </w:rPr>
      </w:pPr>
      <w:r>
        <w:rPr>
          <w:rFonts w:hint="eastAsia" w:hAnsi="宋体"/>
          <w:b/>
          <w:color w:val="auto"/>
          <w:sz w:val="32"/>
          <w:highlight w:val="none"/>
        </w:rPr>
        <w:t xml:space="preserve">  </w:t>
      </w:r>
      <w:r>
        <w:rPr>
          <w:rFonts w:hint="eastAsia" w:ascii="宋体" w:hAnsi="宋体" w:cs="宋体"/>
          <w:b/>
          <w:bCs/>
          <w:color w:val="auto"/>
          <w:sz w:val="44"/>
          <w:szCs w:val="24"/>
          <w:highlight w:val="none"/>
          <w:lang w:val="en-US"/>
        </w:rPr>
        <w:t>质疑授权委托书（格式）</w:t>
      </w:r>
    </w:p>
    <w:p w14:paraId="1458ED3E">
      <w:pPr>
        <w:snapToGrid w:val="0"/>
        <w:spacing w:line="400" w:lineRule="exact"/>
        <w:ind w:firstLine="422"/>
        <w:outlineLvl w:val="9"/>
        <w:rPr>
          <w:rFonts w:hint="eastAsia" w:ascii="宋体" w:hAnsi="宋体"/>
          <w:b/>
          <w:color w:val="auto"/>
          <w:sz w:val="21"/>
          <w:szCs w:val="21"/>
          <w:highlight w:val="none"/>
        </w:rPr>
      </w:pPr>
    </w:p>
    <w:p w14:paraId="2FA89548">
      <w:pPr>
        <w:snapToGrid w:val="0"/>
        <w:spacing w:line="400" w:lineRule="exact"/>
        <w:ind w:firstLine="0" w:firstLineChars="0"/>
        <w:outlineLvl w:val="9"/>
        <w:rPr>
          <w:rFonts w:hint="eastAsia" w:ascii="宋体" w:hAnsi="宋体"/>
          <w:color w:val="auto"/>
          <w:sz w:val="21"/>
          <w:szCs w:val="21"/>
          <w:highlight w:val="none"/>
        </w:rPr>
      </w:pPr>
      <w:r>
        <w:rPr>
          <w:rFonts w:hint="eastAsia" w:ascii="宋体" w:hAnsi="宋体"/>
          <w:b/>
          <w:color w:val="auto"/>
          <w:sz w:val="21"/>
          <w:szCs w:val="21"/>
          <w:highlight w:val="none"/>
        </w:rPr>
        <w:t>致</w:t>
      </w:r>
      <w:r>
        <w:rPr>
          <w:rFonts w:hint="eastAsia" w:ascii="宋体" w:hAnsi="宋体"/>
          <w:color w:val="auto"/>
          <w:sz w:val="21"/>
          <w:szCs w:val="21"/>
          <w:highlight w:val="none"/>
        </w:rPr>
        <w:t>：</w:t>
      </w:r>
      <w:r>
        <w:rPr>
          <w:rFonts w:hint="eastAsia" w:ascii="宋体" w:hAnsi="宋体"/>
          <w:color w:val="auto"/>
          <w:sz w:val="21"/>
          <w:szCs w:val="21"/>
          <w:highlight w:val="none"/>
          <w:u w:val="single"/>
        </w:rPr>
        <w:t xml:space="preserve">                  </w:t>
      </w:r>
    </w:p>
    <w:p w14:paraId="633DD2D5">
      <w:pPr>
        <w:snapToGrid w:val="0"/>
        <w:spacing w:line="400" w:lineRule="exact"/>
        <w:ind w:firstLine="420"/>
        <w:outlineLvl w:val="9"/>
        <w:rPr>
          <w:rFonts w:hint="eastAsia" w:ascii="宋体" w:hAnsi="宋体"/>
          <w:color w:val="auto"/>
          <w:sz w:val="21"/>
          <w:szCs w:val="21"/>
          <w:highlight w:val="none"/>
          <w:u w:val="single"/>
        </w:rPr>
      </w:pPr>
    </w:p>
    <w:p w14:paraId="18F14CAB">
      <w:pPr>
        <w:pStyle w:val="22"/>
        <w:spacing w:line="400" w:lineRule="exact"/>
        <w:ind w:firstLine="525" w:firstLineChars="250"/>
        <w:outlineLvl w:val="9"/>
        <w:rPr>
          <w:rFonts w:hint="eastAsia" w:hAnsi="宋体"/>
          <w:color w:val="auto"/>
          <w:sz w:val="21"/>
          <w:szCs w:val="21"/>
          <w:highlight w:val="none"/>
        </w:rPr>
      </w:pPr>
      <w:r>
        <w:rPr>
          <w:rFonts w:hint="eastAsia" w:hAnsi="宋体"/>
          <w:color w:val="auto"/>
          <w:kern w:val="0"/>
          <w:sz w:val="21"/>
          <w:szCs w:val="21"/>
          <w:highlight w:val="none"/>
        </w:rPr>
        <w:t>我</w:t>
      </w:r>
      <w:r>
        <w:rPr>
          <w:rFonts w:hint="eastAsia" w:hAnsi="宋体"/>
          <w:color w:val="auto"/>
          <w:kern w:val="0"/>
          <w:sz w:val="21"/>
          <w:szCs w:val="21"/>
          <w:highlight w:val="none"/>
          <w:u w:val="single"/>
        </w:rPr>
        <w:t xml:space="preserve">              </w:t>
      </w:r>
      <w:r>
        <w:rPr>
          <w:rFonts w:hint="eastAsia" w:hAnsi="宋体"/>
          <w:color w:val="auto"/>
          <w:kern w:val="0"/>
          <w:sz w:val="21"/>
          <w:szCs w:val="21"/>
          <w:highlight w:val="none"/>
        </w:rPr>
        <w:t>（姓名）系</w:t>
      </w:r>
      <w:r>
        <w:rPr>
          <w:rFonts w:hint="eastAsia" w:hAnsi="宋体"/>
          <w:color w:val="auto"/>
          <w:kern w:val="0"/>
          <w:sz w:val="21"/>
          <w:szCs w:val="21"/>
          <w:highlight w:val="none"/>
          <w:u w:val="single"/>
        </w:rPr>
        <w:t xml:space="preserve">                              </w:t>
      </w:r>
      <w:r>
        <w:rPr>
          <w:rFonts w:hint="eastAsia" w:hAnsi="宋体"/>
          <w:color w:val="auto"/>
          <w:kern w:val="0"/>
          <w:sz w:val="21"/>
          <w:szCs w:val="21"/>
          <w:highlight w:val="none"/>
        </w:rPr>
        <w:t>（供应商名称）的法定代表人，现授权委托本单位在职职工</w:t>
      </w:r>
      <w:r>
        <w:rPr>
          <w:rFonts w:hint="eastAsia" w:hAnsi="宋体"/>
          <w:color w:val="auto"/>
          <w:kern w:val="0"/>
          <w:sz w:val="21"/>
          <w:szCs w:val="21"/>
          <w:highlight w:val="none"/>
          <w:u w:val="single"/>
        </w:rPr>
        <w:t xml:space="preserve">            </w:t>
      </w:r>
      <w:r>
        <w:rPr>
          <w:rFonts w:hint="eastAsia" w:hAnsi="宋体"/>
          <w:color w:val="auto"/>
          <w:kern w:val="0"/>
          <w:sz w:val="21"/>
          <w:szCs w:val="21"/>
          <w:highlight w:val="none"/>
        </w:rPr>
        <w:t>（姓名）以我公司名义办理</w:t>
      </w:r>
      <w:r>
        <w:rPr>
          <w:rFonts w:hint="eastAsia" w:hAnsi="宋体"/>
          <w:color w:val="auto"/>
          <w:kern w:val="0"/>
          <w:sz w:val="21"/>
          <w:szCs w:val="21"/>
          <w:highlight w:val="none"/>
          <w:u w:val="single"/>
        </w:rPr>
        <w:t xml:space="preserve">      </w:t>
      </w:r>
      <w:r>
        <w:rPr>
          <w:rFonts w:hint="eastAsia" w:hAnsi="宋体"/>
          <w:color w:val="auto"/>
          <w:sz w:val="21"/>
          <w:szCs w:val="21"/>
          <w:highlight w:val="none"/>
          <w:u w:val="single"/>
        </w:rPr>
        <w:t xml:space="preserve">（项目名称及项目编号）        </w:t>
      </w:r>
      <w:r>
        <w:rPr>
          <w:rFonts w:hint="eastAsia" w:hAnsi="宋体"/>
          <w:color w:val="auto"/>
          <w:sz w:val="21"/>
          <w:szCs w:val="21"/>
          <w:highlight w:val="none"/>
        </w:rPr>
        <w:t>项目的质疑事项，代表我方全权办理针对上述项目的质疑具体事务和签署相关文件。</w:t>
      </w:r>
    </w:p>
    <w:p w14:paraId="40AC5E8F">
      <w:pPr>
        <w:pStyle w:val="22"/>
        <w:spacing w:line="400" w:lineRule="exact"/>
        <w:ind w:firstLine="420" w:firstLineChars="200"/>
        <w:outlineLvl w:val="9"/>
        <w:rPr>
          <w:rFonts w:hint="eastAsia" w:hAnsi="宋体"/>
          <w:color w:val="auto"/>
          <w:sz w:val="21"/>
          <w:szCs w:val="21"/>
          <w:highlight w:val="none"/>
        </w:rPr>
      </w:pPr>
      <w:r>
        <w:rPr>
          <w:rFonts w:hint="eastAsia" w:hAnsi="宋体"/>
          <w:color w:val="auto"/>
          <w:sz w:val="21"/>
          <w:szCs w:val="21"/>
          <w:highlight w:val="none"/>
        </w:rPr>
        <w:t>我方对被授权人的签字事项负全部责任。</w:t>
      </w:r>
    </w:p>
    <w:p w14:paraId="14849A1B">
      <w:pPr>
        <w:pStyle w:val="22"/>
        <w:spacing w:line="400" w:lineRule="exact"/>
        <w:ind w:firstLine="420" w:firstLineChars="200"/>
        <w:outlineLvl w:val="9"/>
        <w:rPr>
          <w:rFonts w:hint="eastAsia" w:hAnsi="宋体"/>
          <w:color w:val="auto"/>
          <w:sz w:val="21"/>
          <w:szCs w:val="21"/>
          <w:highlight w:val="none"/>
          <w:u w:val="single"/>
        </w:rPr>
      </w:pPr>
      <w:r>
        <w:rPr>
          <w:rFonts w:hint="eastAsia" w:hAnsi="宋体"/>
          <w:color w:val="auto"/>
          <w:sz w:val="21"/>
          <w:szCs w:val="21"/>
          <w:highlight w:val="none"/>
        </w:rPr>
        <w:t xml:space="preserve">授权委托代理期限：自即日起至该项目政府采购活动结束。                                                                                         </w:t>
      </w:r>
    </w:p>
    <w:p w14:paraId="182B5714">
      <w:pPr>
        <w:spacing w:line="400" w:lineRule="exact"/>
        <w:ind w:firstLine="420"/>
        <w:outlineLvl w:val="9"/>
        <w:rPr>
          <w:rFonts w:hint="eastAsia" w:ascii="宋体" w:hAnsi="宋体"/>
          <w:color w:val="auto"/>
          <w:kern w:val="0"/>
          <w:sz w:val="21"/>
          <w:szCs w:val="21"/>
          <w:highlight w:val="none"/>
        </w:rPr>
      </w:pPr>
      <w:r>
        <w:rPr>
          <w:rFonts w:hint="eastAsia" w:ascii="宋体" w:hAnsi="宋体"/>
          <w:color w:val="auto"/>
          <w:kern w:val="0"/>
          <w:sz w:val="21"/>
          <w:szCs w:val="21"/>
          <w:highlight w:val="none"/>
        </w:rPr>
        <w:t>代理人无转委托权，特此委托。</w:t>
      </w:r>
      <w:r>
        <w:rPr>
          <w:rFonts w:ascii="宋体" w:hAnsi="宋体"/>
          <w:color w:val="auto"/>
          <w:kern w:val="0"/>
          <w:sz w:val="21"/>
          <w:szCs w:val="21"/>
          <w:highlight w:val="none"/>
        </w:rPr>
        <w:t xml:space="preserve"> </w:t>
      </w:r>
    </w:p>
    <w:p w14:paraId="4DE2D838">
      <w:pPr>
        <w:snapToGrid w:val="0"/>
        <w:spacing w:line="400" w:lineRule="exact"/>
        <w:ind w:firstLine="420"/>
        <w:outlineLvl w:val="9"/>
        <w:rPr>
          <w:rFonts w:hint="eastAsia" w:ascii="宋体" w:hAnsi="宋体"/>
          <w:color w:val="auto"/>
          <w:sz w:val="21"/>
          <w:szCs w:val="21"/>
          <w:highlight w:val="none"/>
        </w:rPr>
      </w:pPr>
      <w:r>
        <w:rPr>
          <w:rFonts w:hint="eastAsia" w:ascii="宋体" w:hAnsi="宋体"/>
          <w:color w:val="auto"/>
          <w:sz w:val="21"/>
          <w:szCs w:val="21"/>
          <w:highlight w:val="none"/>
        </w:rPr>
        <w:t>我已在下面签字，以资证明。</w:t>
      </w:r>
    </w:p>
    <w:p w14:paraId="653018FA">
      <w:pPr>
        <w:snapToGrid w:val="0"/>
        <w:spacing w:line="400" w:lineRule="exact"/>
        <w:ind w:firstLine="420"/>
        <w:outlineLvl w:val="9"/>
        <w:rPr>
          <w:rFonts w:hint="eastAsia" w:ascii="宋体" w:hAnsi="宋体"/>
          <w:color w:val="auto"/>
          <w:sz w:val="21"/>
          <w:szCs w:val="21"/>
          <w:highlight w:val="none"/>
        </w:rPr>
      </w:pPr>
      <w:r>
        <w:rPr>
          <w:rFonts w:hint="eastAsia" w:ascii="宋体" w:hAnsi="宋体"/>
          <w:color w:val="auto"/>
          <w:sz w:val="21"/>
          <w:szCs w:val="21"/>
          <w:highlight w:val="none"/>
        </w:rPr>
        <w:t>委托代理人身份证号：</w:t>
      </w:r>
      <w:r>
        <w:rPr>
          <w:rFonts w:hint="eastAsia" w:ascii="宋体" w:hAnsi="宋体"/>
          <w:color w:val="auto"/>
          <w:sz w:val="21"/>
          <w:szCs w:val="21"/>
          <w:highlight w:val="none"/>
          <w:u w:val="single"/>
        </w:rPr>
        <w:t xml:space="preserve">                                   </w:t>
      </w:r>
    </w:p>
    <w:p w14:paraId="341ABBBB">
      <w:pPr>
        <w:snapToGrid w:val="0"/>
        <w:spacing w:line="400" w:lineRule="exact"/>
        <w:ind w:firstLine="420"/>
        <w:outlineLvl w:val="9"/>
        <w:rPr>
          <w:rFonts w:hint="eastAsia" w:ascii="宋体" w:hAnsi="宋体"/>
          <w:color w:val="auto"/>
          <w:sz w:val="21"/>
          <w:szCs w:val="21"/>
          <w:highlight w:val="none"/>
          <w:u w:val="single"/>
        </w:rPr>
      </w:pPr>
      <w:r>
        <w:rPr>
          <w:rFonts w:hint="eastAsia" w:hAnsi="宋体"/>
          <w:color w:val="auto"/>
          <w:kern w:val="0"/>
          <w:sz w:val="21"/>
          <w:szCs w:val="21"/>
          <w:highlight w:val="none"/>
        </w:rPr>
        <w:t>供应商</w:t>
      </w:r>
      <w:r>
        <w:rPr>
          <w:rFonts w:hint="eastAsia" w:ascii="宋体" w:hAnsi="宋体" w:cs="宋体"/>
          <w:color w:val="auto"/>
          <w:sz w:val="21"/>
          <w:szCs w:val="21"/>
          <w:highlight w:val="none"/>
        </w:rPr>
        <w:t>（公章）</w:t>
      </w:r>
      <w:r>
        <w:rPr>
          <w:rFonts w:hint="eastAsia" w:ascii="宋体" w:hAnsi="宋体"/>
          <w:color w:val="auto"/>
          <w:sz w:val="21"/>
          <w:szCs w:val="21"/>
          <w:highlight w:val="none"/>
        </w:rPr>
        <w:t>：</w:t>
      </w:r>
      <w:r>
        <w:rPr>
          <w:rFonts w:hint="eastAsia" w:ascii="宋体" w:hAnsi="宋体"/>
          <w:color w:val="auto"/>
          <w:sz w:val="21"/>
          <w:szCs w:val="21"/>
          <w:highlight w:val="none"/>
          <w:u w:val="single"/>
        </w:rPr>
        <w:t xml:space="preserve">                                   </w:t>
      </w:r>
    </w:p>
    <w:p w14:paraId="1FF9A8F0">
      <w:pPr>
        <w:snapToGrid w:val="0"/>
        <w:spacing w:line="400" w:lineRule="exact"/>
        <w:ind w:firstLine="420"/>
        <w:outlineLvl w:val="9"/>
        <w:rPr>
          <w:rFonts w:hint="eastAsia" w:ascii="宋体" w:hAnsi="宋体"/>
          <w:color w:val="auto"/>
          <w:sz w:val="21"/>
          <w:szCs w:val="21"/>
          <w:highlight w:val="none"/>
        </w:rPr>
      </w:pPr>
    </w:p>
    <w:p w14:paraId="2CA9845C">
      <w:pPr>
        <w:snapToGrid w:val="0"/>
        <w:spacing w:line="400" w:lineRule="exact"/>
        <w:ind w:firstLine="420"/>
        <w:outlineLvl w:val="9"/>
        <w:rPr>
          <w:rFonts w:hint="eastAsia" w:ascii="宋体" w:hAnsi="宋体"/>
          <w:color w:val="auto"/>
          <w:sz w:val="21"/>
          <w:szCs w:val="21"/>
          <w:highlight w:val="none"/>
        </w:rPr>
      </w:pPr>
      <w:r>
        <w:rPr>
          <w:rFonts w:hint="eastAsia" w:ascii="宋体" w:hAnsi="宋体"/>
          <w:color w:val="auto"/>
          <w:sz w:val="21"/>
          <w:szCs w:val="21"/>
          <w:highlight w:val="none"/>
        </w:rPr>
        <w:t>法定代表人签字：</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w:t>
      </w:r>
    </w:p>
    <w:p w14:paraId="1767E6B9">
      <w:pPr>
        <w:snapToGrid w:val="0"/>
        <w:spacing w:line="400" w:lineRule="exact"/>
        <w:ind w:firstLine="420"/>
        <w:outlineLvl w:val="9"/>
        <w:rPr>
          <w:rFonts w:hint="eastAsia" w:ascii="宋体" w:hAnsi="宋体"/>
          <w:color w:val="auto"/>
          <w:sz w:val="21"/>
          <w:szCs w:val="21"/>
          <w:highlight w:val="none"/>
        </w:rPr>
      </w:pPr>
    </w:p>
    <w:p w14:paraId="0DBF5F65">
      <w:pPr>
        <w:snapToGrid w:val="0"/>
        <w:spacing w:line="400" w:lineRule="exact"/>
        <w:ind w:firstLine="420"/>
        <w:outlineLvl w:val="9"/>
        <w:rPr>
          <w:rFonts w:hint="eastAsia" w:ascii="宋体" w:hAnsi="宋体"/>
          <w:color w:val="auto"/>
          <w:sz w:val="21"/>
          <w:szCs w:val="21"/>
          <w:highlight w:val="none"/>
        </w:rPr>
      </w:pPr>
      <w:r>
        <w:rPr>
          <w:rFonts w:hint="eastAsia" w:ascii="宋体" w:hAnsi="宋体"/>
          <w:color w:val="auto"/>
          <w:sz w:val="21"/>
          <w:szCs w:val="21"/>
          <w:highlight w:val="none"/>
        </w:rPr>
        <w:t xml:space="preserve">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3F3A3EDE">
      <w:pPr>
        <w:snapToGrid w:val="0"/>
        <w:spacing w:line="400" w:lineRule="exact"/>
        <w:ind w:firstLine="420"/>
        <w:outlineLvl w:val="9"/>
        <w:rPr>
          <w:rFonts w:hint="eastAsia" w:ascii="宋体" w:hAnsi="宋体"/>
          <w:color w:val="auto"/>
          <w:sz w:val="21"/>
          <w:szCs w:val="21"/>
          <w:highlight w:val="none"/>
        </w:rPr>
      </w:pPr>
    </w:p>
    <w:p w14:paraId="46ABFC5D">
      <w:pPr>
        <w:tabs>
          <w:tab w:val="left" w:pos="1305"/>
        </w:tabs>
        <w:spacing w:line="520" w:lineRule="exact"/>
        <w:ind w:firstLine="422"/>
        <w:outlineLvl w:val="9"/>
        <w:rPr>
          <w:rFonts w:hint="eastAsia" w:hAnsi="宋体"/>
          <w:b/>
          <w:color w:val="auto"/>
          <w:sz w:val="21"/>
          <w:szCs w:val="21"/>
          <w:highlight w:val="none"/>
        </w:rPr>
      </w:pPr>
      <w:r>
        <w:rPr>
          <w:rFonts w:hint="eastAsia" w:hAnsi="宋体"/>
          <w:b/>
          <w:color w:val="auto"/>
          <w:sz w:val="21"/>
          <w:szCs w:val="21"/>
          <w:highlight w:val="none"/>
        </w:rPr>
        <w:t>附：委托代理人身份证正反面复印件。</w:t>
      </w:r>
    </w:p>
    <w:p w14:paraId="54C48D14">
      <w:pPr>
        <w:snapToGrid w:val="0"/>
        <w:spacing w:line="340" w:lineRule="exact"/>
        <w:ind w:firstLine="0" w:firstLineChars="0"/>
        <w:outlineLvl w:val="9"/>
        <w:rPr>
          <w:rFonts w:hint="eastAsia" w:ascii="宋体" w:hAnsi="宋体" w:cs="宋体"/>
          <w:b/>
          <w:color w:val="auto"/>
          <w:szCs w:val="24"/>
          <w:highlight w:val="none"/>
        </w:rPr>
      </w:pPr>
    </w:p>
    <w:p w14:paraId="45FF5747">
      <w:pPr>
        <w:snapToGrid w:val="0"/>
        <w:spacing w:line="340" w:lineRule="exact"/>
        <w:ind w:firstLine="0" w:firstLineChars="0"/>
        <w:outlineLvl w:val="9"/>
        <w:rPr>
          <w:rFonts w:hint="eastAsia" w:ascii="宋体" w:hAnsi="宋体" w:cs="宋体"/>
          <w:b/>
          <w:color w:val="auto"/>
          <w:szCs w:val="24"/>
          <w:highlight w:val="none"/>
        </w:rPr>
      </w:pPr>
    </w:p>
    <w:p w14:paraId="578E90DF">
      <w:pPr>
        <w:snapToGrid w:val="0"/>
        <w:spacing w:line="340" w:lineRule="exact"/>
        <w:ind w:firstLine="0" w:firstLineChars="0"/>
        <w:outlineLvl w:val="9"/>
        <w:rPr>
          <w:rFonts w:hint="eastAsia" w:ascii="宋体" w:hAnsi="宋体" w:cs="宋体"/>
          <w:b/>
          <w:color w:val="auto"/>
          <w:szCs w:val="24"/>
          <w:highlight w:val="none"/>
        </w:rPr>
      </w:pPr>
    </w:p>
    <w:p w14:paraId="29C8B736">
      <w:pPr>
        <w:snapToGrid w:val="0"/>
        <w:spacing w:line="340" w:lineRule="exact"/>
        <w:ind w:firstLine="0" w:firstLineChars="0"/>
        <w:outlineLvl w:val="9"/>
        <w:rPr>
          <w:rFonts w:hint="eastAsia" w:ascii="宋体" w:hAnsi="宋体" w:cs="宋体"/>
          <w:b/>
          <w:color w:val="auto"/>
          <w:szCs w:val="24"/>
          <w:highlight w:val="none"/>
        </w:rPr>
      </w:pPr>
    </w:p>
    <w:p w14:paraId="160FC35D">
      <w:pPr>
        <w:snapToGrid w:val="0"/>
        <w:spacing w:line="340" w:lineRule="exact"/>
        <w:ind w:firstLine="0" w:firstLineChars="0"/>
        <w:outlineLvl w:val="9"/>
        <w:rPr>
          <w:rFonts w:hint="eastAsia" w:ascii="宋体" w:hAnsi="宋体" w:cs="宋体"/>
          <w:b/>
          <w:color w:val="auto"/>
          <w:szCs w:val="24"/>
          <w:highlight w:val="none"/>
        </w:rPr>
      </w:pPr>
    </w:p>
    <w:p w14:paraId="26820401">
      <w:pPr>
        <w:snapToGrid w:val="0"/>
        <w:spacing w:line="340" w:lineRule="exact"/>
        <w:ind w:firstLine="0" w:firstLineChars="0"/>
        <w:outlineLvl w:val="9"/>
        <w:rPr>
          <w:rFonts w:hint="eastAsia" w:ascii="宋体" w:hAnsi="宋体" w:cs="宋体"/>
          <w:b/>
          <w:color w:val="auto"/>
          <w:szCs w:val="24"/>
          <w:highlight w:val="none"/>
        </w:rPr>
      </w:pPr>
    </w:p>
    <w:p w14:paraId="63CAA217">
      <w:pPr>
        <w:snapToGrid w:val="0"/>
        <w:spacing w:line="340" w:lineRule="exact"/>
        <w:ind w:firstLine="0" w:firstLineChars="0"/>
        <w:outlineLvl w:val="9"/>
        <w:rPr>
          <w:rFonts w:hint="eastAsia" w:ascii="宋体" w:hAnsi="宋体" w:cs="宋体"/>
          <w:b/>
          <w:color w:val="auto"/>
          <w:szCs w:val="24"/>
          <w:highlight w:val="none"/>
        </w:rPr>
      </w:pPr>
    </w:p>
    <w:p w14:paraId="26F20D10">
      <w:pPr>
        <w:snapToGrid w:val="0"/>
        <w:spacing w:line="340" w:lineRule="exact"/>
        <w:ind w:firstLine="0" w:firstLineChars="0"/>
        <w:outlineLvl w:val="9"/>
        <w:rPr>
          <w:rFonts w:hint="eastAsia" w:ascii="宋体" w:hAnsi="宋体" w:cs="宋体"/>
          <w:b/>
          <w:color w:val="auto"/>
          <w:szCs w:val="24"/>
          <w:highlight w:val="none"/>
        </w:rPr>
      </w:pPr>
    </w:p>
    <w:p w14:paraId="18D3A34A">
      <w:pPr>
        <w:snapToGrid w:val="0"/>
        <w:spacing w:line="340" w:lineRule="exact"/>
        <w:ind w:firstLine="0" w:firstLineChars="0"/>
        <w:outlineLvl w:val="9"/>
        <w:rPr>
          <w:rFonts w:hint="eastAsia" w:ascii="宋体" w:hAnsi="宋体" w:cs="宋体"/>
          <w:b/>
          <w:color w:val="auto"/>
          <w:szCs w:val="24"/>
          <w:highlight w:val="none"/>
        </w:rPr>
      </w:pPr>
    </w:p>
    <w:p w14:paraId="0E42CD42">
      <w:pPr>
        <w:snapToGrid w:val="0"/>
        <w:spacing w:line="340" w:lineRule="exact"/>
        <w:ind w:firstLine="0" w:firstLineChars="0"/>
        <w:outlineLvl w:val="9"/>
        <w:rPr>
          <w:rFonts w:hint="eastAsia" w:ascii="宋体" w:hAnsi="宋体" w:cs="宋体"/>
          <w:b/>
          <w:color w:val="auto"/>
          <w:szCs w:val="24"/>
          <w:highlight w:val="none"/>
        </w:rPr>
      </w:pPr>
    </w:p>
    <w:p w14:paraId="32063EAD">
      <w:pPr>
        <w:snapToGrid w:val="0"/>
        <w:spacing w:line="340" w:lineRule="exact"/>
        <w:ind w:firstLine="0" w:firstLineChars="0"/>
        <w:outlineLvl w:val="9"/>
        <w:rPr>
          <w:rFonts w:hint="eastAsia" w:ascii="宋体" w:hAnsi="宋体" w:cs="宋体"/>
          <w:b/>
          <w:color w:val="auto"/>
          <w:szCs w:val="24"/>
          <w:highlight w:val="none"/>
        </w:rPr>
      </w:pPr>
    </w:p>
    <w:p w14:paraId="2E686ECC">
      <w:pPr>
        <w:snapToGrid w:val="0"/>
        <w:spacing w:line="340" w:lineRule="exact"/>
        <w:ind w:firstLine="0" w:firstLineChars="0"/>
        <w:outlineLvl w:val="9"/>
        <w:rPr>
          <w:rFonts w:hint="eastAsia" w:ascii="宋体" w:hAnsi="宋体" w:cs="宋体"/>
          <w:b/>
          <w:color w:val="auto"/>
          <w:szCs w:val="24"/>
          <w:highlight w:val="none"/>
        </w:rPr>
      </w:pPr>
    </w:p>
    <w:p w14:paraId="79E96948">
      <w:pPr>
        <w:snapToGrid w:val="0"/>
        <w:spacing w:line="340" w:lineRule="exact"/>
        <w:ind w:firstLine="0" w:firstLineChars="0"/>
        <w:outlineLvl w:val="9"/>
        <w:rPr>
          <w:rFonts w:hint="eastAsia" w:ascii="宋体" w:hAnsi="宋体" w:cs="宋体"/>
          <w:b/>
          <w:color w:val="auto"/>
          <w:szCs w:val="24"/>
          <w:highlight w:val="none"/>
        </w:rPr>
      </w:pPr>
    </w:p>
    <w:p w14:paraId="244A3B3A">
      <w:pPr>
        <w:snapToGrid w:val="0"/>
        <w:spacing w:line="340" w:lineRule="exact"/>
        <w:ind w:firstLine="0" w:firstLineChars="0"/>
        <w:outlineLvl w:val="9"/>
        <w:rPr>
          <w:rFonts w:hint="eastAsia" w:ascii="宋体" w:hAnsi="宋体" w:cs="宋体"/>
          <w:b/>
          <w:color w:val="auto"/>
          <w:szCs w:val="24"/>
          <w:highlight w:val="none"/>
        </w:rPr>
      </w:pPr>
    </w:p>
    <w:p w14:paraId="787D54D5">
      <w:pPr>
        <w:snapToGrid w:val="0"/>
        <w:spacing w:line="340" w:lineRule="exact"/>
        <w:ind w:firstLine="0" w:firstLineChars="0"/>
        <w:outlineLvl w:val="9"/>
        <w:rPr>
          <w:rFonts w:hint="eastAsia" w:ascii="宋体" w:hAnsi="宋体" w:cs="宋体"/>
          <w:b/>
          <w:color w:val="auto"/>
          <w:szCs w:val="24"/>
          <w:highlight w:val="none"/>
        </w:rPr>
      </w:pPr>
    </w:p>
    <w:p w14:paraId="4C7C292F">
      <w:pPr>
        <w:pStyle w:val="16"/>
        <w:rPr>
          <w:rFonts w:hint="eastAsia" w:ascii="宋体" w:hAnsi="宋体" w:cs="宋体"/>
          <w:b/>
          <w:color w:val="auto"/>
          <w:szCs w:val="24"/>
          <w:highlight w:val="none"/>
        </w:rPr>
      </w:pPr>
    </w:p>
    <w:p w14:paraId="666D57DC">
      <w:pPr>
        <w:pStyle w:val="16"/>
        <w:rPr>
          <w:rFonts w:hint="eastAsia" w:ascii="宋体" w:hAnsi="宋体" w:cs="宋体"/>
          <w:b/>
          <w:color w:val="auto"/>
          <w:szCs w:val="24"/>
          <w:highlight w:val="none"/>
        </w:rPr>
      </w:pPr>
    </w:p>
    <w:p w14:paraId="5765E8BD">
      <w:pPr>
        <w:snapToGrid w:val="0"/>
        <w:spacing w:line="340" w:lineRule="exact"/>
        <w:ind w:firstLine="0" w:firstLineChars="0"/>
        <w:outlineLvl w:val="9"/>
        <w:rPr>
          <w:rFonts w:hint="eastAsia" w:ascii="宋体" w:hAnsi="宋体" w:cs="宋体"/>
          <w:b/>
          <w:color w:val="auto"/>
          <w:szCs w:val="24"/>
          <w:highlight w:val="none"/>
        </w:rPr>
      </w:pPr>
    </w:p>
    <w:p w14:paraId="46EA3216">
      <w:pPr>
        <w:snapToGrid w:val="0"/>
        <w:spacing w:line="340" w:lineRule="exact"/>
        <w:ind w:firstLine="0" w:firstLineChars="0"/>
        <w:outlineLvl w:val="9"/>
        <w:rPr>
          <w:rFonts w:hint="eastAsia" w:ascii="宋体" w:hAnsi="宋体" w:cs="宋体"/>
          <w:b/>
          <w:color w:val="auto"/>
          <w:szCs w:val="24"/>
          <w:highlight w:val="none"/>
        </w:rPr>
      </w:pPr>
    </w:p>
    <w:p w14:paraId="38E4A6CC">
      <w:pPr>
        <w:snapToGrid w:val="0"/>
        <w:spacing w:line="340" w:lineRule="exact"/>
        <w:ind w:firstLine="0" w:firstLineChars="0"/>
        <w:outlineLvl w:val="9"/>
        <w:rPr>
          <w:rFonts w:hint="eastAsia" w:ascii="宋体" w:hAnsi="宋体" w:cs="宋体"/>
          <w:b/>
          <w:color w:val="auto"/>
          <w:szCs w:val="24"/>
          <w:highlight w:val="none"/>
        </w:rPr>
      </w:pPr>
      <w:r>
        <w:rPr>
          <w:rFonts w:hint="eastAsia" w:ascii="宋体" w:hAnsi="宋体" w:cs="宋体"/>
          <w:b/>
          <w:color w:val="auto"/>
          <w:szCs w:val="24"/>
          <w:highlight w:val="none"/>
        </w:rPr>
        <w:t>附表2：</w:t>
      </w:r>
    </w:p>
    <w:p w14:paraId="447E9D1B">
      <w:pPr>
        <w:spacing w:line="460" w:lineRule="exact"/>
        <w:ind w:firstLine="0" w:firstLineChars="0"/>
        <w:jc w:val="center"/>
        <w:outlineLvl w:val="9"/>
        <w:rPr>
          <w:rFonts w:hint="eastAsia" w:ascii="宋体" w:hAnsi="宋体" w:cs="宋体"/>
          <w:b/>
          <w:bCs/>
          <w:color w:val="auto"/>
          <w:sz w:val="44"/>
          <w:szCs w:val="24"/>
          <w:highlight w:val="none"/>
        </w:rPr>
      </w:pPr>
      <w:r>
        <w:rPr>
          <w:rFonts w:hint="eastAsia" w:ascii="宋体" w:hAnsi="宋体" w:cs="宋体"/>
          <w:b/>
          <w:bCs/>
          <w:color w:val="auto"/>
          <w:sz w:val="44"/>
          <w:szCs w:val="24"/>
          <w:highlight w:val="none"/>
        </w:rPr>
        <w:t>投诉书（格式）</w:t>
      </w:r>
    </w:p>
    <w:p w14:paraId="53BD9D45">
      <w:pPr>
        <w:snapToGrid w:val="0"/>
        <w:spacing w:line="400" w:lineRule="exact"/>
        <w:ind w:firstLine="422"/>
        <w:outlineLvl w:val="9"/>
        <w:rPr>
          <w:rFonts w:hint="eastAsia" w:ascii="宋体" w:hAnsi="宋体" w:cs="宋体"/>
          <w:b/>
          <w:bCs/>
          <w:color w:val="auto"/>
          <w:sz w:val="21"/>
          <w:szCs w:val="20"/>
          <w:highlight w:val="none"/>
        </w:rPr>
      </w:pPr>
      <w:r>
        <w:rPr>
          <w:rFonts w:hint="eastAsia" w:ascii="宋体" w:hAnsi="宋体" w:cs="宋体"/>
          <w:b/>
          <w:bCs/>
          <w:color w:val="auto"/>
          <w:sz w:val="21"/>
          <w:szCs w:val="20"/>
          <w:highlight w:val="none"/>
        </w:rPr>
        <w:t>一、投诉相关主体基本情况：</w:t>
      </w:r>
    </w:p>
    <w:p w14:paraId="31CCCBA6">
      <w:pPr>
        <w:snapToGrid w:val="0"/>
        <w:spacing w:line="400" w:lineRule="exact"/>
        <w:ind w:firstLine="420"/>
        <w:outlineLvl w:val="9"/>
        <w:rPr>
          <w:rFonts w:hint="eastAsia" w:ascii="宋体" w:hAnsi="宋体" w:cs="宋体"/>
          <w:bCs/>
          <w:color w:val="auto"/>
          <w:sz w:val="21"/>
          <w:szCs w:val="20"/>
          <w:highlight w:val="none"/>
          <w:u w:val="single"/>
        </w:rPr>
      </w:pPr>
      <w:r>
        <w:rPr>
          <w:rFonts w:hint="eastAsia" w:ascii="宋体" w:hAnsi="宋体" w:cs="宋体"/>
          <w:bCs/>
          <w:color w:val="auto"/>
          <w:sz w:val="21"/>
          <w:szCs w:val="20"/>
          <w:highlight w:val="none"/>
        </w:rPr>
        <w:t>供应商：</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 xml:space="preserve">                 </w:t>
      </w:r>
    </w:p>
    <w:p w14:paraId="30BC8D7C">
      <w:pPr>
        <w:snapToGrid w:val="0"/>
        <w:spacing w:line="400" w:lineRule="exact"/>
        <w:ind w:firstLine="420"/>
        <w:outlineLvl w:val="9"/>
        <w:rPr>
          <w:rFonts w:hint="eastAsia" w:ascii="宋体" w:hAnsi="宋体" w:cs="宋体"/>
          <w:bCs/>
          <w:color w:val="auto"/>
          <w:sz w:val="21"/>
          <w:szCs w:val="20"/>
          <w:highlight w:val="none"/>
        </w:rPr>
      </w:pPr>
      <w:r>
        <w:rPr>
          <w:rFonts w:hint="eastAsia" w:ascii="宋体" w:hAnsi="宋体" w:cs="宋体"/>
          <w:bCs/>
          <w:color w:val="auto"/>
          <w:sz w:val="21"/>
          <w:szCs w:val="20"/>
          <w:highlight w:val="none"/>
        </w:rPr>
        <w:t>地址：</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邮编：</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 xml:space="preserve">                 </w:t>
      </w:r>
    </w:p>
    <w:p w14:paraId="50FB4168">
      <w:pPr>
        <w:snapToGrid w:val="0"/>
        <w:spacing w:line="400" w:lineRule="exact"/>
        <w:ind w:firstLine="420"/>
        <w:outlineLvl w:val="9"/>
        <w:rPr>
          <w:rFonts w:hint="eastAsia" w:ascii="宋体" w:hAnsi="宋体" w:cs="宋体"/>
          <w:bCs/>
          <w:color w:val="auto"/>
          <w:sz w:val="21"/>
          <w:szCs w:val="20"/>
          <w:highlight w:val="none"/>
          <w:u w:val="single"/>
        </w:rPr>
      </w:pPr>
      <w:r>
        <w:rPr>
          <w:rFonts w:hint="eastAsia" w:ascii="宋体" w:hAnsi="宋体" w:cs="宋体"/>
          <w:bCs/>
          <w:color w:val="auto"/>
          <w:sz w:val="21"/>
          <w:szCs w:val="20"/>
          <w:highlight w:val="none"/>
        </w:rPr>
        <w:t>法定代表人/主要负责人：</w:t>
      </w:r>
      <w:r>
        <w:rPr>
          <w:rFonts w:hint="eastAsia" w:ascii="宋体" w:hAnsi="宋体" w:cs="宋体"/>
          <w:bCs/>
          <w:color w:val="auto"/>
          <w:sz w:val="21"/>
          <w:szCs w:val="20"/>
          <w:highlight w:val="none"/>
          <w:u w:val="single"/>
        </w:rPr>
        <w:t xml:space="preserve">                                                         </w:t>
      </w:r>
    </w:p>
    <w:p w14:paraId="6B638B4F">
      <w:pPr>
        <w:snapToGrid w:val="0"/>
        <w:spacing w:line="400" w:lineRule="exact"/>
        <w:ind w:firstLine="420"/>
        <w:outlineLvl w:val="9"/>
        <w:rPr>
          <w:rFonts w:hint="eastAsia" w:ascii="宋体" w:hAnsi="宋体" w:cs="宋体"/>
          <w:bCs/>
          <w:color w:val="auto"/>
          <w:sz w:val="21"/>
          <w:szCs w:val="20"/>
          <w:highlight w:val="none"/>
        </w:rPr>
      </w:pPr>
      <w:r>
        <w:rPr>
          <w:rFonts w:hint="eastAsia" w:ascii="宋体" w:hAnsi="宋体" w:cs="宋体"/>
          <w:bCs/>
          <w:color w:val="auto"/>
          <w:sz w:val="21"/>
          <w:szCs w:val="20"/>
          <w:highlight w:val="none"/>
        </w:rPr>
        <w:t>联系电话：</w:t>
      </w:r>
      <w:r>
        <w:rPr>
          <w:rFonts w:hint="eastAsia" w:ascii="宋体" w:hAnsi="宋体" w:cs="宋体"/>
          <w:bCs/>
          <w:color w:val="auto"/>
          <w:sz w:val="21"/>
          <w:szCs w:val="20"/>
          <w:highlight w:val="none"/>
          <w:u w:val="single"/>
        </w:rPr>
        <w:t xml:space="preserve">                                         </w:t>
      </w:r>
    </w:p>
    <w:p w14:paraId="094497E1">
      <w:pPr>
        <w:snapToGrid w:val="0"/>
        <w:spacing w:line="400" w:lineRule="exact"/>
        <w:ind w:firstLine="420"/>
        <w:outlineLvl w:val="9"/>
        <w:rPr>
          <w:rFonts w:hint="eastAsia" w:ascii="宋体" w:hAnsi="宋体" w:cs="宋体"/>
          <w:bCs/>
          <w:color w:val="auto"/>
          <w:sz w:val="21"/>
          <w:szCs w:val="20"/>
          <w:highlight w:val="none"/>
          <w:u w:val="single"/>
        </w:rPr>
      </w:pPr>
      <w:r>
        <w:rPr>
          <w:rFonts w:hint="eastAsia" w:ascii="宋体" w:hAnsi="宋体" w:cs="宋体"/>
          <w:bCs/>
          <w:color w:val="auto"/>
          <w:sz w:val="21"/>
          <w:szCs w:val="20"/>
          <w:highlight w:val="none"/>
        </w:rPr>
        <w:t>授权代表：</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联系电话：</w:t>
      </w:r>
      <w:r>
        <w:rPr>
          <w:rFonts w:hint="eastAsia" w:ascii="宋体" w:hAnsi="宋体" w:cs="宋体"/>
          <w:bCs/>
          <w:color w:val="auto"/>
          <w:sz w:val="21"/>
          <w:szCs w:val="20"/>
          <w:highlight w:val="none"/>
          <w:u w:val="single"/>
        </w:rPr>
        <w:t xml:space="preserve">                   </w:t>
      </w:r>
    </w:p>
    <w:p w14:paraId="1BC2B223">
      <w:pPr>
        <w:snapToGrid w:val="0"/>
        <w:spacing w:line="400" w:lineRule="exact"/>
        <w:ind w:firstLine="420"/>
        <w:outlineLvl w:val="9"/>
        <w:rPr>
          <w:rFonts w:hint="eastAsia" w:ascii="宋体" w:hAnsi="宋体" w:cs="宋体"/>
          <w:bCs/>
          <w:color w:val="auto"/>
          <w:sz w:val="21"/>
          <w:szCs w:val="20"/>
          <w:highlight w:val="none"/>
        </w:rPr>
      </w:pPr>
      <w:r>
        <w:rPr>
          <w:rFonts w:hint="eastAsia" w:ascii="宋体" w:hAnsi="宋体" w:cs="宋体"/>
          <w:bCs/>
          <w:color w:val="auto"/>
          <w:sz w:val="21"/>
          <w:szCs w:val="20"/>
          <w:highlight w:val="none"/>
        </w:rPr>
        <w:t>地址：</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邮编：</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 xml:space="preserve">   </w:t>
      </w:r>
    </w:p>
    <w:p w14:paraId="309C0DEF">
      <w:pPr>
        <w:snapToGrid w:val="0"/>
        <w:spacing w:line="400" w:lineRule="exact"/>
        <w:ind w:firstLine="420"/>
        <w:outlineLvl w:val="9"/>
        <w:rPr>
          <w:rFonts w:hint="eastAsia" w:ascii="宋体" w:hAnsi="宋体" w:cs="宋体"/>
          <w:bCs/>
          <w:color w:val="auto"/>
          <w:sz w:val="21"/>
          <w:szCs w:val="20"/>
          <w:highlight w:val="none"/>
        </w:rPr>
      </w:pPr>
      <w:r>
        <w:rPr>
          <w:rFonts w:hint="eastAsia" w:ascii="宋体" w:hAnsi="宋体" w:cs="宋体"/>
          <w:bCs/>
          <w:color w:val="auto"/>
          <w:sz w:val="21"/>
          <w:szCs w:val="20"/>
          <w:highlight w:val="none"/>
        </w:rPr>
        <w:t>被投诉人1：</w:t>
      </w:r>
    </w:p>
    <w:p w14:paraId="4210D810">
      <w:pPr>
        <w:snapToGrid w:val="0"/>
        <w:spacing w:line="400" w:lineRule="exact"/>
        <w:ind w:firstLine="420"/>
        <w:outlineLvl w:val="9"/>
        <w:rPr>
          <w:rFonts w:hint="eastAsia" w:ascii="宋体" w:hAnsi="宋体" w:cs="宋体"/>
          <w:bCs/>
          <w:color w:val="auto"/>
          <w:sz w:val="21"/>
          <w:szCs w:val="20"/>
          <w:highlight w:val="none"/>
        </w:rPr>
      </w:pPr>
      <w:r>
        <w:rPr>
          <w:rFonts w:hint="eastAsia" w:ascii="宋体" w:hAnsi="宋体" w:cs="宋体"/>
          <w:bCs/>
          <w:color w:val="auto"/>
          <w:sz w:val="21"/>
          <w:szCs w:val="20"/>
          <w:highlight w:val="none"/>
        </w:rPr>
        <w:t>地址：</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邮编：</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 xml:space="preserve">  </w:t>
      </w:r>
    </w:p>
    <w:p w14:paraId="3F94D3E5">
      <w:pPr>
        <w:snapToGrid w:val="0"/>
        <w:spacing w:line="400" w:lineRule="exact"/>
        <w:ind w:firstLine="420"/>
        <w:outlineLvl w:val="9"/>
        <w:rPr>
          <w:rFonts w:hint="eastAsia" w:ascii="宋体" w:hAnsi="宋体" w:cs="宋体"/>
          <w:bCs/>
          <w:color w:val="auto"/>
          <w:sz w:val="21"/>
          <w:szCs w:val="20"/>
          <w:highlight w:val="none"/>
          <w:u w:val="single"/>
        </w:rPr>
      </w:pPr>
      <w:r>
        <w:rPr>
          <w:rFonts w:hint="eastAsia" w:ascii="宋体" w:hAnsi="宋体" w:cs="宋体"/>
          <w:bCs/>
          <w:color w:val="auto"/>
          <w:sz w:val="21"/>
          <w:szCs w:val="20"/>
          <w:highlight w:val="none"/>
        </w:rPr>
        <w:t>联系人：</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联系电话：</w:t>
      </w:r>
      <w:r>
        <w:rPr>
          <w:rFonts w:hint="eastAsia" w:ascii="宋体" w:hAnsi="宋体" w:cs="宋体"/>
          <w:bCs/>
          <w:color w:val="auto"/>
          <w:sz w:val="21"/>
          <w:szCs w:val="20"/>
          <w:highlight w:val="none"/>
          <w:u w:val="single"/>
        </w:rPr>
        <w:t xml:space="preserve">                </w:t>
      </w:r>
    </w:p>
    <w:p w14:paraId="28F34DEF">
      <w:pPr>
        <w:snapToGrid w:val="0"/>
        <w:spacing w:line="400" w:lineRule="exact"/>
        <w:ind w:firstLine="420"/>
        <w:outlineLvl w:val="9"/>
        <w:rPr>
          <w:rFonts w:hint="eastAsia" w:ascii="宋体" w:hAnsi="宋体" w:cs="宋体"/>
          <w:bCs/>
          <w:color w:val="auto"/>
          <w:sz w:val="21"/>
          <w:szCs w:val="20"/>
          <w:highlight w:val="none"/>
        </w:rPr>
      </w:pPr>
      <w:r>
        <w:rPr>
          <w:rFonts w:hint="eastAsia" w:ascii="宋体" w:hAnsi="宋体" w:cs="宋体"/>
          <w:bCs/>
          <w:color w:val="auto"/>
          <w:sz w:val="21"/>
          <w:szCs w:val="20"/>
          <w:highlight w:val="none"/>
        </w:rPr>
        <w:t>被投诉人2：</w:t>
      </w:r>
    </w:p>
    <w:p w14:paraId="5664ACB8">
      <w:pPr>
        <w:snapToGrid w:val="0"/>
        <w:spacing w:line="400" w:lineRule="exact"/>
        <w:ind w:firstLine="420"/>
        <w:outlineLvl w:val="9"/>
        <w:rPr>
          <w:rFonts w:hint="eastAsia" w:ascii="宋体" w:hAnsi="宋体" w:cs="宋体"/>
          <w:bCs/>
          <w:color w:val="auto"/>
          <w:sz w:val="21"/>
          <w:szCs w:val="20"/>
          <w:highlight w:val="none"/>
        </w:rPr>
      </w:pPr>
      <w:r>
        <w:rPr>
          <w:rFonts w:hint="eastAsia" w:ascii="宋体" w:hAnsi="宋体" w:cs="宋体"/>
          <w:bCs/>
          <w:color w:val="auto"/>
          <w:sz w:val="21"/>
          <w:szCs w:val="20"/>
          <w:highlight w:val="none"/>
        </w:rPr>
        <w:t>……</w:t>
      </w:r>
    </w:p>
    <w:p w14:paraId="08FA0209">
      <w:pPr>
        <w:snapToGrid w:val="0"/>
        <w:spacing w:line="400" w:lineRule="exact"/>
        <w:ind w:firstLine="420"/>
        <w:outlineLvl w:val="9"/>
        <w:rPr>
          <w:rFonts w:hint="eastAsia" w:ascii="宋体" w:hAnsi="宋体" w:cs="宋体"/>
          <w:bCs/>
          <w:color w:val="auto"/>
          <w:sz w:val="21"/>
          <w:szCs w:val="20"/>
          <w:highlight w:val="none"/>
          <w:u w:val="single"/>
        </w:rPr>
      </w:pPr>
      <w:r>
        <w:rPr>
          <w:rFonts w:hint="eastAsia" w:ascii="宋体" w:hAnsi="宋体" w:cs="宋体"/>
          <w:bCs/>
          <w:color w:val="auto"/>
          <w:sz w:val="21"/>
          <w:szCs w:val="20"/>
          <w:highlight w:val="none"/>
        </w:rPr>
        <w:t>相关供应商：</w:t>
      </w:r>
      <w:r>
        <w:rPr>
          <w:rFonts w:hint="eastAsia" w:ascii="宋体" w:hAnsi="宋体" w:cs="宋体"/>
          <w:bCs/>
          <w:color w:val="auto"/>
          <w:sz w:val="21"/>
          <w:szCs w:val="20"/>
          <w:highlight w:val="none"/>
          <w:u w:val="single"/>
        </w:rPr>
        <w:t xml:space="preserve">                                                                       </w:t>
      </w:r>
    </w:p>
    <w:p w14:paraId="266E99FE">
      <w:pPr>
        <w:snapToGrid w:val="0"/>
        <w:spacing w:line="400" w:lineRule="exact"/>
        <w:ind w:firstLine="420"/>
        <w:outlineLvl w:val="9"/>
        <w:rPr>
          <w:rFonts w:hint="eastAsia" w:ascii="宋体" w:hAnsi="宋体" w:cs="宋体"/>
          <w:bCs/>
          <w:color w:val="auto"/>
          <w:sz w:val="21"/>
          <w:szCs w:val="20"/>
          <w:highlight w:val="none"/>
          <w:u w:val="single"/>
        </w:rPr>
      </w:pPr>
      <w:r>
        <w:rPr>
          <w:rFonts w:hint="eastAsia" w:ascii="宋体" w:hAnsi="宋体" w:cs="宋体"/>
          <w:bCs/>
          <w:color w:val="auto"/>
          <w:sz w:val="21"/>
          <w:szCs w:val="20"/>
          <w:highlight w:val="none"/>
        </w:rPr>
        <w:t>地址：</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邮编：</w:t>
      </w:r>
      <w:r>
        <w:rPr>
          <w:rFonts w:hint="eastAsia" w:ascii="宋体" w:hAnsi="宋体" w:cs="宋体"/>
          <w:bCs/>
          <w:color w:val="auto"/>
          <w:sz w:val="21"/>
          <w:szCs w:val="20"/>
          <w:highlight w:val="none"/>
          <w:u w:val="single"/>
        </w:rPr>
        <w:t xml:space="preserve">                         </w:t>
      </w:r>
    </w:p>
    <w:p w14:paraId="703B81DE">
      <w:pPr>
        <w:snapToGrid w:val="0"/>
        <w:spacing w:line="400" w:lineRule="exact"/>
        <w:ind w:firstLine="420"/>
        <w:outlineLvl w:val="9"/>
        <w:rPr>
          <w:rFonts w:hint="eastAsia" w:ascii="宋体" w:hAnsi="宋体" w:cs="宋体"/>
          <w:bCs/>
          <w:color w:val="auto"/>
          <w:sz w:val="21"/>
          <w:szCs w:val="20"/>
          <w:highlight w:val="none"/>
        </w:rPr>
      </w:pPr>
      <w:r>
        <w:rPr>
          <w:rFonts w:hint="eastAsia" w:ascii="宋体" w:hAnsi="宋体" w:cs="宋体"/>
          <w:bCs/>
          <w:color w:val="auto"/>
          <w:sz w:val="21"/>
          <w:szCs w:val="20"/>
          <w:highlight w:val="none"/>
        </w:rPr>
        <w:t>联系人：</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联系电话：</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 xml:space="preserve">                </w:t>
      </w:r>
    </w:p>
    <w:p w14:paraId="1634301D">
      <w:pPr>
        <w:snapToGrid w:val="0"/>
        <w:spacing w:line="400" w:lineRule="exact"/>
        <w:ind w:firstLine="422"/>
        <w:outlineLvl w:val="9"/>
        <w:rPr>
          <w:rFonts w:hint="eastAsia" w:ascii="宋体" w:hAnsi="宋体" w:cs="宋体"/>
          <w:b/>
          <w:bCs/>
          <w:color w:val="auto"/>
          <w:sz w:val="21"/>
          <w:szCs w:val="21"/>
          <w:highlight w:val="none"/>
        </w:rPr>
      </w:pPr>
      <w:r>
        <w:rPr>
          <w:rFonts w:hint="eastAsia" w:ascii="宋体" w:hAnsi="宋体" w:cs="宋体"/>
          <w:b/>
          <w:bCs/>
          <w:color w:val="auto"/>
          <w:sz w:val="21"/>
          <w:szCs w:val="20"/>
          <w:highlight w:val="none"/>
        </w:rPr>
        <w:t>二、投诉项目基本情况：</w:t>
      </w:r>
    </w:p>
    <w:p w14:paraId="527EC905">
      <w:pPr>
        <w:spacing w:line="400" w:lineRule="exact"/>
        <w:ind w:left="25" w:leftChars="12" w:firstLine="413" w:firstLineChars="197"/>
        <w:outlineLvl w:val="9"/>
        <w:rPr>
          <w:rFonts w:hint="eastAsia" w:ascii="宋体" w:hAnsi="宋体" w:cs="宋体"/>
          <w:color w:val="auto"/>
          <w:sz w:val="21"/>
          <w:szCs w:val="21"/>
          <w:highlight w:val="none"/>
        </w:rPr>
      </w:pPr>
      <w:r>
        <w:rPr>
          <w:rFonts w:hint="eastAsia" w:ascii="宋体" w:hAnsi="宋体" w:cs="宋体"/>
          <w:bCs/>
          <w:color w:val="auto"/>
          <w:sz w:val="21"/>
          <w:szCs w:val="21"/>
          <w:highlight w:val="none"/>
        </w:rPr>
        <w:t>采购</w:t>
      </w:r>
      <w:r>
        <w:rPr>
          <w:rFonts w:hint="eastAsia" w:ascii="宋体" w:hAnsi="宋体" w:cs="宋体"/>
          <w:color w:val="auto"/>
          <w:sz w:val="21"/>
          <w:szCs w:val="21"/>
          <w:highlight w:val="none"/>
        </w:rPr>
        <w:t>项目的名称：</w:t>
      </w:r>
      <w:r>
        <w:rPr>
          <w:rFonts w:hint="eastAsia" w:ascii="宋体" w:hAnsi="宋体" w:cs="宋体"/>
          <w:bCs/>
          <w:color w:val="auto"/>
          <w:sz w:val="21"/>
          <w:szCs w:val="21"/>
          <w:highlight w:val="none"/>
          <w:u w:val="single"/>
        </w:rPr>
        <w:t xml:space="preserve">                                                                   </w:t>
      </w:r>
    </w:p>
    <w:p w14:paraId="4A922CBB">
      <w:pPr>
        <w:spacing w:line="400" w:lineRule="exact"/>
        <w:ind w:left="25" w:leftChars="12" w:firstLine="413" w:firstLineChars="197"/>
        <w:outlineLvl w:val="9"/>
        <w:rPr>
          <w:rFonts w:hint="eastAsia" w:ascii="宋体" w:hAnsi="宋体" w:cs="宋体"/>
          <w:color w:val="auto"/>
          <w:sz w:val="21"/>
          <w:szCs w:val="21"/>
          <w:highlight w:val="none"/>
        </w:rPr>
      </w:pPr>
      <w:r>
        <w:rPr>
          <w:rFonts w:hint="eastAsia" w:ascii="宋体" w:hAnsi="宋体" w:cs="宋体"/>
          <w:bCs/>
          <w:color w:val="auto"/>
          <w:sz w:val="21"/>
          <w:szCs w:val="21"/>
          <w:highlight w:val="none"/>
        </w:rPr>
        <w:t>采购</w:t>
      </w:r>
      <w:r>
        <w:rPr>
          <w:rFonts w:hint="eastAsia" w:ascii="宋体" w:hAnsi="宋体" w:cs="宋体"/>
          <w:color w:val="auto"/>
          <w:sz w:val="21"/>
          <w:szCs w:val="21"/>
          <w:highlight w:val="none"/>
        </w:rPr>
        <w:t>项目的编号：</w:t>
      </w:r>
      <w:r>
        <w:rPr>
          <w:rFonts w:hint="eastAsia" w:ascii="宋体" w:hAnsi="宋体" w:cs="宋体"/>
          <w:bCs/>
          <w:color w:val="auto"/>
          <w:sz w:val="21"/>
          <w:szCs w:val="21"/>
          <w:highlight w:val="none"/>
          <w:u w:val="single"/>
        </w:rPr>
        <w:t xml:space="preserve">                                        </w:t>
      </w:r>
      <w:r>
        <w:rPr>
          <w:rFonts w:hint="eastAsia" w:ascii="宋体" w:hAnsi="宋体" w:cs="宋体"/>
          <w:color w:val="auto"/>
          <w:sz w:val="21"/>
          <w:szCs w:val="21"/>
          <w:highlight w:val="none"/>
        </w:rPr>
        <w:t>分标：</w:t>
      </w:r>
      <w:r>
        <w:rPr>
          <w:rFonts w:hint="eastAsia" w:ascii="宋体" w:hAnsi="宋体" w:cs="宋体"/>
          <w:color w:val="auto"/>
          <w:sz w:val="21"/>
          <w:szCs w:val="21"/>
          <w:highlight w:val="none"/>
          <w:u w:val="single"/>
        </w:rPr>
        <w:t xml:space="preserve">       </w:t>
      </w:r>
    </w:p>
    <w:p w14:paraId="061E6466">
      <w:pPr>
        <w:spacing w:line="400" w:lineRule="exact"/>
        <w:ind w:left="25" w:leftChars="12" w:firstLine="413" w:firstLineChars="197"/>
        <w:outlineLvl w:val="9"/>
        <w:rPr>
          <w:rFonts w:hint="eastAsia" w:ascii="宋体" w:hAnsi="宋体" w:cs="宋体"/>
          <w:bCs/>
          <w:color w:val="auto"/>
          <w:sz w:val="21"/>
          <w:szCs w:val="20"/>
          <w:highlight w:val="none"/>
          <w:u w:val="single"/>
        </w:rPr>
      </w:pPr>
      <w:r>
        <w:rPr>
          <w:rFonts w:hint="eastAsia" w:ascii="宋体" w:hAnsi="宋体" w:cs="宋体"/>
          <w:color w:val="auto"/>
          <w:sz w:val="21"/>
          <w:szCs w:val="21"/>
          <w:highlight w:val="none"/>
        </w:rPr>
        <w:t>采购人名称：</w:t>
      </w:r>
      <w:r>
        <w:rPr>
          <w:rFonts w:hint="eastAsia" w:ascii="宋体" w:hAnsi="宋体" w:cs="宋体"/>
          <w:bCs/>
          <w:color w:val="auto"/>
          <w:sz w:val="21"/>
          <w:szCs w:val="21"/>
          <w:highlight w:val="none"/>
          <w:u w:val="single"/>
        </w:rPr>
        <w:t xml:space="preserve">                                                        </w:t>
      </w:r>
      <w:r>
        <w:rPr>
          <w:rFonts w:hint="eastAsia" w:ascii="宋体" w:hAnsi="宋体" w:cs="宋体"/>
          <w:bCs/>
          <w:color w:val="auto"/>
          <w:sz w:val="21"/>
          <w:szCs w:val="20"/>
          <w:highlight w:val="none"/>
          <w:u w:val="single"/>
        </w:rPr>
        <w:t xml:space="preserve">                </w:t>
      </w:r>
    </w:p>
    <w:p w14:paraId="694BC0DC">
      <w:pPr>
        <w:spacing w:line="400" w:lineRule="exact"/>
        <w:ind w:left="25" w:leftChars="12" w:firstLine="413" w:firstLineChars="197"/>
        <w:outlineLvl w:val="9"/>
        <w:rPr>
          <w:rFonts w:hint="eastAsia" w:ascii="宋体" w:hAnsi="宋体" w:cs="宋体"/>
          <w:bCs/>
          <w:color w:val="auto"/>
          <w:sz w:val="21"/>
          <w:szCs w:val="20"/>
          <w:highlight w:val="none"/>
          <w:u w:val="single"/>
        </w:rPr>
      </w:pPr>
      <w:r>
        <w:rPr>
          <w:rFonts w:hint="eastAsia" w:ascii="宋体" w:hAnsi="宋体" w:cs="宋体"/>
          <w:color w:val="auto"/>
          <w:sz w:val="21"/>
          <w:szCs w:val="21"/>
          <w:highlight w:val="none"/>
        </w:rPr>
        <w:t>代理机构名称：</w:t>
      </w:r>
      <w:r>
        <w:rPr>
          <w:rFonts w:hint="eastAsia" w:ascii="宋体" w:hAnsi="宋体" w:cs="宋体"/>
          <w:bCs/>
          <w:color w:val="auto"/>
          <w:sz w:val="21"/>
          <w:szCs w:val="20"/>
          <w:highlight w:val="none"/>
          <w:u w:val="single"/>
        </w:rPr>
        <w:t xml:space="preserve">                                                                      </w:t>
      </w:r>
    </w:p>
    <w:p w14:paraId="10FEA8A4">
      <w:pPr>
        <w:spacing w:line="400" w:lineRule="exact"/>
        <w:ind w:left="25" w:leftChars="12" w:firstLine="413" w:firstLineChars="197"/>
        <w:outlineLvl w:val="9"/>
        <w:rPr>
          <w:rFonts w:hint="eastAsia" w:ascii="宋体" w:hAnsi="宋体" w:cs="宋体"/>
          <w:bCs/>
          <w:color w:val="auto"/>
          <w:sz w:val="21"/>
          <w:szCs w:val="20"/>
          <w:highlight w:val="none"/>
          <w:u w:val="single"/>
        </w:rPr>
      </w:pPr>
      <w:r>
        <w:rPr>
          <w:rFonts w:hint="eastAsia" w:ascii="宋体" w:hAnsi="宋体" w:cs="宋体"/>
          <w:bCs/>
          <w:color w:val="auto"/>
          <w:sz w:val="21"/>
          <w:szCs w:val="20"/>
          <w:highlight w:val="none"/>
        </w:rPr>
        <w:t>采购文件公告：</w:t>
      </w:r>
      <w:r>
        <w:rPr>
          <w:rFonts w:hint="eastAsia" w:ascii="宋体" w:hAnsi="宋体" w:cs="宋体"/>
          <w:bCs/>
          <w:color w:val="auto"/>
          <w:sz w:val="21"/>
          <w:szCs w:val="20"/>
          <w:highlight w:val="none"/>
          <w:u w:val="single"/>
        </w:rPr>
        <w:t>是/否</w:t>
      </w:r>
      <w:r>
        <w:rPr>
          <w:rFonts w:hint="eastAsia" w:ascii="宋体" w:hAnsi="宋体" w:cs="宋体"/>
          <w:bCs/>
          <w:color w:val="auto"/>
          <w:sz w:val="21"/>
          <w:szCs w:val="20"/>
          <w:highlight w:val="none"/>
        </w:rPr>
        <w:t>公告期限：</w:t>
      </w:r>
      <w:r>
        <w:rPr>
          <w:rFonts w:hint="eastAsia" w:ascii="宋体" w:hAnsi="宋体" w:cs="宋体"/>
          <w:bCs/>
          <w:color w:val="auto"/>
          <w:sz w:val="21"/>
          <w:szCs w:val="20"/>
          <w:highlight w:val="none"/>
          <w:u w:val="single"/>
        </w:rPr>
        <w:t xml:space="preserve">                                                       </w:t>
      </w:r>
    </w:p>
    <w:p w14:paraId="3D2CEBB6">
      <w:pPr>
        <w:spacing w:line="400" w:lineRule="exact"/>
        <w:ind w:left="25" w:leftChars="12" w:firstLine="413" w:firstLineChars="197"/>
        <w:outlineLvl w:val="9"/>
        <w:rPr>
          <w:rFonts w:hint="eastAsia" w:ascii="宋体" w:hAnsi="宋体" w:cs="宋体"/>
          <w:b/>
          <w:color w:val="auto"/>
          <w:sz w:val="21"/>
          <w:szCs w:val="21"/>
          <w:highlight w:val="none"/>
        </w:rPr>
      </w:pPr>
      <w:r>
        <w:rPr>
          <w:rFonts w:hint="eastAsia" w:ascii="宋体" w:hAnsi="宋体" w:cs="宋体"/>
          <w:bCs/>
          <w:color w:val="auto"/>
          <w:sz w:val="21"/>
          <w:szCs w:val="20"/>
          <w:highlight w:val="none"/>
        </w:rPr>
        <w:t>采购结果公告：</w:t>
      </w:r>
      <w:r>
        <w:rPr>
          <w:rFonts w:hint="eastAsia" w:ascii="宋体" w:hAnsi="宋体" w:cs="宋体"/>
          <w:bCs/>
          <w:color w:val="auto"/>
          <w:sz w:val="21"/>
          <w:szCs w:val="20"/>
          <w:highlight w:val="none"/>
          <w:u w:val="single"/>
        </w:rPr>
        <w:t>是/否</w:t>
      </w:r>
      <w:r>
        <w:rPr>
          <w:rFonts w:hint="eastAsia" w:ascii="宋体" w:hAnsi="宋体" w:cs="宋体"/>
          <w:bCs/>
          <w:color w:val="auto"/>
          <w:sz w:val="21"/>
          <w:szCs w:val="20"/>
          <w:highlight w:val="none"/>
        </w:rPr>
        <w:t>公告期限：</w:t>
      </w:r>
      <w:r>
        <w:rPr>
          <w:rFonts w:hint="eastAsia" w:ascii="宋体" w:hAnsi="宋体" w:cs="宋体"/>
          <w:bCs/>
          <w:color w:val="auto"/>
          <w:sz w:val="21"/>
          <w:szCs w:val="20"/>
          <w:highlight w:val="none"/>
          <w:u w:val="single"/>
        </w:rPr>
        <w:t xml:space="preserve">                                                       </w:t>
      </w:r>
    </w:p>
    <w:p w14:paraId="35ED274E">
      <w:pPr>
        <w:spacing w:line="400" w:lineRule="exact"/>
        <w:ind w:left="25" w:leftChars="12" w:firstLine="413" w:firstLineChars="196"/>
        <w:outlineLvl w:val="9"/>
        <w:rPr>
          <w:rFonts w:hint="eastAsia" w:ascii="宋体" w:hAnsi="宋体" w:cs="宋体"/>
          <w:b/>
          <w:color w:val="auto"/>
          <w:sz w:val="21"/>
          <w:szCs w:val="21"/>
          <w:highlight w:val="none"/>
        </w:rPr>
      </w:pPr>
      <w:r>
        <w:rPr>
          <w:rFonts w:hint="eastAsia" w:ascii="宋体" w:hAnsi="宋体" w:cs="宋体"/>
          <w:b/>
          <w:color w:val="auto"/>
          <w:sz w:val="21"/>
          <w:szCs w:val="21"/>
          <w:highlight w:val="none"/>
        </w:rPr>
        <w:t>三、质疑基本情况</w:t>
      </w:r>
    </w:p>
    <w:p w14:paraId="0CC385A3">
      <w:pPr>
        <w:spacing w:line="400" w:lineRule="exact"/>
        <w:ind w:left="25" w:leftChars="12" w:firstLine="833" w:firstLineChars="397"/>
        <w:outlineLvl w:val="9"/>
        <w:rPr>
          <w:rFonts w:hint="eastAsia" w:ascii="宋体" w:hAnsi="宋体" w:cs="宋体"/>
          <w:color w:val="auto"/>
          <w:sz w:val="21"/>
          <w:szCs w:val="21"/>
          <w:highlight w:val="none"/>
        </w:rPr>
      </w:pPr>
      <w:r>
        <w:rPr>
          <w:rFonts w:hint="eastAsia" w:ascii="宋体" w:hAnsi="宋体" w:cs="宋体"/>
          <w:color w:val="auto"/>
          <w:sz w:val="21"/>
          <w:szCs w:val="21"/>
          <w:highlight w:val="none"/>
        </w:rPr>
        <w:t>投诉人于</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日，向</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提出质疑，质疑事项为：</w:t>
      </w:r>
    </w:p>
    <w:p w14:paraId="5DBD9892">
      <w:pPr>
        <w:spacing w:line="400" w:lineRule="exact"/>
        <w:ind w:firstLine="0" w:firstLineChars="0"/>
        <w:outlineLvl w:val="9"/>
        <w:rPr>
          <w:rFonts w:hint="eastAsia" w:ascii="宋体" w:hAnsi="宋体" w:cs="宋体"/>
          <w:bCs/>
          <w:color w:val="auto"/>
          <w:sz w:val="21"/>
          <w:szCs w:val="20"/>
          <w:highlight w:val="none"/>
          <w:u w:val="single"/>
        </w:rPr>
      </w:pPr>
      <w:r>
        <w:rPr>
          <w:rFonts w:hint="eastAsia" w:ascii="宋体" w:hAnsi="宋体" w:cs="宋体"/>
          <w:color w:val="auto"/>
          <w:sz w:val="21"/>
          <w:szCs w:val="21"/>
          <w:highlight w:val="none"/>
        </w:rPr>
        <w:t xml:space="preserve">    </w:t>
      </w:r>
      <w:r>
        <w:rPr>
          <w:rFonts w:hint="eastAsia" w:ascii="宋体" w:hAnsi="宋体" w:cs="宋体"/>
          <w:bCs/>
          <w:color w:val="auto"/>
          <w:sz w:val="21"/>
          <w:szCs w:val="20"/>
          <w:highlight w:val="none"/>
          <w:u w:val="single"/>
        </w:rPr>
        <w:t xml:space="preserve">                                                                                      </w:t>
      </w:r>
    </w:p>
    <w:p w14:paraId="66DDF21B">
      <w:pPr>
        <w:spacing w:line="400" w:lineRule="exact"/>
        <w:ind w:firstLine="0" w:firstLineChars="0"/>
        <w:outlineLvl w:val="9"/>
        <w:rPr>
          <w:rFonts w:hint="eastAsia" w:ascii="宋体" w:hAnsi="宋体" w:cs="宋体"/>
          <w:bCs/>
          <w:color w:val="auto"/>
          <w:sz w:val="21"/>
          <w:szCs w:val="20"/>
          <w:highlight w:val="none"/>
          <w:u w:val="single"/>
        </w:rPr>
      </w:pPr>
      <w:r>
        <w:rPr>
          <w:rFonts w:hint="eastAsia" w:ascii="宋体" w:hAnsi="宋体" w:cs="宋体"/>
          <w:bCs/>
          <w:color w:val="auto"/>
          <w:sz w:val="21"/>
          <w:szCs w:val="20"/>
          <w:highlight w:val="none"/>
        </w:rPr>
        <w:t xml:space="preserve">    </w:t>
      </w:r>
      <w:r>
        <w:rPr>
          <w:rFonts w:hint="eastAsia" w:ascii="宋体" w:hAnsi="宋体" w:cs="宋体"/>
          <w:bCs/>
          <w:color w:val="auto"/>
          <w:sz w:val="21"/>
          <w:szCs w:val="20"/>
          <w:highlight w:val="none"/>
          <w:u w:val="single"/>
        </w:rPr>
        <w:t xml:space="preserve">                                                                                      </w:t>
      </w:r>
    </w:p>
    <w:p w14:paraId="2413B479">
      <w:pPr>
        <w:spacing w:line="400" w:lineRule="exact"/>
        <w:ind w:firstLine="0" w:firstLineChars="0"/>
        <w:outlineLvl w:val="9"/>
        <w:rPr>
          <w:rFonts w:hint="eastAsia" w:ascii="宋体" w:hAnsi="宋体" w:cs="宋体"/>
          <w:color w:val="auto"/>
          <w:sz w:val="21"/>
          <w:szCs w:val="21"/>
          <w:highlight w:val="none"/>
        </w:rPr>
      </w:pPr>
      <w:r>
        <w:rPr>
          <w:rFonts w:hint="eastAsia" w:ascii="宋体" w:hAnsi="宋体" w:cs="宋体"/>
          <w:bCs/>
          <w:color w:val="auto"/>
          <w:sz w:val="21"/>
          <w:szCs w:val="20"/>
          <w:highlight w:val="none"/>
        </w:rPr>
        <w:t xml:space="preserve">        </w:t>
      </w:r>
      <w:r>
        <w:rPr>
          <w:rFonts w:hint="eastAsia" w:ascii="宋体" w:hAnsi="宋体" w:cs="宋体"/>
          <w:bCs/>
          <w:color w:val="auto"/>
          <w:sz w:val="21"/>
          <w:szCs w:val="20"/>
          <w:highlight w:val="none"/>
          <w:u w:val="single"/>
        </w:rPr>
        <w:t>采购人/代理机构</w:t>
      </w:r>
      <w:r>
        <w:rPr>
          <w:rFonts w:hint="eastAsia" w:ascii="宋体" w:hAnsi="宋体" w:cs="宋体"/>
          <w:bCs/>
          <w:color w:val="auto"/>
          <w:sz w:val="21"/>
          <w:szCs w:val="20"/>
          <w:highlight w:val="none"/>
        </w:rPr>
        <w:t>于</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日，</w:t>
      </w:r>
      <w:r>
        <w:rPr>
          <w:rFonts w:hint="eastAsia" w:ascii="宋体" w:hAnsi="宋体" w:cs="宋体"/>
          <w:bCs/>
          <w:color w:val="auto"/>
          <w:sz w:val="21"/>
          <w:szCs w:val="20"/>
          <w:highlight w:val="none"/>
        </w:rPr>
        <w:t xml:space="preserve">就质疑事项作出了答复/没有在法定期限内作出答复。                                                                                             </w:t>
      </w:r>
    </w:p>
    <w:p w14:paraId="1A501169">
      <w:pPr>
        <w:spacing w:line="400" w:lineRule="exact"/>
        <w:ind w:left="25" w:leftChars="12" w:firstLine="413" w:firstLineChars="196"/>
        <w:outlineLvl w:val="9"/>
        <w:rPr>
          <w:rFonts w:hint="eastAsia" w:ascii="宋体" w:hAnsi="宋体" w:cs="宋体"/>
          <w:b/>
          <w:color w:val="auto"/>
          <w:sz w:val="21"/>
          <w:szCs w:val="21"/>
          <w:highlight w:val="none"/>
        </w:rPr>
      </w:pPr>
      <w:r>
        <w:rPr>
          <w:rFonts w:hint="eastAsia" w:ascii="宋体" w:hAnsi="宋体" w:cs="宋体"/>
          <w:b/>
          <w:color w:val="auto"/>
          <w:sz w:val="21"/>
          <w:szCs w:val="21"/>
          <w:highlight w:val="none"/>
        </w:rPr>
        <w:t>四、投诉事项具体内容</w:t>
      </w:r>
    </w:p>
    <w:p w14:paraId="59EBE230">
      <w:pPr>
        <w:spacing w:line="400" w:lineRule="exact"/>
        <w:ind w:left="25" w:leftChars="12" w:firstLine="413" w:firstLineChars="197"/>
        <w:outlineLvl w:val="9"/>
        <w:rPr>
          <w:rFonts w:hint="eastAsia" w:ascii="宋体" w:hAnsi="宋体" w:cs="宋体"/>
          <w:bCs/>
          <w:color w:val="auto"/>
          <w:sz w:val="21"/>
          <w:szCs w:val="20"/>
          <w:highlight w:val="none"/>
          <w:u w:val="single"/>
        </w:rPr>
      </w:pPr>
      <w:r>
        <w:rPr>
          <w:rFonts w:hint="eastAsia" w:ascii="宋体" w:hAnsi="宋体" w:cs="宋体"/>
          <w:color w:val="auto"/>
          <w:sz w:val="21"/>
          <w:szCs w:val="21"/>
          <w:highlight w:val="none"/>
        </w:rPr>
        <w:t>投诉事项1：</w:t>
      </w:r>
      <w:r>
        <w:rPr>
          <w:rFonts w:hint="eastAsia" w:ascii="宋体" w:hAnsi="宋体" w:cs="宋体"/>
          <w:bCs/>
          <w:color w:val="auto"/>
          <w:sz w:val="21"/>
          <w:szCs w:val="20"/>
          <w:highlight w:val="none"/>
          <w:u w:val="single"/>
        </w:rPr>
        <w:t xml:space="preserve">                                                                           </w:t>
      </w:r>
    </w:p>
    <w:p w14:paraId="15BAF0DE">
      <w:pPr>
        <w:spacing w:line="400" w:lineRule="exact"/>
        <w:ind w:firstLine="420"/>
        <w:outlineLvl w:val="9"/>
        <w:rPr>
          <w:rFonts w:hint="eastAsia" w:ascii="宋体" w:hAnsi="宋体" w:cs="宋体"/>
          <w:bCs/>
          <w:color w:val="auto"/>
          <w:sz w:val="21"/>
          <w:szCs w:val="20"/>
          <w:highlight w:val="none"/>
          <w:u w:val="single"/>
        </w:rPr>
      </w:pPr>
      <w:r>
        <w:rPr>
          <w:rFonts w:hint="eastAsia" w:ascii="宋体" w:hAnsi="宋体" w:cs="宋体"/>
          <w:bCs/>
          <w:color w:val="auto"/>
          <w:sz w:val="21"/>
          <w:szCs w:val="20"/>
          <w:highlight w:val="none"/>
        </w:rPr>
        <w:t>事实依据：</w:t>
      </w:r>
      <w:r>
        <w:rPr>
          <w:rFonts w:hint="eastAsia" w:ascii="宋体" w:hAnsi="宋体" w:cs="宋体"/>
          <w:color w:val="auto"/>
          <w:sz w:val="21"/>
          <w:szCs w:val="21"/>
          <w:highlight w:val="none"/>
        </w:rPr>
        <w:t xml:space="preserve"> </w:t>
      </w:r>
      <w:r>
        <w:rPr>
          <w:rFonts w:hint="eastAsia" w:ascii="宋体" w:hAnsi="宋体" w:cs="宋体"/>
          <w:bCs/>
          <w:color w:val="auto"/>
          <w:sz w:val="21"/>
          <w:szCs w:val="20"/>
          <w:highlight w:val="none"/>
          <w:u w:val="single"/>
        </w:rPr>
        <w:t xml:space="preserve">                                                                                      </w:t>
      </w:r>
    </w:p>
    <w:p w14:paraId="60625B09">
      <w:pPr>
        <w:spacing w:line="400" w:lineRule="exact"/>
        <w:ind w:left="25" w:leftChars="12" w:firstLine="413" w:firstLineChars="197"/>
        <w:outlineLvl w:val="9"/>
        <w:rPr>
          <w:rFonts w:hint="eastAsia" w:ascii="宋体" w:hAnsi="宋体" w:cs="宋体"/>
          <w:color w:val="auto"/>
          <w:sz w:val="21"/>
          <w:szCs w:val="21"/>
          <w:highlight w:val="none"/>
        </w:rPr>
      </w:pPr>
      <w:r>
        <w:rPr>
          <w:rFonts w:hint="eastAsia" w:ascii="宋体" w:hAnsi="宋体" w:cs="宋体"/>
          <w:bCs/>
          <w:color w:val="auto"/>
          <w:sz w:val="21"/>
          <w:szCs w:val="20"/>
          <w:highlight w:val="none"/>
          <w:u w:val="single"/>
        </w:rPr>
        <w:t xml:space="preserve">                                                                                        </w:t>
      </w:r>
    </w:p>
    <w:p w14:paraId="033FF2B4">
      <w:pPr>
        <w:spacing w:line="400" w:lineRule="exact"/>
        <w:ind w:firstLine="420"/>
        <w:outlineLvl w:val="9"/>
        <w:rPr>
          <w:rFonts w:hint="eastAsia" w:ascii="宋体" w:hAnsi="宋体" w:cs="宋体"/>
          <w:bCs/>
          <w:color w:val="auto"/>
          <w:sz w:val="21"/>
          <w:szCs w:val="20"/>
          <w:highlight w:val="none"/>
          <w:u w:val="single"/>
        </w:rPr>
      </w:pPr>
      <w:r>
        <w:rPr>
          <w:rFonts w:hint="eastAsia" w:ascii="宋体" w:hAnsi="宋体" w:cs="宋体"/>
          <w:bCs/>
          <w:color w:val="auto"/>
          <w:sz w:val="21"/>
          <w:szCs w:val="20"/>
          <w:highlight w:val="none"/>
        </w:rPr>
        <w:t>法律依据：</w:t>
      </w:r>
      <w:r>
        <w:rPr>
          <w:rFonts w:hint="eastAsia" w:ascii="宋体" w:hAnsi="宋体" w:cs="宋体"/>
          <w:color w:val="auto"/>
          <w:sz w:val="21"/>
          <w:szCs w:val="21"/>
          <w:highlight w:val="none"/>
        </w:rPr>
        <w:t xml:space="preserve"> </w:t>
      </w:r>
      <w:r>
        <w:rPr>
          <w:rFonts w:hint="eastAsia" w:ascii="宋体" w:hAnsi="宋体" w:cs="宋体"/>
          <w:bCs/>
          <w:color w:val="auto"/>
          <w:sz w:val="21"/>
          <w:szCs w:val="20"/>
          <w:highlight w:val="none"/>
          <w:u w:val="single"/>
        </w:rPr>
        <w:t xml:space="preserve">                                                                                      </w:t>
      </w:r>
    </w:p>
    <w:p w14:paraId="79833FE3">
      <w:pPr>
        <w:spacing w:line="400" w:lineRule="exact"/>
        <w:ind w:left="25" w:leftChars="12" w:firstLine="308" w:firstLineChars="147"/>
        <w:outlineLvl w:val="9"/>
        <w:rPr>
          <w:rFonts w:hint="eastAsia" w:ascii="宋体" w:hAnsi="宋体" w:cs="宋体"/>
          <w:bCs/>
          <w:color w:val="auto"/>
          <w:sz w:val="21"/>
          <w:szCs w:val="20"/>
          <w:highlight w:val="none"/>
          <w:u w:val="single"/>
        </w:rPr>
      </w:pPr>
      <w:r>
        <w:rPr>
          <w:rFonts w:hint="eastAsia" w:ascii="宋体" w:hAnsi="宋体" w:cs="宋体"/>
          <w:bCs/>
          <w:color w:val="auto"/>
          <w:sz w:val="21"/>
          <w:szCs w:val="20"/>
          <w:highlight w:val="none"/>
        </w:rPr>
        <w:t xml:space="preserve"> </w:t>
      </w:r>
      <w:r>
        <w:rPr>
          <w:rFonts w:hint="eastAsia" w:ascii="宋体" w:hAnsi="宋体" w:cs="宋体"/>
          <w:bCs/>
          <w:color w:val="auto"/>
          <w:sz w:val="21"/>
          <w:szCs w:val="20"/>
          <w:highlight w:val="none"/>
          <w:u w:val="single"/>
        </w:rPr>
        <w:t xml:space="preserve">                                                                                        </w:t>
      </w:r>
    </w:p>
    <w:p w14:paraId="750E42EC">
      <w:pPr>
        <w:spacing w:line="400" w:lineRule="exact"/>
        <w:ind w:left="25" w:leftChars="12" w:firstLine="413" w:firstLineChars="197"/>
        <w:outlineLvl w:val="9"/>
        <w:rPr>
          <w:rFonts w:hint="eastAsia" w:ascii="宋体" w:hAnsi="宋体" w:cs="宋体"/>
          <w:bCs/>
          <w:color w:val="auto"/>
          <w:sz w:val="21"/>
          <w:szCs w:val="20"/>
          <w:highlight w:val="none"/>
        </w:rPr>
      </w:pPr>
      <w:r>
        <w:rPr>
          <w:rFonts w:hint="eastAsia" w:ascii="宋体" w:hAnsi="宋体" w:cs="宋体"/>
          <w:color w:val="auto"/>
          <w:sz w:val="21"/>
          <w:szCs w:val="21"/>
          <w:highlight w:val="none"/>
        </w:rPr>
        <w:t xml:space="preserve">投诉事项2  </w:t>
      </w:r>
      <w:r>
        <w:rPr>
          <w:rFonts w:hint="eastAsia" w:ascii="宋体" w:hAnsi="宋体" w:cs="宋体"/>
          <w:bCs/>
          <w:color w:val="auto"/>
          <w:sz w:val="21"/>
          <w:szCs w:val="20"/>
          <w:highlight w:val="none"/>
        </w:rPr>
        <w:t xml:space="preserve">   </w:t>
      </w:r>
    </w:p>
    <w:p w14:paraId="0FF1722E">
      <w:pPr>
        <w:spacing w:line="400" w:lineRule="exact"/>
        <w:ind w:left="25" w:leftChars="12" w:firstLine="413" w:firstLineChars="197"/>
        <w:outlineLvl w:val="9"/>
        <w:rPr>
          <w:rFonts w:hint="eastAsia" w:ascii="宋体" w:hAnsi="宋体" w:cs="宋体"/>
          <w:bCs/>
          <w:color w:val="auto"/>
          <w:sz w:val="21"/>
          <w:szCs w:val="20"/>
          <w:highlight w:val="none"/>
        </w:rPr>
      </w:pPr>
      <w:r>
        <w:rPr>
          <w:rFonts w:hint="eastAsia" w:ascii="宋体" w:hAnsi="宋体" w:cs="宋体"/>
          <w:bCs/>
          <w:color w:val="auto"/>
          <w:sz w:val="21"/>
          <w:szCs w:val="20"/>
          <w:highlight w:val="none"/>
        </w:rPr>
        <w:t>……</w:t>
      </w:r>
    </w:p>
    <w:p w14:paraId="72DF7FAE">
      <w:pPr>
        <w:spacing w:line="400" w:lineRule="exact"/>
        <w:ind w:left="25" w:leftChars="12" w:firstLine="413" w:firstLineChars="196"/>
        <w:outlineLvl w:val="9"/>
        <w:rPr>
          <w:rFonts w:hint="eastAsia" w:ascii="宋体" w:hAnsi="宋体" w:cs="宋体"/>
          <w:b/>
          <w:color w:val="auto"/>
          <w:sz w:val="21"/>
          <w:szCs w:val="21"/>
          <w:highlight w:val="none"/>
        </w:rPr>
      </w:pPr>
      <w:r>
        <w:rPr>
          <w:rFonts w:hint="eastAsia" w:ascii="宋体" w:hAnsi="宋体" w:cs="宋体"/>
          <w:b/>
          <w:color w:val="auto"/>
          <w:sz w:val="21"/>
          <w:szCs w:val="21"/>
          <w:highlight w:val="none"/>
        </w:rPr>
        <w:t>五、与投诉事项相关的投诉请求：</w:t>
      </w:r>
    </w:p>
    <w:p w14:paraId="5227E6D1">
      <w:pPr>
        <w:spacing w:line="400" w:lineRule="exact"/>
        <w:ind w:left="25" w:leftChars="12" w:firstLine="413" w:firstLineChars="197"/>
        <w:outlineLvl w:val="9"/>
        <w:rPr>
          <w:rFonts w:hint="eastAsia" w:ascii="宋体" w:hAnsi="宋体" w:cs="宋体"/>
          <w:color w:val="auto"/>
          <w:sz w:val="21"/>
          <w:szCs w:val="21"/>
          <w:highlight w:val="none"/>
        </w:rPr>
      </w:pPr>
      <w:r>
        <w:rPr>
          <w:rFonts w:hint="eastAsia" w:ascii="宋体" w:hAnsi="宋体" w:cs="宋体"/>
          <w:color w:val="auto"/>
          <w:sz w:val="21"/>
          <w:szCs w:val="21"/>
          <w:highlight w:val="none"/>
        </w:rPr>
        <w:t>请求：</w:t>
      </w:r>
      <w:r>
        <w:rPr>
          <w:rFonts w:hint="eastAsia" w:ascii="宋体" w:hAnsi="宋体" w:cs="宋体"/>
          <w:bCs/>
          <w:color w:val="auto"/>
          <w:sz w:val="21"/>
          <w:szCs w:val="20"/>
          <w:highlight w:val="none"/>
          <w:u w:val="single"/>
        </w:rPr>
        <w:t xml:space="preserve">                                                                                 </w:t>
      </w:r>
    </w:p>
    <w:p w14:paraId="1EDE2F78">
      <w:pPr>
        <w:spacing w:line="400" w:lineRule="exact"/>
        <w:ind w:left="25" w:leftChars="12" w:firstLine="308" w:firstLineChars="147"/>
        <w:outlineLvl w:val="9"/>
        <w:rPr>
          <w:rFonts w:hint="eastAsia" w:ascii="宋体" w:hAnsi="宋体" w:cs="宋体"/>
          <w:color w:val="auto"/>
          <w:sz w:val="21"/>
          <w:szCs w:val="21"/>
          <w:highlight w:val="none"/>
        </w:rPr>
      </w:pPr>
    </w:p>
    <w:p w14:paraId="5E5FA431">
      <w:pPr>
        <w:spacing w:line="400" w:lineRule="exact"/>
        <w:ind w:left="25" w:leftChars="12" w:firstLine="413" w:firstLineChars="197"/>
        <w:outlineLvl w:val="9"/>
        <w:rPr>
          <w:rFonts w:hint="eastAsia" w:ascii="宋体" w:hAnsi="宋体" w:cs="宋体"/>
          <w:color w:val="auto"/>
          <w:sz w:val="21"/>
          <w:szCs w:val="21"/>
          <w:highlight w:val="none"/>
        </w:rPr>
      </w:pPr>
      <w:r>
        <w:rPr>
          <w:rFonts w:hint="eastAsia" w:ascii="宋体" w:hAnsi="宋体" w:cs="宋体"/>
          <w:color w:val="auto"/>
          <w:sz w:val="21"/>
          <w:szCs w:val="21"/>
          <w:highlight w:val="none"/>
        </w:rPr>
        <w:t>签字（签章）：                                       公章：</w:t>
      </w:r>
    </w:p>
    <w:p w14:paraId="7673D9EE">
      <w:pPr>
        <w:spacing w:line="400" w:lineRule="exact"/>
        <w:ind w:left="25" w:leftChars="12" w:firstLine="308" w:firstLineChars="147"/>
        <w:outlineLvl w:val="9"/>
        <w:rPr>
          <w:rFonts w:hint="eastAsia" w:ascii="宋体" w:hAnsi="宋体" w:cs="宋体"/>
          <w:color w:val="auto"/>
          <w:sz w:val="21"/>
          <w:szCs w:val="21"/>
          <w:highlight w:val="none"/>
        </w:rPr>
      </w:pPr>
    </w:p>
    <w:p w14:paraId="147978D4">
      <w:pPr>
        <w:spacing w:line="400" w:lineRule="exact"/>
        <w:ind w:left="25" w:leftChars="12" w:firstLine="413" w:firstLineChars="197"/>
        <w:outlineLvl w:val="9"/>
        <w:rPr>
          <w:rFonts w:hint="eastAsia" w:ascii="宋体" w:hAnsi="宋体" w:cs="宋体"/>
          <w:color w:val="auto"/>
          <w:sz w:val="21"/>
          <w:szCs w:val="21"/>
          <w:highlight w:val="none"/>
        </w:rPr>
      </w:pPr>
      <w:r>
        <w:rPr>
          <w:rFonts w:hint="eastAsia" w:ascii="宋体" w:hAnsi="宋体" w:cs="宋体"/>
          <w:color w:val="auto"/>
          <w:sz w:val="21"/>
          <w:szCs w:val="21"/>
          <w:highlight w:val="none"/>
        </w:rPr>
        <w:t>日期：</w:t>
      </w:r>
    </w:p>
    <w:p w14:paraId="6F19D8C6">
      <w:pPr>
        <w:spacing w:line="360" w:lineRule="exact"/>
        <w:ind w:left="25" w:leftChars="12" w:firstLine="413" w:firstLineChars="197"/>
        <w:outlineLvl w:val="9"/>
        <w:rPr>
          <w:rFonts w:hint="eastAsia" w:ascii="宋体" w:hAnsi="宋体" w:cs="宋体"/>
          <w:color w:val="auto"/>
          <w:sz w:val="21"/>
          <w:szCs w:val="21"/>
          <w:highlight w:val="none"/>
        </w:rPr>
      </w:pPr>
      <w:r>
        <w:rPr>
          <w:rFonts w:hint="eastAsia" w:ascii="宋体" w:hAnsi="宋体" w:cs="宋体"/>
          <w:bCs/>
          <w:color w:val="auto"/>
          <w:sz w:val="21"/>
          <w:szCs w:val="20"/>
          <w:highlight w:val="none"/>
        </w:rPr>
        <w:t xml:space="preserve">                                                                                 </w:t>
      </w:r>
    </w:p>
    <w:p w14:paraId="24CF291F">
      <w:pPr>
        <w:snapToGrid w:val="0"/>
        <w:spacing w:line="340" w:lineRule="exact"/>
        <w:ind w:firstLine="0" w:firstLineChars="0"/>
        <w:outlineLvl w:val="9"/>
        <w:rPr>
          <w:rFonts w:hint="eastAsia" w:ascii="宋体" w:hAnsi="宋体" w:cs="宋体"/>
          <w:b/>
          <w:color w:val="auto"/>
          <w:sz w:val="21"/>
          <w:szCs w:val="21"/>
          <w:highlight w:val="none"/>
        </w:rPr>
      </w:pPr>
    </w:p>
    <w:p w14:paraId="0CE77866">
      <w:pPr>
        <w:spacing w:line="340" w:lineRule="exact"/>
        <w:ind w:left="25" w:leftChars="12" w:firstLine="310" w:firstLineChars="147"/>
        <w:outlineLvl w:val="9"/>
        <w:rPr>
          <w:rFonts w:hint="eastAsia" w:ascii="宋体" w:hAnsi="宋体" w:cs="宋体"/>
          <w:b/>
          <w:color w:val="auto"/>
          <w:sz w:val="21"/>
          <w:szCs w:val="21"/>
          <w:highlight w:val="none"/>
        </w:rPr>
      </w:pPr>
      <w:r>
        <w:rPr>
          <w:rFonts w:hint="eastAsia" w:ascii="宋体" w:hAnsi="宋体" w:cs="宋体"/>
          <w:b/>
          <w:color w:val="auto"/>
          <w:sz w:val="21"/>
          <w:szCs w:val="21"/>
          <w:highlight w:val="none"/>
        </w:rPr>
        <w:t>说明：</w:t>
      </w:r>
    </w:p>
    <w:p w14:paraId="7C26FE62">
      <w:pPr>
        <w:spacing w:line="340" w:lineRule="exact"/>
        <w:ind w:left="25" w:leftChars="12" w:firstLine="310" w:firstLineChars="147"/>
        <w:outlineLvl w:val="9"/>
        <w:rPr>
          <w:rFonts w:hint="eastAsia" w:ascii="宋体" w:hAnsi="宋体" w:cs="宋体"/>
          <w:b/>
          <w:color w:val="auto"/>
          <w:sz w:val="21"/>
          <w:szCs w:val="21"/>
          <w:highlight w:val="none"/>
        </w:rPr>
      </w:pPr>
      <w:r>
        <w:rPr>
          <w:rFonts w:hint="eastAsia" w:ascii="宋体" w:hAnsi="宋体" w:cs="宋体"/>
          <w:b/>
          <w:color w:val="auto"/>
          <w:sz w:val="21"/>
          <w:szCs w:val="21"/>
          <w:highlight w:val="none"/>
        </w:rPr>
        <w:t>1.投诉人提起投诉时，应当提交投诉书和必要的证明材料，并按照被投诉人和与投诉事项有关的供应商数量提供投诉书副本。</w:t>
      </w:r>
    </w:p>
    <w:p w14:paraId="04641ED4">
      <w:pPr>
        <w:spacing w:line="340" w:lineRule="exact"/>
        <w:ind w:left="25" w:leftChars="12" w:firstLine="310" w:firstLineChars="147"/>
        <w:outlineLvl w:val="9"/>
        <w:rPr>
          <w:rFonts w:hint="eastAsia" w:ascii="宋体" w:hAnsi="宋体" w:cs="宋体"/>
          <w:b/>
          <w:color w:val="auto"/>
          <w:sz w:val="21"/>
          <w:szCs w:val="21"/>
          <w:highlight w:val="none"/>
        </w:rPr>
      </w:pPr>
      <w:r>
        <w:rPr>
          <w:rFonts w:hint="eastAsia" w:ascii="宋体" w:hAnsi="宋体" w:cs="宋体"/>
          <w:b/>
          <w:color w:val="auto"/>
          <w:sz w:val="21"/>
          <w:szCs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261EAE28">
      <w:pPr>
        <w:spacing w:line="340" w:lineRule="exact"/>
        <w:ind w:left="25" w:leftChars="12" w:firstLine="310" w:firstLineChars="147"/>
        <w:outlineLvl w:val="9"/>
        <w:rPr>
          <w:rFonts w:hint="eastAsia" w:ascii="宋体" w:hAnsi="宋体" w:cs="宋体"/>
          <w:b/>
          <w:color w:val="auto"/>
          <w:sz w:val="21"/>
          <w:szCs w:val="21"/>
          <w:highlight w:val="none"/>
        </w:rPr>
      </w:pPr>
      <w:r>
        <w:rPr>
          <w:rFonts w:hint="eastAsia" w:ascii="宋体" w:hAnsi="宋体" w:cs="宋体"/>
          <w:b/>
          <w:color w:val="auto"/>
          <w:sz w:val="21"/>
          <w:szCs w:val="21"/>
          <w:highlight w:val="none"/>
        </w:rPr>
        <w:t>3.投诉书应简要列明质疑事项，质疑函、质疑答复等作为附件材料提供。</w:t>
      </w:r>
    </w:p>
    <w:p w14:paraId="467D8E1C">
      <w:pPr>
        <w:spacing w:line="340" w:lineRule="exact"/>
        <w:ind w:left="25" w:leftChars="12" w:firstLine="310" w:firstLineChars="147"/>
        <w:outlineLvl w:val="9"/>
        <w:rPr>
          <w:rFonts w:hint="eastAsia" w:ascii="宋体" w:hAnsi="宋体" w:cs="宋体"/>
          <w:b/>
          <w:color w:val="auto"/>
          <w:sz w:val="21"/>
          <w:szCs w:val="21"/>
          <w:highlight w:val="none"/>
        </w:rPr>
      </w:pPr>
      <w:r>
        <w:rPr>
          <w:rFonts w:hint="eastAsia" w:ascii="宋体" w:hAnsi="宋体" w:cs="宋体"/>
          <w:b/>
          <w:color w:val="auto"/>
          <w:sz w:val="21"/>
          <w:szCs w:val="21"/>
          <w:highlight w:val="none"/>
        </w:rPr>
        <w:t>4.如本项目划分分标的，应注明所投诉的分标。投诉书的投诉事项应具体、明确，并有必要的事实依据和法律依据。</w:t>
      </w:r>
    </w:p>
    <w:p w14:paraId="06E0077C">
      <w:pPr>
        <w:spacing w:line="340" w:lineRule="exact"/>
        <w:ind w:left="25" w:leftChars="12" w:firstLine="310" w:firstLineChars="147"/>
        <w:outlineLvl w:val="9"/>
        <w:rPr>
          <w:rFonts w:hint="eastAsia" w:ascii="宋体" w:hAnsi="宋体" w:cs="宋体"/>
          <w:b/>
          <w:color w:val="auto"/>
          <w:sz w:val="21"/>
          <w:szCs w:val="21"/>
          <w:highlight w:val="none"/>
        </w:rPr>
      </w:pPr>
      <w:r>
        <w:rPr>
          <w:rFonts w:hint="eastAsia" w:ascii="宋体" w:hAnsi="宋体" w:cs="宋体"/>
          <w:b/>
          <w:color w:val="auto"/>
          <w:sz w:val="21"/>
          <w:szCs w:val="21"/>
          <w:highlight w:val="none"/>
        </w:rPr>
        <w:t>5.投诉书的投诉请求应与投诉事项相关。</w:t>
      </w:r>
    </w:p>
    <w:p w14:paraId="0F30A021">
      <w:pPr>
        <w:spacing w:line="340" w:lineRule="exact"/>
        <w:ind w:left="25" w:leftChars="12" w:firstLine="310" w:firstLineChars="147"/>
        <w:outlineLvl w:val="9"/>
        <w:rPr>
          <w:rFonts w:hint="eastAsia" w:ascii="宋体" w:hAnsi="宋体" w:cs="宋体"/>
          <w:b/>
          <w:color w:val="auto"/>
          <w:sz w:val="21"/>
          <w:szCs w:val="21"/>
          <w:highlight w:val="none"/>
        </w:rPr>
      </w:pPr>
      <w:r>
        <w:rPr>
          <w:rFonts w:hint="eastAsia" w:ascii="宋体" w:hAnsi="宋体" w:cs="宋体"/>
          <w:b/>
          <w:color w:val="auto"/>
          <w:sz w:val="21"/>
          <w:szCs w:val="21"/>
          <w:highlight w:val="none"/>
        </w:rPr>
        <w:t>6.投诉人为自然人的，投诉书应由本人签字；投诉人为法人或者其他组织的，投诉书应由法定代表人、主要负责人，或者其授权代表签字或者盖章，并加盖公章。</w:t>
      </w:r>
    </w:p>
    <w:p w14:paraId="1113C58F">
      <w:pPr>
        <w:spacing w:line="340" w:lineRule="exact"/>
        <w:ind w:left="25" w:leftChars="12" w:firstLine="310" w:firstLineChars="147"/>
        <w:outlineLvl w:val="9"/>
        <w:rPr>
          <w:rFonts w:hint="eastAsia" w:ascii="宋体" w:hAnsi="宋体" w:cs="宋体"/>
          <w:b/>
          <w:color w:val="auto"/>
          <w:kern w:val="0"/>
          <w:sz w:val="21"/>
          <w:szCs w:val="21"/>
          <w:highlight w:val="none"/>
        </w:rPr>
      </w:pPr>
    </w:p>
    <w:p w14:paraId="768ECED4">
      <w:pPr>
        <w:spacing w:line="340" w:lineRule="exact"/>
        <w:ind w:left="25" w:leftChars="12" w:firstLine="310" w:firstLineChars="147"/>
        <w:outlineLvl w:val="9"/>
        <w:rPr>
          <w:rFonts w:hint="eastAsia" w:ascii="宋体" w:hAnsi="宋体"/>
          <w:b/>
          <w:color w:val="auto"/>
          <w:kern w:val="0"/>
          <w:sz w:val="21"/>
          <w:szCs w:val="21"/>
          <w:highlight w:val="none"/>
        </w:rPr>
      </w:pPr>
    </w:p>
    <w:p w14:paraId="4375E5B2">
      <w:pPr>
        <w:tabs>
          <w:tab w:val="center" w:pos="4410"/>
          <w:tab w:val="left" w:pos="6735"/>
        </w:tabs>
        <w:spacing w:line="480" w:lineRule="auto"/>
        <w:ind w:firstLine="0" w:firstLineChars="0"/>
        <w:jc w:val="center"/>
        <w:outlineLvl w:val="9"/>
        <w:rPr>
          <w:rFonts w:hint="eastAsia" w:ascii="宋体" w:hAnsi="宋体"/>
          <w:b/>
          <w:color w:val="auto"/>
          <w:kern w:val="0"/>
          <w:sz w:val="32"/>
          <w:szCs w:val="32"/>
          <w:highlight w:val="none"/>
        </w:rPr>
      </w:pPr>
    </w:p>
    <w:p w14:paraId="5EE250D8">
      <w:pPr>
        <w:tabs>
          <w:tab w:val="center" w:pos="4410"/>
          <w:tab w:val="left" w:pos="6735"/>
        </w:tabs>
        <w:spacing w:line="480" w:lineRule="auto"/>
        <w:ind w:firstLine="0" w:firstLineChars="0"/>
        <w:jc w:val="center"/>
        <w:outlineLvl w:val="9"/>
        <w:rPr>
          <w:rFonts w:hint="eastAsia" w:ascii="宋体" w:hAnsi="宋体"/>
          <w:b/>
          <w:color w:val="auto"/>
          <w:kern w:val="0"/>
          <w:sz w:val="32"/>
          <w:szCs w:val="32"/>
          <w:highlight w:val="none"/>
        </w:rPr>
      </w:pPr>
    </w:p>
    <w:p w14:paraId="4D29726E">
      <w:pPr>
        <w:tabs>
          <w:tab w:val="center" w:pos="4410"/>
          <w:tab w:val="left" w:pos="6735"/>
        </w:tabs>
        <w:spacing w:line="480" w:lineRule="auto"/>
        <w:ind w:firstLine="0" w:firstLineChars="0"/>
        <w:jc w:val="center"/>
        <w:outlineLvl w:val="9"/>
        <w:rPr>
          <w:rFonts w:hint="eastAsia" w:ascii="宋体" w:hAnsi="宋体"/>
          <w:b/>
          <w:color w:val="auto"/>
          <w:kern w:val="0"/>
          <w:sz w:val="32"/>
          <w:szCs w:val="32"/>
          <w:highlight w:val="none"/>
        </w:rPr>
      </w:pPr>
    </w:p>
    <w:p w14:paraId="4F6E1087">
      <w:pPr>
        <w:snapToGrid w:val="0"/>
        <w:spacing w:line="340" w:lineRule="exact"/>
        <w:ind w:firstLine="0" w:firstLineChars="0"/>
        <w:outlineLvl w:val="9"/>
        <w:rPr>
          <w:rFonts w:hint="eastAsia" w:ascii="宋体" w:hAnsi="宋体" w:cs="宋体"/>
          <w:b/>
          <w:color w:val="auto"/>
          <w:szCs w:val="24"/>
          <w:highlight w:val="none"/>
          <w:lang w:eastAsia="zh-CN"/>
        </w:rPr>
      </w:pPr>
    </w:p>
    <w:p w14:paraId="40C28521">
      <w:pPr>
        <w:snapToGrid w:val="0"/>
        <w:spacing w:line="340" w:lineRule="exact"/>
        <w:ind w:firstLine="0" w:firstLineChars="0"/>
        <w:outlineLvl w:val="9"/>
        <w:rPr>
          <w:rFonts w:hint="eastAsia" w:ascii="宋体" w:hAnsi="宋体" w:cs="宋体"/>
          <w:b/>
          <w:color w:val="auto"/>
          <w:szCs w:val="24"/>
          <w:highlight w:val="none"/>
          <w:lang w:eastAsia="zh-CN"/>
        </w:rPr>
      </w:pPr>
    </w:p>
    <w:p w14:paraId="23D445C3">
      <w:pPr>
        <w:snapToGrid w:val="0"/>
        <w:spacing w:line="340" w:lineRule="exact"/>
        <w:ind w:firstLine="0" w:firstLineChars="0"/>
        <w:outlineLvl w:val="9"/>
        <w:rPr>
          <w:rFonts w:hint="eastAsia" w:ascii="宋体" w:hAnsi="宋体" w:cs="宋体"/>
          <w:b/>
          <w:color w:val="auto"/>
          <w:szCs w:val="24"/>
          <w:highlight w:val="none"/>
          <w:lang w:eastAsia="zh-CN"/>
        </w:rPr>
      </w:pPr>
    </w:p>
    <w:p w14:paraId="1416C4A4">
      <w:pPr>
        <w:snapToGrid w:val="0"/>
        <w:spacing w:line="340" w:lineRule="exact"/>
        <w:ind w:firstLine="0" w:firstLineChars="0"/>
        <w:outlineLvl w:val="9"/>
        <w:rPr>
          <w:rFonts w:hint="eastAsia" w:ascii="宋体" w:hAnsi="宋体" w:cs="宋体"/>
          <w:b/>
          <w:color w:val="auto"/>
          <w:szCs w:val="24"/>
          <w:highlight w:val="none"/>
          <w:lang w:eastAsia="zh-CN"/>
        </w:rPr>
      </w:pPr>
    </w:p>
    <w:p w14:paraId="02A6FA6C">
      <w:pPr>
        <w:snapToGrid w:val="0"/>
        <w:spacing w:line="340" w:lineRule="exact"/>
        <w:ind w:firstLine="0" w:firstLineChars="0"/>
        <w:outlineLvl w:val="9"/>
        <w:rPr>
          <w:rFonts w:hint="eastAsia" w:ascii="宋体" w:hAnsi="宋体" w:cs="宋体"/>
          <w:b/>
          <w:color w:val="auto"/>
          <w:szCs w:val="24"/>
          <w:highlight w:val="none"/>
          <w:lang w:eastAsia="zh-CN"/>
        </w:rPr>
      </w:pPr>
    </w:p>
    <w:p w14:paraId="7BCCB334">
      <w:pPr>
        <w:pStyle w:val="16"/>
        <w:rPr>
          <w:rFonts w:hint="eastAsia" w:ascii="宋体" w:hAnsi="宋体" w:cs="宋体"/>
          <w:b/>
          <w:color w:val="auto"/>
          <w:szCs w:val="24"/>
          <w:highlight w:val="none"/>
          <w:lang w:eastAsia="zh-CN"/>
        </w:rPr>
      </w:pPr>
    </w:p>
    <w:p w14:paraId="7B785D3E">
      <w:pPr>
        <w:pStyle w:val="16"/>
        <w:rPr>
          <w:rFonts w:hint="eastAsia" w:ascii="宋体" w:hAnsi="宋体" w:cs="宋体"/>
          <w:b/>
          <w:color w:val="auto"/>
          <w:szCs w:val="24"/>
          <w:highlight w:val="none"/>
          <w:lang w:eastAsia="zh-CN"/>
        </w:rPr>
      </w:pPr>
    </w:p>
    <w:p w14:paraId="06C46107">
      <w:pPr>
        <w:pStyle w:val="16"/>
        <w:rPr>
          <w:rFonts w:hint="eastAsia" w:ascii="宋体" w:hAnsi="宋体" w:cs="宋体"/>
          <w:b/>
          <w:color w:val="auto"/>
          <w:szCs w:val="24"/>
          <w:highlight w:val="none"/>
          <w:lang w:eastAsia="zh-CN"/>
        </w:rPr>
      </w:pPr>
    </w:p>
    <w:p w14:paraId="5A4D0262">
      <w:pPr>
        <w:pStyle w:val="16"/>
        <w:rPr>
          <w:rFonts w:hint="eastAsia" w:ascii="宋体" w:hAnsi="宋体" w:cs="宋体"/>
          <w:b/>
          <w:color w:val="auto"/>
          <w:szCs w:val="24"/>
          <w:highlight w:val="none"/>
          <w:lang w:eastAsia="zh-CN"/>
        </w:rPr>
      </w:pPr>
    </w:p>
    <w:p w14:paraId="057E643F">
      <w:pPr>
        <w:pStyle w:val="16"/>
        <w:rPr>
          <w:rFonts w:hint="eastAsia" w:ascii="宋体" w:hAnsi="宋体" w:cs="宋体"/>
          <w:b/>
          <w:color w:val="auto"/>
          <w:szCs w:val="24"/>
          <w:highlight w:val="none"/>
          <w:lang w:eastAsia="zh-CN"/>
        </w:rPr>
      </w:pPr>
    </w:p>
    <w:p w14:paraId="166AAB59">
      <w:pPr>
        <w:snapToGrid w:val="0"/>
        <w:spacing w:line="340" w:lineRule="exact"/>
        <w:ind w:firstLine="0" w:firstLineChars="0"/>
        <w:outlineLvl w:val="9"/>
        <w:rPr>
          <w:rFonts w:hint="eastAsia" w:ascii="宋体" w:hAnsi="宋体" w:cs="宋体"/>
          <w:b/>
          <w:color w:val="auto"/>
          <w:szCs w:val="24"/>
          <w:highlight w:val="none"/>
          <w:lang w:eastAsia="zh-CN"/>
        </w:rPr>
      </w:pPr>
    </w:p>
    <w:p w14:paraId="697BA0CF">
      <w:pPr>
        <w:snapToGrid w:val="0"/>
        <w:spacing w:line="340" w:lineRule="exact"/>
        <w:ind w:firstLine="0" w:firstLineChars="0"/>
        <w:outlineLvl w:val="9"/>
        <w:rPr>
          <w:rFonts w:hint="eastAsia" w:ascii="宋体" w:hAnsi="宋体" w:cs="宋体"/>
          <w:b/>
          <w:color w:val="auto"/>
          <w:szCs w:val="24"/>
          <w:highlight w:val="none"/>
        </w:rPr>
      </w:pPr>
    </w:p>
    <w:p w14:paraId="23090CE6">
      <w:pPr>
        <w:snapToGrid w:val="0"/>
        <w:spacing w:line="340" w:lineRule="exact"/>
        <w:ind w:firstLine="0" w:firstLineChars="0"/>
        <w:outlineLvl w:val="9"/>
        <w:rPr>
          <w:rFonts w:hint="eastAsia" w:ascii="宋体" w:hAnsi="宋体" w:cs="宋体"/>
          <w:b/>
          <w:color w:val="auto"/>
          <w:szCs w:val="24"/>
          <w:highlight w:val="none"/>
        </w:rPr>
      </w:pPr>
      <w:r>
        <w:rPr>
          <w:rFonts w:hint="eastAsia" w:ascii="宋体" w:hAnsi="宋体" w:cs="宋体"/>
          <w:b/>
          <w:color w:val="auto"/>
          <w:szCs w:val="24"/>
          <w:highlight w:val="none"/>
        </w:rPr>
        <w:t>附表</w:t>
      </w:r>
      <w:r>
        <w:rPr>
          <w:rFonts w:hint="eastAsia" w:ascii="宋体" w:hAnsi="宋体" w:cs="宋体"/>
          <w:b/>
          <w:color w:val="auto"/>
          <w:szCs w:val="24"/>
          <w:highlight w:val="none"/>
          <w:lang w:val="en-US" w:eastAsia="zh-CN"/>
        </w:rPr>
        <w:t>3</w:t>
      </w:r>
      <w:r>
        <w:rPr>
          <w:rFonts w:hint="eastAsia" w:ascii="宋体" w:hAnsi="宋体" w:cs="宋体"/>
          <w:b/>
          <w:color w:val="auto"/>
          <w:szCs w:val="24"/>
          <w:highlight w:val="none"/>
        </w:rPr>
        <w:t>：</w:t>
      </w:r>
    </w:p>
    <w:p w14:paraId="7F833BDE">
      <w:pPr>
        <w:spacing w:line="360" w:lineRule="exact"/>
        <w:ind w:firstLine="643"/>
        <w:jc w:val="center"/>
        <w:outlineLvl w:val="9"/>
        <w:rPr>
          <w:rFonts w:hint="eastAsia" w:ascii="宋体" w:hAnsi="宋体"/>
          <w:b/>
          <w:color w:val="auto"/>
          <w:sz w:val="32"/>
          <w:szCs w:val="32"/>
          <w:highlight w:val="none"/>
        </w:rPr>
      </w:pPr>
    </w:p>
    <w:p w14:paraId="7B134F91">
      <w:pPr>
        <w:spacing w:line="360" w:lineRule="exact"/>
        <w:ind w:firstLine="480"/>
        <w:jc w:val="center"/>
        <w:outlineLvl w:val="9"/>
        <w:rPr>
          <w:rFonts w:hint="eastAsia" w:ascii="宋体" w:hAnsi="宋体"/>
          <w:b/>
          <w:color w:val="auto"/>
          <w:sz w:val="32"/>
          <w:szCs w:val="32"/>
          <w:highlight w:val="none"/>
        </w:rPr>
      </w:pPr>
      <w:r>
        <w:rPr>
          <w:color w:val="auto"/>
          <w:highlight w:val="none"/>
        </w:rPr>
        <w:drawing>
          <wp:anchor distT="0" distB="0" distL="114300" distR="114300" simplePos="0" relativeHeight="251661312" behindDoc="0" locked="0" layoutInCell="1" allowOverlap="1">
            <wp:simplePos x="0" y="0"/>
            <wp:positionH relativeFrom="column">
              <wp:posOffset>252730</wp:posOffset>
            </wp:positionH>
            <wp:positionV relativeFrom="paragraph">
              <wp:posOffset>1905</wp:posOffset>
            </wp:positionV>
            <wp:extent cx="5904230" cy="6205855"/>
            <wp:effectExtent l="0" t="0" r="1270" b="4445"/>
            <wp:wrapSquare wrapText="bothSides"/>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4"/>
                    <a:stretch>
                      <a:fillRect/>
                    </a:stretch>
                  </pic:blipFill>
                  <pic:spPr>
                    <a:xfrm>
                      <a:off x="0" y="0"/>
                      <a:ext cx="5904230" cy="6205855"/>
                    </a:xfrm>
                    <a:prstGeom prst="rect">
                      <a:avLst/>
                    </a:prstGeom>
                    <a:noFill/>
                    <a:ln>
                      <a:noFill/>
                    </a:ln>
                  </pic:spPr>
                </pic:pic>
              </a:graphicData>
            </a:graphic>
          </wp:anchor>
        </w:drawing>
      </w:r>
    </w:p>
    <w:p w14:paraId="774B67B9">
      <w:pPr>
        <w:tabs>
          <w:tab w:val="left" w:pos="567"/>
        </w:tabs>
        <w:spacing w:line="360" w:lineRule="exact"/>
        <w:jc w:val="center"/>
        <w:outlineLvl w:val="0"/>
        <w:rPr>
          <w:rFonts w:hint="eastAsia" w:ascii="宋体" w:hAnsi="宋体" w:eastAsia="宋体" w:cs="宋体"/>
          <w:b/>
          <w:color w:val="auto"/>
          <w:sz w:val="32"/>
          <w:szCs w:val="32"/>
          <w:highlight w:val="none"/>
          <w:shd w:val="clear" w:color="auto" w:fill="auto"/>
        </w:rPr>
      </w:pPr>
      <w:r>
        <w:rPr>
          <w:rFonts w:hint="eastAsia" w:ascii="宋体" w:hAnsi="宋体" w:eastAsia="宋体" w:cs="宋体"/>
          <w:b/>
          <w:bCs/>
          <w:color w:val="auto"/>
          <w:sz w:val="32"/>
          <w:szCs w:val="32"/>
          <w:highlight w:val="none"/>
          <w:shd w:val="clear" w:color="auto" w:fill="auto"/>
        </w:rPr>
        <w:br w:type="page"/>
      </w:r>
      <w:bookmarkStart w:id="236" w:name="_Toc2273"/>
      <w:r>
        <w:rPr>
          <w:rFonts w:hint="eastAsia" w:ascii="宋体" w:hAnsi="宋体" w:eastAsia="宋体" w:cs="宋体"/>
          <w:b/>
          <w:bCs/>
          <w:color w:val="auto"/>
          <w:sz w:val="32"/>
          <w:szCs w:val="32"/>
          <w:highlight w:val="none"/>
          <w:shd w:val="clear" w:color="auto" w:fill="auto"/>
        </w:rPr>
        <w:t>第三章  工程量清单（</w:t>
      </w:r>
      <w:r>
        <w:rPr>
          <w:rFonts w:hint="eastAsia" w:ascii="宋体" w:hAnsi="宋体" w:eastAsia="宋体" w:cs="宋体"/>
          <w:b/>
          <w:color w:val="auto"/>
          <w:sz w:val="32"/>
          <w:szCs w:val="32"/>
          <w:highlight w:val="none"/>
          <w:shd w:val="clear" w:color="auto" w:fill="auto"/>
        </w:rPr>
        <w:t>另册发放）</w:t>
      </w:r>
      <w:bookmarkEnd w:id="236"/>
    </w:p>
    <w:p w14:paraId="3DBBFA64">
      <w:pPr>
        <w:pStyle w:val="79"/>
        <w:ind w:firstLine="420"/>
        <w:outlineLvl w:val="9"/>
        <w:rPr>
          <w:rFonts w:hint="eastAsia" w:ascii="宋体" w:hAnsi="宋体" w:eastAsia="宋体" w:cs="宋体"/>
          <w:color w:val="auto"/>
          <w:highlight w:val="none"/>
        </w:rPr>
      </w:pPr>
    </w:p>
    <w:p w14:paraId="6838891B">
      <w:pPr>
        <w:pStyle w:val="3"/>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color w:val="auto"/>
          <w:spacing w:val="-3"/>
          <w:kern w:val="2"/>
          <w:sz w:val="21"/>
          <w:szCs w:val="21"/>
          <w:lang w:val="en-US" w:eastAsia="zh-CN" w:bidi="ar-SA"/>
        </w:rPr>
      </w:pPr>
      <w:bookmarkStart w:id="237" w:name="_Toc23613"/>
      <w:r>
        <w:rPr>
          <w:rFonts w:hint="eastAsia" w:asciiTheme="minorEastAsia" w:hAnsiTheme="minorEastAsia" w:eastAsiaTheme="minorEastAsia" w:cstheme="minorEastAsia"/>
          <w:b/>
          <w:bCs/>
          <w:color w:val="auto"/>
          <w:spacing w:val="-3"/>
          <w:kern w:val="2"/>
          <w:sz w:val="21"/>
          <w:szCs w:val="21"/>
          <w:lang w:val="en-US" w:eastAsia="zh-CN" w:bidi="ar-SA"/>
        </w:rPr>
        <w:t>（一）工程量清单编制说明</w:t>
      </w:r>
      <w:bookmarkEnd w:id="237"/>
    </w:p>
    <w:p w14:paraId="33C990E3">
      <w:pPr>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cs="宋体"/>
          <w:color w:val="auto"/>
          <w:highlight w:val="none"/>
          <w:shd w:val="clear" w:color="auto" w:fill="auto"/>
          <w:lang w:eastAsia="zh-CN"/>
        </w:rPr>
      </w:pPr>
      <w:r>
        <w:rPr>
          <w:rFonts w:hint="eastAsia" w:ascii="宋体" w:hAnsi="宋体" w:cs="宋体"/>
          <w:b/>
          <w:bCs/>
          <w:color w:val="auto"/>
          <w:highlight w:val="none"/>
          <w:shd w:val="clear" w:color="auto" w:fill="auto"/>
          <w:lang w:val="en-US" w:eastAsia="zh-CN"/>
        </w:rPr>
        <w:t>一</w:t>
      </w:r>
      <w:r>
        <w:rPr>
          <w:rFonts w:hint="eastAsia" w:ascii="宋体" w:hAnsi="宋体" w:eastAsia="宋体" w:cs="宋体"/>
          <w:b/>
          <w:bCs/>
          <w:color w:val="auto"/>
          <w:highlight w:val="none"/>
          <w:shd w:val="clear" w:color="auto" w:fill="auto"/>
        </w:rPr>
        <w:t>、工程概况</w:t>
      </w:r>
      <w:r>
        <w:rPr>
          <w:rFonts w:hint="eastAsia" w:ascii="宋体" w:hAnsi="宋体" w:cs="宋体"/>
          <w:color w:val="auto"/>
          <w:highlight w:val="none"/>
          <w:shd w:val="clear" w:color="auto" w:fill="auto"/>
          <w:lang w:eastAsia="zh-CN"/>
        </w:rPr>
        <w:t>：本项目工程名称为桂林市临桂区两江镇培塘村委、大洲村委、保全村委等美丽宜居村庄整治提升以工代赈项目，项目地址位于临桂区两江镇，本项目主要内容：原有土渠改三面光灌溉渠16819m，其中保全村委6795m、城联村委8029m、粟村村委1995m；原有土渠修缮为两面光挡墙1430m，其中大洲村委900m、保全村委290m、粟村村委240m；原有土沟改建砖砌排污沟3605m，其中培塘村委1720m、保全村委432m、宿棠村委360m、粟村村委1093m；大洲村委在原有土渠内改建箱涵2个；大洲村委原有土渠清淤445m等。</w:t>
      </w:r>
    </w:p>
    <w:p w14:paraId="643024CE">
      <w:pPr>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cs="宋体"/>
          <w:b/>
          <w:bCs/>
          <w:color w:val="auto"/>
          <w:highlight w:val="none"/>
          <w:shd w:val="clear" w:color="auto" w:fill="auto"/>
          <w:lang w:val="en-US" w:eastAsia="zh-CN"/>
        </w:rPr>
      </w:pPr>
      <w:r>
        <w:rPr>
          <w:rFonts w:hint="eastAsia" w:ascii="宋体" w:hAnsi="宋体" w:cs="宋体"/>
          <w:b/>
          <w:bCs/>
          <w:color w:val="auto"/>
          <w:highlight w:val="none"/>
          <w:shd w:val="clear" w:color="auto" w:fill="auto"/>
          <w:lang w:val="en-US" w:eastAsia="zh-CN"/>
        </w:rPr>
        <w:t>二、编制依据</w:t>
      </w:r>
    </w:p>
    <w:p w14:paraId="057769E2">
      <w:pPr>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cs="宋体"/>
          <w:color w:val="auto"/>
          <w:highlight w:val="none"/>
          <w:shd w:val="clear" w:color="auto" w:fill="auto"/>
          <w:lang w:val="en-US" w:eastAsia="zh-CN"/>
        </w:rPr>
      </w:pPr>
      <w:r>
        <w:rPr>
          <w:rFonts w:hint="default" w:ascii="宋体" w:hAnsi="宋体" w:cs="宋体"/>
          <w:color w:val="auto"/>
          <w:highlight w:val="none"/>
          <w:shd w:val="clear" w:color="auto" w:fill="auto"/>
          <w:lang w:val="en-US" w:eastAsia="zh-CN"/>
        </w:rPr>
        <w:t>1、《水利工程工程量清单计价规范》GB 50501-2007。</w:t>
      </w:r>
    </w:p>
    <w:p w14:paraId="36624662">
      <w:pPr>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cs="宋体"/>
          <w:color w:val="auto"/>
          <w:highlight w:val="none"/>
          <w:shd w:val="clear" w:color="auto" w:fill="auto"/>
          <w:lang w:val="en-US" w:eastAsia="zh-CN"/>
        </w:rPr>
      </w:pPr>
      <w:r>
        <w:rPr>
          <w:rFonts w:hint="default" w:ascii="宋体" w:hAnsi="宋体" w:cs="宋体"/>
          <w:color w:val="auto"/>
          <w:highlight w:val="none"/>
          <w:shd w:val="clear" w:color="auto" w:fill="auto"/>
          <w:lang w:val="en-US" w:eastAsia="zh-CN"/>
        </w:rPr>
        <w:t xml:space="preserve"> 2、桂水基[2007]38号《广西壮族自治区水利水电工程设计概(预)算编制规定》、《广西壮族自治区水利水电建筑工程预算定额》、《广西壮族自治区水利水电设备安装工程预算定额》、《广西壮族自治区水利水电工程机械台时费定额》。</w:t>
      </w:r>
    </w:p>
    <w:p w14:paraId="66722FC7">
      <w:pPr>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cs="宋体"/>
          <w:color w:val="auto"/>
          <w:highlight w:val="none"/>
          <w:shd w:val="clear" w:color="auto" w:fill="auto"/>
          <w:lang w:val="en-US" w:eastAsia="zh-CN"/>
        </w:rPr>
      </w:pPr>
      <w:r>
        <w:rPr>
          <w:rFonts w:hint="default" w:ascii="宋体" w:hAnsi="宋体" w:cs="宋体"/>
          <w:color w:val="auto"/>
          <w:highlight w:val="none"/>
          <w:shd w:val="clear" w:color="auto" w:fill="auto"/>
          <w:lang w:val="en-US" w:eastAsia="zh-CN"/>
        </w:rPr>
        <w:t xml:space="preserve">  3、桂水基[2014]41号《广西壮族自治区水利水电工程概（预）算补充定额》。</w:t>
      </w:r>
    </w:p>
    <w:p w14:paraId="4FC88F31">
      <w:pPr>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cs="宋体"/>
          <w:color w:val="auto"/>
          <w:highlight w:val="none"/>
          <w:shd w:val="clear" w:color="auto" w:fill="auto"/>
          <w:lang w:val="en-US" w:eastAsia="zh-CN"/>
        </w:rPr>
      </w:pPr>
      <w:r>
        <w:rPr>
          <w:rFonts w:hint="default" w:ascii="宋体" w:hAnsi="宋体" w:cs="宋体"/>
          <w:color w:val="auto"/>
          <w:highlight w:val="none"/>
          <w:shd w:val="clear" w:color="auto" w:fill="auto"/>
          <w:lang w:val="en-US" w:eastAsia="zh-CN"/>
        </w:rPr>
        <w:t xml:space="preserve">  4、桂水基[2016]1号《关于调整广西水利水电建设工程定额人工预算单价的通知》。 </w:t>
      </w:r>
    </w:p>
    <w:p w14:paraId="695BC427">
      <w:pPr>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cs="宋体"/>
          <w:color w:val="auto"/>
          <w:highlight w:val="none"/>
          <w:shd w:val="clear" w:color="auto" w:fill="auto"/>
          <w:lang w:val="en-US" w:eastAsia="zh-CN"/>
        </w:rPr>
      </w:pPr>
      <w:r>
        <w:rPr>
          <w:rFonts w:hint="default" w:ascii="宋体" w:hAnsi="宋体" w:cs="宋体"/>
          <w:color w:val="auto"/>
          <w:highlight w:val="none"/>
          <w:shd w:val="clear" w:color="auto" w:fill="auto"/>
          <w:lang w:val="en-US" w:eastAsia="zh-CN"/>
        </w:rPr>
        <w:t xml:space="preserve"> 5、桂水基[2018]11号《自治区水利厅关于调整水利工程增值税税率的通知》。</w:t>
      </w:r>
    </w:p>
    <w:p w14:paraId="356EF4DF">
      <w:pPr>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cs="宋体"/>
          <w:color w:val="auto"/>
          <w:highlight w:val="none"/>
          <w:shd w:val="clear" w:color="auto" w:fill="auto"/>
          <w:lang w:val="en-US" w:eastAsia="zh-CN"/>
        </w:rPr>
      </w:pPr>
      <w:r>
        <w:rPr>
          <w:rFonts w:hint="default" w:ascii="宋体" w:hAnsi="宋体" w:cs="宋体"/>
          <w:color w:val="auto"/>
          <w:highlight w:val="none"/>
          <w:shd w:val="clear" w:color="auto" w:fill="auto"/>
          <w:lang w:val="en-US" w:eastAsia="zh-CN"/>
        </w:rPr>
        <w:t xml:space="preserve">6、水办基〔2016〕31号《水利厅办公室转发水利部办公厅关于印发&lt;水利工程营业税改征增值税计价依据调整办法&gt;的通知》。 </w:t>
      </w:r>
    </w:p>
    <w:p w14:paraId="26657906">
      <w:pPr>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cs="宋体"/>
          <w:color w:val="auto"/>
          <w:highlight w:val="none"/>
          <w:shd w:val="clear" w:color="auto" w:fill="auto"/>
          <w:lang w:val="en-US" w:eastAsia="zh-CN"/>
        </w:rPr>
      </w:pPr>
      <w:r>
        <w:rPr>
          <w:rFonts w:hint="default" w:ascii="宋体" w:hAnsi="宋体" w:cs="宋体"/>
          <w:color w:val="auto"/>
          <w:highlight w:val="none"/>
          <w:shd w:val="clear" w:color="auto" w:fill="auto"/>
          <w:lang w:val="en-US" w:eastAsia="zh-CN"/>
        </w:rPr>
        <w:t>7、桂水建设[2019]4号《自治区水利厅关于调整水利工程增值税计算标准的通知》。</w:t>
      </w:r>
    </w:p>
    <w:p w14:paraId="2EE02DAB">
      <w:pPr>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cs="宋体"/>
          <w:color w:val="auto"/>
          <w:highlight w:val="none"/>
          <w:shd w:val="clear" w:color="auto" w:fill="auto"/>
          <w:lang w:val="en-US" w:eastAsia="zh-CN"/>
        </w:rPr>
      </w:pPr>
      <w:r>
        <w:rPr>
          <w:rFonts w:hint="default" w:ascii="宋体" w:hAnsi="宋体" w:cs="宋体"/>
          <w:color w:val="auto"/>
          <w:highlight w:val="none"/>
          <w:shd w:val="clear" w:color="auto" w:fill="auto"/>
          <w:lang w:val="en-US" w:eastAsia="zh-CN"/>
        </w:rPr>
        <w:t xml:space="preserve">8、桂人社规[2019]9号《广西壮族自治区人力资源和社会保障厅广西壮族自治区财政厅关于印发降低社会保险费率实施方案的通知》。 </w:t>
      </w:r>
    </w:p>
    <w:p w14:paraId="48136886">
      <w:pPr>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cs="宋体"/>
          <w:color w:val="auto"/>
          <w:highlight w:val="none"/>
          <w:shd w:val="clear" w:color="auto" w:fill="auto"/>
          <w:lang w:val="en-US" w:eastAsia="zh-CN"/>
        </w:rPr>
      </w:pPr>
      <w:r>
        <w:rPr>
          <w:rFonts w:hint="default" w:ascii="宋体" w:hAnsi="宋体" w:cs="宋体"/>
          <w:color w:val="auto"/>
          <w:highlight w:val="none"/>
          <w:shd w:val="clear" w:color="auto" w:fill="auto"/>
          <w:lang w:val="en-US" w:eastAsia="zh-CN"/>
        </w:rPr>
        <w:t xml:space="preserve"> 9、桂水建设[2019]7号《广西壮族自治区水利厅关于印发&lt;广西水利水电工程施工招标文件示范文本（2019年版）&gt;的通知》。</w:t>
      </w:r>
    </w:p>
    <w:p w14:paraId="792EED28">
      <w:pPr>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cs="宋体"/>
          <w:color w:val="auto"/>
          <w:highlight w:val="none"/>
          <w:shd w:val="clear" w:color="auto" w:fill="auto"/>
          <w:lang w:val="en-US" w:eastAsia="zh-CN"/>
        </w:rPr>
      </w:pPr>
      <w:r>
        <w:rPr>
          <w:rFonts w:hint="default" w:ascii="宋体" w:hAnsi="宋体" w:cs="宋体"/>
          <w:color w:val="auto"/>
          <w:highlight w:val="none"/>
          <w:shd w:val="clear" w:color="auto" w:fill="auto"/>
          <w:lang w:val="en-US" w:eastAsia="zh-CN"/>
        </w:rPr>
        <w:t xml:space="preserve"> 10、桂水建设[2023]4号《自治区水利厅关于调整水利工程安全文明施工措施费费率的通知》。</w:t>
      </w:r>
    </w:p>
    <w:p w14:paraId="2DB6AA07">
      <w:pPr>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宋体" w:hAnsi="宋体" w:cs="宋体"/>
          <w:color w:val="auto"/>
          <w:highlight w:val="none"/>
          <w:shd w:val="clear" w:color="auto" w:fill="auto"/>
          <w:lang w:val="en-US" w:eastAsia="zh-CN"/>
        </w:rPr>
      </w:pPr>
      <w:r>
        <w:rPr>
          <w:rFonts w:hint="default" w:ascii="宋体" w:hAnsi="宋体" w:cs="宋体"/>
          <w:color w:val="auto"/>
          <w:highlight w:val="none"/>
          <w:shd w:val="clear" w:color="auto" w:fill="auto"/>
          <w:lang w:val="en-US" w:eastAsia="zh-CN"/>
        </w:rPr>
        <w:t xml:space="preserve"> 11、材料价格采用《桂林市建设工程造价信息》2026年第6期临桂区信息价，信息价上没有的参考桂林市信息价，桂林市信息价上没有的材料价按市场询价。</w:t>
      </w:r>
    </w:p>
    <w:p w14:paraId="62DCF8D1">
      <w:pPr>
        <w:pageBreakBefore w:val="0"/>
        <w:widowControl w:val="0"/>
        <w:kinsoku/>
        <w:wordWrap/>
        <w:overflowPunct/>
        <w:topLinePunct w:val="0"/>
        <w:autoSpaceDE/>
        <w:autoSpaceDN/>
        <w:bidi w:val="0"/>
        <w:adjustRightInd/>
        <w:snapToGrid/>
        <w:spacing w:before="1" w:line="360" w:lineRule="auto"/>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pacing w:val="-4"/>
          <w:sz w:val="21"/>
          <w:szCs w:val="21"/>
          <w:lang w:val="en-US" w:eastAsia="zh-CN"/>
        </w:rPr>
        <w:t>三</w:t>
      </w:r>
      <w:r>
        <w:rPr>
          <w:rFonts w:hint="eastAsia" w:asciiTheme="minorEastAsia" w:hAnsiTheme="minorEastAsia" w:eastAsiaTheme="minorEastAsia" w:cstheme="minorEastAsia"/>
          <w:b/>
          <w:bCs/>
          <w:spacing w:val="-4"/>
          <w:sz w:val="21"/>
          <w:szCs w:val="21"/>
        </w:rPr>
        <w:t>、磋商报价说明</w:t>
      </w:r>
    </w:p>
    <w:p w14:paraId="31C5B705">
      <w:pPr>
        <w:keepNext w:val="0"/>
        <w:keepLines w:val="0"/>
        <w:pageBreakBefore w:val="0"/>
        <w:widowControl w:val="0"/>
        <w:kinsoku/>
        <w:wordWrap/>
        <w:overflowPunct/>
        <w:topLinePunct w:val="0"/>
        <w:autoSpaceDE/>
        <w:autoSpaceDN/>
        <w:bidi w:val="0"/>
        <w:adjustRightInd/>
        <w:snapToGrid/>
        <w:spacing w:before="183" w:line="360" w:lineRule="auto"/>
        <w:ind w:left="437"/>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9"/>
          <w:sz w:val="21"/>
          <w:szCs w:val="21"/>
        </w:rPr>
        <w:t>1.工程量清单中的每一子目须填入单价或</w:t>
      </w:r>
      <w:r>
        <w:rPr>
          <w:rFonts w:hint="eastAsia" w:asciiTheme="minorEastAsia" w:hAnsiTheme="minorEastAsia" w:eastAsiaTheme="minorEastAsia" w:cstheme="minorEastAsia"/>
          <w:spacing w:val="8"/>
          <w:sz w:val="21"/>
          <w:szCs w:val="21"/>
        </w:rPr>
        <w:t>价格，且只允许有一个报价。</w:t>
      </w:r>
    </w:p>
    <w:p w14:paraId="6BA5DA7E">
      <w:pPr>
        <w:keepNext w:val="0"/>
        <w:keepLines w:val="0"/>
        <w:pageBreakBefore w:val="0"/>
        <w:widowControl w:val="0"/>
        <w:kinsoku/>
        <w:wordWrap/>
        <w:overflowPunct/>
        <w:topLinePunct w:val="0"/>
        <w:autoSpaceDE/>
        <w:autoSpaceDN/>
        <w:bidi w:val="0"/>
        <w:adjustRightInd/>
        <w:snapToGrid/>
        <w:spacing w:before="197" w:line="360" w:lineRule="auto"/>
        <w:ind w:left="41" w:right="16" w:firstLine="382"/>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12"/>
          <w:sz w:val="21"/>
          <w:szCs w:val="21"/>
        </w:rPr>
        <w:t>2.符合合同条款规定的全部费用应认为已被计入有标价的</w:t>
      </w:r>
      <w:r>
        <w:rPr>
          <w:rFonts w:hint="eastAsia" w:asciiTheme="minorEastAsia" w:hAnsiTheme="minorEastAsia" w:eastAsiaTheme="minorEastAsia" w:cstheme="minorEastAsia"/>
          <w:spacing w:val="11"/>
          <w:sz w:val="21"/>
          <w:szCs w:val="21"/>
        </w:rPr>
        <w:t>工程量清单所列各子目之中，未列子</w:t>
      </w:r>
      <w:r>
        <w:rPr>
          <w:rFonts w:hint="eastAsia" w:asciiTheme="minorEastAsia" w:hAnsiTheme="minorEastAsia" w:eastAsiaTheme="minorEastAsia" w:cstheme="minorEastAsia"/>
          <w:spacing w:val="8"/>
          <w:sz w:val="21"/>
          <w:szCs w:val="21"/>
        </w:rPr>
        <w:t>目不予计量的工作，其费用应视为已分摊在本合同工程的有关子目的单价或总价之中。</w:t>
      </w:r>
    </w:p>
    <w:p w14:paraId="5BDFF18F">
      <w:pPr>
        <w:keepNext w:val="0"/>
        <w:keepLines w:val="0"/>
        <w:pageBreakBefore w:val="0"/>
        <w:widowControl w:val="0"/>
        <w:kinsoku/>
        <w:wordWrap/>
        <w:overflowPunct/>
        <w:topLinePunct w:val="0"/>
        <w:autoSpaceDE/>
        <w:autoSpaceDN/>
        <w:bidi w:val="0"/>
        <w:adjustRightInd/>
        <w:snapToGrid/>
        <w:spacing w:before="1" w:line="360" w:lineRule="auto"/>
        <w:ind w:left="425"/>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8"/>
          <w:sz w:val="21"/>
          <w:szCs w:val="21"/>
        </w:rPr>
        <w:t>3.工程量清单中各项金额均以人民币（元）结算。</w:t>
      </w:r>
    </w:p>
    <w:p w14:paraId="25E5C48E">
      <w:pPr>
        <w:keepNext w:val="0"/>
        <w:keepLines w:val="0"/>
        <w:pageBreakBefore w:val="0"/>
        <w:widowControl w:val="0"/>
        <w:kinsoku/>
        <w:wordWrap/>
        <w:overflowPunct/>
        <w:topLinePunct w:val="0"/>
        <w:autoSpaceDE/>
        <w:autoSpaceDN/>
        <w:bidi w:val="0"/>
        <w:adjustRightInd/>
        <w:snapToGrid/>
        <w:spacing w:before="197" w:line="360" w:lineRule="auto"/>
        <w:ind w:right="16" w:firstLine="42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12"/>
          <w:sz w:val="21"/>
          <w:szCs w:val="21"/>
        </w:rPr>
        <w:t>4.供应商应采用综合单价进行工程量清单报价，不得采用总价让</w:t>
      </w:r>
      <w:r>
        <w:rPr>
          <w:rFonts w:hint="eastAsia" w:asciiTheme="minorEastAsia" w:hAnsiTheme="minorEastAsia" w:eastAsiaTheme="minorEastAsia" w:cstheme="minorEastAsia"/>
          <w:spacing w:val="11"/>
          <w:sz w:val="21"/>
          <w:szCs w:val="21"/>
        </w:rPr>
        <w:t>利或以百分比让利等形式进行</w:t>
      </w:r>
      <w:r>
        <w:rPr>
          <w:rFonts w:hint="eastAsia" w:asciiTheme="minorEastAsia" w:hAnsiTheme="minorEastAsia" w:eastAsiaTheme="minorEastAsia" w:cstheme="minorEastAsia"/>
          <w:spacing w:val="3"/>
          <w:sz w:val="21"/>
          <w:szCs w:val="21"/>
        </w:rPr>
        <w:t>报价。</w:t>
      </w:r>
    </w:p>
    <w:p w14:paraId="79D289F3">
      <w:pPr>
        <w:pageBreakBefore w:val="0"/>
        <w:widowControl w:val="0"/>
        <w:kinsoku/>
        <w:wordWrap/>
        <w:overflowPunct/>
        <w:topLinePunct w:val="0"/>
        <w:autoSpaceDE/>
        <w:autoSpaceDN/>
        <w:bidi w:val="0"/>
        <w:adjustRightInd/>
        <w:snapToGrid/>
        <w:spacing w:line="360" w:lineRule="auto"/>
        <w:ind w:left="362"/>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pacing w:val="-4"/>
          <w:sz w:val="21"/>
          <w:szCs w:val="21"/>
          <w:lang w:eastAsia="zh-CN"/>
        </w:rPr>
        <w:t>（</w:t>
      </w:r>
      <w:r>
        <w:rPr>
          <w:rFonts w:hint="eastAsia" w:asciiTheme="minorEastAsia" w:hAnsiTheme="minorEastAsia" w:eastAsiaTheme="minorEastAsia" w:cstheme="minorEastAsia"/>
          <w:b/>
          <w:bCs/>
          <w:spacing w:val="-4"/>
          <w:sz w:val="21"/>
          <w:szCs w:val="21"/>
          <w:lang w:val="en-US" w:eastAsia="zh-CN"/>
        </w:rPr>
        <w:t>三</w:t>
      </w:r>
      <w:r>
        <w:rPr>
          <w:rFonts w:hint="eastAsia" w:asciiTheme="minorEastAsia" w:hAnsiTheme="minorEastAsia" w:eastAsiaTheme="minorEastAsia" w:cstheme="minorEastAsia"/>
          <w:b/>
          <w:bCs/>
          <w:spacing w:val="-4"/>
          <w:sz w:val="21"/>
          <w:szCs w:val="21"/>
          <w:lang w:eastAsia="zh-CN"/>
        </w:rPr>
        <w:t>）</w:t>
      </w:r>
      <w:r>
        <w:rPr>
          <w:rFonts w:hint="eastAsia" w:asciiTheme="minorEastAsia" w:hAnsiTheme="minorEastAsia" w:eastAsiaTheme="minorEastAsia" w:cstheme="minorEastAsia"/>
          <w:b/>
          <w:bCs/>
          <w:spacing w:val="-3"/>
          <w:sz w:val="21"/>
          <w:szCs w:val="21"/>
        </w:rPr>
        <w:t>、注意事项及要求：</w:t>
      </w:r>
    </w:p>
    <w:p w14:paraId="2E28F9DB">
      <w:pPr>
        <w:pageBreakBefore w:val="0"/>
        <w:widowControl w:val="0"/>
        <w:kinsoku/>
        <w:wordWrap/>
        <w:overflowPunct/>
        <w:topLinePunct w:val="0"/>
        <w:autoSpaceDE/>
        <w:autoSpaceDN/>
        <w:bidi w:val="0"/>
        <w:adjustRightInd/>
        <w:snapToGrid/>
        <w:spacing w:before="179" w:line="360" w:lineRule="auto"/>
        <w:ind w:left="437"/>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8"/>
          <w:sz w:val="21"/>
          <w:szCs w:val="21"/>
        </w:rPr>
        <w:t>1.严格按国家标准及本项目工程量清单、主管部门规定要求施工；</w:t>
      </w:r>
    </w:p>
    <w:p w14:paraId="69C3F0CA">
      <w:pPr>
        <w:pageBreakBefore w:val="0"/>
        <w:widowControl w:val="0"/>
        <w:kinsoku/>
        <w:wordWrap/>
        <w:overflowPunct/>
        <w:topLinePunct w:val="0"/>
        <w:autoSpaceDE/>
        <w:autoSpaceDN/>
        <w:bidi w:val="0"/>
        <w:adjustRightInd/>
        <w:snapToGrid/>
        <w:spacing w:before="193" w:line="360" w:lineRule="auto"/>
        <w:ind w:left="424"/>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6"/>
          <w:sz w:val="21"/>
          <w:szCs w:val="21"/>
          <w:highlight w:val="none"/>
        </w:rPr>
        <w:t>2.要求工期</w:t>
      </w:r>
      <w:r>
        <w:rPr>
          <w:rFonts w:hint="eastAsia" w:asciiTheme="minorEastAsia" w:hAnsiTheme="minorEastAsia" w:eastAsiaTheme="minorEastAsia" w:cstheme="minorEastAsia"/>
          <w:spacing w:val="6"/>
          <w:sz w:val="21"/>
          <w:szCs w:val="21"/>
          <w:highlight w:val="none"/>
          <w:u w:val="single" w:color="auto"/>
        </w:rPr>
        <w:t>：</w:t>
      </w:r>
      <w:r>
        <w:rPr>
          <w:rFonts w:hint="eastAsia" w:asciiTheme="minorEastAsia" w:hAnsiTheme="minorEastAsia" w:eastAsiaTheme="minorEastAsia" w:cstheme="minorEastAsia"/>
          <w:spacing w:val="6"/>
          <w:sz w:val="21"/>
          <w:szCs w:val="21"/>
          <w:highlight w:val="none"/>
          <w:u w:val="single" w:color="auto"/>
          <w:lang w:val="en-US" w:eastAsia="zh-CN"/>
        </w:rPr>
        <w:t xml:space="preserve"> 180</w:t>
      </w:r>
      <w:r>
        <w:rPr>
          <w:rFonts w:hint="eastAsia" w:asciiTheme="minorEastAsia" w:hAnsiTheme="minorEastAsia" w:eastAsiaTheme="minorEastAsia" w:cstheme="minorEastAsia"/>
          <w:spacing w:val="6"/>
          <w:sz w:val="21"/>
          <w:szCs w:val="21"/>
          <w:highlight w:val="none"/>
          <w:u w:val="single" w:color="auto"/>
        </w:rPr>
        <w:t>个日历天</w:t>
      </w:r>
      <w:r>
        <w:rPr>
          <w:rFonts w:hint="eastAsia" w:asciiTheme="minorEastAsia" w:hAnsiTheme="minorEastAsia" w:eastAsiaTheme="minorEastAsia" w:cstheme="minorEastAsia"/>
          <w:spacing w:val="6"/>
          <w:sz w:val="21"/>
          <w:szCs w:val="21"/>
          <w:highlight w:val="none"/>
        </w:rPr>
        <w:t>；</w:t>
      </w:r>
    </w:p>
    <w:p w14:paraId="4CC39E15">
      <w:pPr>
        <w:pageBreakBefore w:val="0"/>
        <w:widowControl w:val="0"/>
        <w:kinsoku/>
        <w:wordWrap/>
        <w:overflowPunct/>
        <w:topLinePunct w:val="0"/>
        <w:autoSpaceDE/>
        <w:autoSpaceDN/>
        <w:bidi w:val="0"/>
        <w:adjustRightInd/>
        <w:snapToGrid/>
        <w:spacing w:before="156" w:line="360" w:lineRule="auto"/>
        <w:ind w:left="5" w:firstLine="306"/>
        <w:textAlignment w:val="auto"/>
        <w:rPr>
          <w:rFonts w:hint="eastAsia" w:asciiTheme="minorEastAsia" w:hAnsiTheme="minorEastAsia" w:eastAsiaTheme="minorEastAsia" w:cstheme="minorEastAsia"/>
          <w:spacing w:val="8"/>
          <w:sz w:val="21"/>
          <w:szCs w:val="21"/>
          <w:highlight w:val="none"/>
        </w:rPr>
      </w:pPr>
      <w:r>
        <w:rPr>
          <w:rFonts w:hint="eastAsia" w:asciiTheme="minorEastAsia" w:hAnsiTheme="minorEastAsia" w:eastAsiaTheme="minorEastAsia" w:cstheme="minorEastAsia"/>
          <w:spacing w:val="8"/>
          <w:sz w:val="21"/>
          <w:szCs w:val="21"/>
          <w:highlight w:val="none"/>
        </w:rPr>
        <w:t>3.质量标准：</w:t>
      </w:r>
      <w:r>
        <w:rPr>
          <w:rFonts w:hint="eastAsia" w:asciiTheme="minorEastAsia" w:hAnsiTheme="minorEastAsia" w:eastAsiaTheme="minorEastAsia" w:cstheme="minorEastAsia"/>
          <w:spacing w:val="8"/>
          <w:sz w:val="21"/>
          <w:szCs w:val="21"/>
          <w:highlight w:val="none"/>
          <w:u w:val="single" w:color="auto"/>
        </w:rPr>
        <w:t>达到国家施工验收规范合格标准</w:t>
      </w:r>
      <w:r>
        <w:rPr>
          <w:rFonts w:hint="eastAsia" w:asciiTheme="minorEastAsia" w:hAnsiTheme="minorEastAsia" w:eastAsiaTheme="minorEastAsia" w:cstheme="minorEastAsia"/>
          <w:spacing w:val="8"/>
          <w:sz w:val="21"/>
          <w:szCs w:val="21"/>
          <w:highlight w:val="none"/>
        </w:rPr>
        <w:t>。</w:t>
      </w:r>
    </w:p>
    <w:p w14:paraId="13E91718">
      <w:pPr>
        <w:pageBreakBefore w:val="0"/>
        <w:widowControl w:val="0"/>
        <w:kinsoku/>
        <w:wordWrap/>
        <w:overflowPunct/>
        <w:topLinePunct w:val="0"/>
        <w:autoSpaceDE/>
        <w:autoSpaceDN/>
        <w:bidi w:val="0"/>
        <w:adjustRightInd/>
        <w:snapToGrid/>
        <w:spacing w:before="156" w:line="360" w:lineRule="auto"/>
        <w:ind w:left="5" w:firstLine="306"/>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7"/>
          <w:sz w:val="21"/>
          <w:szCs w:val="21"/>
          <w:highlight w:val="none"/>
        </w:rPr>
        <w:t xml:space="preserve">4. </w:t>
      </w:r>
      <w:r>
        <w:rPr>
          <w:rFonts w:hint="eastAsia" w:asciiTheme="minorEastAsia" w:hAnsiTheme="minorEastAsia" w:eastAsiaTheme="minorEastAsia" w:cstheme="minorEastAsia"/>
          <w:b/>
          <w:bCs/>
          <w:spacing w:val="7"/>
          <w:sz w:val="21"/>
          <w:szCs w:val="21"/>
          <w:highlight w:val="none"/>
        </w:rPr>
        <w:t>本工程预算经审核，工程预算总造价为</w:t>
      </w:r>
      <w:r>
        <w:rPr>
          <w:rFonts w:hint="eastAsia" w:asciiTheme="minorEastAsia" w:hAnsiTheme="minorEastAsia" w:eastAsiaTheme="minorEastAsia" w:cstheme="minorEastAsia"/>
          <w:spacing w:val="-34"/>
          <w:sz w:val="21"/>
          <w:szCs w:val="21"/>
          <w:highlight w:val="none"/>
        </w:rPr>
        <w:t xml:space="preserve"> </w:t>
      </w:r>
      <w:r>
        <w:rPr>
          <w:rFonts w:hint="eastAsia" w:asciiTheme="minorEastAsia" w:hAnsiTheme="minorEastAsia" w:eastAsiaTheme="minorEastAsia" w:cstheme="minorEastAsia"/>
          <w:b/>
          <w:bCs/>
          <w:spacing w:val="2"/>
          <w:sz w:val="21"/>
          <w:szCs w:val="21"/>
          <w:highlight w:val="none"/>
          <w:lang w:val="en-US" w:eastAsia="zh-CN"/>
        </w:rPr>
        <w:t>8117987.00</w:t>
      </w:r>
      <w:r>
        <w:rPr>
          <w:rFonts w:hint="eastAsia" w:asciiTheme="minorEastAsia" w:hAnsiTheme="minorEastAsia" w:eastAsiaTheme="minorEastAsia" w:cstheme="minorEastAsia"/>
          <w:b/>
          <w:bCs/>
          <w:spacing w:val="2"/>
          <w:sz w:val="21"/>
          <w:szCs w:val="21"/>
          <w:highlight w:val="none"/>
        </w:rPr>
        <w:t>元，</w:t>
      </w:r>
      <w:r>
        <w:rPr>
          <w:rFonts w:hint="eastAsia" w:asciiTheme="minorEastAsia" w:hAnsiTheme="minorEastAsia" w:eastAsiaTheme="minorEastAsia" w:cstheme="minorEastAsia"/>
          <w:b/>
          <w:bCs/>
          <w:spacing w:val="6"/>
          <w:sz w:val="21"/>
          <w:szCs w:val="21"/>
          <w:highlight w:val="none"/>
        </w:rPr>
        <w:t>经采购人同意，本工程最高磋商限价</w:t>
      </w:r>
      <w:r>
        <w:rPr>
          <w:rFonts w:hint="eastAsia" w:asciiTheme="minorEastAsia" w:hAnsiTheme="minorEastAsia" w:eastAsiaTheme="minorEastAsia" w:cstheme="minorEastAsia"/>
          <w:b/>
          <w:bCs/>
          <w:spacing w:val="2"/>
          <w:sz w:val="21"/>
          <w:szCs w:val="21"/>
          <w:highlight w:val="none"/>
        </w:rPr>
        <w:t>（预算控制价）为</w:t>
      </w:r>
      <w:r>
        <w:rPr>
          <w:rFonts w:hint="eastAsia" w:asciiTheme="minorEastAsia" w:hAnsiTheme="minorEastAsia" w:eastAsiaTheme="minorEastAsia" w:cstheme="minorEastAsia"/>
          <w:b/>
          <w:bCs/>
          <w:spacing w:val="2"/>
          <w:sz w:val="21"/>
          <w:szCs w:val="21"/>
          <w:highlight w:val="none"/>
          <w:lang w:val="en-US" w:eastAsia="zh-CN"/>
        </w:rPr>
        <w:t>8117987.00</w:t>
      </w:r>
      <w:r>
        <w:rPr>
          <w:rFonts w:hint="eastAsia" w:asciiTheme="minorEastAsia" w:hAnsiTheme="minorEastAsia" w:eastAsiaTheme="minorEastAsia" w:cstheme="minorEastAsia"/>
          <w:b/>
          <w:bCs/>
          <w:spacing w:val="2"/>
          <w:sz w:val="21"/>
          <w:szCs w:val="21"/>
          <w:highlight w:val="none"/>
        </w:rPr>
        <w:t>元，供应商的最后磋商总</w:t>
      </w:r>
      <w:r>
        <w:rPr>
          <w:rFonts w:hint="eastAsia" w:asciiTheme="minorEastAsia" w:hAnsiTheme="minorEastAsia" w:eastAsiaTheme="minorEastAsia" w:cstheme="minorEastAsia"/>
          <w:b/>
          <w:bCs/>
          <w:spacing w:val="1"/>
          <w:sz w:val="21"/>
          <w:szCs w:val="21"/>
          <w:highlight w:val="none"/>
        </w:rPr>
        <w:t>报价高于本工程招标控制价（最高限价）为无</w:t>
      </w:r>
      <w:r>
        <w:rPr>
          <w:rFonts w:hint="eastAsia" w:asciiTheme="minorEastAsia" w:hAnsiTheme="minorEastAsia" w:eastAsiaTheme="minorEastAsia" w:cstheme="minorEastAsia"/>
          <w:b/>
          <w:bCs/>
          <w:spacing w:val="-2"/>
          <w:sz w:val="21"/>
          <w:szCs w:val="21"/>
          <w:highlight w:val="none"/>
        </w:rPr>
        <w:t>效报价。</w:t>
      </w:r>
    </w:p>
    <w:p w14:paraId="7C0824EA">
      <w:pPr>
        <w:pageBreakBefore w:val="0"/>
        <w:widowControl w:val="0"/>
        <w:kinsoku/>
        <w:wordWrap/>
        <w:overflowPunct/>
        <w:topLinePunct w:val="0"/>
        <w:autoSpaceDE/>
        <w:autoSpaceDN/>
        <w:bidi w:val="0"/>
        <w:adjustRightInd/>
        <w:snapToGrid/>
        <w:spacing w:before="16" w:line="360" w:lineRule="auto"/>
        <w:ind w:left="4" w:right="7" w:firstLine="42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2"/>
          <w:sz w:val="21"/>
          <w:szCs w:val="21"/>
          <w:highlight w:val="none"/>
        </w:rPr>
        <w:t>5.采购人视项目具体情况要求承包人负责整理和提交</w:t>
      </w:r>
      <w:r>
        <w:rPr>
          <w:rFonts w:hint="eastAsia" w:asciiTheme="minorEastAsia" w:hAnsiTheme="minorEastAsia" w:eastAsiaTheme="minorEastAsia" w:cstheme="minorEastAsia"/>
          <w:spacing w:val="11"/>
          <w:sz w:val="21"/>
          <w:szCs w:val="21"/>
          <w:highlight w:val="none"/>
        </w:rPr>
        <w:t>的竣工验收资料，应当符合工程所在地建</w:t>
      </w:r>
      <w:r>
        <w:rPr>
          <w:rFonts w:hint="eastAsia" w:asciiTheme="minorEastAsia" w:hAnsiTheme="minorEastAsia" w:eastAsiaTheme="minorEastAsia" w:cstheme="minorEastAsia"/>
          <w:spacing w:val="9"/>
          <w:sz w:val="21"/>
          <w:szCs w:val="21"/>
          <w:highlight w:val="none"/>
        </w:rPr>
        <w:t>设行政主管部门和(或)城市建设档案管理机构有关施工资料的</w:t>
      </w:r>
      <w:r>
        <w:rPr>
          <w:rFonts w:hint="eastAsia" w:asciiTheme="minorEastAsia" w:hAnsiTheme="minorEastAsia" w:eastAsiaTheme="minorEastAsia" w:cstheme="minorEastAsia"/>
          <w:spacing w:val="8"/>
          <w:sz w:val="21"/>
          <w:szCs w:val="21"/>
          <w:highlight w:val="none"/>
        </w:rPr>
        <w:t>要求。</w:t>
      </w:r>
    </w:p>
    <w:p w14:paraId="513AA403">
      <w:pPr>
        <w:pageBreakBefore w:val="0"/>
        <w:widowControl w:val="0"/>
        <w:kinsoku/>
        <w:wordWrap/>
        <w:overflowPunct/>
        <w:topLinePunct w:val="0"/>
        <w:autoSpaceDE/>
        <w:autoSpaceDN/>
        <w:bidi w:val="0"/>
        <w:adjustRightInd/>
        <w:snapToGrid/>
        <w:spacing w:line="360" w:lineRule="auto"/>
        <w:ind w:left="421"/>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8"/>
          <w:sz w:val="21"/>
          <w:szCs w:val="21"/>
          <w:highlight w:val="none"/>
        </w:rPr>
        <w:t>竣工验收资料的份数：4</w:t>
      </w:r>
      <w:r>
        <w:rPr>
          <w:rFonts w:hint="eastAsia" w:asciiTheme="minorEastAsia" w:hAnsiTheme="minorEastAsia" w:eastAsiaTheme="minorEastAsia" w:cstheme="minorEastAsia"/>
          <w:spacing w:val="-27"/>
          <w:sz w:val="21"/>
          <w:szCs w:val="21"/>
          <w:highlight w:val="none"/>
        </w:rPr>
        <w:t xml:space="preserve"> </w:t>
      </w:r>
      <w:r>
        <w:rPr>
          <w:rFonts w:hint="eastAsia" w:asciiTheme="minorEastAsia" w:hAnsiTheme="minorEastAsia" w:eastAsiaTheme="minorEastAsia" w:cstheme="minorEastAsia"/>
          <w:spacing w:val="8"/>
          <w:sz w:val="21"/>
          <w:szCs w:val="21"/>
          <w:highlight w:val="none"/>
        </w:rPr>
        <w:t>份符合相关要求的竣工验收资料。</w:t>
      </w:r>
    </w:p>
    <w:p w14:paraId="05C73BF3">
      <w:pPr>
        <w:pageBreakBefore w:val="0"/>
        <w:widowControl w:val="0"/>
        <w:kinsoku/>
        <w:wordWrap/>
        <w:overflowPunct/>
        <w:topLinePunct w:val="0"/>
        <w:autoSpaceDE/>
        <w:autoSpaceDN/>
        <w:bidi w:val="0"/>
        <w:adjustRightInd/>
        <w:snapToGrid/>
        <w:spacing w:before="192" w:line="360" w:lineRule="auto"/>
        <w:ind w:left="421"/>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7"/>
          <w:sz w:val="21"/>
          <w:szCs w:val="21"/>
          <w:highlight w:val="none"/>
        </w:rPr>
        <w:t>竣工验收资料的费用支付方式：</w:t>
      </w:r>
      <w:r>
        <w:rPr>
          <w:rFonts w:hint="eastAsia" w:asciiTheme="minorEastAsia" w:hAnsiTheme="minorEastAsia" w:eastAsiaTheme="minorEastAsia" w:cstheme="minorEastAsia"/>
          <w:spacing w:val="-48"/>
          <w:sz w:val="21"/>
          <w:szCs w:val="21"/>
          <w:highlight w:val="none"/>
        </w:rPr>
        <w:t xml:space="preserve"> </w:t>
      </w:r>
      <w:r>
        <w:rPr>
          <w:rFonts w:hint="eastAsia" w:asciiTheme="minorEastAsia" w:hAnsiTheme="minorEastAsia" w:eastAsiaTheme="minorEastAsia" w:cstheme="minorEastAsia"/>
          <w:spacing w:val="7"/>
          <w:sz w:val="21"/>
          <w:szCs w:val="21"/>
          <w:highlight w:val="none"/>
        </w:rPr>
        <w:t>由承包人承担相关费用。</w:t>
      </w:r>
    </w:p>
    <w:p w14:paraId="55C70F88">
      <w:pPr>
        <w:pageBreakBefore w:val="0"/>
        <w:widowControl w:val="0"/>
        <w:kinsoku/>
        <w:wordWrap/>
        <w:overflowPunct/>
        <w:topLinePunct w:val="0"/>
        <w:autoSpaceDE/>
        <w:autoSpaceDN/>
        <w:bidi w:val="0"/>
        <w:adjustRightInd/>
        <w:snapToGrid/>
        <w:spacing w:before="167" w:line="360" w:lineRule="auto"/>
        <w:ind w:right="9" w:firstLine="504"/>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pacing w:val="-4"/>
          <w:sz w:val="21"/>
          <w:szCs w:val="21"/>
          <w:lang w:eastAsia="zh-CN"/>
        </w:rPr>
        <w:t>（</w:t>
      </w:r>
      <w:r>
        <w:rPr>
          <w:rFonts w:hint="eastAsia" w:asciiTheme="minorEastAsia" w:hAnsiTheme="minorEastAsia" w:eastAsiaTheme="minorEastAsia" w:cstheme="minorEastAsia"/>
          <w:b/>
          <w:bCs/>
          <w:spacing w:val="-4"/>
          <w:sz w:val="21"/>
          <w:szCs w:val="21"/>
          <w:lang w:val="en-US" w:eastAsia="zh-CN"/>
        </w:rPr>
        <w:t>四</w:t>
      </w:r>
      <w:r>
        <w:rPr>
          <w:rFonts w:hint="eastAsia" w:asciiTheme="minorEastAsia" w:hAnsiTheme="minorEastAsia" w:eastAsiaTheme="minorEastAsia" w:cstheme="minorEastAsia"/>
          <w:b/>
          <w:bCs/>
          <w:spacing w:val="-4"/>
          <w:sz w:val="21"/>
          <w:szCs w:val="21"/>
          <w:lang w:eastAsia="zh-CN"/>
        </w:rPr>
        <w:t>）</w:t>
      </w:r>
      <w:r>
        <w:rPr>
          <w:rFonts w:hint="eastAsia" w:asciiTheme="minorEastAsia" w:hAnsiTheme="minorEastAsia" w:eastAsiaTheme="minorEastAsia" w:cstheme="minorEastAsia"/>
          <w:b/>
          <w:bCs/>
          <w:spacing w:val="5"/>
          <w:sz w:val="21"/>
          <w:szCs w:val="21"/>
        </w:rPr>
        <w:t>、项目所属行业：所属行业依照《中小企业划型标准规定》（工信部联企业〔2011〕3</w:t>
      </w:r>
      <w:r>
        <w:rPr>
          <w:rFonts w:hint="eastAsia" w:asciiTheme="minorEastAsia" w:hAnsiTheme="minorEastAsia" w:eastAsiaTheme="minorEastAsia" w:cstheme="minorEastAsia"/>
          <w:b/>
          <w:bCs/>
          <w:spacing w:val="4"/>
          <w:sz w:val="21"/>
          <w:szCs w:val="21"/>
        </w:rPr>
        <w:t>00</w:t>
      </w:r>
      <w:r>
        <w:rPr>
          <w:rFonts w:hint="eastAsia" w:asciiTheme="minorEastAsia" w:hAnsiTheme="minorEastAsia" w:eastAsiaTheme="minorEastAsia" w:cstheme="minorEastAsia"/>
          <w:b/>
          <w:bCs/>
          <w:spacing w:val="6"/>
          <w:sz w:val="21"/>
          <w:szCs w:val="21"/>
        </w:rPr>
        <w:t>号）及《国民经济行业分类》（</w:t>
      </w:r>
      <w:r>
        <w:rPr>
          <w:rFonts w:hint="eastAsia" w:asciiTheme="minorEastAsia" w:hAnsiTheme="minorEastAsia" w:eastAsiaTheme="minorEastAsia" w:cstheme="minorEastAsia"/>
          <w:b/>
          <w:bCs/>
          <w:sz w:val="21"/>
          <w:szCs w:val="21"/>
        </w:rPr>
        <w:t>GB</w:t>
      </w:r>
      <w:r>
        <w:rPr>
          <w:rFonts w:hint="eastAsia" w:asciiTheme="minorEastAsia" w:hAnsiTheme="minorEastAsia" w:eastAsiaTheme="minorEastAsia" w:cstheme="minorEastAsia"/>
          <w:b/>
          <w:bCs/>
          <w:spacing w:val="6"/>
          <w:sz w:val="21"/>
          <w:szCs w:val="21"/>
        </w:rPr>
        <w:t>/T4754-2017）的有关规定执行，本工程在《统计上大中小微型企业划分标准》</w:t>
      </w:r>
      <w:r>
        <w:rPr>
          <w:rFonts w:hint="eastAsia" w:asciiTheme="minorEastAsia" w:hAnsiTheme="minorEastAsia" w:eastAsiaTheme="minorEastAsia" w:cstheme="minorEastAsia"/>
          <w:spacing w:val="-43"/>
          <w:sz w:val="21"/>
          <w:szCs w:val="21"/>
        </w:rPr>
        <w:t xml:space="preserve"> </w:t>
      </w:r>
      <w:r>
        <w:rPr>
          <w:rFonts w:hint="eastAsia" w:asciiTheme="minorEastAsia" w:hAnsiTheme="minorEastAsia" w:eastAsiaTheme="minorEastAsia" w:cstheme="minorEastAsia"/>
          <w:b/>
          <w:bCs/>
          <w:spacing w:val="6"/>
          <w:sz w:val="21"/>
          <w:szCs w:val="21"/>
        </w:rPr>
        <w:t>中所属行业均为</w:t>
      </w:r>
      <w:r>
        <w:rPr>
          <w:rFonts w:hint="eastAsia" w:asciiTheme="minorEastAsia" w:hAnsiTheme="minorEastAsia" w:eastAsiaTheme="minorEastAsia" w:cstheme="minorEastAsia"/>
          <w:b/>
          <w:bCs/>
          <w:spacing w:val="6"/>
          <w:sz w:val="21"/>
          <w:szCs w:val="21"/>
          <w:u w:val="single" w:color="auto"/>
        </w:rPr>
        <w:t>建筑业。</w:t>
      </w:r>
    </w:p>
    <w:p w14:paraId="1FC62FC8">
      <w:pPr>
        <w:pageBreakBefore w:val="0"/>
        <w:widowControl w:val="0"/>
        <w:kinsoku/>
        <w:wordWrap/>
        <w:overflowPunct/>
        <w:topLinePunct w:val="0"/>
        <w:autoSpaceDE/>
        <w:autoSpaceDN/>
        <w:bidi w:val="0"/>
        <w:adjustRightInd/>
        <w:snapToGrid/>
        <w:spacing w:line="360" w:lineRule="auto"/>
        <w:ind w:left="485"/>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pacing w:val="-4"/>
          <w:sz w:val="21"/>
          <w:szCs w:val="21"/>
          <w:lang w:eastAsia="zh-CN"/>
        </w:rPr>
        <w:t>（</w:t>
      </w:r>
      <w:r>
        <w:rPr>
          <w:rFonts w:hint="eastAsia" w:asciiTheme="minorEastAsia" w:hAnsiTheme="minorEastAsia" w:eastAsiaTheme="minorEastAsia" w:cstheme="minorEastAsia"/>
          <w:b/>
          <w:bCs/>
          <w:spacing w:val="-3"/>
          <w:sz w:val="21"/>
          <w:szCs w:val="21"/>
        </w:rPr>
        <w:t>五</w:t>
      </w:r>
      <w:r>
        <w:rPr>
          <w:rFonts w:hint="eastAsia" w:asciiTheme="minorEastAsia" w:hAnsiTheme="minorEastAsia" w:eastAsiaTheme="minorEastAsia" w:cstheme="minorEastAsia"/>
          <w:b/>
          <w:bCs/>
          <w:spacing w:val="-4"/>
          <w:sz w:val="21"/>
          <w:szCs w:val="21"/>
          <w:lang w:eastAsia="zh-CN"/>
        </w:rPr>
        <w:t>）</w:t>
      </w:r>
      <w:r>
        <w:rPr>
          <w:rFonts w:hint="eastAsia" w:asciiTheme="minorEastAsia" w:hAnsiTheme="minorEastAsia" w:eastAsiaTheme="minorEastAsia" w:cstheme="minorEastAsia"/>
          <w:b/>
          <w:bCs/>
          <w:spacing w:val="-3"/>
          <w:sz w:val="21"/>
          <w:szCs w:val="21"/>
        </w:rPr>
        <w:t>、工程量清单（自行下载）。</w:t>
      </w:r>
    </w:p>
    <w:p w14:paraId="2F88D05A">
      <w:pPr>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1"/>
          <w:szCs w:val="21"/>
          <w:highlight w:val="none"/>
          <w:shd w:val="clear" w:color="auto" w:fill="auto"/>
          <w:lang w:val="en-US" w:eastAsia="zh-CN"/>
        </w:rPr>
        <w:sectPr>
          <w:footerReference r:id="rId4" w:type="default"/>
          <w:pgSz w:w="11905" w:h="16838"/>
          <w:pgMar w:top="1134" w:right="1083" w:bottom="1134" w:left="1083" w:header="850" w:footer="992" w:gutter="0"/>
          <w:pgBorders>
            <w:top w:val="none" w:sz="0" w:space="0"/>
            <w:left w:val="none" w:sz="0" w:space="0"/>
            <w:bottom w:val="none" w:sz="0" w:space="0"/>
            <w:right w:val="none" w:sz="0" w:space="0"/>
          </w:pgBorders>
          <w:pgNumType w:fmt="decimal"/>
          <w:cols w:space="0" w:num="1"/>
          <w:rtlGutter w:val="0"/>
          <w:docGrid w:type="lines" w:linePitch="324" w:charSpace="0"/>
        </w:sectPr>
      </w:pPr>
    </w:p>
    <w:p w14:paraId="43351945">
      <w:pPr>
        <w:spacing w:line="360" w:lineRule="auto"/>
        <w:jc w:val="center"/>
        <w:outlineLvl w:val="0"/>
        <w:rPr>
          <w:rFonts w:hint="eastAsia" w:ascii="宋体" w:hAnsi="宋体" w:eastAsia="宋体" w:cs="宋体"/>
          <w:b/>
          <w:bCs/>
          <w:color w:val="auto"/>
          <w:sz w:val="32"/>
          <w:szCs w:val="32"/>
          <w:highlight w:val="none"/>
          <w:shd w:val="clear" w:color="auto" w:fill="auto"/>
        </w:rPr>
      </w:pPr>
      <w:bookmarkStart w:id="238" w:name="_Toc30140"/>
      <w:r>
        <w:rPr>
          <w:rFonts w:hint="eastAsia" w:ascii="宋体" w:hAnsi="宋体" w:eastAsia="宋体" w:cs="宋体"/>
          <w:b/>
          <w:bCs/>
          <w:color w:val="auto"/>
          <w:sz w:val="32"/>
          <w:szCs w:val="32"/>
          <w:highlight w:val="none"/>
          <w:shd w:val="clear" w:color="auto" w:fill="auto"/>
          <w:lang w:eastAsia="zh-CN"/>
        </w:rPr>
        <w:t>第四章</w:t>
      </w:r>
      <w:r>
        <w:rPr>
          <w:rFonts w:hint="eastAsia" w:ascii="宋体" w:hAnsi="宋体" w:eastAsia="宋体" w:cs="宋体"/>
          <w:b/>
          <w:bCs/>
          <w:color w:val="auto"/>
          <w:sz w:val="32"/>
          <w:szCs w:val="32"/>
          <w:highlight w:val="none"/>
          <w:shd w:val="clear" w:color="auto" w:fill="auto"/>
          <w:lang w:val="en-US" w:eastAsia="zh-CN"/>
        </w:rPr>
        <w:t xml:space="preserve">  </w:t>
      </w:r>
      <w:r>
        <w:rPr>
          <w:rFonts w:hint="eastAsia" w:ascii="宋体" w:hAnsi="宋体" w:eastAsia="宋体" w:cs="宋体"/>
          <w:b/>
          <w:bCs/>
          <w:color w:val="auto"/>
          <w:sz w:val="32"/>
          <w:szCs w:val="32"/>
          <w:highlight w:val="none"/>
          <w:shd w:val="clear" w:color="auto" w:fill="auto"/>
        </w:rPr>
        <w:t>评审办法</w:t>
      </w:r>
      <w:bookmarkEnd w:id="233"/>
      <w:bookmarkEnd w:id="234"/>
      <w:bookmarkEnd w:id="235"/>
      <w:bookmarkEnd w:id="238"/>
    </w:p>
    <w:p w14:paraId="05F3BC7E">
      <w:pPr>
        <w:keepNext w:val="0"/>
        <w:keepLines w:val="0"/>
        <w:pageBreakBefore w:val="0"/>
        <w:kinsoku/>
        <w:wordWrap/>
        <w:overflowPunct/>
        <w:topLinePunct w:val="0"/>
        <w:autoSpaceDE/>
        <w:autoSpaceDN/>
        <w:bidi w:val="0"/>
        <w:adjustRightInd/>
        <w:spacing w:line="360" w:lineRule="auto"/>
        <w:ind w:left="0" w:leftChars="0" w:right="0" w:firstLine="422" w:firstLineChars="200"/>
        <w:textAlignment w:val="auto"/>
        <w:outlineLvl w:val="9"/>
        <w:rPr>
          <w:rFonts w:hint="eastAsia" w:ascii="宋体" w:hAnsi="宋体" w:eastAsia="宋体" w:cs="宋体"/>
          <w:b/>
          <w:bCs/>
          <w:color w:val="auto"/>
          <w:sz w:val="21"/>
          <w:szCs w:val="21"/>
          <w:highlight w:val="none"/>
          <w:shd w:val="clear" w:color="auto" w:fill="auto"/>
        </w:rPr>
      </w:pPr>
      <w:bookmarkStart w:id="239" w:name="_Toc16364"/>
      <w:bookmarkStart w:id="240" w:name="_Toc23076"/>
      <w:r>
        <w:rPr>
          <w:rFonts w:hint="eastAsia" w:ascii="宋体" w:hAnsi="宋体" w:eastAsia="宋体" w:cs="宋体"/>
          <w:b/>
          <w:bCs/>
          <w:color w:val="auto"/>
          <w:sz w:val="21"/>
          <w:szCs w:val="21"/>
          <w:highlight w:val="none"/>
          <w:shd w:val="clear" w:color="auto" w:fill="auto"/>
        </w:rPr>
        <w:t>一、评审依据</w:t>
      </w:r>
      <w:bookmarkEnd w:id="239"/>
      <w:bookmarkEnd w:id="240"/>
    </w:p>
    <w:p w14:paraId="38158C23">
      <w:pPr>
        <w:keepNext w:val="0"/>
        <w:keepLines w:val="0"/>
        <w:pageBreakBefore w:val="0"/>
        <w:kinsoku/>
        <w:wordWrap/>
        <w:overflowPunct/>
        <w:topLinePunct w:val="0"/>
        <w:autoSpaceDE/>
        <w:autoSpaceDN/>
        <w:bidi w:val="0"/>
        <w:adjustRightIn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（一）评审依据：磋商小组以竞争性磋商文件和响应文件为评审依据，对供应商的响应文件进行评审。</w:t>
      </w:r>
    </w:p>
    <w:p w14:paraId="01A94581">
      <w:pPr>
        <w:keepNext w:val="0"/>
        <w:keepLines w:val="0"/>
        <w:pageBreakBefore w:val="0"/>
        <w:kinsoku/>
        <w:wordWrap/>
        <w:overflowPunct/>
        <w:topLinePunct w:val="0"/>
        <w:autoSpaceDE/>
        <w:autoSpaceDN/>
        <w:bidi w:val="0"/>
        <w:adjustRightIn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（二）评审方式：以封闭方式进行评审。</w:t>
      </w:r>
    </w:p>
    <w:p w14:paraId="78CA125A">
      <w:pPr>
        <w:keepNext w:val="0"/>
        <w:keepLines w:val="0"/>
        <w:pageBreakBefore w:val="0"/>
        <w:kinsoku/>
        <w:wordWrap/>
        <w:overflowPunct/>
        <w:topLinePunct w:val="0"/>
        <w:autoSpaceDE/>
        <w:autoSpaceDN/>
        <w:bidi w:val="0"/>
        <w:adjustRightInd/>
        <w:spacing w:line="360" w:lineRule="auto"/>
        <w:ind w:left="0" w:leftChars="0" w:right="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（三）采购人和采购代理机构、竞争性磋商小组成员要严格遵守政府采购相关法律制度，依法履行各自职责，公正、客观、审慎地组织和参与评审工作。</w:t>
      </w:r>
    </w:p>
    <w:p w14:paraId="3C5BBEF6">
      <w:pPr>
        <w:keepNext w:val="0"/>
        <w:keepLines w:val="0"/>
        <w:pageBreakBefore w:val="0"/>
        <w:kinsoku/>
        <w:wordWrap/>
        <w:overflowPunct/>
        <w:topLinePunct w:val="0"/>
        <w:autoSpaceDE/>
        <w:autoSpaceDN/>
        <w:bidi w:val="0"/>
        <w:adjustRightInd/>
        <w:spacing w:line="360" w:lineRule="auto"/>
        <w:ind w:left="0" w:leftChars="0" w:right="0" w:firstLine="422" w:firstLineChars="200"/>
        <w:textAlignment w:val="auto"/>
        <w:outlineLvl w:val="9"/>
        <w:rPr>
          <w:rFonts w:hint="eastAsia" w:ascii="宋体" w:hAnsi="宋体" w:eastAsia="宋体" w:cs="宋体"/>
          <w:b/>
          <w:bCs/>
          <w:color w:val="auto"/>
          <w:sz w:val="21"/>
          <w:szCs w:val="21"/>
          <w:highlight w:val="none"/>
          <w:shd w:val="clear" w:color="auto" w:fill="auto"/>
        </w:rPr>
      </w:pPr>
      <w:bookmarkStart w:id="241" w:name="_Toc29526"/>
      <w:bookmarkStart w:id="242" w:name="_Toc2014"/>
      <w:r>
        <w:rPr>
          <w:rFonts w:hint="eastAsia" w:ascii="宋体" w:hAnsi="宋体" w:eastAsia="宋体" w:cs="宋体"/>
          <w:b/>
          <w:bCs/>
          <w:color w:val="auto"/>
          <w:sz w:val="21"/>
          <w:szCs w:val="21"/>
          <w:highlight w:val="none"/>
          <w:shd w:val="clear" w:color="auto" w:fill="auto"/>
        </w:rPr>
        <w:t>二、评审办法</w:t>
      </w:r>
      <w:bookmarkEnd w:id="241"/>
      <w:bookmarkEnd w:id="242"/>
    </w:p>
    <w:p w14:paraId="20C9078F">
      <w:pPr>
        <w:pStyle w:val="22"/>
        <w:spacing w:line="360" w:lineRule="auto"/>
        <w:ind w:firstLine="420" w:firstLineChars="200"/>
        <w:outlineLvl w:val="9"/>
        <w:rPr>
          <w:rFonts w:hint="eastAsia" w:ascii="宋体" w:hAnsi="宋体" w:eastAsia="宋体" w:cs="宋体"/>
          <w:bCs/>
          <w:color w:val="auto"/>
          <w:highlight w:val="none"/>
        </w:rPr>
      </w:pPr>
      <w:bookmarkStart w:id="243" w:name="_Toc16092"/>
      <w:bookmarkStart w:id="244" w:name="_Toc73275790"/>
      <w:bookmarkStart w:id="245" w:name="_Toc8466"/>
      <w:bookmarkStart w:id="246" w:name="_Toc4774"/>
      <w:r>
        <w:rPr>
          <w:rFonts w:hint="eastAsia" w:ascii="宋体" w:hAnsi="宋体" w:eastAsia="宋体" w:cs="宋体"/>
          <w:bCs/>
          <w:color w:val="auto"/>
          <w:highlight w:val="none"/>
        </w:rPr>
        <w:t>（一）本次评标采用综合评分法。磋商小组会首先对磋商供应商提交的响应文件进行资格性审查和符合性审查，只有通过了资格性审查和符合性审查才能进入详评。</w:t>
      </w:r>
    </w:p>
    <w:p w14:paraId="222C1F16">
      <w:pPr>
        <w:keepNext w:val="0"/>
        <w:keepLines w:val="0"/>
        <w:pageBreakBefore w:val="0"/>
        <w:kinsoku/>
        <w:wordWrap/>
        <w:overflowPunct/>
        <w:topLinePunct w:val="0"/>
        <w:autoSpaceDE/>
        <w:autoSpaceDN/>
        <w:bidi w:val="0"/>
        <w:adjustRightInd/>
        <w:spacing w:line="360" w:lineRule="auto"/>
        <w:ind w:left="0" w:leftChars="0" w:right="0" w:firstLine="482" w:firstLineChars="200"/>
        <w:textAlignment w:val="auto"/>
        <w:outlineLvl w:val="9"/>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val="0"/>
          <w:color w:val="auto"/>
          <w:kern w:val="2"/>
          <w:sz w:val="24"/>
          <w:szCs w:val="24"/>
          <w:highlight w:val="none"/>
          <w:lang w:val="en-US" w:eastAsia="zh-CN" w:bidi="ar-SA"/>
        </w:rPr>
        <w:t>初步评审：</w:t>
      </w:r>
    </w:p>
    <w:tbl>
      <w:tblPr>
        <w:tblStyle w:val="37"/>
        <w:tblW w:w="9938" w:type="dxa"/>
        <w:jc w:val="center"/>
        <w:tblLayout w:type="fixed"/>
        <w:tblCellMar>
          <w:top w:w="0" w:type="dxa"/>
          <w:left w:w="108" w:type="dxa"/>
          <w:bottom w:w="0" w:type="dxa"/>
          <w:right w:w="108" w:type="dxa"/>
        </w:tblCellMar>
      </w:tblPr>
      <w:tblGrid>
        <w:gridCol w:w="924"/>
        <w:gridCol w:w="1170"/>
        <w:gridCol w:w="2833"/>
        <w:gridCol w:w="5011"/>
      </w:tblGrid>
      <w:tr w14:paraId="37E49B58">
        <w:tblPrEx>
          <w:tblCellMar>
            <w:top w:w="0" w:type="dxa"/>
            <w:left w:w="108" w:type="dxa"/>
            <w:bottom w:w="0" w:type="dxa"/>
            <w:right w:w="108" w:type="dxa"/>
          </w:tblCellMar>
        </w:tblPrEx>
        <w:trPr>
          <w:trHeight w:val="609" w:hRule="atLeast"/>
          <w:jc w:val="center"/>
        </w:trPr>
        <w:tc>
          <w:tcPr>
            <w:tcW w:w="924" w:type="dxa"/>
            <w:tcBorders>
              <w:top w:val="single" w:color="auto" w:sz="4" w:space="0"/>
              <w:left w:val="single" w:color="auto" w:sz="4" w:space="0"/>
              <w:bottom w:val="single" w:color="auto" w:sz="4" w:space="0"/>
              <w:right w:val="single" w:color="000000" w:sz="4" w:space="0"/>
            </w:tcBorders>
            <w:noWrap w:val="0"/>
            <w:vAlign w:val="center"/>
          </w:tcPr>
          <w:p w14:paraId="74DCDE3D">
            <w:pPr>
              <w:pStyle w:val="87"/>
              <w:snapToGrid w:val="0"/>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条款号</w:t>
            </w:r>
          </w:p>
        </w:tc>
        <w:tc>
          <w:tcPr>
            <w:tcW w:w="9014" w:type="dxa"/>
            <w:gridSpan w:val="3"/>
            <w:tcBorders>
              <w:top w:val="single" w:color="auto" w:sz="4" w:space="0"/>
              <w:left w:val="nil"/>
              <w:bottom w:val="single" w:color="auto" w:sz="4" w:space="0"/>
              <w:right w:val="single" w:color="auto" w:sz="4" w:space="0"/>
            </w:tcBorders>
            <w:noWrap w:val="0"/>
            <w:vAlign w:val="center"/>
          </w:tcPr>
          <w:p w14:paraId="22B06B49">
            <w:pPr>
              <w:pStyle w:val="87"/>
              <w:snapToGrid w:val="0"/>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评审标准</w:t>
            </w:r>
          </w:p>
        </w:tc>
      </w:tr>
      <w:tr w14:paraId="55138EEC">
        <w:tblPrEx>
          <w:tblCellMar>
            <w:top w:w="0" w:type="dxa"/>
            <w:left w:w="108" w:type="dxa"/>
            <w:bottom w:w="0" w:type="dxa"/>
            <w:right w:w="108" w:type="dxa"/>
          </w:tblCellMar>
        </w:tblPrEx>
        <w:trPr>
          <w:trHeight w:val="453" w:hRule="atLeast"/>
          <w:jc w:val="center"/>
        </w:trPr>
        <w:tc>
          <w:tcPr>
            <w:tcW w:w="924" w:type="dxa"/>
            <w:vMerge w:val="restart"/>
            <w:tcBorders>
              <w:top w:val="single" w:color="auto" w:sz="4" w:space="0"/>
              <w:left w:val="single" w:color="auto" w:sz="4" w:space="0"/>
              <w:right w:val="single" w:color="auto" w:sz="4" w:space="0"/>
            </w:tcBorders>
            <w:noWrap w:val="0"/>
            <w:vAlign w:val="center"/>
          </w:tcPr>
          <w:p w14:paraId="3B6BAD02">
            <w:pPr>
              <w:widowControl/>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2.1.1</w:t>
            </w:r>
          </w:p>
        </w:tc>
        <w:tc>
          <w:tcPr>
            <w:tcW w:w="1170" w:type="dxa"/>
            <w:vMerge w:val="restart"/>
            <w:tcBorders>
              <w:top w:val="single" w:color="auto" w:sz="4" w:space="0"/>
              <w:left w:val="single" w:color="auto" w:sz="4" w:space="0"/>
              <w:right w:val="single" w:color="auto" w:sz="4" w:space="0"/>
            </w:tcBorders>
            <w:noWrap w:val="0"/>
            <w:vAlign w:val="center"/>
          </w:tcPr>
          <w:p w14:paraId="516F45F3">
            <w:pPr>
              <w:pStyle w:val="87"/>
              <w:snapToGrid w:val="0"/>
              <w:spacing w:line="360" w:lineRule="auto"/>
              <w:jc w:val="center"/>
              <w:outlineLvl w:val="9"/>
              <w:rPr>
                <w:rFonts w:hint="eastAsia" w:ascii="宋体" w:hAnsi="宋体" w:eastAsia="宋体" w:cs="宋体"/>
                <w:color w:val="auto"/>
                <w:spacing w:val="-6"/>
                <w:highlight w:val="none"/>
              </w:rPr>
            </w:pPr>
            <w:r>
              <w:rPr>
                <w:rFonts w:hint="eastAsia" w:ascii="宋体" w:hAnsi="宋体" w:eastAsia="宋体" w:cs="宋体"/>
                <w:color w:val="auto"/>
                <w:highlight w:val="none"/>
              </w:rPr>
              <w:t>资格评审</w:t>
            </w:r>
          </w:p>
        </w:tc>
        <w:tc>
          <w:tcPr>
            <w:tcW w:w="2833" w:type="dxa"/>
            <w:tcBorders>
              <w:top w:val="single" w:color="auto" w:sz="4" w:space="0"/>
              <w:left w:val="single" w:color="auto" w:sz="4" w:space="0"/>
              <w:bottom w:val="single" w:color="auto" w:sz="4" w:space="0"/>
              <w:right w:val="single" w:color="auto" w:sz="4" w:space="0"/>
            </w:tcBorders>
            <w:noWrap w:val="0"/>
            <w:vAlign w:val="center"/>
          </w:tcPr>
          <w:p w14:paraId="37F68D0C">
            <w:pPr>
              <w:pStyle w:val="87"/>
              <w:snapToGrid w:val="0"/>
              <w:spacing w:line="360" w:lineRule="auto"/>
              <w:jc w:val="center"/>
              <w:outlineLvl w:val="9"/>
              <w:rPr>
                <w:rFonts w:hint="eastAsia" w:ascii="宋体" w:hAnsi="宋体" w:eastAsia="宋体" w:cs="宋体"/>
                <w:b/>
                <w:color w:val="auto"/>
                <w:highlight w:val="none"/>
              </w:rPr>
            </w:pPr>
            <w:r>
              <w:rPr>
                <w:rFonts w:hint="eastAsia" w:ascii="宋体" w:hAnsi="宋体" w:eastAsia="宋体" w:cs="宋体"/>
                <w:b/>
                <w:color w:val="auto"/>
                <w:highlight w:val="none"/>
              </w:rPr>
              <w:t>评审因素</w:t>
            </w:r>
          </w:p>
        </w:tc>
        <w:tc>
          <w:tcPr>
            <w:tcW w:w="5011" w:type="dxa"/>
            <w:tcBorders>
              <w:top w:val="single" w:color="auto" w:sz="4" w:space="0"/>
              <w:left w:val="single" w:color="auto" w:sz="4" w:space="0"/>
              <w:bottom w:val="single" w:color="auto" w:sz="4" w:space="0"/>
              <w:right w:val="single" w:color="auto" w:sz="4" w:space="0"/>
            </w:tcBorders>
            <w:noWrap w:val="0"/>
            <w:vAlign w:val="center"/>
          </w:tcPr>
          <w:p w14:paraId="2DA5DFC6">
            <w:pPr>
              <w:pStyle w:val="87"/>
              <w:snapToGrid w:val="0"/>
              <w:spacing w:line="360" w:lineRule="auto"/>
              <w:jc w:val="left"/>
              <w:outlineLvl w:val="9"/>
              <w:rPr>
                <w:rFonts w:hint="eastAsia" w:ascii="宋体" w:hAnsi="宋体" w:eastAsia="宋体" w:cs="宋体"/>
                <w:b/>
                <w:color w:val="auto"/>
                <w:highlight w:val="none"/>
              </w:rPr>
            </w:pPr>
            <w:r>
              <w:rPr>
                <w:rFonts w:hint="eastAsia" w:ascii="宋体" w:hAnsi="宋体" w:eastAsia="宋体" w:cs="宋体"/>
                <w:b/>
                <w:color w:val="auto"/>
                <w:highlight w:val="none"/>
              </w:rPr>
              <w:t>评审标准</w:t>
            </w:r>
            <w:r>
              <w:rPr>
                <w:rFonts w:hint="eastAsia" w:ascii="宋体" w:hAnsi="宋体" w:eastAsia="宋体" w:cs="宋体"/>
                <w:b/>
                <w:bCs/>
                <w:color w:val="auto"/>
                <w:highlight w:val="none"/>
              </w:rPr>
              <w:t>（合格标准：缺少任何一项或有任何一项不合格者，其资格评审视为不合格）</w:t>
            </w:r>
          </w:p>
        </w:tc>
      </w:tr>
      <w:tr w14:paraId="7E563E7C">
        <w:tblPrEx>
          <w:tblCellMar>
            <w:top w:w="0" w:type="dxa"/>
            <w:left w:w="108" w:type="dxa"/>
            <w:bottom w:w="0" w:type="dxa"/>
            <w:right w:w="108" w:type="dxa"/>
          </w:tblCellMar>
        </w:tblPrEx>
        <w:trPr>
          <w:trHeight w:val="537" w:hRule="atLeast"/>
          <w:jc w:val="center"/>
        </w:trPr>
        <w:tc>
          <w:tcPr>
            <w:tcW w:w="924" w:type="dxa"/>
            <w:vMerge w:val="continue"/>
            <w:tcBorders>
              <w:left w:val="single" w:color="auto" w:sz="4" w:space="0"/>
              <w:right w:val="single" w:color="auto" w:sz="4" w:space="0"/>
            </w:tcBorders>
            <w:noWrap w:val="0"/>
            <w:vAlign w:val="center"/>
          </w:tcPr>
          <w:p w14:paraId="1B60D57E">
            <w:pPr>
              <w:widowControl/>
              <w:spacing w:line="360" w:lineRule="auto"/>
              <w:jc w:val="left"/>
              <w:outlineLvl w:val="9"/>
              <w:rPr>
                <w:rFonts w:hint="eastAsia" w:ascii="宋体" w:hAnsi="宋体" w:eastAsia="宋体" w:cs="宋体"/>
                <w:color w:val="auto"/>
                <w:highlight w:val="none"/>
              </w:rPr>
            </w:pPr>
          </w:p>
        </w:tc>
        <w:tc>
          <w:tcPr>
            <w:tcW w:w="1170" w:type="dxa"/>
            <w:vMerge w:val="continue"/>
            <w:tcBorders>
              <w:left w:val="single" w:color="auto" w:sz="4" w:space="0"/>
              <w:right w:val="single" w:color="auto" w:sz="4" w:space="0"/>
            </w:tcBorders>
            <w:noWrap w:val="0"/>
            <w:vAlign w:val="center"/>
          </w:tcPr>
          <w:p w14:paraId="3930132C">
            <w:pPr>
              <w:widowControl/>
              <w:spacing w:line="360" w:lineRule="auto"/>
              <w:jc w:val="left"/>
              <w:outlineLvl w:val="9"/>
              <w:rPr>
                <w:rFonts w:hint="eastAsia" w:ascii="宋体" w:hAnsi="宋体" w:eastAsia="宋体" w:cs="宋体"/>
                <w:color w:val="auto"/>
                <w:kern w:val="0"/>
                <w:highlight w:val="none"/>
              </w:rPr>
            </w:pPr>
          </w:p>
        </w:tc>
        <w:tc>
          <w:tcPr>
            <w:tcW w:w="2833" w:type="dxa"/>
            <w:tcBorders>
              <w:top w:val="single" w:color="auto" w:sz="4" w:space="0"/>
              <w:left w:val="single" w:color="auto" w:sz="4" w:space="0"/>
              <w:bottom w:val="single" w:color="auto" w:sz="4" w:space="0"/>
              <w:right w:val="single" w:color="auto" w:sz="4" w:space="0"/>
            </w:tcBorders>
            <w:noWrap w:val="0"/>
            <w:vAlign w:val="center"/>
          </w:tcPr>
          <w:p w14:paraId="68E8890A">
            <w:pPr>
              <w:pStyle w:val="87"/>
              <w:snapToGrid w:val="0"/>
              <w:spacing w:line="360" w:lineRule="auto"/>
              <w:ind w:left="720" w:hanging="720"/>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法定代表人、委托代理人身</w:t>
            </w:r>
          </w:p>
          <w:p w14:paraId="0E072B54">
            <w:pPr>
              <w:pStyle w:val="87"/>
              <w:snapToGrid w:val="0"/>
              <w:spacing w:line="360" w:lineRule="auto"/>
              <w:ind w:left="720" w:hanging="720"/>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份证明</w:t>
            </w:r>
          </w:p>
        </w:tc>
        <w:tc>
          <w:tcPr>
            <w:tcW w:w="5011" w:type="dxa"/>
            <w:tcBorders>
              <w:top w:val="single" w:color="auto" w:sz="4" w:space="0"/>
              <w:left w:val="single" w:color="auto" w:sz="4" w:space="0"/>
              <w:bottom w:val="single" w:color="auto" w:sz="4" w:space="0"/>
              <w:right w:val="single" w:color="auto" w:sz="4" w:space="0"/>
            </w:tcBorders>
            <w:noWrap w:val="0"/>
            <w:vAlign w:val="center"/>
          </w:tcPr>
          <w:p w14:paraId="6152B49D">
            <w:pPr>
              <w:pStyle w:val="87"/>
              <w:snapToGrid w:val="0"/>
              <w:spacing w:line="360" w:lineRule="auto"/>
              <w:outlineLvl w:val="9"/>
              <w:rPr>
                <w:rFonts w:hint="eastAsia" w:ascii="宋体" w:hAnsi="宋体" w:eastAsia="宋体" w:cs="宋体"/>
                <w:color w:val="auto"/>
                <w:highlight w:val="none"/>
              </w:rPr>
            </w:pPr>
            <w:r>
              <w:rPr>
                <w:rFonts w:hint="eastAsia" w:ascii="宋体" w:hAnsi="宋体" w:eastAsia="宋体" w:cs="宋体"/>
                <w:color w:val="auto"/>
                <w:highlight w:val="none"/>
              </w:rPr>
              <w:t>有效的法定代表人身份证复印件、法人授权委托书（附身份证复印件，社会保险缴纳证明材料授权代理时提供）</w:t>
            </w:r>
          </w:p>
        </w:tc>
      </w:tr>
      <w:tr w14:paraId="6DCF6D2B">
        <w:tblPrEx>
          <w:tblCellMar>
            <w:top w:w="0" w:type="dxa"/>
            <w:left w:w="108" w:type="dxa"/>
            <w:bottom w:w="0" w:type="dxa"/>
            <w:right w:w="108" w:type="dxa"/>
          </w:tblCellMar>
        </w:tblPrEx>
        <w:trPr>
          <w:trHeight w:val="537" w:hRule="atLeast"/>
          <w:jc w:val="center"/>
        </w:trPr>
        <w:tc>
          <w:tcPr>
            <w:tcW w:w="924" w:type="dxa"/>
            <w:vMerge w:val="continue"/>
            <w:tcBorders>
              <w:left w:val="single" w:color="auto" w:sz="4" w:space="0"/>
              <w:right w:val="single" w:color="auto" w:sz="4" w:space="0"/>
            </w:tcBorders>
            <w:noWrap w:val="0"/>
            <w:vAlign w:val="center"/>
          </w:tcPr>
          <w:p w14:paraId="1C21F95E">
            <w:pPr>
              <w:widowControl/>
              <w:spacing w:line="360" w:lineRule="auto"/>
              <w:jc w:val="left"/>
              <w:outlineLvl w:val="9"/>
              <w:rPr>
                <w:rFonts w:hint="eastAsia" w:ascii="宋体" w:hAnsi="宋体" w:eastAsia="宋体" w:cs="宋体"/>
                <w:color w:val="auto"/>
                <w:highlight w:val="none"/>
              </w:rPr>
            </w:pPr>
          </w:p>
        </w:tc>
        <w:tc>
          <w:tcPr>
            <w:tcW w:w="1170" w:type="dxa"/>
            <w:vMerge w:val="continue"/>
            <w:tcBorders>
              <w:left w:val="single" w:color="auto" w:sz="4" w:space="0"/>
              <w:right w:val="single" w:color="auto" w:sz="4" w:space="0"/>
            </w:tcBorders>
            <w:noWrap w:val="0"/>
            <w:vAlign w:val="center"/>
          </w:tcPr>
          <w:p w14:paraId="3BE0029D">
            <w:pPr>
              <w:widowControl/>
              <w:spacing w:line="360" w:lineRule="auto"/>
              <w:jc w:val="left"/>
              <w:outlineLvl w:val="9"/>
              <w:rPr>
                <w:rFonts w:hint="eastAsia" w:ascii="宋体" w:hAnsi="宋体" w:eastAsia="宋体" w:cs="宋体"/>
                <w:color w:val="auto"/>
                <w:kern w:val="0"/>
                <w:highlight w:val="none"/>
              </w:rPr>
            </w:pPr>
          </w:p>
        </w:tc>
        <w:tc>
          <w:tcPr>
            <w:tcW w:w="2833" w:type="dxa"/>
            <w:tcBorders>
              <w:top w:val="single" w:color="auto" w:sz="4" w:space="0"/>
              <w:left w:val="single" w:color="auto" w:sz="4" w:space="0"/>
              <w:bottom w:val="single" w:color="auto" w:sz="4" w:space="0"/>
              <w:right w:val="single" w:color="auto" w:sz="4" w:space="0"/>
            </w:tcBorders>
            <w:noWrap w:val="0"/>
            <w:vAlign w:val="center"/>
          </w:tcPr>
          <w:p w14:paraId="0AF5C5CD">
            <w:pPr>
              <w:pStyle w:val="87"/>
              <w:snapToGrid w:val="0"/>
              <w:spacing w:line="360" w:lineRule="auto"/>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无重大违法记录的书面声明</w:t>
            </w:r>
          </w:p>
        </w:tc>
        <w:tc>
          <w:tcPr>
            <w:tcW w:w="5011" w:type="dxa"/>
            <w:tcBorders>
              <w:top w:val="single" w:color="auto" w:sz="4" w:space="0"/>
              <w:left w:val="single" w:color="auto" w:sz="4" w:space="0"/>
              <w:bottom w:val="single" w:color="auto" w:sz="4" w:space="0"/>
              <w:right w:val="single" w:color="auto" w:sz="4" w:space="0"/>
            </w:tcBorders>
            <w:noWrap w:val="0"/>
            <w:vAlign w:val="center"/>
          </w:tcPr>
          <w:p w14:paraId="08692331">
            <w:pPr>
              <w:pStyle w:val="87"/>
              <w:snapToGrid w:val="0"/>
              <w:spacing w:line="360" w:lineRule="auto"/>
              <w:outlineLvl w:val="9"/>
              <w:rPr>
                <w:rFonts w:hint="eastAsia" w:ascii="宋体" w:hAnsi="宋体" w:eastAsia="宋体" w:cs="宋体"/>
                <w:bCs/>
                <w:color w:val="auto"/>
                <w:highlight w:val="none"/>
              </w:rPr>
            </w:pPr>
            <w:r>
              <w:rPr>
                <w:rFonts w:hint="eastAsia" w:ascii="宋体" w:hAnsi="宋体" w:eastAsia="宋体" w:cs="宋体"/>
                <w:color w:val="auto"/>
                <w:highlight w:val="none"/>
              </w:rPr>
              <w:t>竞标人参加政府采购活动前3年内在经营活动中没有重大违法记录的书面声明</w:t>
            </w:r>
          </w:p>
        </w:tc>
      </w:tr>
      <w:tr w14:paraId="105BBA4B">
        <w:tblPrEx>
          <w:tblCellMar>
            <w:top w:w="0" w:type="dxa"/>
            <w:left w:w="108" w:type="dxa"/>
            <w:bottom w:w="0" w:type="dxa"/>
            <w:right w:w="108" w:type="dxa"/>
          </w:tblCellMar>
        </w:tblPrEx>
        <w:trPr>
          <w:trHeight w:val="622" w:hRule="atLeast"/>
          <w:jc w:val="center"/>
        </w:trPr>
        <w:tc>
          <w:tcPr>
            <w:tcW w:w="924" w:type="dxa"/>
            <w:vMerge w:val="continue"/>
            <w:tcBorders>
              <w:left w:val="single" w:color="auto" w:sz="4" w:space="0"/>
              <w:right w:val="single" w:color="auto" w:sz="4" w:space="0"/>
            </w:tcBorders>
            <w:noWrap w:val="0"/>
            <w:vAlign w:val="center"/>
          </w:tcPr>
          <w:p w14:paraId="612BE129">
            <w:pPr>
              <w:widowControl/>
              <w:spacing w:line="360" w:lineRule="auto"/>
              <w:jc w:val="left"/>
              <w:outlineLvl w:val="9"/>
              <w:rPr>
                <w:rFonts w:hint="eastAsia" w:ascii="宋体" w:hAnsi="宋体" w:eastAsia="宋体" w:cs="宋体"/>
                <w:color w:val="auto"/>
                <w:highlight w:val="none"/>
              </w:rPr>
            </w:pPr>
          </w:p>
        </w:tc>
        <w:tc>
          <w:tcPr>
            <w:tcW w:w="1170" w:type="dxa"/>
            <w:vMerge w:val="continue"/>
            <w:tcBorders>
              <w:left w:val="single" w:color="auto" w:sz="4" w:space="0"/>
              <w:right w:val="single" w:color="auto" w:sz="4" w:space="0"/>
            </w:tcBorders>
            <w:noWrap w:val="0"/>
            <w:vAlign w:val="center"/>
          </w:tcPr>
          <w:p w14:paraId="7F213E42">
            <w:pPr>
              <w:widowControl/>
              <w:spacing w:line="360" w:lineRule="auto"/>
              <w:jc w:val="left"/>
              <w:outlineLvl w:val="9"/>
              <w:rPr>
                <w:rFonts w:hint="eastAsia" w:ascii="宋体" w:hAnsi="宋体" w:eastAsia="宋体" w:cs="宋体"/>
                <w:color w:val="auto"/>
                <w:kern w:val="0"/>
                <w:highlight w:val="none"/>
              </w:rPr>
            </w:pPr>
          </w:p>
        </w:tc>
        <w:tc>
          <w:tcPr>
            <w:tcW w:w="2833" w:type="dxa"/>
            <w:tcBorders>
              <w:top w:val="single" w:color="auto" w:sz="4" w:space="0"/>
              <w:left w:val="single" w:color="auto" w:sz="4" w:space="0"/>
              <w:bottom w:val="single" w:color="auto" w:sz="4" w:space="0"/>
              <w:right w:val="single" w:color="auto" w:sz="4" w:space="0"/>
            </w:tcBorders>
            <w:noWrap w:val="0"/>
            <w:vAlign w:val="center"/>
          </w:tcPr>
          <w:p w14:paraId="3C77D42E">
            <w:pPr>
              <w:pStyle w:val="87"/>
              <w:snapToGrid w:val="0"/>
              <w:spacing w:line="360" w:lineRule="auto"/>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营业执照</w:t>
            </w:r>
          </w:p>
        </w:tc>
        <w:tc>
          <w:tcPr>
            <w:tcW w:w="5011" w:type="dxa"/>
            <w:tcBorders>
              <w:top w:val="single" w:color="auto" w:sz="4" w:space="0"/>
              <w:left w:val="single" w:color="auto" w:sz="4" w:space="0"/>
              <w:bottom w:val="single" w:color="auto" w:sz="4" w:space="0"/>
              <w:right w:val="single" w:color="auto" w:sz="4" w:space="0"/>
            </w:tcBorders>
            <w:noWrap w:val="0"/>
            <w:vAlign w:val="center"/>
          </w:tcPr>
          <w:p w14:paraId="774B4CA5">
            <w:pPr>
              <w:pStyle w:val="87"/>
              <w:snapToGrid w:val="0"/>
              <w:spacing w:line="360" w:lineRule="auto"/>
              <w:outlineLvl w:val="9"/>
              <w:rPr>
                <w:rFonts w:hint="eastAsia" w:ascii="宋体" w:hAnsi="宋体" w:eastAsia="宋体" w:cs="宋体"/>
                <w:bCs/>
                <w:color w:val="auto"/>
                <w:highlight w:val="none"/>
              </w:rPr>
            </w:pPr>
            <w:r>
              <w:rPr>
                <w:rFonts w:hint="eastAsia" w:ascii="宋体" w:hAnsi="宋体" w:eastAsia="宋体" w:cs="宋体"/>
                <w:color w:val="auto"/>
                <w:highlight w:val="none"/>
              </w:rPr>
              <w:t>提供有效的营业执照复印件</w:t>
            </w:r>
          </w:p>
        </w:tc>
      </w:tr>
      <w:tr w14:paraId="2B80BBEB">
        <w:tblPrEx>
          <w:tblCellMar>
            <w:top w:w="0" w:type="dxa"/>
            <w:left w:w="108" w:type="dxa"/>
            <w:bottom w:w="0" w:type="dxa"/>
            <w:right w:w="108" w:type="dxa"/>
          </w:tblCellMar>
        </w:tblPrEx>
        <w:trPr>
          <w:trHeight w:val="624" w:hRule="atLeast"/>
          <w:jc w:val="center"/>
        </w:trPr>
        <w:tc>
          <w:tcPr>
            <w:tcW w:w="924" w:type="dxa"/>
            <w:vMerge w:val="continue"/>
            <w:tcBorders>
              <w:left w:val="single" w:color="auto" w:sz="4" w:space="0"/>
              <w:right w:val="single" w:color="auto" w:sz="4" w:space="0"/>
            </w:tcBorders>
            <w:noWrap w:val="0"/>
            <w:vAlign w:val="center"/>
          </w:tcPr>
          <w:p w14:paraId="40BF918B">
            <w:pPr>
              <w:widowControl/>
              <w:spacing w:line="360" w:lineRule="auto"/>
              <w:jc w:val="left"/>
              <w:outlineLvl w:val="9"/>
              <w:rPr>
                <w:rFonts w:hint="eastAsia" w:ascii="宋体" w:hAnsi="宋体" w:eastAsia="宋体" w:cs="宋体"/>
                <w:color w:val="auto"/>
                <w:highlight w:val="none"/>
              </w:rPr>
            </w:pPr>
          </w:p>
        </w:tc>
        <w:tc>
          <w:tcPr>
            <w:tcW w:w="1170" w:type="dxa"/>
            <w:vMerge w:val="continue"/>
            <w:tcBorders>
              <w:left w:val="single" w:color="auto" w:sz="4" w:space="0"/>
              <w:right w:val="single" w:color="auto" w:sz="4" w:space="0"/>
            </w:tcBorders>
            <w:noWrap w:val="0"/>
            <w:vAlign w:val="center"/>
          </w:tcPr>
          <w:p w14:paraId="52A1D9DE">
            <w:pPr>
              <w:widowControl/>
              <w:spacing w:line="360" w:lineRule="auto"/>
              <w:jc w:val="left"/>
              <w:outlineLvl w:val="9"/>
              <w:rPr>
                <w:rFonts w:hint="eastAsia" w:ascii="宋体" w:hAnsi="宋体" w:eastAsia="宋体" w:cs="宋体"/>
                <w:color w:val="auto"/>
                <w:kern w:val="0"/>
                <w:highlight w:val="none"/>
              </w:rPr>
            </w:pPr>
          </w:p>
        </w:tc>
        <w:tc>
          <w:tcPr>
            <w:tcW w:w="2833" w:type="dxa"/>
            <w:tcBorders>
              <w:top w:val="single" w:color="auto" w:sz="4" w:space="0"/>
              <w:left w:val="single" w:color="auto" w:sz="4" w:space="0"/>
              <w:bottom w:val="single" w:color="auto" w:sz="4" w:space="0"/>
              <w:right w:val="single" w:color="auto" w:sz="4" w:space="0"/>
            </w:tcBorders>
            <w:noWrap w:val="0"/>
            <w:vAlign w:val="center"/>
          </w:tcPr>
          <w:p w14:paraId="65ED414B">
            <w:pPr>
              <w:pStyle w:val="87"/>
              <w:snapToGrid w:val="0"/>
              <w:spacing w:line="360" w:lineRule="auto"/>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资质证书</w:t>
            </w:r>
          </w:p>
        </w:tc>
        <w:tc>
          <w:tcPr>
            <w:tcW w:w="5011" w:type="dxa"/>
            <w:tcBorders>
              <w:top w:val="single" w:color="auto" w:sz="4" w:space="0"/>
              <w:left w:val="single" w:color="auto" w:sz="4" w:space="0"/>
              <w:bottom w:val="single" w:color="auto" w:sz="4" w:space="0"/>
              <w:right w:val="single" w:color="auto" w:sz="4" w:space="0"/>
            </w:tcBorders>
            <w:noWrap w:val="0"/>
            <w:vAlign w:val="center"/>
          </w:tcPr>
          <w:p w14:paraId="20607630">
            <w:pPr>
              <w:pStyle w:val="87"/>
              <w:snapToGrid w:val="0"/>
              <w:spacing w:line="360" w:lineRule="auto"/>
              <w:outlineLvl w:val="9"/>
              <w:rPr>
                <w:rFonts w:hint="eastAsia" w:ascii="宋体" w:hAnsi="宋体" w:eastAsia="宋体" w:cs="宋体"/>
                <w:color w:val="auto"/>
                <w:highlight w:val="none"/>
              </w:rPr>
            </w:pPr>
            <w:r>
              <w:rPr>
                <w:rFonts w:hint="eastAsia" w:ascii="宋体" w:hAnsi="宋体" w:eastAsia="宋体" w:cs="宋体"/>
                <w:color w:val="auto"/>
                <w:highlight w:val="none"/>
              </w:rPr>
              <w:t>符合采购文件要求。</w:t>
            </w:r>
          </w:p>
        </w:tc>
      </w:tr>
      <w:tr w14:paraId="34709F96">
        <w:tblPrEx>
          <w:tblCellMar>
            <w:top w:w="0" w:type="dxa"/>
            <w:left w:w="108" w:type="dxa"/>
            <w:bottom w:w="0" w:type="dxa"/>
            <w:right w:w="108" w:type="dxa"/>
          </w:tblCellMar>
        </w:tblPrEx>
        <w:trPr>
          <w:trHeight w:val="497" w:hRule="atLeast"/>
          <w:jc w:val="center"/>
        </w:trPr>
        <w:tc>
          <w:tcPr>
            <w:tcW w:w="924" w:type="dxa"/>
            <w:vMerge w:val="continue"/>
            <w:tcBorders>
              <w:left w:val="single" w:color="auto" w:sz="4" w:space="0"/>
              <w:right w:val="single" w:color="auto" w:sz="4" w:space="0"/>
            </w:tcBorders>
            <w:noWrap w:val="0"/>
            <w:vAlign w:val="center"/>
          </w:tcPr>
          <w:p w14:paraId="2F79282C">
            <w:pPr>
              <w:widowControl/>
              <w:spacing w:line="360" w:lineRule="auto"/>
              <w:jc w:val="left"/>
              <w:outlineLvl w:val="9"/>
              <w:rPr>
                <w:rFonts w:hint="eastAsia" w:ascii="宋体" w:hAnsi="宋体" w:eastAsia="宋体" w:cs="宋体"/>
                <w:color w:val="auto"/>
                <w:highlight w:val="none"/>
              </w:rPr>
            </w:pPr>
          </w:p>
        </w:tc>
        <w:tc>
          <w:tcPr>
            <w:tcW w:w="1170" w:type="dxa"/>
            <w:vMerge w:val="continue"/>
            <w:tcBorders>
              <w:left w:val="single" w:color="auto" w:sz="4" w:space="0"/>
              <w:right w:val="single" w:color="auto" w:sz="4" w:space="0"/>
            </w:tcBorders>
            <w:noWrap w:val="0"/>
            <w:vAlign w:val="center"/>
          </w:tcPr>
          <w:p w14:paraId="3AB49D54">
            <w:pPr>
              <w:widowControl/>
              <w:spacing w:line="360" w:lineRule="auto"/>
              <w:jc w:val="left"/>
              <w:outlineLvl w:val="9"/>
              <w:rPr>
                <w:rFonts w:hint="eastAsia" w:ascii="宋体" w:hAnsi="宋体" w:eastAsia="宋体" w:cs="宋体"/>
                <w:color w:val="auto"/>
                <w:kern w:val="0"/>
                <w:highlight w:val="none"/>
              </w:rPr>
            </w:pPr>
          </w:p>
        </w:tc>
        <w:tc>
          <w:tcPr>
            <w:tcW w:w="2833" w:type="dxa"/>
            <w:tcBorders>
              <w:top w:val="single" w:color="auto" w:sz="4" w:space="0"/>
              <w:left w:val="single" w:color="auto" w:sz="4" w:space="0"/>
              <w:bottom w:val="single" w:color="auto" w:sz="4" w:space="0"/>
              <w:right w:val="single" w:color="auto" w:sz="4" w:space="0"/>
            </w:tcBorders>
            <w:noWrap w:val="0"/>
            <w:vAlign w:val="center"/>
          </w:tcPr>
          <w:p w14:paraId="2674DB9D">
            <w:pPr>
              <w:pStyle w:val="87"/>
              <w:snapToGrid w:val="0"/>
              <w:spacing w:line="360" w:lineRule="auto"/>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安全生产许可证</w:t>
            </w:r>
          </w:p>
        </w:tc>
        <w:tc>
          <w:tcPr>
            <w:tcW w:w="5011" w:type="dxa"/>
            <w:tcBorders>
              <w:top w:val="single" w:color="auto" w:sz="4" w:space="0"/>
              <w:left w:val="single" w:color="auto" w:sz="4" w:space="0"/>
              <w:bottom w:val="single" w:color="auto" w:sz="4" w:space="0"/>
              <w:right w:val="single" w:color="auto" w:sz="4" w:space="0"/>
            </w:tcBorders>
            <w:noWrap w:val="0"/>
            <w:vAlign w:val="center"/>
          </w:tcPr>
          <w:p w14:paraId="7F4CEDEE">
            <w:pPr>
              <w:pStyle w:val="87"/>
              <w:snapToGrid w:val="0"/>
              <w:spacing w:line="360" w:lineRule="auto"/>
              <w:outlineLvl w:val="9"/>
              <w:rPr>
                <w:rFonts w:hint="eastAsia" w:ascii="宋体" w:hAnsi="宋体" w:eastAsia="宋体" w:cs="宋体"/>
                <w:color w:val="auto"/>
                <w:highlight w:val="none"/>
              </w:rPr>
            </w:pPr>
            <w:r>
              <w:rPr>
                <w:rFonts w:hint="eastAsia" w:ascii="宋体" w:hAnsi="宋体" w:eastAsia="宋体" w:cs="宋体"/>
                <w:color w:val="auto"/>
                <w:highlight w:val="none"/>
              </w:rPr>
              <w:t>提供有效的安全生产许可证复印件。</w:t>
            </w:r>
          </w:p>
        </w:tc>
      </w:tr>
      <w:tr w14:paraId="3236FA81">
        <w:tblPrEx>
          <w:tblCellMar>
            <w:top w:w="0" w:type="dxa"/>
            <w:left w:w="108" w:type="dxa"/>
            <w:bottom w:w="0" w:type="dxa"/>
            <w:right w:w="108" w:type="dxa"/>
          </w:tblCellMar>
        </w:tblPrEx>
        <w:trPr>
          <w:trHeight w:val="560" w:hRule="atLeast"/>
          <w:jc w:val="center"/>
        </w:trPr>
        <w:tc>
          <w:tcPr>
            <w:tcW w:w="924" w:type="dxa"/>
            <w:vMerge w:val="continue"/>
            <w:tcBorders>
              <w:left w:val="single" w:color="auto" w:sz="4" w:space="0"/>
              <w:right w:val="single" w:color="auto" w:sz="4" w:space="0"/>
            </w:tcBorders>
            <w:noWrap w:val="0"/>
            <w:vAlign w:val="center"/>
          </w:tcPr>
          <w:p w14:paraId="7FB98A1D">
            <w:pPr>
              <w:widowControl/>
              <w:spacing w:line="360" w:lineRule="auto"/>
              <w:jc w:val="left"/>
              <w:outlineLvl w:val="9"/>
              <w:rPr>
                <w:rFonts w:hint="eastAsia" w:ascii="宋体" w:hAnsi="宋体" w:eastAsia="宋体" w:cs="宋体"/>
                <w:color w:val="auto"/>
                <w:highlight w:val="none"/>
              </w:rPr>
            </w:pPr>
          </w:p>
        </w:tc>
        <w:tc>
          <w:tcPr>
            <w:tcW w:w="1170" w:type="dxa"/>
            <w:vMerge w:val="continue"/>
            <w:tcBorders>
              <w:left w:val="single" w:color="auto" w:sz="4" w:space="0"/>
              <w:right w:val="single" w:color="auto" w:sz="4" w:space="0"/>
            </w:tcBorders>
            <w:noWrap w:val="0"/>
            <w:vAlign w:val="center"/>
          </w:tcPr>
          <w:p w14:paraId="4C0D6A33">
            <w:pPr>
              <w:widowControl/>
              <w:spacing w:line="360" w:lineRule="auto"/>
              <w:jc w:val="left"/>
              <w:outlineLvl w:val="9"/>
              <w:rPr>
                <w:rFonts w:hint="eastAsia" w:ascii="宋体" w:hAnsi="宋体" w:eastAsia="宋体" w:cs="宋体"/>
                <w:color w:val="auto"/>
                <w:kern w:val="0"/>
                <w:highlight w:val="none"/>
              </w:rPr>
            </w:pPr>
          </w:p>
        </w:tc>
        <w:tc>
          <w:tcPr>
            <w:tcW w:w="2833" w:type="dxa"/>
            <w:tcBorders>
              <w:top w:val="single" w:color="auto" w:sz="4" w:space="0"/>
              <w:left w:val="single" w:color="auto" w:sz="4" w:space="0"/>
              <w:bottom w:val="single" w:color="auto" w:sz="4" w:space="0"/>
              <w:right w:val="single" w:color="auto" w:sz="4" w:space="0"/>
            </w:tcBorders>
            <w:noWrap w:val="0"/>
            <w:vAlign w:val="center"/>
          </w:tcPr>
          <w:p w14:paraId="1B3A9223">
            <w:pPr>
              <w:pStyle w:val="87"/>
              <w:snapToGrid w:val="0"/>
              <w:spacing w:line="360" w:lineRule="auto"/>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财务状况报告</w:t>
            </w:r>
          </w:p>
        </w:tc>
        <w:tc>
          <w:tcPr>
            <w:tcW w:w="5011" w:type="dxa"/>
            <w:tcBorders>
              <w:top w:val="single" w:color="auto" w:sz="4" w:space="0"/>
              <w:left w:val="single" w:color="auto" w:sz="4" w:space="0"/>
              <w:bottom w:val="single" w:color="auto" w:sz="4" w:space="0"/>
              <w:right w:val="single" w:color="auto" w:sz="4" w:space="0"/>
            </w:tcBorders>
            <w:noWrap w:val="0"/>
            <w:vAlign w:val="center"/>
          </w:tcPr>
          <w:p w14:paraId="21350650">
            <w:pPr>
              <w:pStyle w:val="87"/>
              <w:snapToGrid w:val="0"/>
              <w:spacing w:line="360" w:lineRule="auto"/>
              <w:outlineLvl w:val="9"/>
              <w:rPr>
                <w:rFonts w:hint="eastAsia" w:ascii="宋体" w:hAnsi="宋体" w:eastAsia="宋体" w:cs="宋体"/>
                <w:color w:val="auto"/>
                <w:highlight w:val="none"/>
              </w:rPr>
            </w:pPr>
            <w:r>
              <w:rPr>
                <w:rFonts w:hint="eastAsia" w:ascii="宋体" w:hAnsi="宋体" w:eastAsia="宋体" w:cs="宋体"/>
                <w:color w:val="auto"/>
                <w:highlight w:val="none"/>
              </w:rPr>
              <w:t>按采购文件要求提供。</w:t>
            </w:r>
          </w:p>
        </w:tc>
      </w:tr>
      <w:tr w14:paraId="6EE0A8AA">
        <w:tblPrEx>
          <w:tblCellMar>
            <w:top w:w="0" w:type="dxa"/>
            <w:left w:w="108" w:type="dxa"/>
            <w:bottom w:w="0" w:type="dxa"/>
            <w:right w:w="108" w:type="dxa"/>
          </w:tblCellMar>
        </w:tblPrEx>
        <w:trPr>
          <w:trHeight w:val="560" w:hRule="atLeast"/>
          <w:jc w:val="center"/>
        </w:trPr>
        <w:tc>
          <w:tcPr>
            <w:tcW w:w="924" w:type="dxa"/>
            <w:vMerge w:val="continue"/>
            <w:tcBorders>
              <w:left w:val="single" w:color="auto" w:sz="4" w:space="0"/>
              <w:right w:val="single" w:color="auto" w:sz="4" w:space="0"/>
            </w:tcBorders>
            <w:noWrap w:val="0"/>
            <w:vAlign w:val="center"/>
          </w:tcPr>
          <w:p w14:paraId="6ADACEC1">
            <w:pPr>
              <w:widowControl/>
              <w:spacing w:line="360" w:lineRule="auto"/>
              <w:jc w:val="left"/>
              <w:outlineLvl w:val="9"/>
              <w:rPr>
                <w:rFonts w:hint="eastAsia" w:ascii="宋体" w:hAnsi="宋体" w:eastAsia="宋体" w:cs="宋体"/>
                <w:color w:val="auto"/>
                <w:highlight w:val="none"/>
              </w:rPr>
            </w:pPr>
          </w:p>
        </w:tc>
        <w:tc>
          <w:tcPr>
            <w:tcW w:w="1170" w:type="dxa"/>
            <w:vMerge w:val="continue"/>
            <w:tcBorders>
              <w:left w:val="single" w:color="auto" w:sz="4" w:space="0"/>
              <w:right w:val="single" w:color="auto" w:sz="4" w:space="0"/>
            </w:tcBorders>
            <w:noWrap w:val="0"/>
            <w:vAlign w:val="center"/>
          </w:tcPr>
          <w:p w14:paraId="2767DD2D">
            <w:pPr>
              <w:widowControl/>
              <w:spacing w:line="360" w:lineRule="auto"/>
              <w:jc w:val="left"/>
              <w:outlineLvl w:val="9"/>
              <w:rPr>
                <w:rFonts w:hint="eastAsia" w:ascii="宋体" w:hAnsi="宋体" w:eastAsia="宋体" w:cs="宋体"/>
                <w:color w:val="auto"/>
                <w:kern w:val="0"/>
                <w:highlight w:val="none"/>
              </w:rPr>
            </w:pPr>
          </w:p>
        </w:tc>
        <w:tc>
          <w:tcPr>
            <w:tcW w:w="2833" w:type="dxa"/>
            <w:tcBorders>
              <w:top w:val="single" w:color="auto" w:sz="4" w:space="0"/>
              <w:left w:val="single" w:color="auto" w:sz="4" w:space="0"/>
              <w:bottom w:val="single" w:color="auto" w:sz="4" w:space="0"/>
              <w:right w:val="single" w:color="auto" w:sz="4" w:space="0"/>
            </w:tcBorders>
            <w:noWrap w:val="0"/>
            <w:vAlign w:val="center"/>
          </w:tcPr>
          <w:p w14:paraId="04F6CF29">
            <w:pPr>
              <w:pStyle w:val="87"/>
              <w:snapToGrid w:val="0"/>
              <w:spacing w:line="360" w:lineRule="auto"/>
              <w:jc w:val="left"/>
              <w:outlineLvl w:val="9"/>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供应商近半年内任意一个月或任一季度依法缴纳税收的证明材料</w:t>
            </w:r>
          </w:p>
        </w:tc>
        <w:tc>
          <w:tcPr>
            <w:tcW w:w="5011" w:type="dxa"/>
            <w:tcBorders>
              <w:top w:val="single" w:color="auto" w:sz="4" w:space="0"/>
              <w:left w:val="single" w:color="auto" w:sz="4" w:space="0"/>
              <w:bottom w:val="single" w:color="auto" w:sz="4" w:space="0"/>
              <w:right w:val="single" w:color="auto" w:sz="4" w:space="0"/>
            </w:tcBorders>
            <w:noWrap w:val="0"/>
            <w:vAlign w:val="center"/>
          </w:tcPr>
          <w:p w14:paraId="3D7BDFE4">
            <w:pPr>
              <w:pStyle w:val="87"/>
              <w:snapToGrid w:val="0"/>
              <w:spacing w:line="360" w:lineRule="auto"/>
              <w:outlineLvl w:val="9"/>
              <w:rPr>
                <w:rFonts w:hint="eastAsia" w:ascii="宋体" w:hAnsi="宋体" w:eastAsia="宋体" w:cs="宋体"/>
                <w:color w:val="auto"/>
                <w:highlight w:val="none"/>
              </w:rPr>
            </w:pPr>
            <w:r>
              <w:rPr>
                <w:rFonts w:hint="eastAsia" w:ascii="宋体" w:hAnsi="宋体" w:eastAsia="宋体" w:cs="宋体"/>
                <w:color w:val="auto"/>
                <w:highlight w:val="none"/>
              </w:rPr>
              <w:t>按采购文件要求提供。</w:t>
            </w:r>
          </w:p>
        </w:tc>
      </w:tr>
      <w:tr w14:paraId="1E8D1E0A">
        <w:tblPrEx>
          <w:tblCellMar>
            <w:top w:w="0" w:type="dxa"/>
            <w:left w:w="108" w:type="dxa"/>
            <w:bottom w:w="0" w:type="dxa"/>
            <w:right w:w="108" w:type="dxa"/>
          </w:tblCellMar>
        </w:tblPrEx>
        <w:trPr>
          <w:trHeight w:val="560" w:hRule="atLeast"/>
          <w:jc w:val="center"/>
        </w:trPr>
        <w:tc>
          <w:tcPr>
            <w:tcW w:w="924" w:type="dxa"/>
            <w:vMerge w:val="continue"/>
            <w:tcBorders>
              <w:left w:val="single" w:color="auto" w:sz="4" w:space="0"/>
              <w:right w:val="single" w:color="auto" w:sz="4" w:space="0"/>
            </w:tcBorders>
            <w:noWrap w:val="0"/>
            <w:vAlign w:val="center"/>
          </w:tcPr>
          <w:p w14:paraId="3B3E340F">
            <w:pPr>
              <w:widowControl/>
              <w:spacing w:line="360" w:lineRule="auto"/>
              <w:jc w:val="left"/>
              <w:outlineLvl w:val="9"/>
              <w:rPr>
                <w:rFonts w:hint="eastAsia" w:ascii="宋体" w:hAnsi="宋体" w:eastAsia="宋体" w:cs="宋体"/>
                <w:color w:val="auto"/>
                <w:highlight w:val="none"/>
              </w:rPr>
            </w:pPr>
          </w:p>
        </w:tc>
        <w:tc>
          <w:tcPr>
            <w:tcW w:w="1170" w:type="dxa"/>
            <w:vMerge w:val="continue"/>
            <w:tcBorders>
              <w:left w:val="single" w:color="auto" w:sz="4" w:space="0"/>
              <w:right w:val="single" w:color="auto" w:sz="4" w:space="0"/>
            </w:tcBorders>
            <w:noWrap w:val="0"/>
            <w:vAlign w:val="center"/>
          </w:tcPr>
          <w:p w14:paraId="3FDC8940">
            <w:pPr>
              <w:widowControl/>
              <w:spacing w:line="360" w:lineRule="auto"/>
              <w:jc w:val="left"/>
              <w:outlineLvl w:val="9"/>
              <w:rPr>
                <w:rFonts w:hint="eastAsia" w:ascii="宋体" w:hAnsi="宋体" w:eastAsia="宋体" w:cs="宋体"/>
                <w:color w:val="auto"/>
                <w:kern w:val="0"/>
                <w:highlight w:val="none"/>
              </w:rPr>
            </w:pPr>
          </w:p>
        </w:tc>
        <w:tc>
          <w:tcPr>
            <w:tcW w:w="2833" w:type="dxa"/>
            <w:tcBorders>
              <w:top w:val="single" w:color="auto" w:sz="4" w:space="0"/>
              <w:left w:val="single" w:color="auto" w:sz="4" w:space="0"/>
              <w:bottom w:val="single" w:color="auto" w:sz="4" w:space="0"/>
              <w:right w:val="single" w:color="auto" w:sz="4" w:space="0"/>
            </w:tcBorders>
            <w:noWrap w:val="0"/>
            <w:vAlign w:val="center"/>
          </w:tcPr>
          <w:p w14:paraId="0335690A">
            <w:pPr>
              <w:pStyle w:val="87"/>
              <w:snapToGrid w:val="0"/>
              <w:spacing w:line="360" w:lineRule="auto"/>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供应商的中小企业声明函</w:t>
            </w:r>
          </w:p>
        </w:tc>
        <w:tc>
          <w:tcPr>
            <w:tcW w:w="5011" w:type="dxa"/>
            <w:tcBorders>
              <w:top w:val="single" w:color="auto" w:sz="4" w:space="0"/>
              <w:left w:val="single" w:color="auto" w:sz="4" w:space="0"/>
              <w:bottom w:val="single" w:color="auto" w:sz="4" w:space="0"/>
              <w:right w:val="single" w:color="auto" w:sz="4" w:space="0"/>
            </w:tcBorders>
            <w:noWrap w:val="0"/>
            <w:vAlign w:val="center"/>
          </w:tcPr>
          <w:p w14:paraId="5D4C8356">
            <w:pPr>
              <w:pStyle w:val="87"/>
              <w:snapToGrid w:val="0"/>
              <w:spacing w:line="360" w:lineRule="auto"/>
              <w:outlineLvl w:val="9"/>
              <w:rPr>
                <w:rFonts w:hint="eastAsia" w:ascii="宋体" w:hAnsi="宋体" w:eastAsia="宋体" w:cs="宋体"/>
                <w:color w:val="auto"/>
                <w:highlight w:val="none"/>
              </w:rPr>
            </w:pPr>
            <w:r>
              <w:rPr>
                <w:rFonts w:hint="eastAsia" w:ascii="宋体" w:hAnsi="宋体" w:eastAsia="宋体" w:cs="宋体"/>
                <w:color w:val="auto"/>
                <w:highlight w:val="none"/>
              </w:rPr>
              <w:t>按采购文件要求提供。</w:t>
            </w:r>
          </w:p>
        </w:tc>
      </w:tr>
      <w:tr w14:paraId="06E6D554">
        <w:tblPrEx>
          <w:tblCellMar>
            <w:top w:w="0" w:type="dxa"/>
            <w:left w:w="108" w:type="dxa"/>
            <w:bottom w:w="0" w:type="dxa"/>
            <w:right w:w="108" w:type="dxa"/>
          </w:tblCellMar>
        </w:tblPrEx>
        <w:trPr>
          <w:trHeight w:val="560" w:hRule="atLeast"/>
          <w:jc w:val="center"/>
        </w:trPr>
        <w:tc>
          <w:tcPr>
            <w:tcW w:w="924" w:type="dxa"/>
            <w:vMerge w:val="continue"/>
            <w:tcBorders>
              <w:left w:val="single" w:color="auto" w:sz="4" w:space="0"/>
              <w:right w:val="single" w:color="auto" w:sz="4" w:space="0"/>
            </w:tcBorders>
            <w:noWrap w:val="0"/>
            <w:vAlign w:val="center"/>
          </w:tcPr>
          <w:p w14:paraId="1FD1A279">
            <w:pPr>
              <w:widowControl/>
              <w:spacing w:line="360" w:lineRule="auto"/>
              <w:jc w:val="left"/>
              <w:outlineLvl w:val="9"/>
              <w:rPr>
                <w:rFonts w:hint="eastAsia" w:ascii="宋体" w:hAnsi="宋体" w:eastAsia="宋体" w:cs="宋体"/>
                <w:color w:val="auto"/>
                <w:highlight w:val="none"/>
              </w:rPr>
            </w:pPr>
          </w:p>
        </w:tc>
        <w:tc>
          <w:tcPr>
            <w:tcW w:w="1170" w:type="dxa"/>
            <w:vMerge w:val="continue"/>
            <w:tcBorders>
              <w:left w:val="single" w:color="auto" w:sz="4" w:space="0"/>
              <w:right w:val="single" w:color="auto" w:sz="4" w:space="0"/>
            </w:tcBorders>
            <w:noWrap w:val="0"/>
            <w:vAlign w:val="center"/>
          </w:tcPr>
          <w:p w14:paraId="392309F6">
            <w:pPr>
              <w:widowControl/>
              <w:spacing w:line="360" w:lineRule="auto"/>
              <w:jc w:val="left"/>
              <w:outlineLvl w:val="9"/>
              <w:rPr>
                <w:rFonts w:hint="eastAsia" w:ascii="宋体" w:hAnsi="宋体" w:eastAsia="宋体" w:cs="宋体"/>
                <w:color w:val="auto"/>
                <w:kern w:val="0"/>
                <w:highlight w:val="none"/>
              </w:rPr>
            </w:pPr>
          </w:p>
        </w:tc>
        <w:tc>
          <w:tcPr>
            <w:tcW w:w="2833" w:type="dxa"/>
            <w:tcBorders>
              <w:top w:val="single" w:color="auto" w:sz="4" w:space="0"/>
              <w:left w:val="single" w:color="auto" w:sz="4" w:space="0"/>
              <w:bottom w:val="single" w:color="auto" w:sz="4" w:space="0"/>
              <w:right w:val="single" w:color="auto" w:sz="4" w:space="0"/>
            </w:tcBorders>
            <w:noWrap w:val="0"/>
            <w:vAlign w:val="center"/>
          </w:tcPr>
          <w:p w14:paraId="7A76D329">
            <w:pPr>
              <w:pStyle w:val="87"/>
              <w:snapToGrid w:val="0"/>
              <w:spacing w:line="360" w:lineRule="auto"/>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以工代赈项目履约承诺函</w:t>
            </w:r>
          </w:p>
        </w:tc>
        <w:tc>
          <w:tcPr>
            <w:tcW w:w="5011" w:type="dxa"/>
            <w:tcBorders>
              <w:top w:val="single" w:color="auto" w:sz="4" w:space="0"/>
              <w:left w:val="single" w:color="auto" w:sz="4" w:space="0"/>
              <w:bottom w:val="single" w:color="auto" w:sz="4" w:space="0"/>
              <w:right w:val="single" w:color="auto" w:sz="4" w:space="0"/>
            </w:tcBorders>
            <w:noWrap w:val="0"/>
            <w:vAlign w:val="center"/>
          </w:tcPr>
          <w:p w14:paraId="52190B06">
            <w:pPr>
              <w:pStyle w:val="87"/>
              <w:snapToGrid w:val="0"/>
              <w:spacing w:line="360" w:lineRule="auto"/>
              <w:outlineLvl w:val="9"/>
              <w:rPr>
                <w:rFonts w:hint="eastAsia" w:ascii="宋体" w:hAnsi="宋体" w:eastAsia="宋体" w:cs="宋体"/>
                <w:color w:val="auto"/>
                <w:highlight w:val="none"/>
              </w:rPr>
            </w:pPr>
            <w:r>
              <w:rPr>
                <w:rFonts w:hint="eastAsia" w:ascii="宋体" w:hAnsi="宋体" w:eastAsia="宋体" w:cs="宋体"/>
                <w:color w:val="auto"/>
                <w:highlight w:val="none"/>
              </w:rPr>
              <w:t>按采购文件要求提供。</w:t>
            </w:r>
          </w:p>
        </w:tc>
      </w:tr>
      <w:tr w14:paraId="6DBCA4C7">
        <w:tblPrEx>
          <w:tblCellMar>
            <w:top w:w="0" w:type="dxa"/>
            <w:left w:w="108" w:type="dxa"/>
            <w:bottom w:w="0" w:type="dxa"/>
            <w:right w:w="108" w:type="dxa"/>
          </w:tblCellMar>
        </w:tblPrEx>
        <w:trPr>
          <w:trHeight w:val="487" w:hRule="atLeast"/>
          <w:jc w:val="center"/>
        </w:trPr>
        <w:tc>
          <w:tcPr>
            <w:tcW w:w="924" w:type="dxa"/>
            <w:vMerge w:val="restart"/>
            <w:tcBorders>
              <w:top w:val="single" w:color="auto" w:sz="4" w:space="0"/>
              <w:left w:val="single" w:color="000000" w:sz="4" w:space="0"/>
              <w:bottom w:val="single" w:color="auto" w:sz="4" w:space="0"/>
              <w:right w:val="single" w:color="000000" w:sz="4" w:space="0"/>
            </w:tcBorders>
            <w:noWrap w:val="0"/>
            <w:vAlign w:val="center"/>
          </w:tcPr>
          <w:p w14:paraId="4EAFB011">
            <w:pPr>
              <w:spacing w:line="360" w:lineRule="auto"/>
              <w:jc w:val="center"/>
              <w:outlineLvl w:val="9"/>
              <w:rPr>
                <w:rFonts w:hint="eastAsia" w:ascii="宋体" w:hAnsi="宋体" w:eastAsia="宋体" w:cs="宋体"/>
                <w:b/>
                <w:color w:val="auto"/>
                <w:highlight w:val="none"/>
              </w:rPr>
            </w:pPr>
            <w:r>
              <w:rPr>
                <w:rFonts w:hint="eastAsia" w:ascii="宋体" w:hAnsi="宋体" w:eastAsia="宋体" w:cs="宋体"/>
                <w:bCs/>
                <w:color w:val="auto"/>
                <w:highlight w:val="none"/>
              </w:rPr>
              <w:t>2.1.2</w:t>
            </w:r>
          </w:p>
        </w:tc>
        <w:tc>
          <w:tcPr>
            <w:tcW w:w="1170" w:type="dxa"/>
            <w:vMerge w:val="restart"/>
            <w:tcBorders>
              <w:top w:val="single" w:color="auto" w:sz="4" w:space="0"/>
              <w:left w:val="single" w:color="000000" w:sz="4" w:space="0"/>
              <w:bottom w:val="single" w:color="auto" w:sz="4" w:space="0"/>
              <w:right w:val="single" w:color="000000" w:sz="4" w:space="0"/>
            </w:tcBorders>
            <w:noWrap w:val="0"/>
            <w:vAlign w:val="center"/>
          </w:tcPr>
          <w:p w14:paraId="539D3558">
            <w:pPr>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符合性评审</w:t>
            </w:r>
          </w:p>
        </w:tc>
        <w:tc>
          <w:tcPr>
            <w:tcW w:w="2833" w:type="dxa"/>
            <w:tcBorders>
              <w:top w:val="single" w:color="auto" w:sz="4" w:space="0"/>
              <w:left w:val="single" w:color="000000" w:sz="4" w:space="0"/>
              <w:bottom w:val="single" w:color="000000" w:sz="4" w:space="0"/>
              <w:right w:val="single" w:color="000000" w:sz="4" w:space="0"/>
            </w:tcBorders>
            <w:noWrap w:val="0"/>
            <w:vAlign w:val="center"/>
          </w:tcPr>
          <w:p w14:paraId="32BA3ED0">
            <w:pPr>
              <w:spacing w:line="360" w:lineRule="auto"/>
              <w:outlineLvl w:val="9"/>
              <w:rPr>
                <w:rFonts w:hint="eastAsia" w:ascii="宋体" w:hAnsi="宋体" w:eastAsia="宋体" w:cs="宋体"/>
                <w:b/>
                <w:bCs/>
                <w:color w:val="auto"/>
                <w:highlight w:val="none"/>
              </w:rPr>
            </w:pPr>
            <w:r>
              <w:rPr>
                <w:rFonts w:hint="eastAsia" w:ascii="宋体" w:hAnsi="宋体" w:eastAsia="宋体" w:cs="宋体"/>
                <w:b/>
                <w:bCs/>
                <w:color w:val="auto"/>
                <w:highlight w:val="none"/>
              </w:rPr>
              <w:t>评审因素</w:t>
            </w:r>
          </w:p>
        </w:tc>
        <w:tc>
          <w:tcPr>
            <w:tcW w:w="5011" w:type="dxa"/>
            <w:tcBorders>
              <w:top w:val="single" w:color="auto" w:sz="4" w:space="0"/>
              <w:left w:val="single" w:color="000000" w:sz="4" w:space="0"/>
              <w:bottom w:val="single" w:color="000000" w:sz="4" w:space="0"/>
              <w:right w:val="single" w:color="000000" w:sz="4" w:space="0"/>
            </w:tcBorders>
            <w:noWrap w:val="0"/>
            <w:vAlign w:val="center"/>
          </w:tcPr>
          <w:p w14:paraId="13A378C5">
            <w:pPr>
              <w:spacing w:line="360" w:lineRule="auto"/>
              <w:outlineLvl w:val="9"/>
              <w:rPr>
                <w:rFonts w:hint="eastAsia" w:ascii="宋体" w:hAnsi="宋体" w:eastAsia="宋体" w:cs="宋体"/>
                <w:b/>
                <w:bCs/>
                <w:color w:val="auto"/>
                <w:highlight w:val="none"/>
              </w:rPr>
            </w:pPr>
            <w:r>
              <w:rPr>
                <w:rFonts w:hint="eastAsia" w:ascii="宋体" w:hAnsi="宋体" w:eastAsia="宋体" w:cs="宋体"/>
                <w:b/>
                <w:bCs/>
                <w:color w:val="auto"/>
                <w:highlight w:val="none"/>
              </w:rPr>
              <w:t>评审标准（合格标准：缺少任何一项或有任何一项不合格者，其符合性评审视为不合格）</w:t>
            </w:r>
          </w:p>
        </w:tc>
      </w:tr>
      <w:tr w14:paraId="60D4F251">
        <w:tblPrEx>
          <w:tblCellMar>
            <w:top w:w="0" w:type="dxa"/>
            <w:left w:w="108" w:type="dxa"/>
            <w:bottom w:w="0" w:type="dxa"/>
            <w:right w:w="108" w:type="dxa"/>
          </w:tblCellMar>
        </w:tblPrEx>
        <w:trPr>
          <w:trHeight w:val="515" w:hRule="atLeast"/>
          <w:jc w:val="center"/>
        </w:trPr>
        <w:tc>
          <w:tcPr>
            <w:tcW w:w="924" w:type="dxa"/>
            <w:vMerge w:val="continue"/>
            <w:tcBorders>
              <w:top w:val="single" w:color="auto" w:sz="4" w:space="0"/>
              <w:left w:val="single" w:color="000000" w:sz="4" w:space="0"/>
              <w:bottom w:val="single" w:color="auto" w:sz="4" w:space="0"/>
              <w:right w:val="single" w:color="000000" w:sz="4" w:space="0"/>
            </w:tcBorders>
            <w:noWrap w:val="0"/>
            <w:vAlign w:val="center"/>
          </w:tcPr>
          <w:p w14:paraId="019A6130">
            <w:pPr>
              <w:spacing w:line="360" w:lineRule="auto"/>
              <w:outlineLvl w:val="9"/>
              <w:rPr>
                <w:rFonts w:hint="eastAsia" w:ascii="宋体" w:hAnsi="宋体" w:eastAsia="宋体" w:cs="宋体"/>
                <w:color w:val="auto"/>
                <w:highlight w:val="none"/>
              </w:rPr>
            </w:pPr>
          </w:p>
        </w:tc>
        <w:tc>
          <w:tcPr>
            <w:tcW w:w="1170" w:type="dxa"/>
            <w:vMerge w:val="continue"/>
            <w:tcBorders>
              <w:top w:val="single" w:color="auto" w:sz="4" w:space="0"/>
              <w:left w:val="single" w:color="000000" w:sz="4" w:space="0"/>
              <w:bottom w:val="single" w:color="auto" w:sz="4" w:space="0"/>
              <w:right w:val="single" w:color="000000" w:sz="4" w:space="0"/>
            </w:tcBorders>
            <w:noWrap w:val="0"/>
            <w:vAlign w:val="center"/>
          </w:tcPr>
          <w:p w14:paraId="56133FF2">
            <w:pPr>
              <w:spacing w:line="360" w:lineRule="auto"/>
              <w:outlineLvl w:val="9"/>
              <w:rPr>
                <w:rFonts w:hint="eastAsia" w:ascii="宋体" w:hAnsi="宋体" w:eastAsia="宋体" w:cs="宋体"/>
                <w:color w:val="auto"/>
                <w:highlight w:val="none"/>
              </w:rPr>
            </w:pPr>
          </w:p>
        </w:tc>
        <w:tc>
          <w:tcPr>
            <w:tcW w:w="2833" w:type="dxa"/>
            <w:tcBorders>
              <w:top w:val="single" w:color="000000" w:sz="4" w:space="0"/>
              <w:left w:val="single" w:color="000000" w:sz="4" w:space="0"/>
              <w:bottom w:val="single" w:color="000000" w:sz="4" w:space="0"/>
              <w:right w:val="single" w:color="000000" w:sz="4" w:space="0"/>
            </w:tcBorders>
            <w:noWrap w:val="0"/>
            <w:vAlign w:val="center"/>
          </w:tcPr>
          <w:p w14:paraId="306396A1">
            <w:pPr>
              <w:spacing w:line="360" w:lineRule="auto"/>
              <w:outlineLvl w:val="9"/>
              <w:rPr>
                <w:rFonts w:hint="eastAsia" w:ascii="宋体" w:hAnsi="宋体" w:eastAsia="宋体" w:cs="宋体"/>
                <w:color w:val="auto"/>
                <w:highlight w:val="none"/>
              </w:rPr>
            </w:pPr>
            <w:r>
              <w:rPr>
                <w:rFonts w:hint="eastAsia" w:ascii="宋体" w:hAnsi="宋体" w:eastAsia="宋体" w:cs="宋体"/>
                <w:color w:val="auto"/>
                <w:kern w:val="0"/>
                <w:highlight w:val="none"/>
              </w:rPr>
              <w:t>响应函</w:t>
            </w:r>
          </w:p>
        </w:tc>
        <w:tc>
          <w:tcPr>
            <w:tcW w:w="5011" w:type="dxa"/>
            <w:tcBorders>
              <w:top w:val="single" w:color="000000" w:sz="4" w:space="0"/>
              <w:left w:val="single" w:color="000000" w:sz="4" w:space="0"/>
              <w:bottom w:val="single" w:color="000000" w:sz="4" w:space="0"/>
              <w:right w:val="single" w:color="000000" w:sz="4" w:space="0"/>
            </w:tcBorders>
            <w:noWrap w:val="0"/>
            <w:vAlign w:val="center"/>
          </w:tcPr>
          <w:p w14:paraId="42A9AB2E">
            <w:pPr>
              <w:spacing w:line="360" w:lineRule="auto"/>
              <w:outlineLvl w:val="9"/>
              <w:rPr>
                <w:rFonts w:hint="eastAsia" w:ascii="宋体" w:hAnsi="宋体" w:eastAsia="宋体" w:cs="宋体"/>
                <w:color w:val="auto"/>
                <w:highlight w:val="none"/>
              </w:rPr>
            </w:pPr>
            <w:r>
              <w:rPr>
                <w:rFonts w:hint="eastAsia" w:ascii="宋体" w:hAnsi="宋体" w:eastAsia="宋体" w:cs="宋体"/>
                <w:color w:val="auto"/>
                <w:kern w:val="0"/>
                <w:highlight w:val="none"/>
              </w:rPr>
              <w:t>必须提供</w:t>
            </w:r>
          </w:p>
        </w:tc>
      </w:tr>
      <w:tr w14:paraId="21935734">
        <w:tblPrEx>
          <w:tblCellMar>
            <w:top w:w="0" w:type="dxa"/>
            <w:left w:w="108" w:type="dxa"/>
            <w:bottom w:w="0" w:type="dxa"/>
            <w:right w:w="108" w:type="dxa"/>
          </w:tblCellMar>
        </w:tblPrEx>
        <w:trPr>
          <w:trHeight w:val="525" w:hRule="atLeast"/>
          <w:jc w:val="center"/>
        </w:trPr>
        <w:tc>
          <w:tcPr>
            <w:tcW w:w="924" w:type="dxa"/>
            <w:vMerge w:val="continue"/>
            <w:tcBorders>
              <w:top w:val="single" w:color="auto" w:sz="4" w:space="0"/>
              <w:left w:val="single" w:color="000000" w:sz="4" w:space="0"/>
              <w:bottom w:val="single" w:color="auto" w:sz="4" w:space="0"/>
              <w:right w:val="single" w:color="000000" w:sz="4" w:space="0"/>
            </w:tcBorders>
            <w:noWrap w:val="0"/>
            <w:vAlign w:val="center"/>
          </w:tcPr>
          <w:p w14:paraId="42BB3EA6">
            <w:pPr>
              <w:widowControl/>
              <w:spacing w:line="360" w:lineRule="auto"/>
              <w:jc w:val="left"/>
              <w:outlineLvl w:val="9"/>
              <w:rPr>
                <w:rFonts w:hint="eastAsia" w:ascii="宋体" w:hAnsi="宋体" w:eastAsia="宋体" w:cs="宋体"/>
                <w:color w:val="auto"/>
                <w:highlight w:val="none"/>
              </w:rPr>
            </w:pPr>
          </w:p>
        </w:tc>
        <w:tc>
          <w:tcPr>
            <w:tcW w:w="1170" w:type="dxa"/>
            <w:vMerge w:val="continue"/>
            <w:tcBorders>
              <w:top w:val="single" w:color="auto" w:sz="4" w:space="0"/>
              <w:left w:val="single" w:color="000000" w:sz="4" w:space="0"/>
              <w:bottom w:val="single" w:color="auto" w:sz="4" w:space="0"/>
              <w:right w:val="single" w:color="000000" w:sz="4" w:space="0"/>
            </w:tcBorders>
            <w:noWrap w:val="0"/>
            <w:vAlign w:val="center"/>
          </w:tcPr>
          <w:p w14:paraId="6A1C15A2">
            <w:pPr>
              <w:widowControl/>
              <w:spacing w:line="360" w:lineRule="auto"/>
              <w:jc w:val="left"/>
              <w:outlineLvl w:val="9"/>
              <w:rPr>
                <w:rFonts w:hint="eastAsia" w:ascii="宋体" w:hAnsi="宋体" w:eastAsia="宋体" w:cs="宋体"/>
                <w:color w:val="auto"/>
                <w:highlight w:val="none"/>
              </w:rPr>
            </w:pPr>
          </w:p>
        </w:tc>
        <w:tc>
          <w:tcPr>
            <w:tcW w:w="2833" w:type="dxa"/>
            <w:tcBorders>
              <w:top w:val="single" w:color="000000" w:sz="4" w:space="0"/>
              <w:left w:val="single" w:color="000000" w:sz="4" w:space="0"/>
              <w:bottom w:val="single" w:color="auto" w:sz="4" w:space="0"/>
              <w:right w:val="single" w:color="000000" w:sz="4" w:space="0"/>
            </w:tcBorders>
            <w:noWrap w:val="0"/>
            <w:vAlign w:val="center"/>
          </w:tcPr>
          <w:p w14:paraId="7211F271">
            <w:pPr>
              <w:spacing w:line="360" w:lineRule="auto"/>
              <w:outlineLvl w:val="9"/>
              <w:rPr>
                <w:rFonts w:hint="eastAsia" w:ascii="宋体" w:hAnsi="宋体" w:eastAsia="宋体" w:cs="宋体"/>
                <w:color w:val="auto"/>
                <w:highlight w:val="none"/>
              </w:rPr>
            </w:pPr>
            <w:r>
              <w:rPr>
                <w:rFonts w:hint="eastAsia" w:ascii="宋体" w:hAnsi="宋体" w:eastAsia="宋体" w:cs="宋体"/>
                <w:color w:val="auto"/>
                <w:highlight w:val="none"/>
              </w:rPr>
              <w:t>已标价工程量清单</w:t>
            </w:r>
          </w:p>
        </w:tc>
        <w:tc>
          <w:tcPr>
            <w:tcW w:w="5011" w:type="dxa"/>
            <w:tcBorders>
              <w:top w:val="single" w:color="000000" w:sz="4" w:space="0"/>
              <w:left w:val="single" w:color="000000" w:sz="4" w:space="0"/>
              <w:bottom w:val="single" w:color="000000" w:sz="4" w:space="0"/>
              <w:right w:val="single" w:color="000000" w:sz="4" w:space="0"/>
            </w:tcBorders>
            <w:noWrap w:val="0"/>
            <w:vAlign w:val="center"/>
          </w:tcPr>
          <w:p w14:paraId="66CA0447">
            <w:pPr>
              <w:spacing w:line="360" w:lineRule="auto"/>
              <w:outlineLvl w:val="9"/>
              <w:rPr>
                <w:rFonts w:hint="eastAsia" w:ascii="宋体" w:hAnsi="宋体" w:eastAsia="宋体" w:cs="宋体"/>
                <w:color w:val="auto"/>
                <w:highlight w:val="none"/>
              </w:rPr>
            </w:pPr>
            <w:r>
              <w:rPr>
                <w:rFonts w:hint="eastAsia" w:ascii="宋体" w:hAnsi="宋体" w:eastAsia="宋体" w:cs="宋体"/>
                <w:color w:val="auto"/>
                <w:kern w:val="0"/>
                <w:highlight w:val="none"/>
              </w:rPr>
              <w:t>必须提供</w:t>
            </w:r>
          </w:p>
        </w:tc>
      </w:tr>
      <w:tr w14:paraId="6E749232">
        <w:tblPrEx>
          <w:tblCellMar>
            <w:top w:w="0" w:type="dxa"/>
            <w:left w:w="108" w:type="dxa"/>
            <w:bottom w:w="0" w:type="dxa"/>
            <w:right w:w="108" w:type="dxa"/>
          </w:tblCellMar>
        </w:tblPrEx>
        <w:trPr>
          <w:trHeight w:val="491" w:hRule="atLeast"/>
          <w:jc w:val="center"/>
        </w:trPr>
        <w:tc>
          <w:tcPr>
            <w:tcW w:w="924" w:type="dxa"/>
            <w:vMerge w:val="continue"/>
            <w:tcBorders>
              <w:top w:val="single" w:color="auto" w:sz="4" w:space="0"/>
              <w:left w:val="single" w:color="000000" w:sz="4" w:space="0"/>
              <w:bottom w:val="single" w:color="auto" w:sz="4" w:space="0"/>
              <w:right w:val="single" w:color="000000" w:sz="4" w:space="0"/>
            </w:tcBorders>
            <w:noWrap w:val="0"/>
            <w:vAlign w:val="center"/>
          </w:tcPr>
          <w:p w14:paraId="6965D1B6">
            <w:pPr>
              <w:widowControl/>
              <w:spacing w:line="360" w:lineRule="auto"/>
              <w:jc w:val="left"/>
              <w:outlineLvl w:val="9"/>
              <w:rPr>
                <w:rFonts w:hint="eastAsia" w:ascii="宋体" w:hAnsi="宋体" w:eastAsia="宋体" w:cs="宋体"/>
                <w:color w:val="auto"/>
                <w:highlight w:val="none"/>
              </w:rPr>
            </w:pPr>
          </w:p>
        </w:tc>
        <w:tc>
          <w:tcPr>
            <w:tcW w:w="1170" w:type="dxa"/>
            <w:vMerge w:val="continue"/>
            <w:tcBorders>
              <w:top w:val="single" w:color="auto" w:sz="4" w:space="0"/>
              <w:left w:val="single" w:color="000000" w:sz="4" w:space="0"/>
              <w:bottom w:val="single" w:color="auto" w:sz="4" w:space="0"/>
              <w:right w:val="single" w:color="000000" w:sz="4" w:space="0"/>
            </w:tcBorders>
            <w:noWrap w:val="0"/>
            <w:vAlign w:val="center"/>
          </w:tcPr>
          <w:p w14:paraId="093C7204">
            <w:pPr>
              <w:widowControl/>
              <w:spacing w:line="360" w:lineRule="auto"/>
              <w:jc w:val="left"/>
              <w:outlineLvl w:val="9"/>
              <w:rPr>
                <w:rFonts w:hint="eastAsia" w:ascii="宋体" w:hAnsi="宋体" w:eastAsia="宋体" w:cs="宋体"/>
                <w:color w:val="auto"/>
                <w:highlight w:val="none"/>
              </w:rPr>
            </w:pPr>
          </w:p>
        </w:tc>
        <w:tc>
          <w:tcPr>
            <w:tcW w:w="2833" w:type="dxa"/>
            <w:tcBorders>
              <w:top w:val="single" w:color="auto" w:sz="4" w:space="0"/>
              <w:left w:val="single" w:color="000000" w:sz="4" w:space="0"/>
              <w:bottom w:val="single" w:color="auto" w:sz="4" w:space="0"/>
              <w:right w:val="single" w:color="000000" w:sz="4" w:space="0"/>
            </w:tcBorders>
            <w:noWrap w:val="0"/>
            <w:vAlign w:val="center"/>
          </w:tcPr>
          <w:p w14:paraId="32DFE36E">
            <w:pPr>
              <w:spacing w:line="360" w:lineRule="auto"/>
              <w:outlineLvl w:val="9"/>
              <w:rPr>
                <w:rFonts w:hint="eastAsia" w:ascii="宋体" w:hAnsi="宋体" w:eastAsia="宋体" w:cs="宋体"/>
                <w:color w:val="auto"/>
                <w:highlight w:val="none"/>
              </w:rPr>
            </w:pPr>
            <w:r>
              <w:rPr>
                <w:rFonts w:hint="eastAsia" w:ascii="宋体" w:hAnsi="宋体" w:eastAsia="宋体" w:cs="宋体"/>
                <w:color w:val="auto"/>
                <w:kern w:val="0"/>
                <w:highlight w:val="none"/>
              </w:rPr>
              <w:t>拟投入主要施工管理人员</w:t>
            </w:r>
          </w:p>
        </w:tc>
        <w:tc>
          <w:tcPr>
            <w:tcW w:w="5011" w:type="dxa"/>
            <w:tcBorders>
              <w:top w:val="single" w:color="000000" w:sz="4" w:space="0"/>
              <w:left w:val="single" w:color="000000" w:sz="4" w:space="0"/>
              <w:bottom w:val="single" w:color="auto" w:sz="4" w:space="0"/>
              <w:right w:val="single" w:color="000000" w:sz="4" w:space="0"/>
            </w:tcBorders>
            <w:noWrap w:val="0"/>
            <w:vAlign w:val="center"/>
          </w:tcPr>
          <w:p w14:paraId="6ED3DEA5">
            <w:pPr>
              <w:spacing w:line="360" w:lineRule="auto"/>
              <w:outlineLvl w:val="9"/>
              <w:rPr>
                <w:rFonts w:hint="eastAsia" w:ascii="宋体" w:hAnsi="宋体" w:eastAsia="宋体" w:cs="宋体"/>
                <w:color w:val="auto"/>
                <w:highlight w:val="none"/>
              </w:rPr>
            </w:pPr>
            <w:r>
              <w:rPr>
                <w:rFonts w:hint="eastAsia" w:ascii="宋体" w:hAnsi="宋体" w:eastAsia="宋体" w:cs="宋体"/>
                <w:color w:val="auto"/>
                <w:kern w:val="0"/>
                <w:highlight w:val="none"/>
              </w:rPr>
              <w:t>符合采购文件要求</w:t>
            </w:r>
          </w:p>
        </w:tc>
      </w:tr>
      <w:tr w14:paraId="3CB6B340">
        <w:tblPrEx>
          <w:tblCellMar>
            <w:top w:w="0" w:type="dxa"/>
            <w:left w:w="108" w:type="dxa"/>
            <w:bottom w:w="0" w:type="dxa"/>
            <w:right w:w="108" w:type="dxa"/>
          </w:tblCellMar>
        </w:tblPrEx>
        <w:trPr>
          <w:trHeight w:val="429" w:hRule="atLeast"/>
          <w:jc w:val="center"/>
        </w:trPr>
        <w:tc>
          <w:tcPr>
            <w:tcW w:w="924" w:type="dxa"/>
            <w:vMerge w:val="continue"/>
            <w:tcBorders>
              <w:top w:val="single" w:color="auto" w:sz="4" w:space="0"/>
              <w:left w:val="single" w:color="000000" w:sz="4" w:space="0"/>
              <w:bottom w:val="single" w:color="auto" w:sz="4" w:space="0"/>
              <w:right w:val="single" w:color="000000" w:sz="4" w:space="0"/>
            </w:tcBorders>
            <w:noWrap w:val="0"/>
            <w:vAlign w:val="center"/>
          </w:tcPr>
          <w:p w14:paraId="27299383">
            <w:pPr>
              <w:widowControl/>
              <w:spacing w:line="360" w:lineRule="auto"/>
              <w:jc w:val="left"/>
              <w:outlineLvl w:val="9"/>
              <w:rPr>
                <w:rFonts w:hint="eastAsia" w:ascii="宋体" w:hAnsi="宋体" w:eastAsia="宋体" w:cs="宋体"/>
                <w:color w:val="auto"/>
                <w:highlight w:val="none"/>
              </w:rPr>
            </w:pPr>
          </w:p>
        </w:tc>
        <w:tc>
          <w:tcPr>
            <w:tcW w:w="1170" w:type="dxa"/>
            <w:vMerge w:val="continue"/>
            <w:tcBorders>
              <w:top w:val="single" w:color="auto" w:sz="4" w:space="0"/>
              <w:left w:val="single" w:color="000000" w:sz="4" w:space="0"/>
              <w:bottom w:val="single" w:color="auto" w:sz="4" w:space="0"/>
              <w:right w:val="single" w:color="000000" w:sz="4" w:space="0"/>
            </w:tcBorders>
            <w:noWrap w:val="0"/>
            <w:vAlign w:val="center"/>
          </w:tcPr>
          <w:p w14:paraId="302216A0">
            <w:pPr>
              <w:widowControl/>
              <w:spacing w:line="360" w:lineRule="auto"/>
              <w:jc w:val="left"/>
              <w:outlineLvl w:val="9"/>
              <w:rPr>
                <w:rFonts w:hint="eastAsia" w:ascii="宋体" w:hAnsi="宋体" w:eastAsia="宋体" w:cs="宋体"/>
                <w:color w:val="auto"/>
                <w:highlight w:val="none"/>
              </w:rPr>
            </w:pPr>
          </w:p>
        </w:tc>
        <w:tc>
          <w:tcPr>
            <w:tcW w:w="2833" w:type="dxa"/>
            <w:tcBorders>
              <w:top w:val="single" w:color="000000" w:sz="4" w:space="0"/>
              <w:left w:val="single" w:color="000000" w:sz="4" w:space="0"/>
              <w:bottom w:val="single" w:color="000000" w:sz="4" w:space="0"/>
              <w:right w:val="single" w:color="000000" w:sz="4" w:space="0"/>
            </w:tcBorders>
            <w:noWrap w:val="0"/>
            <w:vAlign w:val="center"/>
          </w:tcPr>
          <w:p w14:paraId="2458422D">
            <w:pPr>
              <w:spacing w:line="360" w:lineRule="auto"/>
              <w:outlineLvl w:val="9"/>
              <w:rPr>
                <w:rFonts w:hint="eastAsia" w:ascii="宋体" w:hAnsi="宋体" w:eastAsia="宋体" w:cs="宋体"/>
                <w:color w:val="auto"/>
                <w:highlight w:val="none"/>
              </w:rPr>
            </w:pPr>
            <w:r>
              <w:rPr>
                <w:rFonts w:hint="eastAsia" w:ascii="宋体" w:hAnsi="宋体" w:eastAsia="宋体" w:cs="宋体"/>
                <w:color w:val="auto"/>
                <w:kern w:val="0"/>
                <w:highlight w:val="none"/>
              </w:rPr>
              <w:t>项目经理</w:t>
            </w:r>
          </w:p>
        </w:tc>
        <w:tc>
          <w:tcPr>
            <w:tcW w:w="5011" w:type="dxa"/>
            <w:tcBorders>
              <w:top w:val="single" w:color="000000" w:sz="4" w:space="0"/>
              <w:left w:val="single" w:color="000000" w:sz="4" w:space="0"/>
              <w:bottom w:val="single" w:color="000000" w:sz="4" w:space="0"/>
              <w:right w:val="single" w:color="auto" w:sz="4" w:space="0"/>
            </w:tcBorders>
            <w:noWrap w:val="0"/>
            <w:vAlign w:val="center"/>
          </w:tcPr>
          <w:p w14:paraId="5B54E55B">
            <w:pPr>
              <w:spacing w:line="360" w:lineRule="auto"/>
              <w:outlineLvl w:val="9"/>
              <w:rPr>
                <w:rFonts w:hint="eastAsia" w:ascii="宋体" w:hAnsi="宋体" w:eastAsia="宋体" w:cs="宋体"/>
                <w:color w:val="auto"/>
                <w:highlight w:val="none"/>
              </w:rPr>
            </w:pPr>
            <w:r>
              <w:rPr>
                <w:rFonts w:hint="eastAsia" w:ascii="宋体" w:hAnsi="宋体" w:eastAsia="宋体" w:cs="宋体"/>
                <w:color w:val="auto"/>
                <w:kern w:val="0"/>
                <w:highlight w:val="none"/>
              </w:rPr>
              <w:t>符合采购文件要求</w:t>
            </w:r>
          </w:p>
        </w:tc>
      </w:tr>
      <w:tr w14:paraId="0CA8F762">
        <w:tblPrEx>
          <w:tblCellMar>
            <w:top w:w="0" w:type="dxa"/>
            <w:left w:w="108" w:type="dxa"/>
            <w:bottom w:w="0" w:type="dxa"/>
            <w:right w:w="108" w:type="dxa"/>
          </w:tblCellMar>
        </w:tblPrEx>
        <w:trPr>
          <w:trHeight w:val="470" w:hRule="atLeast"/>
          <w:jc w:val="center"/>
        </w:trPr>
        <w:tc>
          <w:tcPr>
            <w:tcW w:w="924" w:type="dxa"/>
            <w:vMerge w:val="continue"/>
            <w:tcBorders>
              <w:top w:val="single" w:color="auto" w:sz="4" w:space="0"/>
              <w:left w:val="single" w:color="000000" w:sz="4" w:space="0"/>
              <w:bottom w:val="single" w:color="auto" w:sz="4" w:space="0"/>
              <w:right w:val="single" w:color="000000" w:sz="4" w:space="0"/>
            </w:tcBorders>
            <w:noWrap w:val="0"/>
            <w:vAlign w:val="center"/>
          </w:tcPr>
          <w:p w14:paraId="480880EB">
            <w:pPr>
              <w:widowControl/>
              <w:spacing w:line="360" w:lineRule="auto"/>
              <w:jc w:val="left"/>
              <w:outlineLvl w:val="9"/>
              <w:rPr>
                <w:rFonts w:hint="eastAsia" w:ascii="宋体" w:hAnsi="宋体" w:eastAsia="宋体" w:cs="宋体"/>
                <w:color w:val="auto"/>
                <w:highlight w:val="none"/>
              </w:rPr>
            </w:pPr>
          </w:p>
        </w:tc>
        <w:tc>
          <w:tcPr>
            <w:tcW w:w="1170" w:type="dxa"/>
            <w:vMerge w:val="continue"/>
            <w:tcBorders>
              <w:top w:val="single" w:color="auto" w:sz="4" w:space="0"/>
              <w:left w:val="single" w:color="000000" w:sz="4" w:space="0"/>
              <w:bottom w:val="single" w:color="auto" w:sz="4" w:space="0"/>
              <w:right w:val="single" w:color="000000" w:sz="4" w:space="0"/>
            </w:tcBorders>
            <w:noWrap w:val="0"/>
            <w:vAlign w:val="center"/>
          </w:tcPr>
          <w:p w14:paraId="34C62300">
            <w:pPr>
              <w:widowControl/>
              <w:spacing w:line="360" w:lineRule="auto"/>
              <w:jc w:val="left"/>
              <w:outlineLvl w:val="9"/>
              <w:rPr>
                <w:rFonts w:hint="eastAsia" w:ascii="宋体" w:hAnsi="宋体" w:eastAsia="宋体" w:cs="宋体"/>
                <w:color w:val="auto"/>
                <w:highlight w:val="none"/>
              </w:rPr>
            </w:pPr>
          </w:p>
        </w:tc>
        <w:tc>
          <w:tcPr>
            <w:tcW w:w="2833" w:type="dxa"/>
            <w:tcBorders>
              <w:top w:val="single" w:color="000000" w:sz="4" w:space="0"/>
              <w:left w:val="single" w:color="000000" w:sz="4" w:space="0"/>
              <w:bottom w:val="single" w:color="000000" w:sz="4" w:space="0"/>
              <w:right w:val="single" w:color="000000" w:sz="4" w:space="0"/>
            </w:tcBorders>
            <w:noWrap w:val="0"/>
            <w:vAlign w:val="center"/>
          </w:tcPr>
          <w:p w14:paraId="61B350D3">
            <w:pPr>
              <w:spacing w:line="360" w:lineRule="auto"/>
              <w:outlineLvl w:val="9"/>
              <w:rPr>
                <w:rFonts w:hint="eastAsia" w:ascii="宋体" w:hAnsi="宋体" w:eastAsia="宋体" w:cs="宋体"/>
                <w:color w:val="auto"/>
                <w:highlight w:val="none"/>
              </w:rPr>
            </w:pPr>
            <w:r>
              <w:rPr>
                <w:rFonts w:hint="eastAsia" w:ascii="宋体" w:hAnsi="宋体" w:eastAsia="宋体" w:cs="宋体"/>
                <w:color w:val="auto"/>
                <w:kern w:val="0"/>
                <w:highlight w:val="none"/>
              </w:rPr>
              <w:t>施工组织</w:t>
            </w:r>
            <w:r>
              <w:rPr>
                <w:rFonts w:hint="eastAsia" w:ascii="宋体" w:hAnsi="宋体" w:cs="宋体"/>
                <w:color w:val="auto"/>
                <w:kern w:val="0"/>
                <w:highlight w:val="none"/>
                <w:lang w:val="en-US" w:eastAsia="zh-CN"/>
              </w:rPr>
              <w:t>设计</w:t>
            </w:r>
            <w:r>
              <w:rPr>
                <w:rFonts w:hint="eastAsia" w:ascii="宋体" w:hAnsi="宋体" w:eastAsia="宋体" w:cs="宋体"/>
                <w:color w:val="auto"/>
                <w:kern w:val="0"/>
                <w:highlight w:val="none"/>
              </w:rPr>
              <w:t>方案</w:t>
            </w:r>
          </w:p>
        </w:tc>
        <w:tc>
          <w:tcPr>
            <w:tcW w:w="5011" w:type="dxa"/>
            <w:tcBorders>
              <w:top w:val="single" w:color="000000" w:sz="4" w:space="0"/>
              <w:left w:val="single" w:color="000000" w:sz="4" w:space="0"/>
              <w:bottom w:val="single" w:color="000000" w:sz="4" w:space="0"/>
              <w:right w:val="single" w:color="auto" w:sz="4" w:space="0"/>
            </w:tcBorders>
            <w:noWrap w:val="0"/>
            <w:vAlign w:val="center"/>
          </w:tcPr>
          <w:p w14:paraId="11C09071">
            <w:pPr>
              <w:spacing w:line="360" w:lineRule="auto"/>
              <w:outlineLvl w:val="9"/>
              <w:rPr>
                <w:rFonts w:hint="eastAsia" w:ascii="宋体" w:hAnsi="宋体" w:eastAsia="宋体" w:cs="宋体"/>
                <w:color w:val="auto"/>
                <w:highlight w:val="none"/>
              </w:rPr>
            </w:pPr>
            <w:r>
              <w:rPr>
                <w:rFonts w:hint="eastAsia" w:ascii="宋体" w:hAnsi="宋体" w:eastAsia="宋体" w:cs="宋体"/>
                <w:color w:val="auto"/>
                <w:kern w:val="0"/>
                <w:highlight w:val="none"/>
              </w:rPr>
              <w:t>必须提供</w:t>
            </w:r>
          </w:p>
        </w:tc>
      </w:tr>
      <w:tr w14:paraId="35651790">
        <w:tblPrEx>
          <w:tblCellMar>
            <w:top w:w="0" w:type="dxa"/>
            <w:left w:w="108" w:type="dxa"/>
            <w:bottom w:w="0" w:type="dxa"/>
            <w:right w:w="108" w:type="dxa"/>
          </w:tblCellMar>
        </w:tblPrEx>
        <w:trPr>
          <w:trHeight w:val="523" w:hRule="atLeast"/>
          <w:jc w:val="center"/>
        </w:trPr>
        <w:tc>
          <w:tcPr>
            <w:tcW w:w="924" w:type="dxa"/>
            <w:vMerge w:val="continue"/>
            <w:tcBorders>
              <w:top w:val="single" w:color="auto" w:sz="4" w:space="0"/>
              <w:left w:val="single" w:color="000000" w:sz="4" w:space="0"/>
              <w:bottom w:val="single" w:color="auto" w:sz="4" w:space="0"/>
              <w:right w:val="single" w:color="000000" w:sz="4" w:space="0"/>
            </w:tcBorders>
            <w:noWrap w:val="0"/>
            <w:vAlign w:val="center"/>
          </w:tcPr>
          <w:p w14:paraId="6803DF42">
            <w:pPr>
              <w:widowControl/>
              <w:spacing w:line="360" w:lineRule="auto"/>
              <w:jc w:val="left"/>
              <w:outlineLvl w:val="9"/>
              <w:rPr>
                <w:rFonts w:hint="eastAsia" w:ascii="宋体" w:hAnsi="宋体" w:eastAsia="宋体" w:cs="宋体"/>
                <w:color w:val="auto"/>
                <w:highlight w:val="none"/>
              </w:rPr>
            </w:pPr>
          </w:p>
        </w:tc>
        <w:tc>
          <w:tcPr>
            <w:tcW w:w="1170" w:type="dxa"/>
            <w:vMerge w:val="continue"/>
            <w:tcBorders>
              <w:top w:val="single" w:color="auto" w:sz="4" w:space="0"/>
              <w:left w:val="single" w:color="000000" w:sz="4" w:space="0"/>
              <w:bottom w:val="single" w:color="auto" w:sz="4" w:space="0"/>
              <w:right w:val="single" w:color="000000" w:sz="4" w:space="0"/>
            </w:tcBorders>
            <w:noWrap w:val="0"/>
            <w:vAlign w:val="center"/>
          </w:tcPr>
          <w:p w14:paraId="2BB5A395">
            <w:pPr>
              <w:widowControl/>
              <w:spacing w:line="360" w:lineRule="auto"/>
              <w:jc w:val="left"/>
              <w:outlineLvl w:val="9"/>
              <w:rPr>
                <w:rFonts w:hint="eastAsia" w:ascii="宋体" w:hAnsi="宋体" w:eastAsia="宋体" w:cs="宋体"/>
                <w:color w:val="auto"/>
                <w:highlight w:val="none"/>
              </w:rPr>
            </w:pPr>
          </w:p>
        </w:tc>
        <w:tc>
          <w:tcPr>
            <w:tcW w:w="2833" w:type="dxa"/>
            <w:tcBorders>
              <w:top w:val="single" w:color="000000" w:sz="4" w:space="0"/>
              <w:left w:val="single" w:color="000000" w:sz="4" w:space="0"/>
              <w:bottom w:val="single" w:color="000000" w:sz="4" w:space="0"/>
              <w:right w:val="single" w:color="000000" w:sz="4" w:space="0"/>
            </w:tcBorders>
            <w:noWrap w:val="0"/>
            <w:vAlign w:val="center"/>
          </w:tcPr>
          <w:p w14:paraId="262C20C4">
            <w:pPr>
              <w:spacing w:line="360" w:lineRule="auto"/>
              <w:outlineLvl w:val="9"/>
              <w:rPr>
                <w:rFonts w:hint="eastAsia" w:ascii="宋体" w:hAnsi="宋体" w:eastAsia="宋体" w:cs="宋体"/>
                <w:color w:val="auto"/>
                <w:highlight w:val="none"/>
              </w:rPr>
            </w:pPr>
            <w:r>
              <w:rPr>
                <w:rFonts w:hint="eastAsia" w:ascii="宋体" w:hAnsi="宋体" w:eastAsia="宋体" w:cs="宋体"/>
                <w:color w:val="auto"/>
                <w:kern w:val="0"/>
                <w:highlight w:val="none"/>
              </w:rPr>
              <w:t>工程完工服务承诺书</w:t>
            </w:r>
          </w:p>
        </w:tc>
        <w:tc>
          <w:tcPr>
            <w:tcW w:w="5011" w:type="dxa"/>
            <w:tcBorders>
              <w:top w:val="single" w:color="000000" w:sz="4" w:space="0"/>
              <w:left w:val="single" w:color="000000" w:sz="4" w:space="0"/>
              <w:bottom w:val="single" w:color="000000" w:sz="4" w:space="0"/>
              <w:right w:val="single" w:color="auto" w:sz="4" w:space="0"/>
            </w:tcBorders>
            <w:noWrap w:val="0"/>
            <w:vAlign w:val="center"/>
          </w:tcPr>
          <w:p w14:paraId="0EC31C24">
            <w:pPr>
              <w:spacing w:line="360" w:lineRule="auto"/>
              <w:outlineLvl w:val="9"/>
              <w:rPr>
                <w:rFonts w:hint="eastAsia" w:ascii="宋体" w:hAnsi="宋体" w:eastAsia="宋体" w:cs="宋体"/>
                <w:color w:val="auto"/>
                <w:highlight w:val="none"/>
              </w:rPr>
            </w:pPr>
            <w:r>
              <w:rPr>
                <w:rFonts w:hint="eastAsia" w:ascii="宋体" w:hAnsi="宋体" w:eastAsia="宋体" w:cs="宋体"/>
                <w:color w:val="auto"/>
                <w:kern w:val="0"/>
                <w:highlight w:val="none"/>
              </w:rPr>
              <w:t>必须提供</w:t>
            </w:r>
          </w:p>
        </w:tc>
      </w:tr>
      <w:tr w14:paraId="0A68010C">
        <w:tblPrEx>
          <w:tblCellMar>
            <w:top w:w="0" w:type="dxa"/>
            <w:left w:w="108" w:type="dxa"/>
            <w:bottom w:w="0" w:type="dxa"/>
            <w:right w:w="108" w:type="dxa"/>
          </w:tblCellMar>
        </w:tblPrEx>
        <w:trPr>
          <w:trHeight w:val="794" w:hRule="atLeast"/>
          <w:jc w:val="center"/>
        </w:trPr>
        <w:tc>
          <w:tcPr>
            <w:tcW w:w="924" w:type="dxa"/>
            <w:vMerge w:val="continue"/>
            <w:tcBorders>
              <w:top w:val="single" w:color="auto" w:sz="4" w:space="0"/>
              <w:left w:val="single" w:color="000000" w:sz="4" w:space="0"/>
              <w:bottom w:val="single" w:color="auto" w:sz="4" w:space="0"/>
              <w:right w:val="single" w:color="000000" w:sz="4" w:space="0"/>
            </w:tcBorders>
            <w:noWrap w:val="0"/>
            <w:vAlign w:val="center"/>
          </w:tcPr>
          <w:p w14:paraId="4D1E3A34">
            <w:pPr>
              <w:widowControl/>
              <w:spacing w:line="360" w:lineRule="auto"/>
              <w:jc w:val="left"/>
              <w:outlineLvl w:val="9"/>
              <w:rPr>
                <w:rFonts w:hint="eastAsia" w:ascii="宋体" w:hAnsi="宋体" w:eastAsia="宋体" w:cs="宋体"/>
                <w:color w:val="auto"/>
                <w:highlight w:val="none"/>
              </w:rPr>
            </w:pPr>
          </w:p>
        </w:tc>
        <w:tc>
          <w:tcPr>
            <w:tcW w:w="1170" w:type="dxa"/>
            <w:vMerge w:val="continue"/>
            <w:tcBorders>
              <w:top w:val="single" w:color="auto" w:sz="4" w:space="0"/>
              <w:left w:val="single" w:color="000000" w:sz="4" w:space="0"/>
              <w:bottom w:val="single" w:color="auto" w:sz="4" w:space="0"/>
              <w:right w:val="single" w:color="000000" w:sz="4" w:space="0"/>
            </w:tcBorders>
            <w:noWrap w:val="0"/>
            <w:vAlign w:val="center"/>
          </w:tcPr>
          <w:p w14:paraId="403EC9A5">
            <w:pPr>
              <w:widowControl/>
              <w:spacing w:line="360" w:lineRule="auto"/>
              <w:jc w:val="left"/>
              <w:outlineLvl w:val="9"/>
              <w:rPr>
                <w:rFonts w:hint="eastAsia" w:ascii="宋体" w:hAnsi="宋体" w:eastAsia="宋体" w:cs="宋体"/>
                <w:color w:val="auto"/>
                <w:highlight w:val="none"/>
              </w:rPr>
            </w:pPr>
          </w:p>
        </w:tc>
        <w:tc>
          <w:tcPr>
            <w:tcW w:w="2833" w:type="dxa"/>
            <w:tcBorders>
              <w:top w:val="single" w:color="000000" w:sz="4" w:space="0"/>
              <w:left w:val="single" w:color="000000" w:sz="4" w:space="0"/>
              <w:bottom w:val="single" w:color="000000" w:sz="4" w:space="0"/>
              <w:right w:val="single" w:color="000000" w:sz="4" w:space="0"/>
            </w:tcBorders>
            <w:noWrap w:val="0"/>
            <w:vAlign w:val="center"/>
          </w:tcPr>
          <w:p w14:paraId="764972E8">
            <w:pPr>
              <w:spacing w:line="360" w:lineRule="auto"/>
              <w:outlineLvl w:val="9"/>
              <w:rPr>
                <w:rFonts w:hint="eastAsia" w:ascii="宋体" w:hAnsi="宋体" w:eastAsia="宋体" w:cs="宋体"/>
                <w:bCs/>
                <w:color w:val="auto"/>
                <w:highlight w:val="none"/>
              </w:rPr>
            </w:pPr>
            <w:r>
              <w:rPr>
                <w:rFonts w:hint="eastAsia" w:ascii="宋体" w:hAnsi="宋体" w:eastAsia="宋体" w:cs="宋体"/>
                <w:color w:val="auto"/>
                <w:kern w:val="0"/>
                <w:highlight w:val="none"/>
              </w:rPr>
              <w:t>农民工工资保障金缴纳与使用承诺书</w:t>
            </w:r>
          </w:p>
        </w:tc>
        <w:tc>
          <w:tcPr>
            <w:tcW w:w="5011" w:type="dxa"/>
            <w:tcBorders>
              <w:top w:val="single" w:color="000000" w:sz="4" w:space="0"/>
              <w:left w:val="single" w:color="000000" w:sz="4" w:space="0"/>
              <w:bottom w:val="single" w:color="000000" w:sz="4" w:space="0"/>
              <w:right w:val="single" w:color="auto" w:sz="4" w:space="0"/>
            </w:tcBorders>
            <w:noWrap w:val="0"/>
            <w:vAlign w:val="center"/>
          </w:tcPr>
          <w:p w14:paraId="16BEC50E">
            <w:pPr>
              <w:spacing w:line="360" w:lineRule="auto"/>
              <w:outlineLvl w:val="9"/>
              <w:rPr>
                <w:rFonts w:hint="eastAsia" w:ascii="宋体" w:hAnsi="宋体" w:eastAsia="宋体" w:cs="宋体"/>
                <w:bCs/>
                <w:color w:val="auto"/>
                <w:highlight w:val="none"/>
              </w:rPr>
            </w:pPr>
            <w:r>
              <w:rPr>
                <w:rFonts w:hint="eastAsia" w:ascii="宋体" w:hAnsi="宋体" w:eastAsia="宋体" w:cs="宋体"/>
                <w:color w:val="auto"/>
                <w:kern w:val="0"/>
                <w:highlight w:val="none"/>
              </w:rPr>
              <w:t>必须提供</w:t>
            </w:r>
          </w:p>
        </w:tc>
      </w:tr>
    </w:tbl>
    <w:p w14:paraId="543189C6">
      <w:pPr>
        <w:pStyle w:val="22"/>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color w:val="auto"/>
          <w:highlight w:val="none"/>
        </w:rPr>
      </w:pPr>
      <w:r>
        <w:rPr>
          <w:rFonts w:hint="eastAsia" w:ascii="宋体" w:hAnsi="宋体" w:eastAsia="宋体" w:cs="宋体"/>
          <w:b/>
          <w:bCs w:val="0"/>
          <w:color w:val="auto"/>
          <w:sz w:val="24"/>
          <w:szCs w:val="24"/>
          <w:highlight w:val="none"/>
          <w:lang w:eastAsia="zh-CN"/>
        </w:rPr>
        <w:t>详细评审：</w:t>
      </w:r>
    </w:p>
    <w:p w14:paraId="6AE01A7E">
      <w:pPr>
        <w:pageBreakBefore w:val="0"/>
        <w:widowControl w:val="0"/>
        <w:kinsoku/>
        <w:wordWrap/>
        <w:overflowPunct/>
        <w:topLinePunct w:val="0"/>
        <w:bidi w:val="0"/>
        <w:snapToGrid/>
        <w:spacing w:line="360" w:lineRule="auto"/>
        <w:textAlignment w:val="auto"/>
        <w:outlineLvl w:val="9"/>
        <w:rPr>
          <w:rFonts w:hint="eastAsia" w:ascii="宋体" w:hAnsi="宋体" w:eastAsia="宋体" w:cs="宋体"/>
          <w:b/>
          <w:color w:val="auto"/>
          <w:highlight w:val="none"/>
        </w:rPr>
      </w:pPr>
      <w:r>
        <w:rPr>
          <w:rFonts w:hint="eastAsia" w:ascii="宋体" w:hAnsi="宋体" w:eastAsia="宋体" w:cs="宋体"/>
          <w:b/>
          <w:color w:val="auto"/>
          <w:highlight w:val="none"/>
        </w:rPr>
        <w:t>1、价格分…………………………………………………………………………………</w:t>
      </w:r>
      <w:r>
        <w:rPr>
          <w:rFonts w:hint="eastAsia" w:ascii="宋体" w:hAnsi="宋体" w:eastAsia="宋体" w:cs="宋体"/>
          <w:b/>
          <w:bCs w:val="0"/>
          <w:color w:val="auto"/>
          <w:highlight w:val="none"/>
        </w:rPr>
        <w:t>……</w:t>
      </w:r>
      <w:r>
        <w:rPr>
          <w:rFonts w:hint="eastAsia" w:ascii="宋体" w:hAnsi="宋体" w:eastAsia="宋体" w:cs="宋体"/>
          <w:b/>
          <w:color w:val="auto"/>
          <w:highlight w:val="none"/>
        </w:rPr>
        <w:t>………</w:t>
      </w:r>
      <w:r>
        <w:rPr>
          <w:rFonts w:hint="eastAsia" w:ascii="宋体" w:hAnsi="宋体" w:eastAsia="宋体" w:cs="宋体"/>
          <w:b/>
          <w:color w:val="auto"/>
          <w:highlight w:val="none"/>
          <w:lang w:val="en-US" w:eastAsia="zh-CN"/>
        </w:rPr>
        <w:t>满分30</w:t>
      </w:r>
      <w:r>
        <w:rPr>
          <w:rFonts w:hint="eastAsia" w:ascii="宋体" w:hAnsi="宋体" w:eastAsia="宋体" w:cs="宋体"/>
          <w:b/>
          <w:color w:val="auto"/>
          <w:highlight w:val="none"/>
        </w:rPr>
        <w:t>分</w:t>
      </w:r>
    </w:p>
    <w:p w14:paraId="6F685B6B">
      <w:pPr>
        <w:widowControl/>
        <w:spacing w:line="360" w:lineRule="auto"/>
        <w:ind w:firstLine="210" w:firstLineChars="100"/>
        <w:outlineLvl w:val="9"/>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rPr>
        <w:t>1</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本项目为专门面向中小企业采购的项目（供应商应为中小微企业、监狱企业、残疾人福利性单位)，不再执行价格评审优惠的扶持政策。即评标价=最终报价。</w:t>
      </w:r>
    </w:p>
    <w:p w14:paraId="13DB4F31">
      <w:pPr>
        <w:pageBreakBefore w:val="0"/>
        <w:widowControl w:val="0"/>
        <w:kinsoku/>
        <w:wordWrap/>
        <w:overflowPunct/>
        <w:topLinePunct w:val="0"/>
        <w:bidi w:val="0"/>
        <w:snapToGrid/>
        <w:spacing w:line="360" w:lineRule="auto"/>
        <w:ind w:firstLine="210" w:firstLineChars="100"/>
        <w:textAlignment w:val="auto"/>
        <w:outlineLvl w:val="9"/>
        <w:rPr>
          <w:rFonts w:hint="eastAsia" w:ascii="宋体" w:hAnsi="宋体" w:eastAsia="宋体" w:cs="宋体"/>
          <w:b w:val="0"/>
          <w:bCs/>
          <w:color w:val="auto"/>
          <w:highlight w:val="none"/>
        </w:rPr>
      </w:pPr>
      <w:r>
        <w:rPr>
          <w:rFonts w:hint="eastAsia" w:ascii="宋体" w:hAnsi="宋体" w:eastAsia="宋体" w:cs="宋体"/>
          <w:b w:val="0"/>
          <w:bCs/>
          <w:color w:val="auto"/>
          <w:highlight w:val="none"/>
        </w:rPr>
        <w:t>（</w:t>
      </w:r>
      <w:r>
        <w:rPr>
          <w:rFonts w:hint="eastAsia" w:ascii="宋体" w:hAnsi="宋体" w:eastAsia="宋体" w:cs="宋体"/>
          <w:b w:val="0"/>
          <w:bCs/>
          <w:color w:val="auto"/>
          <w:highlight w:val="none"/>
          <w:lang w:val="en-US" w:eastAsia="zh-CN"/>
        </w:rPr>
        <w:t>2</w:t>
      </w:r>
      <w:r>
        <w:rPr>
          <w:rFonts w:hint="eastAsia" w:ascii="宋体" w:hAnsi="宋体" w:eastAsia="宋体" w:cs="宋体"/>
          <w:b w:val="0"/>
          <w:bCs/>
          <w:color w:val="auto"/>
          <w:highlight w:val="none"/>
        </w:rPr>
        <w:t>）某供应商价格分 = 供应商最低评</w:t>
      </w:r>
      <w:r>
        <w:rPr>
          <w:rFonts w:hint="eastAsia" w:ascii="宋体" w:hAnsi="宋体" w:eastAsia="宋体" w:cs="宋体"/>
          <w:b w:val="0"/>
          <w:bCs/>
          <w:color w:val="auto"/>
          <w:highlight w:val="none"/>
          <w:lang w:eastAsia="zh-CN"/>
        </w:rPr>
        <w:t>审</w:t>
      </w:r>
      <w:r>
        <w:rPr>
          <w:rFonts w:hint="eastAsia" w:ascii="宋体" w:hAnsi="宋体" w:eastAsia="宋体" w:cs="宋体"/>
          <w:b w:val="0"/>
          <w:bCs/>
          <w:color w:val="auto"/>
          <w:highlight w:val="none"/>
        </w:rPr>
        <w:t>报价（金额）/某供应商评</w:t>
      </w:r>
      <w:r>
        <w:rPr>
          <w:rFonts w:hint="eastAsia" w:ascii="宋体" w:hAnsi="宋体" w:eastAsia="宋体" w:cs="宋体"/>
          <w:b w:val="0"/>
          <w:bCs/>
          <w:color w:val="auto"/>
          <w:highlight w:val="none"/>
          <w:lang w:eastAsia="zh-CN"/>
        </w:rPr>
        <w:t>审</w:t>
      </w:r>
      <w:r>
        <w:rPr>
          <w:rFonts w:hint="eastAsia" w:ascii="宋体" w:hAnsi="宋体" w:eastAsia="宋体" w:cs="宋体"/>
          <w:b w:val="0"/>
          <w:bCs/>
          <w:color w:val="auto"/>
          <w:highlight w:val="none"/>
        </w:rPr>
        <w:t>报价（金额）×</w:t>
      </w:r>
      <w:r>
        <w:rPr>
          <w:rFonts w:hint="eastAsia" w:ascii="宋体" w:hAnsi="宋体" w:eastAsia="宋体" w:cs="宋体"/>
          <w:b w:val="0"/>
          <w:bCs/>
          <w:color w:val="auto"/>
          <w:highlight w:val="none"/>
          <w:lang w:val="en-US" w:eastAsia="zh-CN"/>
        </w:rPr>
        <w:t>30</w:t>
      </w:r>
      <w:r>
        <w:rPr>
          <w:rFonts w:hint="eastAsia" w:ascii="宋体" w:hAnsi="宋体" w:eastAsia="宋体" w:cs="宋体"/>
          <w:b w:val="0"/>
          <w:bCs/>
          <w:color w:val="auto"/>
          <w:highlight w:val="none"/>
        </w:rPr>
        <w:t>分。</w:t>
      </w:r>
    </w:p>
    <w:p w14:paraId="3C06B63A">
      <w:pPr>
        <w:pageBreakBefore w:val="0"/>
        <w:widowControl w:val="0"/>
        <w:kinsoku/>
        <w:wordWrap/>
        <w:overflowPunct/>
        <w:topLinePunct w:val="0"/>
        <w:bidi w:val="0"/>
        <w:snapToGrid/>
        <w:spacing w:line="360" w:lineRule="auto"/>
        <w:ind w:firstLine="211" w:firstLineChars="100"/>
        <w:textAlignment w:val="auto"/>
        <w:outlineLvl w:val="9"/>
        <w:rPr>
          <w:rFonts w:hint="eastAsia" w:ascii="宋体" w:hAnsi="宋体" w:eastAsia="宋体" w:cs="宋体"/>
          <w:b/>
          <w:color w:val="auto"/>
          <w:highlight w:val="none"/>
        </w:rPr>
      </w:pPr>
      <w:r>
        <w:rPr>
          <w:rFonts w:hint="eastAsia" w:ascii="宋体" w:hAnsi="宋体" w:eastAsia="宋体" w:cs="宋体"/>
          <w:b/>
          <w:color w:val="auto"/>
          <w:highlight w:val="none"/>
        </w:rPr>
        <w:t>2、</w:t>
      </w:r>
      <w:r>
        <w:rPr>
          <w:rFonts w:hint="eastAsia" w:ascii="宋体" w:hAnsi="宋体" w:eastAsia="宋体" w:cs="宋体"/>
          <w:b/>
          <w:color w:val="auto"/>
          <w:highlight w:val="none"/>
          <w:lang w:val="en-US" w:eastAsia="zh-CN"/>
        </w:rPr>
        <w:t>技术分</w:t>
      </w:r>
      <w:r>
        <w:rPr>
          <w:rFonts w:hint="eastAsia" w:ascii="宋体" w:hAnsi="宋体" w:eastAsia="宋体" w:cs="宋体"/>
          <w:b/>
          <w:color w:val="auto"/>
          <w:highlight w:val="none"/>
        </w:rPr>
        <w:t>……………………………</w:t>
      </w:r>
      <w:r>
        <w:rPr>
          <w:rFonts w:hint="eastAsia" w:ascii="宋体" w:hAnsi="宋体" w:eastAsia="宋体" w:cs="宋体"/>
          <w:b/>
          <w:bCs/>
          <w:color w:val="auto"/>
          <w:sz w:val="21"/>
          <w:szCs w:val="21"/>
          <w:highlight w:val="none"/>
        </w:rPr>
        <w:t>…………………………</w:t>
      </w:r>
      <w:r>
        <w:rPr>
          <w:rFonts w:hint="eastAsia" w:ascii="宋体" w:hAnsi="宋体" w:eastAsia="宋体" w:cs="宋体"/>
          <w:b/>
          <w:color w:val="auto"/>
          <w:highlight w:val="none"/>
        </w:rPr>
        <w:t>……………………………</w:t>
      </w:r>
      <w:r>
        <w:rPr>
          <w:rFonts w:hint="eastAsia" w:ascii="宋体" w:hAnsi="宋体" w:eastAsia="宋体" w:cs="宋体"/>
          <w:b/>
          <w:bCs w:val="0"/>
          <w:color w:val="auto"/>
          <w:highlight w:val="none"/>
        </w:rPr>
        <w:t>…</w:t>
      </w:r>
      <w:r>
        <w:rPr>
          <w:rFonts w:hint="eastAsia" w:ascii="宋体" w:hAnsi="宋体" w:eastAsia="宋体" w:cs="宋体"/>
          <w:b/>
          <w:color w:val="auto"/>
          <w:highlight w:val="none"/>
        </w:rPr>
        <w:t>…</w:t>
      </w:r>
      <w:r>
        <w:rPr>
          <w:rFonts w:hint="eastAsia" w:ascii="宋体" w:hAnsi="宋体" w:eastAsia="宋体" w:cs="宋体"/>
          <w:b/>
          <w:color w:val="auto"/>
          <w:highlight w:val="none"/>
          <w:lang w:val="en-US" w:eastAsia="zh-CN"/>
        </w:rPr>
        <w:t>满分60</w:t>
      </w:r>
      <w:r>
        <w:rPr>
          <w:rFonts w:hint="eastAsia" w:ascii="宋体" w:hAnsi="宋体" w:eastAsia="宋体" w:cs="宋体"/>
          <w:b/>
          <w:color w:val="auto"/>
          <w:highlight w:val="none"/>
        </w:rPr>
        <w:t>分</w:t>
      </w:r>
    </w:p>
    <w:p w14:paraId="41A55F05">
      <w:pPr>
        <w:pStyle w:val="22"/>
        <w:pageBreakBefore w:val="0"/>
        <w:widowControl w:val="0"/>
        <w:tabs>
          <w:tab w:val="left" w:leader="middleDot" w:pos="8820"/>
        </w:tabs>
        <w:kinsoku/>
        <w:wordWrap/>
        <w:overflowPunct/>
        <w:topLinePunct w:val="0"/>
        <w:bidi w:val="0"/>
        <w:snapToGrid/>
        <w:spacing w:line="360" w:lineRule="auto"/>
        <w:ind w:firstLine="211" w:firstLineChars="100"/>
        <w:textAlignment w:val="auto"/>
        <w:outlineLvl w:val="9"/>
        <w:rPr>
          <w:rFonts w:hint="eastAsia" w:ascii="宋体" w:hAnsi="宋体" w:eastAsia="宋体" w:cs="宋体"/>
          <w:b/>
          <w:bCs w:val="0"/>
          <w:color w:val="auto"/>
          <w:szCs w:val="21"/>
          <w:highlight w:val="none"/>
        </w:rPr>
      </w:pPr>
      <w:r>
        <w:rPr>
          <w:rFonts w:hint="eastAsia" w:ascii="宋体" w:hAnsi="宋体" w:eastAsia="宋体" w:cs="宋体"/>
          <w:b/>
          <w:bCs w:val="0"/>
          <w:color w:val="auto"/>
          <w:highlight w:val="none"/>
        </w:rPr>
        <w:t>（1）</w:t>
      </w:r>
      <w:r>
        <w:rPr>
          <w:rFonts w:hint="eastAsia" w:ascii="宋体" w:hAnsi="宋体" w:eastAsia="宋体" w:cs="宋体"/>
          <w:b/>
          <w:bCs w:val="0"/>
          <w:color w:val="auto"/>
          <w:szCs w:val="21"/>
          <w:highlight w:val="none"/>
        </w:rPr>
        <w:t>总体概述</w:t>
      </w:r>
      <w:r>
        <w:rPr>
          <w:rFonts w:hint="eastAsia" w:ascii="宋体" w:hAnsi="宋体" w:eastAsia="宋体" w:cs="宋体"/>
          <w:b/>
          <w:bCs w:val="0"/>
          <w:color w:val="auto"/>
          <w:highlight w:val="none"/>
        </w:rPr>
        <w:t>……………………………………………</w:t>
      </w:r>
      <w:r>
        <w:rPr>
          <w:rFonts w:hint="eastAsia" w:ascii="宋体" w:hAnsi="宋体" w:eastAsia="宋体" w:cs="宋体"/>
          <w:b/>
          <w:color w:val="auto"/>
          <w:highlight w:val="none"/>
        </w:rPr>
        <w:t>………</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hAnsi="宋体" w:cs="宋体"/>
          <w:b/>
          <w:bCs w:val="0"/>
          <w:color w:val="auto"/>
          <w:highlight w:val="none"/>
          <w:lang w:val="en-US" w:eastAsia="zh-CN"/>
        </w:rPr>
        <w:t>10</w:t>
      </w:r>
      <w:r>
        <w:rPr>
          <w:rFonts w:hint="eastAsia" w:ascii="宋体" w:hAnsi="宋体" w:eastAsia="宋体" w:cs="宋体"/>
          <w:b/>
          <w:bCs w:val="0"/>
          <w:color w:val="auto"/>
          <w:szCs w:val="21"/>
          <w:highlight w:val="none"/>
        </w:rPr>
        <w:t>分</w:t>
      </w:r>
    </w:p>
    <w:p w14:paraId="4AEE0E5B">
      <w:pPr>
        <w:pStyle w:val="16"/>
        <w:spacing w:before="114" w:line="332" w:lineRule="auto"/>
        <w:ind w:left="1" w:firstLine="421"/>
        <w:rPr>
          <w:rFonts w:hint="eastAsia"/>
          <w:color w:val="auto"/>
          <w:spacing w:val="8"/>
          <w:highlight w:val="none"/>
        </w:rPr>
      </w:pPr>
      <w:r>
        <w:rPr>
          <w:rFonts w:hint="eastAsia"/>
          <w:color w:val="auto"/>
          <w:spacing w:val="8"/>
          <w:highlight w:val="none"/>
          <w:lang w:val="en-US" w:eastAsia="zh-CN"/>
        </w:rPr>
        <w:t>优</w:t>
      </w:r>
      <w:r>
        <w:rPr>
          <w:rFonts w:hint="eastAsia"/>
          <w:color w:val="auto"/>
          <w:spacing w:val="8"/>
          <w:highlight w:val="none"/>
        </w:rPr>
        <w:t>（10 分）：项目认知：对项目背景、重难点分析透彻，且针对性提出不少于3项具体解决措施；</w:t>
      </w:r>
    </w:p>
    <w:p w14:paraId="071917AD">
      <w:pPr>
        <w:pStyle w:val="16"/>
        <w:spacing w:before="114" w:line="332" w:lineRule="auto"/>
        <w:ind w:left="0" w:firstLine="452" w:firstLineChars="200"/>
        <w:rPr>
          <w:rFonts w:hint="eastAsia"/>
          <w:color w:val="auto"/>
          <w:spacing w:val="8"/>
          <w:highlight w:val="none"/>
        </w:rPr>
      </w:pPr>
      <w:r>
        <w:rPr>
          <w:rFonts w:hint="eastAsia"/>
          <w:color w:val="auto"/>
          <w:spacing w:val="8"/>
          <w:highlight w:val="none"/>
        </w:rPr>
        <w:t>施工段划分：施工段划分方案清晰，且明确划分了各施工段的具体桩号（或范围）、工程量及工期节点；</w:t>
      </w:r>
    </w:p>
    <w:p w14:paraId="3C6AFE3B">
      <w:pPr>
        <w:pStyle w:val="16"/>
        <w:spacing w:before="114" w:line="332" w:lineRule="auto"/>
        <w:ind w:left="1" w:firstLine="421"/>
        <w:rPr>
          <w:rFonts w:hint="eastAsia"/>
          <w:color w:val="auto"/>
          <w:spacing w:val="8"/>
          <w:highlight w:val="none"/>
        </w:rPr>
      </w:pPr>
      <w:r>
        <w:rPr>
          <w:rFonts w:hint="eastAsia"/>
          <w:color w:val="auto"/>
          <w:spacing w:val="8"/>
          <w:highlight w:val="none"/>
        </w:rPr>
        <w:t>关键节点控制：针对本项目关键节点（如截流、度汛、隐蔽工程等），制定了包含具体工艺流程、资源配置及应急预案的控制措施。</w:t>
      </w:r>
    </w:p>
    <w:p w14:paraId="0A2EE293">
      <w:pPr>
        <w:pStyle w:val="16"/>
        <w:spacing w:before="114" w:line="332" w:lineRule="auto"/>
        <w:ind w:left="1" w:firstLine="421"/>
        <w:rPr>
          <w:rFonts w:hint="eastAsia"/>
          <w:color w:val="auto"/>
          <w:spacing w:val="8"/>
          <w:highlight w:val="none"/>
        </w:rPr>
      </w:pPr>
      <w:r>
        <w:rPr>
          <w:rFonts w:hint="eastAsia"/>
          <w:color w:val="auto"/>
          <w:spacing w:val="8"/>
          <w:highlight w:val="none"/>
          <w:lang w:val="en-US" w:eastAsia="zh-CN"/>
        </w:rPr>
        <w:t>良</w:t>
      </w:r>
      <w:r>
        <w:rPr>
          <w:rFonts w:hint="eastAsia"/>
          <w:color w:val="auto"/>
          <w:spacing w:val="8"/>
          <w:highlight w:val="none"/>
        </w:rPr>
        <w:t>（7 分）：项目认知：对项目背景、重难点有一定分析，且针对性提出1-2项具体解决措施；</w:t>
      </w:r>
    </w:p>
    <w:p w14:paraId="200978C7">
      <w:pPr>
        <w:pStyle w:val="16"/>
        <w:spacing w:before="114" w:line="332" w:lineRule="auto"/>
        <w:ind w:left="1" w:firstLine="421"/>
        <w:rPr>
          <w:rFonts w:hint="eastAsia"/>
          <w:color w:val="auto"/>
          <w:spacing w:val="8"/>
          <w:highlight w:val="none"/>
        </w:rPr>
      </w:pPr>
      <w:r>
        <w:rPr>
          <w:rFonts w:hint="eastAsia"/>
          <w:color w:val="auto"/>
          <w:spacing w:val="8"/>
          <w:highlight w:val="none"/>
        </w:rPr>
        <w:t>施工段划分：施工段划分方案清晰，明确了各施工段的范围及工期节点；</w:t>
      </w:r>
    </w:p>
    <w:p w14:paraId="1A56854F">
      <w:pPr>
        <w:pStyle w:val="16"/>
        <w:spacing w:before="114" w:line="332" w:lineRule="auto"/>
        <w:ind w:left="1" w:firstLine="421"/>
        <w:rPr>
          <w:rFonts w:hint="eastAsia"/>
          <w:color w:val="auto"/>
          <w:spacing w:val="8"/>
          <w:highlight w:val="none"/>
        </w:rPr>
      </w:pPr>
      <w:r>
        <w:rPr>
          <w:rFonts w:hint="eastAsia"/>
          <w:color w:val="auto"/>
          <w:spacing w:val="8"/>
          <w:highlight w:val="none"/>
        </w:rPr>
        <w:t>关键节点控制：针对本项目关键节点制定了包含具体工艺流程的控制措施。</w:t>
      </w:r>
    </w:p>
    <w:p w14:paraId="61940CDF">
      <w:pPr>
        <w:pStyle w:val="16"/>
        <w:spacing w:before="114" w:line="332" w:lineRule="auto"/>
        <w:ind w:left="1" w:firstLine="421"/>
        <w:rPr>
          <w:rFonts w:hint="eastAsia"/>
          <w:color w:val="auto"/>
          <w:spacing w:val="8"/>
          <w:highlight w:val="none"/>
        </w:rPr>
      </w:pPr>
      <w:r>
        <w:rPr>
          <w:rFonts w:hint="eastAsia"/>
          <w:color w:val="auto"/>
          <w:spacing w:val="8"/>
          <w:highlight w:val="none"/>
          <w:lang w:val="en-US" w:eastAsia="zh-CN"/>
        </w:rPr>
        <w:t>中</w:t>
      </w:r>
      <w:r>
        <w:rPr>
          <w:rFonts w:hint="eastAsia"/>
          <w:color w:val="auto"/>
          <w:spacing w:val="8"/>
          <w:highlight w:val="none"/>
        </w:rPr>
        <w:t>（3 分）：项目认知：对项目有基本认知，但未针对重难点提出具体解决措施；</w:t>
      </w:r>
    </w:p>
    <w:p w14:paraId="1A07935C">
      <w:pPr>
        <w:pStyle w:val="16"/>
        <w:spacing w:before="114" w:line="332" w:lineRule="auto"/>
        <w:ind w:left="1" w:firstLine="421"/>
        <w:rPr>
          <w:rFonts w:hint="eastAsia"/>
          <w:color w:val="auto"/>
          <w:spacing w:val="8"/>
          <w:highlight w:val="none"/>
        </w:rPr>
      </w:pPr>
      <w:r>
        <w:rPr>
          <w:rFonts w:hint="eastAsia"/>
          <w:color w:val="auto"/>
          <w:spacing w:val="8"/>
          <w:highlight w:val="none"/>
        </w:rPr>
        <w:t>施工段划分：有施工段划分方案，但未明确具体的范围或工期节点；</w:t>
      </w:r>
    </w:p>
    <w:p w14:paraId="304DC38D">
      <w:pPr>
        <w:pStyle w:val="16"/>
        <w:spacing w:before="114" w:line="332" w:lineRule="auto"/>
        <w:ind w:left="1" w:firstLine="421"/>
        <w:rPr>
          <w:rFonts w:hint="eastAsia"/>
          <w:color w:val="auto"/>
          <w:spacing w:val="8"/>
          <w:highlight w:val="none"/>
        </w:rPr>
      </w:pPr>
      <w:r>
        <w:rPr>
          <w:rFonts w:hint="eastAsia"/>
          <w:color w:val="auto"/>
          <w:spacing w:val="8"/>
          <w:highlight w:val="none"/>
        </w:rPr>
        <w:t>关键节点控制：仅列出关键节点名称，未提供具体的控制措施或工艺流程。</w:t>
      </w:r>
    </w:p>
    <w:p w14:paraId="2164904C">
      <w:pPr>
        <w:pStyle w:val="16"/>
        <w:spacing w:before="114" w:line="332" w:lineRule="auto"/>
        <w:ind w:left="1" w:firstLine="421"/>
        <w:rPr>
          <w:rFonts w:hint="eastAsia" w:ascii="宋体" w:hAnsi="宋体" w:eastAsia="宋体" w:cs="宋体"/>
          <w:b w:val="0"/>
          <w:bCs/>
          <w:color w:val="auto"/>
          <w:kern w:val="0"/>
          <w:szCs w:val="21"/>
          <w:highlight w:val="none"/>
        </w:rPr>
      </w:pPr>
      <w:r>
        <w:rPr>
          <w:rFonts w:hint="eastAsia"/>
          <w:color w:val="auto"/>
          <w:spacing w:val="8"/>
          <w:highlight w:val="none"/>
          <w:lang w:val="en-US" w:eastAsia="zh-CN"/>
        </w:rPr>
        <w:t>差</w:t>
      </w:r>
      <w:r>
        <w:rPr>
          <w:rFonts w:hint="eastAsia"/>
          <w:color w:val="auto"/>
          <w:spacing w:val="8"/>
          <w:highlight w:val="none"/>
        </w:rPr>
        <w:t>（1 分）：未提供总体概述，或提供的总体概述内容缺失严重、完全脱离本项目实际情况。</w:t>
      </w:r>
    </w:p>
    <w:p w14:paraId="5F04861A">
      <w:pPr>
        <w:pStyle w:val="22"/>
        <w:pageBreakBefore w:val="0"/>
        <w:widowControl w:val="0"/>
        <w:kinsoku/>
        <w:wordWrap/>
        <w:overflowPunct/>
        <w:topLinePunct w:val="0"/>
        <w:bidi w:val="0"/>
        <w:snapToGrid/>
        <w:spacing w:line="360" w:lineRule="auto"/>
        <w:ind w:firstLine="211" w:firstLineChars="100"/>
        <w:textAlignment w:val="auto"/>
        <w:outlineLvl w:val="9"/>
        <w:rPr>
          <w:rFonts w:hint="eastAsia" w:ascii="宋体" w:hAnsi="宋体" w:eastAsia="宋体" w:cs="宋体"/>
          <w:b/>
          <w:bCs w:val="0"/>
          <w:color w:val="auto"/>
          <w:highlight w:val="none"/>
        </w:rPr>
      </w:pPr>
      <w:r>
        <w:rPr>
          <w:rFonts w:hint="eastAsia" w:ascii="宋体" w:hAnsi="宋体" w:eastAsia="宋体" w:cs="宋体"/>
          <w:b/>
          <w:bCs w:val="0"/>
          <w:color w:val="auto"/>
          <w:highlight w:val="none"/>
        </w:rPr>
        <w:t>（2）主要施工方法…………</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ascii="宋体" w:hAnsi="宋体" w:eastAsia="宋体" w:cs="宋体"/>
          <w:b/>
          <w:color w:val="auto"/>
          <w:highlight w:val="none"/>
        </w:rPr>
        <w:t>………</w:t>
      </w:r>
      <w:r>
        <w:rPr>
          <w:rFonts w:hint="eastAsia" w:ascii="宋体" w:hAnsi="宋体" w:eastAsia="宋体" w:cs="宋体"/>
          <w:b/>
          <w:bCs w:val="0"/>
          <w:color w:val="auto"/>
          <w:highlight w:val="none"/>
        </w:rPr>
        <w:t>………………………………………………</w:t>
      </w:r>
      <w:r>
        <w:rPr>
          <w:rFonts w:hint="eastAsia" w:ascii="宋体" w:hAnsi="宋体" w:eastAsia="宋体" w:cs="宋体"/>
          <w:b/>
          <w:bCs w:val="0"/>
          <w:color w:val="auto"/>
          <w:highlight w:val="none"/>
          <w:lang w:val="en-US" w:eastAsia="zh-CN"/>
        </w:rPr>
        <w:t>12</w:t>
      </w:r>
      <w:r>
        <w:rPr>
          <w:rFonts w:hint="eastAsia" w:ascii="宋体" w:hAnsi="宋体" w:eastAsia="宋体" w:cs="宋体"/>
          <w:b/>
          <w:bCs w:val="0"/>
          <w:color w:val="auto"/>
          <w:szCs w:val="21"/>
          <w:highlight w:val="none"/>
        </w:rPr>
        <w:t>分</w:t>
      </w:r>
    </w:p>
    <w:p w14:paraId="3BD083CC">
      <w:pPr>
        <w:pStyle w:val="16"/>
        <w:spacing w:before="114" w:line="332" w:lineRule="auto"/>
        <w:ind w:left="4" w:right="68" w:firstLine="419"/>
        <w:jc w:val="both"/>
        <w:rPr>
          <w:rFonts w:hint="eastAsia"/>
          <w:color w:val="auto"/>
          <w:spacing w:val="10"/>
          <w:highlight w:val="none"/>
        </w:rPr>
      </w:pPr>
      <w:r>
        <w:rPr>
          <w:rFonts w:hint="eastAsia"/>
          <w:color w:val="auto"/>
          <w:spacing w:val="8"/>
          <w:highlight w:val="none"/>
          <w:lang w:val="en-US" w:eastAsia="zh-CN"/>
        </w:rPr>
        <w:t>优</w:t>
      </w:r>
      <w:r>
        <w:rPr>
          <w:rFonts w:hint="eastAsia"/>
          <w:color w:val="auto"/>
          <w:spacing w:val="10"/>
          <w:highlight w:val="none"/>
        </w:rPr>
        <w:t>（12 分）：</w:t>
      </w:r>
    </w:p>
    <w:p w14:paraId="3558B634">
      <w:pPr>
        <w:pStyle w:val="16"/>
        <w:spacing w:before="114" w:line="332" w:lineRule="auto"/>
        <w:ind w:left="4" w:right="68" w:firstLine="419"/>
        <w:jc w:val="both"/>
        <w:rPr>
          <w:rFonts w:hint="eastAsia"/>
          <w:color w:val="auto"/>
          <w:spacing w:val="10"/>
          <w:highlight w:val="none"/>
        </w:rPr>
      </w:pPr>
      <w:r>
        <w:rPr>
          <w:rFonts w:hint="eastAsia"/>
          <w:color w:val="auto"/>
          <w:spacing w:val="10"/>
          <w:highlight w:val="none"/>
        </w:rPr>
        <w:t>施工技术方案：针对本项目各主要分部工程，提供完整的施工技术方案，且方案中明确包含具体的施工工艺流程图、关键工序技术参数及相应的安全保障措施；</w:t>
      </w:r>
    </w:p>
    <w:p w14:paraId="2947B68B">
      <w:pPr>
        <w:pStyle w:val="16"/>
        <w:spacing w:before="114" w:line="332" w:lineRule="auto"/>
        <w:ind w:left="4" w:right="68" w:firstLine="419"/>
        <w:jc w:val="both"/>
        <w:rPr>
          <w:rFonts w:hint="eastAsia"/>
          <w:color w:val="auto"/>
          <w:spacing w:val="10"/>
          <w:highlight w:val="none"/>
        </w:rPr>
      </w:pPr>
      <w:r>
        <w:rPr>
          <w:rFonts w:hint="eastAsia"/>
          <w:color w:val="auto"/>
          <w:spacing w:val="10"/>
          <w:highlight w:val="none"/>
        </w:rPr>
        <w:t>材料组织计划：提供详细的施工材料组织计划，明确列出主要材料的规格型号、具体进场时间节点计划及现场存放规划。</w:t>
      </w:r>
    </w:p>
    <w:p w14:paraId="63B7238D">
      <w:pPr>
        <w:pStyle w:val="16"/>
        <w:spacing w:before="114" w:line="332" w:lineRule="auto"/>
        <w:ind w:left="4" w:right="68" w:firstLine="419"/>
        <w:jc w:val="both"/>
        <w:rPr>
          <w:rFonts w:hint="eastAsia"/>
          <w:color w:val="auto"/>
          <w:spacing w:val="10"/>
          <w:highlight w:val="none"/>
        </w:rPr>
      </w:pPr>
      <w:r>
        <w:rPr>
          <w:rFonts w:hint="eastAsia"/>
          <w:color w:val="auto"/>
          <w:spacing w:val="8"/>
          <w:highlight w:val="none"/>
          <w:lang w:val="en-US" w:eastAsia="zh-CN"/>
        </w:rPr>
        <w:t>良</w:t>
      </w:r>
      <w:r>
        <w:rPr>
          <w:rFonts w:hint="eastAsia"/>
          <w:color w:val="auto"/>
          <w:spacing w:val="10"/>
          <w:highlight w:val="none"/>
        </w:rPr>
        <w:t>（8 分）：</w:t>
      </w:r>
    </w:p>
    <w:p w14:paraId="53A4A414">
      <w:pPr>
        <w:pStyle w:val="16"/>
        <w:spacing w:before="114" w:line="332" w:lineRule="auto"/>
        <w:ind w:left="4" w:right="68" w:firstLine="419"/>
        <w:jc w:val="both"/>
        <w:rPr>
          <w:rFonts w:hint="eastAsia"/>
          <w:color w:val="auto"/>
          <w:spacing w:val="10"/>
          <w:highlight w:val="none"/>
        </w:rPr>
      </w:pPr>
      <w:r>
        <w:rPr>
          <w:rFonts w:hint="eastAsia"/>
          <w:color w:val="auto"/>
          <w:spacing w:val="10"/>
          <w:highlight w:val="none"/>
        </w:rPr>
        <w:t>施工技术方案：针对本项目各主要分部工程，提供施工技术方案，方案中包含基本的施工工艺流程及安全保障措施；</w:t>
      </w:r>
    </w:p>
    <w:p w14:paraId="796E11D6">
      <w:pPr>
        <w:pStyle w:val="16"/>
        <w:spacing w:before="114" w:line="332" w:lineRule="auto"/>
        <w:ind w:left="4" w:right="68" w:firstLine="419"/>
        <w:jc w:val="both"/>
        <w:rPr>
          <w:rFonts w:hint="eastAsia"/>
          <w:color w:val="auto"/>
          <w:spacing w:val="10"/>
          <w:highlight w:val="none"/>
        </w:rPr>
      </w:pPr>
      <w:r>
        <w:rPr>
          <w:rFonts w:hint="eastAsia"/>
          <w:color w:val="auto"/>
          <w:spacing w:val="10"/>
          <w:highlight w:val="none"/>
        </w:rPr>
        <w:t>材料组织计划：提供施工材料组织计划，明确列出主要材料的规格型号及进场时间节点计划。</w:t>
      </w:r>
    </w:p>
    <w:p w14:paraId="34051546">
      <w:pPr>
        <w:pStyle w:val="16"/>
        <w:spacing w:before="114" w:line="332" w:lineRule="auto"/>
        <w:ind w:left="4" w:right="68" w:firstLine="419"/>
        <w:jc w:val="both"/>
        <w:rPr>
          <w:rFonts w:hint="eastAsia"/>
          <w:color w:val="auto"/>
          <w:spacing w:val="10"/>
          <w:highlight w:val="none"/>
        </w:rPr>
      </w:pPr>
      <w:r>
        <w:rPr>
          <w:rFonts w:hint="eastAsia"/>
          <w:color w:val="auto"/>
          <w:spacing w:val="8"/>
          <w:highlight w:val="none"/>
          <w:lang w:val="en-US" w:eastAsia="zh-CN"/>
        </w:rPr>
        <w:t>中</w:t>
      </w:r>
      <w:r>
        <w:rPr>
          <w:rFonts w:hint="eastAsia"/>
          <w:color w:val="auto"/>
          <w:spacing w:val="10"/>
          <w:highlight w:val="none"/>
        </w:rPr>
        <w:t>（5 分）：</w:t>
      </w:r>
    </w:p>
    <w:p w14:paraId="77EBD6A5">
      <w:pPr>
        <w:pStyle w:val="16"/>
        <w:spacing w:before="114" w:line="332" w:lineRule="auto"/>
        <w:ind w:left="4" w:right="68" w:firstLine="419"/>
        <w:jc w:val="both"/>
        <w:rPr>
          <w:rFonts w:hint="eastAsia"/>
          <w:color w:val="auto"/>
          <w:spacing w:val="10"/>
          <w:highlight w:val="none"/>
        </w:rPr>
      </w:pPr>
      <w:r>
        <w:rPr>
          <w:rFonts w:hint="eastAsia"/>
          <w:color w:val="auto"/>
          <w:spacing w:val="10"/>
          <w:highlight w:val="none"/>
        </w:rPr>
        <w:t>施工技术方案：提供施工技术方案，但仅包含基础的施工工艺流程，未明确具体的安全保障措施；</w:t>
      </w:r>
    </w:p>
    <w:p w14:paraId="5447980F">
      <w:pPr>
        <w:pStyle w:val="16"/>
        <w:spacing w:before="114" w:line="332" w:lineRule="auto"/>
        <w:ind w:left="4" w:right="68" w:firstLine="419"/>
        <w:jc w:val="both"/>
        <w:rPr>
          <w:rFonts w:hint="eastAsia"/>
          <w:color w:val="auto"/>
          <w:spacing w:val="10"/>
          <w:highlight w:val="none"/>
        </w:rPr>
      </w:pPr>
      <w:r>
        <w:rPr>
          <w:rFonts w:hint="eastAsia"/>
          <w:color w:val="auto"/>
          <w:spacing w:val="10"/>
          <w:highlight w:val="none"/>
        </w:rPr>
        <w:t>材料组织计划：提供施工材料组织计划，但未明确具体的进场时间节点计划。</w:t>
      </w:r>
    </w:p>
    <w:p w14:paraId="396314A7">
      <w:pPr>
        <w:pStyle w:val="16"/>
        <w:spacing w:before="114" w:line="332" w:lineRule="auto"/>
        <w:ind w:left="4" w:right="68" w:firstLine="419"/>
        <w:jc w:val="both"/>
        <w:rPr>
          <w:rFonts w:hint="eastAsia"/>
          <w:color w:val="auto"/>
          <w:spacing w:val="10"/>
          <w:highlight w:val="none"/>
        </w:rPr>
      </w:pPr>
      <w:r>
        <w:rPr>
          <w:rFonts w:hint="eastAsia"/>
          <w:color w:val="auto"/>
          <w:spacing w:val="8"/>
          <w:highlight w:val="none"/>
          <w:lang w:val="en-US" w:eastAsia="zh-CN"/>
        </w:rPr>
        <w:t>差</w:t>
      </w:r>
      <w:r>
        <w:rPr>
          <w:rFonts w:hint="eastAsia"/>
          <w:color w:val="auto"/>
          <w:spacing w:val="10"/>
          <w:highlight w:val="none"/>
        </w:rPr>
        <w:t>（1 分）：</w:t>
      </w:r>
    </w:p>
    <w:p w14:paraId="40003CF8">
      <w:pPr>
        <w:pStyle w:val="22"/>
        <w:pageBreakBefore w:val="0"/>
        <w:widowControl w:val="0"/>
        <w:kinsoku/>
        <w:wordWrap/>
        <w:overflowPunct/>
        <w:topLinePunct w:val="0"/>
        <w:bidi w:val="0"/>
        <w:snapToGrid/>
        <w:spacing w:line="360" w:lineRule="auto"/>
        <w:ind w:firstLine="230" w:firstLineChars="100"/>
        <w:textAlignment w:val="auto"/>
        <w:outlineLvl w:val="9"/>
        <w:rPr>
          <w:rFonts w:hint="eastAsia"/>
          <w:color w:val="auto"/>
          <w:spacing w:val="10"/>
          <w:highlight w:val="none"/>
        </w:rPr>
      </w:pPr>
      <w:r>
        <w:rPr>
          <w:rFonts w:hint="eastAsia"/>
          <w:color w:val="auto"/>
          <w:spacing w:val="10"/>
          <w:highlight w:val="none"/>
        </w:rPr>
        <w:t>未提供主要施工技术方案及材料组织计划，或提供的内容完全脱离本项目实际、缺失严重。</w:t>
      </w:r>
    </w:p>
    <w:p w14:paraId="468B5489">
      <w:pPr>
        <w:pStyle w:val="22"/>
        <w:pageBreakBefore w:val="0"/>
        <w:widowControl w:val="0"/>
        <w:kinsoku/>
        <w:wordWrap/>
        <w:overflowPunct/>
        <w:topLinePunct w:val="0"/>
        <w:bidi w:val="0"/>
        <w:snapToGrid/>
        <w:spacing w:line="360" w:lineRule="auto"/>
        <w:ind w:firstLine="211" w:firstLineChars="100"/>
        <w:textAlignment w:val="auto"/>
        <w:outlineLvl w:val="9"/>
        <w:rPr>
          <w:rFonts w:hint="eastAsia" w:ascii="宋体" w:hAnsi="宋体" w:eastAsia="宋体" w:cs="宋体"/>
          <w:b/>
          <w:bCs w:val="0"/>
          <w:color w:val="auto"/>
          <w:highlight w:val="none"/>
        </w:rPr>
      </w:pPr>
      <w:r>
        <w:rPr>
          <w:rFonts w:hint="eastAsia" w:ascii="宋体" w:hAnsi="宋体" w:eastAsia="宋体" w:cs="宋体"/>
          <w:b/>
          <w:bCs w:val="0"/>
          <w:color w:val="auto"/>
          <w:szCs w:val="21"/>
          <w:highlight w:val="none"/>
        </w:rPr>
        <w:t>（3）</w:t>
      </w:r>
      <w:r>
        <w:rPr>
          <w:b/>
          <w:bCs/>
          <w:color w:val="auto"/>
          <w:spacing w:val="6"/>
          <w:highlight w:val="none"/>
        </w:rPr>
        <w:t>人员及机械设备配置</w:t>
      </w:r>
      <w:r>
        <w:rPr>
          <w:rFonts w:hint="eastAsia" w:ascii="宋体" w:hAnsi="宋体" w:eastAsia="宋体" w:cs="宋体"/>
          <w:b/>
          <w:bCs w:val="0"/>
          <w:color w:val="auto"/>
          <w:highlight w:val="none"/>
        </w:rPr>
        <w:t>……</w:t>
      </w:r>
      <w:r>
        <w:rPr>
          <w:rFonts w:hint="eastAsia" w:ascii="宋体" w:hAnsi="宋体" w:eastAsia="宋体" w:cs="宋体"/>
          <w:b/>
          <w:color w:val="auto"/>
          <w:highlight w:val="none"/>
        </w:rPr>
        <w:t>………</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hAnsi="宋体" w:cs="宋体"/>
          <w:b/>
          <w:bCs w:val="0"/>
          <w:color w:val="auto"/>
          <w:highlight w:val="none"/>
          <w:lang w:val="en-US" w:eastAsia="zh-CN"/>
        </w:rPr>
        <w:t>7</w:t>
      </w:r>
      <w:r>
        <w:rPr>
          <w:rFonts w:hint="eastAsia" w:ascii="宋体" w:hAnsi="宋体" w:eastAsia="宋体" w:cs="宋体"/>
          <w:b/>
          <w:bCs w:val="0"/>
          <w:color w:val="auto"/>
          <w:szCs w:val="21"/>
          <w:highlight w:val="none"/>
        </w:rPr>
        <w:t>分</w:t>
      </w:r>
    </w:p>
    <w:p w14:paraId="03A2F397">
      <w:pPr>
        <w:pStyle w:val="16"/>
        <w:spacing w:before="115" w:line="333" w:lineRule="auto"/>
        <w:ind w:right="68" w:firstLine="422"/>
        <w:jc w:val="both"/>
        <w:rPr>
          <w:rFonts w:hint="eastAsia"/>
          <w:color w:val="auto"/>
          <w:spacing w:val="8"/>
          <w:highlight w:val="none"/>
        </w:rPr>
      </w:pPr>
      <w:r>
        <w:rPr>
          <w:rFonts w:hint="eastAsia"/>
          <w:color w:val="auto"/>
          <w:spacing w:val="8"/>
          <w:highlight w:val="none"/>
          <w:lang w:val="en-US" w:eastAsia="zh-CN"/>
        </w:rPr>
        <w:t>优</w:t>
      </w:r>
      <w:r>
        <w:rPr>
          <w:rFonts w:hint="eastAsia"/>
          <w:color w:val="auto"/>
          <w:spacing w:val="8"/>
          <w:highlight w:val="none"/>
        </w:rPr>
        <w:t>（7 分）：</w:t>
      </w:r>
    </w:p>
    <w:p w14:paraId="25ABD5EF">
      <w:pPr>
        <w:pStyle w:val="16"/>
        <w:spacing w:before="115" w:line="333" w:lineRule="auto"/>
        <w:ind w:right="68" w:firstLine="422"/>
        <w:jc w:val="both"/>
        <w:rPr>
          <w:rFonts w:hint="eastAsia"/>
          <w:color w:val="auto"/>
          <w:spacing w:val="8"/>
          <w:highlight w:val="none"/>
        </w:rPr>
      </w:pPr>
      <w:r>
        <w:rPr>
          <w:rFonts w:hint="eastAsia"/>
          <w:color w:val="auto"/>
          <w:spacing w:val="8"/>
          <w:highlight w:val="none"/>
        </w:rPr>
        <w:t>人员与机械配置：拟投入的管理人员及机械设备配置完全响应招标文件要求；</w:t>
      </w:r>
    </w:p>
    <w:p w14:paraId="13AAAE3B">
      <w:pPr>
        <w:pStyle w:val="16"/>
        <w:spacing w:before="115" w:line="333" w:lineRule="auto"/>
        <w:ind w:right="68" w:firstLine="422"/>
        <w:jc w:val="both"/>
        <w:rPr>
          <w:rFonts w:hint="eastAsia"/>
          <w:color w:val="auto"/>
          <w:spacing w:val="8"/>
          <w:highlight w:val="none"/>
        </w:rPr>
      </w:pPr>
      <w:r>
        <w:rPr>
          <w:rFonts w:hint="eastAsia"/>
          <w:color w:val="auto"/>
          <w:spacing w:val="8"/>
          <w:highlight w:val="none"/>
        </w:rPr>
        <w:t>组织安排计划：针对各主要施工工序，提供了详细的劳动力及机械设备组织安排计划，计划中明确包含各工序的具体劳动力人数、机械设备的型号规格、具体数量及明确的进场时间节点。</w:t>
      </w:r>
    </w:p>
    <w:p w14:paraId="3BC85416">
      <w:pPr>
        <w:pStyle w:val="16"/>
        <w:spacing w:before="115" w:line="333" w:lineRule="auto"/>
        <w:ind w:right="68" w:firstLine="422"/>
        <w:jc w:val="both"/>
        <w:rPr>
          <w:rFonts w:hint="eastAsia"/>
          <w:color w:val="auto"/>
          <w:spacing w:val="8"/>
          <w:highlight w:val="none"/>
        </w:rPr>
      </w:pPr>
      <w:r>
        <w:rPr>
          <w:rFonts w:hint="eastAsia"/>
          <w:color w:val="auto"/>
          <w:spacing w:val="8"/>
          <w:highlight w:val="none"/>
          <w:lang w:val="en-US" w:eastAsia="zh-CN"/>
        </w:rPr>
        <w:t>良</w:t>
      </w:r>
      <w:r>
        <w:rPr>
          <w:rFonts w:hint="eastAsia"/>
          <w:color w:val="auto"/>
          <w:spacing w:val="8"/>
          <w:highlight w:val="none"/>
        </w:rPr>
        <w:t>（5 分）：</w:t>
      </w:r>
    </w:p>
    <w:p w14:paraId="722C5DDC">
      <w:pPr>
        <w:pStyle w:val="16"/>
        <w:spacing w:before="115" w:line="333" w:lineRule="auto"/>
        <w:ind w:right="68" w:firstLine="422"/>
        <w:jc w:val="both"/>
        <w:rPr>
          <w:rFonts w:hint="eastAsia"/>
          <w:color w:val="auto"/>
          <w:spacing w:val="8"/>
          <w:highlight w:val="none"/>
        </w:rPr>
      </w:pPr>
      <w:r>
        <w:rPr>
          <w:rFonts w:hint="eastAsia"/>
          <w:color w:val="auto"/>
          <w:spacing w:val="8"/>
          <w:highlight w:val="none"/>
        </w:rPr>
        <w:t>人员与机械配置：拟投入的管理人员及机械设备配置响应招标文件要求；</w:t>
      </w:r>
    </w:p>
    <w:p w14:paraId="72B3BB8D">
      <w:pPr>
        <w:pStyle w:val="16"/>
        <w:spacing w:before="115" w:line="333" w:lineRule="auto"/>
        <w:ind w:right="68" w:firstLine="422"/>
        <w:jc w:val="both"/>
        <w:rPr>
          <w:rFonts w:hint="eastAsia"/>
          <w:color w:val="auto"/>
          <w:spacing w:val="8"/>
          <w:highlight w:val="none"/>
        </w:rPr>
      </w:pPr>
      <w:r>
        <w:rPr>
          <w:rFonts w:hint="eastAsia"/>
          <w:color w:val="auto"/>
          <w:spacing w:val="8"/>
          <w:highlight w:val="none"/>
        </w:rPr>
        <w:t>组织安排计划：针对各主要施工工序，提供了劳动力及机械设备组织安排计划，计划中明确包含各工序的劳动力人数、机械设备的型号规格及具体数量。</w:t>
      </w:r>
    </w:p>
    <w:p w14:paraId="74B110A5">
      <w:pPr>
        <w:pStyle w:val="16"/>
        <w:spacing w:before="115" w:line="333" w:lineRule="auto"/>
        <w:ind w:right="68" w:firstLine="422"/>
        <w:jc w:val="both"/>
        <w:rPr>
          <w:rFonts w:hint="eastAsia"/>
          <w:color w:val="auto"/>
          <w:spacing w:val="8"/>
          <w:highlight w:val="none"/>
        </w:rPr>
      </w:pPr>
      <w:r>
        <w:rPr>
          <w:rFonts w:hint="eastAsia"/>
          <w:color w:val="auto"/>
          <w:spacing w:val="8"/>
          <w:highlight w:val="none"/>
          <w:lang w:val="en-US" w:eastAsia="zh-CN"/>
        </w:rPr>
        <w:t>中</w:t>
      </w:r>
      <w:r>
        <w:rPr>
          <w:rFonts w:hint="eastAsia"/>
          <w:color w:val="auto"/>
          <w:spacing w:val="8"/>
          <w:highlight w:val="none"/>
        </w:rPr>
        <w:t>（3 分）：</w:t>
      </w:r>
    </w:p>
    <w:p w14:paraId="18854BD7">
      <w:pPr>
        <w:pStyle w:val="16"/>
        <w:spacing w:before="115" w:line="333" w:lineRule="auto"/>
        <w:ind w:right="68" w:firstLine="422"/>
        <w:jc w:val="both"/>
        <w:rPr>
          <w:rFonts w:hint="eastAsia"/>
          <w:color w:val="auto"/>
          <w:spacing w:val="8"/>
          <w:highlight w:val="none"/>
        </w:rPr>
      </w:pPr>
      <w:r>
        <w:rPr>
          <w:rFonts w:hint="eastAsia"/>
          <w:color w:val="auto"/>
          <w:spacing w:val="8"/>
          <w:highlight w:val="none"/>
        </w:rPr>
        <w:t>人员与机械配置：拟投入的管理人员及机械设备配置响应招标文件要求；</w:t>
      </w:r>
    </w:p>
    <w:p w14:paraId="77A8680A">
      <w:pPr>
        <w:pStyle w:val="16"/>
        <w:spacing w:before="115" w:line="333" w:lineRule="auto"/>
        <w:ind w:right="68" w:firstLine="422"/>
        <w:jc w:val="both"/>
        <w:rPr>
          <w:rFonts w:hint="eastAsia"/>
          <w:color w:val="auto"/>
          <w:spacing w:val="8"/>
          <w:highlight w:val="none"/>
        </w:rPr>
      </w:pPr>
      <w:r>
        <w:rPr>
          <w:rFonts w:hint="eastAsia"/>
          <w:color w:val="auto"/>
          <w:spacing w:val="8"/>
          <w:highlight w:val="none"/>
        </w:rPr>
        <w:t>组织安排计划：提供了劳动力及机械设备组织安排计划，但计划内容不完整，未明确具体的劳动力人数或机械设备数量。</w:t>
      </w:r>
    </w:p>
    <w:p w14:paraId="558A1988">
      <w:pPr>
        <w:pStyle w:val="16"/>
        <w:spacing w:before="115" w:line="333" w:lineRule="auto"/>
        <w:ind w:right="68" w:firstLine="422"/>
        <w:jc w:val="both"/>
        <w:rPr>
          <w:rFonts w:hint="eastAsia"/>
          <w:color w:val="auto"/>
          <w:spacing w:val="8"/>
          <w:highlight w:val="none"/>
        </w:rPr>
      </w:pPr>
      <w:r>
        <w:rPr>
          <w:rFonts w:hint="eastAsia"/>
          <w:color w:val="auto"/>
          <w:spacing w:val="8"/>
          <w:highlight w:val="none"/>
          <w:lang w:val="en-US" w:eastAsia="zh-CN"/>
        </w:rPr>
        <w:t>差</w:t>
      </w:r>
      <w:r>
        <w:rPr>
          <w:rFonts w:hint="eastAsia"/>
          <w:color w:val="auto"/>
          <w:spacing w:val="8"/>
          <w:highlight w:val="none"/>
        </w:rPr>
        <w:t>（1 分）：未提供劳动力及机械设备组织安排计划，或提供的人员与机械配置不满足招标文件的基本要求。</w:t>
      </w:r>
    </w:p>
    <w:p w14:paraId="63B5F694">
      <w:pPr>
        <w:pStyle w:val="16"/>
        <w:spacing w:before="115" w:line="333" w:lineRule="auto"/>
        <w:ind w:right="68" w:firstLine="422"/>
        <w:jc w:val="both"/>
        <w:rPr>
          <w:rFonts w:hint="eastAsia" w:ascii="宋体" w:hAnsi="宋体" w:eastAsia="宋体" w:cs="宋体"/>
          <w:b/>
          <w:bCs w:val="0"/>
          <w:color w:val="auto"/>
          <w:highlight w:val="none"/>
        </w:rPr>
      </w:pPr>
      <w:r>
        <w:rPr>
          <w:rFonts w:hint="eastAsia" w:ascii="宋体" w:hAnsi="宋体" w:eastAsia="宋体" w:cs="宋体"/>
          <w:b/>
          <w:bCs w:val="0"/>
          <w:color w:val="auto"/>
          <w:szCs w:val="21"/>
          <w:highlight w:val="none"/>
        </w:rPr>
        <w:t>（4）</w:t>
      </w:r>
      <w:r>
        <w:rPr>
          <w:b/>
          <w:bCs/>
          <w:color w:val="auto"/>
          <w:spacing w:val="6"/>
          <w:highlight w:val="none"/>
        </w:rPr>
        <w:t>工期保证体系及保证措施</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ascii="宋体" w:hAnsi="宋体" w:eastAsia="宋体" w:cs="宋体"/>
          <w:b/>
          <w:color w:val="auto"/>
          <w:highlight w:val="none"/>
        </w:rPr>
        <w:t>……</w:t>
      </w:r>
      <w:r>
        <w:rPr>
          <w:rFonts w:hint="eastAsia" w:ascii="宋体" w:hAnsi="宋体" w:eastAsia="宋体" w:cs="宋体"/>
          <w:b/>
          <w:color w:val="auto"/>
          <w:highlight w:val="none"/>
          <w:lang w:val="en-US" w:eastAsia="zh-CN"/>
        </w:rPr>
        <w:t>6</w:t>
      </w:r>
      <w:r>
        <w:rPr>
          <w:rFonts w:hint="eastAsia" w:ascii="宋体" w:hAnsi="宋体" w:eastAsia="宋体" w:cs="宋体"/>
          <w:b/>
          <w:bCs w:val="0"/>
          <w:color w:val="auto"/>
          <w:szCs w:val="21"/>
          <w:highlight w:val="none"/>
        </w:rPr>
        <w:t>分</w:t>
      </w:r>
    </w:p>
    <w:p w14:paraId="67C735E5">
      <w:pPr>
        <w:pStyle w:val="16"/>
        <w:spacing w:before="114" w:line="332" w:lineRule="auto"/>
        <w:ind w:left="6" w:firstLine="417"/>
        <w:rPr>
          <w:rFonts w:hint="eastAsia"/>
          <w:color w:val="auto"/>
          <w:spacing w:val="8"/>
          <w:highlight w:val="none"/>
        </w:rPr>
      </w:pPr>
      <w:r>
        <w:rPr>
          <w:rFonts w:hint="eastAsia"/>
          <w:color w:val="auto"/>
          <w:spacing w:val="8"/>
          <w:highlight w:val="none"/>
          <w:lang w:val="en-US" w:eastAsia="zh-CN"/>
        </w:rPr>
        <w:t>优</w:t>
      </w:r>
      <w:r>
        <w:rPr>
          <w:rFonts w:hint="eastAsia"/>
          <w:color w:val="auto"/>
          <w:spacing w:val="8"/>
          <w:highlight w:val="none"/>
        </w:rPr>
        <w:t>（6 分）：</w:t>
      </w:r>
    </w:p>
    <w:p w14:paraId="35E1E741">
      <w:pPr>
        <w:pStyle w:val="16"/>
        <w:spacing w:before="114" w:line="332" w:lineRule="auto"/>
        <w:ind w:left="6" w:firstLine="417"/>
        <w:rPr>
          <w:rFonts w:hint="eastAsia"/>
          <w:color w:val="auto"/>
          <w:spacing w:val="8"/>
          <w:highlight w:val="none"/>
        </w:rPr>
      </w:pPr>
      <w:r>
        <w:rPr>
          <w:rFonts w:hint="eastAsia"/>
          <w:color w:val="auto"/>
          <w:spacing w:val="8"/>
          <w:highlight w:val="none"/>
        </w:rPr>
        <w:t>体系与措施：提供完整的工期保证体系，且针对本项目提供了具体的工期保证措施（包含组织保障措施、技术保障措施、资源保障措施等）；</w:t>
      </w:r>
    </w:p>
    <w:p w14:paraId="44A2291A">
      <w:pPr>
        <w:pStyle w:val="16"/>
        <w:spacing w:before="114" w:line="332" w:lineRule="auto"/>
        <w:ind w:left="6" w:firstLine="417"/>
        <w:rPr>
          <w:rFonts w:hint="eastAsia"/>
          <w:color w:val="auto"/>
          <w:spacing w:val="8"/>
          <w:highlight w:val="none"/>
        </w:rPr>
      </w:pPr>
      <w:r>
        <w:rPr>
          <w:rFonts w:hint="eastAsia"/>
          <w:color w:val="auto"/>
          <w:spacing w:val="8"/>
          <w:highlight w:val="none"/>
        </w:rPr>
        <w:t>进度计划与图表：提供控制工期的施工进度计划，且附有施工总进度表或施工网络图，图表中明确标注了关键线路、各工序的逻辑关系及具体的时间节点，且与本项目实际施工需求相吻合。</w:t>
      </w:r>
    </w:p>
    <w:p w14:paraId="3B380819">
      <w:pPr>
        <w:pStyle w:val="16"/>
        <w:spacing w:before="114" w:line="332" w:lineRule="auto"/>
        <w:ind w:left="6" w:firstLine="417"/>
        <w:rPr>
          <w:rFonts w:hint="eastAsia"/>
          <w:color w:val="auto"/>
          <w:spacing w:val="8"/>
          <w:highlight w:val="none"/>
        </w:rPr>
      </w:pPr>
      <w:r>
        <w:rPr>
          <w:rFonts w:hint="eastAsia"/>
          <w:color w:val="auto"/>
          <w:spacing w:val="8"/>
          <w:highlight w:val="none"/>
          <w:lang w:val="en-US" w:eastAsia="zh-CN"/>
        </w:rPr>
        <w:t>良</w:t>
      </w:r>
      <w:r>
        <w:rPr>
          <w:rFonts w:hint="eastAsia"/>
          <w:color w:val="auto"/>
          <w:spacing w:val="8"/>
          <w:highlight w:val="none"/>
        </w:rPr>
        <w:t>（4 分）：</w:t>
      </w:r>
    </w:p>
    <w:p w14:paraId="4E926D47">
      <w:pPr>
        <w:pStyle w:val="16"/>
        <w:spacing w:before="114" w:line="332" w:lineRule="auto"/>
        <w:ind w:left="6" w:firstLine="417"/>
        <w:rPr>
          <w:rFonts w:hint="eastAsia"/>
          <w:color w:val="auto"/>
          <w:spacing w:val="8"/>
          <w:highlight w:val="none"/>
        </w:rPr>
      </w:pPr>
      <w:r>
        <w:rPr>
          <w:rFonts w:hint="eastAsia"/>
          <w:color w:val="auto"/>
          <w:spacing w:val="8"/>
          <w:highlight w:val="none"/>
        </w:rPr>
        <w:t>体系与措施：提供工期保证体系，且提供了工期保证措施（包含组织保障措施、技术保障措施或资源保障措施中的至少两项）；</w:t>
      </w:r>
    </w:p>
    <w:p w14:paraId="31C96CE3">
      <w:pPr>
        <w:pStyle w:val="16"/>
        <w:spacing w:before="114" w:line="332" w:lineRule="auto"/>
        <w:ind w:left="6" w:firstLine="417"/>
        <w:rPr>
          <w:rFonts w:hint="eastAsia"/>
          <w:color w:val="auto"/>
          <w:spacing w:val="8"/>
          <w:highlight w:val="none"/>
        </w:rPr>
      </w:pPr>
      <w:r>
        <w:rPr>
          <w:rFonts w:hint="eastAsia"/>
          <w:color w:val="auto"/>
          <w:spacing w:val="8"/>
          <w:highlight w:val="none"/>
        </w:rPr>
        <w:t>进度计划与图表：提供控制工期的施工进度计划，且附有施工总进度表或施工网络图，图表中明确了各工序的时间节点。</w:t>
      </w:r>
    </w:p>
    <w:p w14:paraId="109F742F">
      <w:pPr>
        <w:pStyle w:val="16"/>
        <w:spacing w:before="114" w:line="332" w:lineRule="auto"/>
        <w:ind w:left="6" w:firstLine="417"/>
        <w:rPr>
          <w:rFonts w:hint="eastAsia"/>
          <w:color w:val="auto"/>
          <w:spacing w:val="8"/>
          <w:highlight w:val="none"/>
        </w:rPr>
      </w:pPr>
      <w:r>
        <w:rPr>
          <w:rFonts w:hint="eastAsia"/>
          <w:color w:val="auto"/>
          <w:spacing w:val="8"/>
          <w:highlight w:val="none"/>
          <w:lang w:val="en-US" w:eastAsia="zh-CN"/>
        </w:rPr>
        <w:t>中</w:t>
      </w:r>
      <w:r>
        <w:rPr>
          <w:rFonts w:hint="eastAsia"/>
          <w:color w:val="auto"/>
          <w:spacing w:val="8"/>
          <w:highlight w:val="none"/>
        </w:rPr>
        <w:t>（2 分）：</w:t>
      </w:r>
    </w:p>
    <w:p w14:paraId="1498E0C6">
      <w:pPr>
        <w:pStyle w:val="16"/>
        <w:spacing w:before="114" w:line="332" w:lineRule="auto"/>
        <w:ind w:left="6" w:firstLine="417"/>
        <w:rPr>
          <w:rFonts w:hint="eastAsia"/>
          <w:color w:val="auto"/>
          <w:spacing w:val="8"/>
          <w:highlight w:val="none"/>
        </w:rPr>
      </w:pPr>
      <w:r>
        <w:rPr>
          <w:rFonts w:hint="eastAsia"/>
          <w:color w:val="auto"/>
          <w:spacing w:val="8"/>
          <w:highlight w:val="none"/>
        </w:rPr>
        <w:t>体系与措施：提供工期保证体系，但提供的工期保证措施内容不完整（仅包含组织保障、技术保障或资源保障措施中的一项）；</w:t>
      </w:r>
    </w:p>
    <w:p w14:paraId="4CF3F44C">
      <w:pPr>
        <w:pStyle w:val="16"/>
        <w:spacing w:before="114" w:line="332" w:lineRule="auto"/>
        <w:ind w:left="6" w:firstLine="417"/>
        <w:rPr>
          <w:rFonts w:hint="eastAsia"/>
          <w:color w:val="auto"/>
          <w:spacing w:val="8"/>
          <w:highlight w:val="none"/>
        </w:rPr>
      </w:pPr>
      <w:r>
        <w:rPr>
          <w:rFonts w:hint="eastAsia"/>
          <w:color w:val="auto"/>
          <w:spacing w:val="8"/>
          <w:highlight w:val="none"/>
        </w:rPr>
        <w:t>进度计划与图表：提供控制工期的施工进度计划，附有施工总进度表或施工网络图，但图表中未明确标注各工序的具体时间节点或逻辑关系缺失。</w:t>
      </w:r>
    </w:p>
    <w:p w14:paraId="57DE2020">
      <w:pPr>
        <w:pStyle w:val="16"/>
        <w:spacing w:before="114" w:line="332" w:lineRule="auto"/>
        <w:ind w:left="6" w:firstLine="417"/>
        <w:rPr>
          <w:rFonts w:hint="eastAsia"/>
          <w:color w:val="auto"/>
          <w:spacing w:val="8"/>
          <w:highlight w:val="none"/>
        </w:rPr>
      </w:pPr>
      <w:r>
        <w:rPr>
          <w:rFonts w:hint="eastAsia"/>
          <w:color w:val="auto"/>
          <w:spacing w:val="8"/>
          <w:highlight w:val="none"/>
          <w:lang w:val="en-US" w:eastAsia="zh-CN"/>
        </w:rPr>
        <w:t>差</w:t>
      </w:r>
      <w:r>
        <w:rPr>
          <w:rFonts w:hint="eastAsia"/>
          <w:color w:val="auto"/>
          <w:spacing w:val="8"/>
          <w:highlight w:val="none"/>
        </w:rPr>
        <w:t>（1 分）：未提供工期保证体系、工期保证措施或施工进度计划，或提供的内容完全脱离本项目实际、缺失严重。</w:t>
      </w:r>
    </w:p>
    <w:p w14:paraId="497D4BA3">
      <w:pPr>
        <w:pStyle w:val="22"/>
        <w:pageBreakBefore w:val="0"/>
        <w:widowControl w:val="0"/>
        <w:kinsoku/>
        <w:wordWrap/>
        <w:overflowPunct/>
        <w:topLinePunct w:val="0"/>
        <w:bidi w:val="0"/>
        <w:snapToGrid/>
        <w:spacing w:line="360" w:lineRule="auto"/>
        <w:ind w:firstLine="211" w:firstLineChars="100"/>
        <w:textAlignment w:val="auto"/>
        <w:outlineLvl w:val="9"/>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（5）</w:t>
      </w:r>
      <w:r>
        <w:rPr>
          <w:b/>
          <w:bCs/>
          <w:color w:val="auto"/>
          <w:spacing w:val="6"/>
          <w:highlight w:val="none"/>
        </w:rPr>
        <w:t>工程质量管理体系及保证措施</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hAnsi="宋体" w:cs="宋体"/>
          <w:b/>
          <w:bCs w:val="0"/>
          <w:color w:val="auto"/>
          <w:highlight w:val="none"/>
          <w:lang w:val="en-US" w:eastAsia="zh-CN"/>
        </w:rPr>
        <w:t>5</w:t>
      </w:r>
      <w:r>
        <w:rPr>
          <w:rFonts w:hint="eastAsia" w:ascii="宋体" w:hAnsi="宋体" w:eastAsia="宋体" w:cs="宋体"/>
          <w:b/>
          <w:bCs w:val="0"/>
          <w:color w:val="auto"/>
          <w:szCs w:val="21"/>
          <w:highlight w:val="none"/>
        </w:rPr>
        <w:t>分</w:t>
      </w:r>
    </w:p>
    <w:p w14:paraId="3E9DF510">
      <w:pPr>
        <w:pStyle w:val="16"/>
        <w:spacing w:before="1" w:line="332" w:lineRule="auto"/>
        <w:ind w:left="0" w:right="16" w:firstLine="439"/>
        <w:rPr>
          <w:rFonts w:hint="eastAsia"/>
          <w:color w:val="auto"/>
          <w:spacing w:val="8"/>
          <w:highlight w:val="none"/>
        </w:rPr>
      </w:pPr>
      <w:r>
        <w:rPr>
          <w:rFonts w:hint="eastAsia"/>
          <w:color w:val="auto"/>
          <w:spacing w:val="8"/>
          <w:highlight w:val="none"/>
          <w:lang w:val="en-US" w:eastAsia="zh-CN"/>
        </w:rPr>
        <w:t>优</w:t>
      </w:r>
      <w:r>
        <w:rPr>
          <w:rFonts w:hint="eastAsia"/>
          <w:color w:val="auto"/>
          <w:spacing w:val="8"/>
          <w:highlight w:val="none"/>
        </w:rPr>
        <w:t>（5 分）：</w:t>
      </w:r>
    </w:p>
    <w:p w14:paraId="68AA493C">
      <w:pPr>
        <w:pStyle w:val="16"/>
        <w:spacing w:before="1" w:line="332" w:lineRule="auto"/>
        <w:ind w:left="0" w:right="16" w:firstLine="439"/>
        <w:rPr>
          <w:rFonts w:hint="eastAsia"/>
          <w:color w:val="auto"/>
          <w:spacing w:val="8"/>
          <w:highlight w:val="none"/>
        </w:rPr>
      </w:pPr>
      <w:r>
        <w:rPr>
          <w:rFonts w:hint="eastAsia"/>
          <w:color w:val="auto"/>
          <w:spacing w:val="8"/>
          <w:highlight w:val="none"/>
        </w:rPr>
        <w:t>体系与措施：提供完整的质量管理体系，且针对本项目提供了具体的质量保证措施（包含组织保障措施、技术保障措施、经济保障措施等）；</w:t>
      </w:r>
    </w:p>
    <w:p w14:paraId="209B46FD">
      <w:pPr>
        <w:pStyle w:val="16"/>
        <w:spacing w:before="1" w:line="332" w:lineRule="auto"/>
        <w:ind w:left="0" w:right="16" w:firstLine="439"/>
        <w:rPr>
          <w:rFonts w:hint="eastAsia"/>
          <w:color w:val="auto"/>
          <w:spacing w:val="8"/>
          <w:highlight w:val="none"/>
        </w:rPr>
      </w:pPr>
      <w:r>
        <w:rPr>
          <w:rFonts w:hint="eastAsia"/>
          <w:color w:val="auto"/>
          <w:spacing w:val="8"/>
          <w:highlight w:val="none"/>
        </w:rPr>
        <w:t>工序控制与自控体系：针对主要工序提供了明确的质量技术保证措施和手段，自控体系包含质量目标、岗位职责、过程控制及检验系统，能有效保证技术质量达到承诺的质量标准。</w:t>
      </w:r>
    </w:p>
    <w:p w14:paraId="11D7331C">
      <w:pPr>
        <w:pStyle w:val="16"/>
        <w:spacing w:before="1" w:line="332" w:lineRule="auto"/>
        <w:ind w:left="0" w:right="16" w:firstLine="439"/>
        <w:rPr>
          <w:rFonts w:hint="eastAsia"/>
          <w:color w:val="auto"/>
          <w:spacing w:val="8"/>
          <w:highlight w:val="none"/>
        </w:rPr>
      </w:pPr>
      <w:r>
        <w:rPr>
          <w:rFonts w:hint="eastAsia"/>
          <w:color w:val="auto"/>
          <w:spacing w:val="8"/>
          <w:highlight w:val="none"/>
          <w:lang w:val="en-US" w:eastAsia="zh-CN"/>
        </w:rPr>
        <w:t>良</w:t>
      </w:r>
      <w:r>
        <w:rPr>
          <w:rFonts w:hint="eastAsia"/>
          <w:color w:val="auto"/>
          <w:spacing w:val="8"/>
          <w:highlight w:val="none"/>
        </w:rPr>
        <w:t>（4 分）：</w:t>
      </w:r>
    </w:p>
    <w:p w14:paraId="78A7FB59">
      <w:pPr>
        <w:pStyle w:val="16"/>
        <w:spacing w:before="1" w:line="332" w:lineRule="auto"/>
        <w:ind w:left="0" w:right="16" w:firstLine="439"/>
        <w:rPr>
          <w:rFonts w:hint="eastAsia"/>
          <w:color w:val="auto"/>
          <w:spacing w:val="8"/>
          <w:highlight w:val="none"/>
        </w:rPr>
      </w:pPr>
      <w:r>
        <w:rPr>
          <w:rFonts w:hint="eastAsia"/>
          <w:color w:val="auto"/>
          <w:spacing w:val="8"/>
          <w:highlight w:val="none"/>
        </w:rPr>
        <w:t>体系与措施：提供质量管理体系，且提供了质量保证措施（包含组织保障措施、技术保障措施或经济保障措施中的至少两项）；</w:t>
      </w:r>
    </w:p>
    <w:p w14:paraId="3245013C">
      <w:pPr>
        <w:pStyle w:val="16"/>
        <w:spacing w:before="1" w:line="332" w:lineRule="auto"/>
        <w:ind w:left="0" w:right="16" w:firstLine="439"/>
        <w:rPr>
          <w:rFonts w:hint="eastAsia"/>
          <w:color w:val="auto"/>
          <w:spacing w:val="8"/>
          <w:highlight w:val="none"/>
        </w:rPr>
      </w:pPr>
      <w:r>
        <w:rPr>
          <w:rFonts w:hint="eastAsia"/>
          <w:color w:val="auto"/>
          <w:spacing w:val="8"/>
          <w:highlight w:val="none"/>
        </w:rPr>
        <w:t>工序控制与自控体系：针对主要工序提供了质量技术保证措施，自控体系包含质量目标、岗位职责及过程控制，能保证技术质量达到承诺的质量标准。</w:t>
      </w:r>
    </w:p>
    <w:p w14:paraId="6132B8B1">
      <w:pPr>
        <w:pStyle w:val="16"/>
        <w:spacing w:before="1" w:line="332" w:lineRule="auto"/>
        <w:ind w:left="0" w:right="16" w:firstLine="439"/>
        <w:rPr>
          <w:rFonts w:hint="eastAsia"/>
          <w:color w:val="auto"/>
          <w:spacing w:val="8"/>
          <w:highlight w:val="none"/>
        </w:rPr>
      </w:pPr>
      <w:r>
        <w:rPr>
          <w:rFonts w:hint="eastAsia"/>
          <w:color w:val="auto"/>
          <w:spacing w:val="8"/>
          <w:highlight w:val="none"/>
          <w:lang w:val="en-US" w:eastAsia="zh-CN"/>
        </w:rPr>
        <w:t>中</w:t>
      </w:r>
      <w:r>
        <w:rPr>
          <w:rFonts w:hint="eastAsia"/>
          <w:color w:val="auto"/>
          <w:spacing w:val="8"/>
          <w:highlight w:val="none"/>
        </w:rPr>
        <w:t>（2 分）：</w:t>
      </w:r>
    </w:p>
    <w:p w14:paraId="28AD92CF">
      <w:pPr>
        <w:pStyle w:val="16"/>
        <w:spacing w:before="1" w:line="332" w:lineRule="auto"/>
        <w:ind w:left="0" w:right="16" w:firstLine="439"/>
        <w:rPr>
          <w:rFonts w:hint="eastAsia"/>
          <w:color w:val="auto"/>
          <w:spacing w:val="8"/>
          <w:highlight w:val="none"/>
        </w:rPr>
      </w:pPr>
      <w:r>
        <w:rPr>
          <w:rFonts w:hint="eastAsia"/>
          <w:color w:val="auto"/>
          <w:spacing w:val="8"/>
          <w:highlight w:val="none"/>
        </w:rPr>
        <w:t>体系与措施：提供质量管理体系，但提供的质量保证措施内容不完整（仅包含组织保障、技术保障或经济保障措施中的一项）；</w:t>
      </w:r>
    </w:p>
    <w:p w14:paraId="4238B8A0">
      <w:pPr>
        <w:pStyle w:val="16"/>
        <w:spacing w:before="1" w:line="332" w:lineRule="auto"/>
        <w:ind w:left="0" w:right="16" w:firstLine="439"/>
        <w:rPr>
          <w:rFonts w:hint="eastAsia"/>
          <w:color w:val="auto"/>
          <w:spacing w:val="8"/>
          <w:highlight w:val="none"/>
        </w:rPr>
      </w:pPr>
      <w:r>
        <w:rPr>
          <w:rFonts w:hint="eastAsia"/>
          <w:color w:val="auto"/>
          <w:spacing w:val="8"/>
          <w:highlight w:val="none"/>
        </w:rPr>
        <w:t>工序控制与自控体系：针对主要工序提供了质量技术保证措施，但自控体系内容不完整（缺少质量目标、岗位职责或过程控制中的任一项）。</w:t>
      </w:r>
    </w:p>
    <w:p w14:paraId="4EB5CA7D">
      <w:pPr>
        <w:pStyle w:val="16"/>
        <w:spacing w:before="1" w:line="332" w:lineRule="auto"/>
        <w:ind w:left="0" w:right="16" w:firstLine="439"/>
        <w:rPr>
          <w:rFonts w:hint="eastAsia"/>
          <w:color w:val="auto"/>
          <w:spacing w:val="8"/>
          <w:highlight w:val="none"/>
        </w:rPr>
      </w:pPr>
      <w:r>
        <w:rPr>
          <w:rFonts w:hint="eastAsia"/>
          <w:color w:val="auto"/>
          <w:spacing w:val="8"/>
          <w:highlight w:val="none"/>
          <w:lang w:val="en-US" w:eastAsia="zh-CN"/>
        </w:rPr>
        <w:t>差</w:t>
      </w:r>
      <w:r>
        <w:rPr>
          <w:rFonts w:hint="eastAsia"/>
          <w:color w:val="auto"/>
          <w:spacing w:val="8"/>
          <w:highlight w:val="none"/>
        </w:rPr>
        <w:t>（1 分）：未提供质量管理体系、质量保证措施或主要工序质量技术保证措施，或提供的内容完全脱离本项目实际、缺失严重。</w:t>
      </w:r>
    </w:p>
    <w:p w14:paraId="1EC96237">
      <w:pPr>
        <w:pStyle w:val="16"/>
        <w:spacing w:before="1" w:line="227" w:lineRule="auto"/>
        <w:ind w:left="430"/>
        <w:rPr>
          <w:rFonts w:hint="eastAsia" w:ascii="宋体" w:hAnsi="宋体" w:eastAsia="宋体" w:cs="宋体"/>
          <w:b/>
          <w:bCs w:val="0"/>
          <w:color w:val="auto"/>
          <w:szCs w:val="21"/>
          <w:highlight w:val="none"/>
        </w:rPr>
      </w:pPr>
      <w:r>
        <w:rPr>
          <w:b/>
          <w:bCs/>
          <w:color w:val="auto"/>
          <w:spacing w:val="6"/>
          <w:highlight w:val="none"/>
        </w:rPr>
        <w:t>（6）安全生产管理体系及保证措施</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hAnsi="宋体" w:cs="宋体"/>
          <w:b/>
          <w:bCs w:val="0"/>
          <w:color w:val="auto"/>
          <w:highlight w:val="none"/>
          <w:lang w:val="en-US" w:eastAsia="zh-CN"/>
        </w:rPr>
        <w:t>5</w:t>
      </w:r>
      <w:r>
        <w:rPr>
          <w:rFonts w:hint="eastAsia" w:ascii="宋体" w:hAnsi="宋体" w:eastAsia="宋体" w:cs="宋体"/>
          <w:b/>
          <w:bCs w:val="0"/>
          <w:color w:val="auto"/>
          <w:szCs w:val="21"/>
          <w:highlight w:val="none"/>
        </w:rPr>
        <w:t>分</w:t>
      </w:r>
    </w:p>
    <w:p w14:paraId="769A7312">
      <w:pPr>
        <w:pStyle w:val="16"/>
        <w:spacing w:before="114" w:line="332" w:lineRule="auto"/>
        <w:ind w:left="5" w:right="70" w:firstLine="418"/>
        <w:rPr>
          <w:rFonts w:hint="eastAsia"/>
          <w:color w:val="auto"/>
          <w:spacing w:val="8"/>
          <w:highlight w:val="none"/>
        </w:rPr>
      </w:pPr>
      <w:r>
        <w:rPr>
          <w:rFonts w:hint="eastAsia"/>
          <w:color w:val="auto"/>
          <w:spacing w:val="8"/>
          <w:highlight w:val="none"/>
          <w:lang w:val="en-US" w:eastAsia="zh-CN"/>
        </w:rPr>
        <w:t>优</w:t>
      </w:r>
      <w:r>
        <w:rPr>
          <w:rFonts w:hint="eastAsia"/>
          <w:color w:val="auto"/>
          <w:spacing w:val="8"/>
          <w:highlight w:val="none"/>
        </w:rPr>
        <w:t>（5 分）：</w:t>
      </w:r>
    </w:p>
    <w:p w14:paraId="024E7B30">
      <w:pPr>
        <w:pStyle w:val="16"/>
        <w:spacing w:before="114" w:line="332" w:lineRule="auto"/>
        <w:ind w:left="5" w:right="70" w:firstLine="418"/>
        <w:rPr>
          <w:rFonts w:hint="eastAsia"/>
          <w:color w:val="auto"/>
          <w:spacing w:val="8"/>
          <w:highlight w:val="none"/>
        </w:rPr>
      </w:pPr>
      <w:r>
        <w:rPr>
          <w:rFonts w:hint="eastAsia"/>
          <w:color w:val="auto"/>
          <w:spacing w:val="8"/>
          <w:highlight w:val="none"/>
        </w:rPr>
        <w:t>体系与措施：提供完整的安全生产管理体系，且针对本项目提供了具体的安全保证措施（包含组织保障措施、制度保障措施、技术保障措施等）；</w:t>
      </w:r>
    </w:p>
    <w:p w14:paraId="4B65EF94">
      <w:pPr>
        <w:pStyle w:val="16"/>
        <w:spacing w:before="114" w:line="332" w:lineRule="auto"/>
        <w:ind w:left="5" w:right="70" w:firstLine="418"/>
        <w:rPr>
          <w:rFonts w:hint="eastAsia"/>
          <w:color w:val="auto"/>
          <w:spacing w:val="8"/>
          <w:highlight w:val="none"/>
        </w:rPr>
      </w:pPr>
      <w:r>
        <w:rPr>
          <w:rFonts w:hint="eastAsia"/>
          <w:color w:val="auto"/>
          <w:spacing w:val="8"/>
          <w:highlight w:val="none"/>
        </w:rPr>
        <w:t>工序安全与专项方案：针对各道工序提供了明确的安全技术措施，且包含具体的现场防火措施、应急救援预案及社会治安安全措施，内容完整且符合相关安全技术标准要求。</w:t>
      </w:r>
    </w:p>
    <w:p w14:paraId="408E461D">
      <w:pPr>
        <w:pStyle w:val="16"/>
        <w:spacing w:before="114" w:line="332" w:lineRule="auto"/>
        <w:ind w:left="5" w:right="70" w:firstLine="418"/>
        <w:rPr>
          <w:rFonts w:hint="eastAsia"/>
          <w:color w:val="auto"/>
          <w:spacing w:val="8"/>
          <w:highlight w:val="none"/>
        </w:rPr>
      </w:pPr>
      <w:r>
        <w:rPr>
          <w:rFonts w:hint="eastAsia"/>
          <w:color w:val="auto"/>
          <w:spacing w:val="8"/>
          <w:highlight w:val="none"/>
          <w:lang w:val="en-US" w:eastAsia="zh-CN"/>
        </w:rPr>
        <w:t>良</w:t>
      </w:r>
      <w:r>
        <w:rPr>
          <w:rFonts w:hint="eastAsia"/>
          <w:color w:val="auto"/>
          <w:spacing w:val="8"/>
          <w:highlight w:val="none"/>
        </w:rPr>
        <w:t>（4 分）：</w:t>
      </w:r>
    </w:p>
    <w:p w14:paraId="7EB73063">
      <w:pPr>
        <w:pStyle w:val="16"/>
        <w:spacing w:before="114" w:line="332" w:lineRule="auto"/>
        <w:ind w:left="5" w:right="70" w:firstLine="418"/>
        <w:rPr>
          <w:rFonts w:hint="eastAsia"/>
          <w:color w:val="auto"/>
          <w:spacing w:val="8"/>
          <w:highlight w:val="none"/>
        </w:rPr>
      </w:pPr>
      <w:r>
        <w:rPr>
          <w:rFonts w:hint="eastAsia"/>
          <w:color w:val="auto"/>
          <w:spacing w:val="8"/>
          <w:highlight w:val="none"/>
        </w:rPr>
        <w:t>体系与措施：提供安全生产管理体系，且提供了安全保证措施（包含组织保障措施、制度保障措施或技术保障措施中的至少两项）；</w:t>
      </w:r>
    </w:p>
    <w:p w14:paraId="4735BBFF">
      <w:pPr>
        <w:pStyle w:val="16"/>
        <w:spacing w:before="114" w:line="332" w:lineRule="auto"/>
        <w:ind w:left="5" w:right="70" w:firstLine="418"/>
        <w:rPr>
          <w:rFonts w:hint="eastAsia"/>
          <w:color w:val="auto"/>
          <w:spacing w:val="8"/>
          <w:highlight w:val="none"/>
        </w:rPr>
      </w:pPr>
      <w:r>
        <w:rPr>
          <w:rFonts w:hint="eastAsia"/>
          <w:color w:val="auto"/>
          <w:spacing w:val="8"/>
          <w:highlight w:val="none"/>
        </w:rPr>
        <w:t>工序安全与专项方案：针对各道工序提供了安全技术措施，且包含现场防火措施、应急救援预案或社会治安安全措施中的至少两项。</w:t>
      </w:r>
    </w:p>
    <w:p w14:paraId="6A798990">
      <w:pPr>
        <w:pStyle w:val="16"/>
        <w:spacing w:before="114" w:line="332" w:lineRule="auto"/>
        <w:ind w:left="5" w:right="70" w:firstLine="418"/>
        <w:rPr>
          <w:rFonts w:hint="eastAsia"/>
          <w:color w:val="auto"/>
          <w:spacing w:val="8"/>
          <w:highlight w:val="none"/>
        </w:rPr>
      </w:pPr>
      <w:r>
        <w:rPr>
          <w:rFonts w:hint="eastAsia"/>
          <w:color w:val="auto"/>
          <w:spacing w:val="8"/>
          <w:highlight w:val="none"/>
          <w:lang w:val="en-US" w:eastAsia="zh-CN"/>
        </w:rPr>
        <w:t>中</w:t>
      </w:r>
      <w:r>
        <w:rPr>
          <w:rFonts w:hint="eastAsia"/>
          <w:color w:val="auto"/>
          <w:spacing w:val="8"/>
          <w:highlight w:val="none"/>
        </w:rPr>
        <w:t>（2 分）：</w:t>
      </w:r>
    </w:p>
    <w:p w14:paraId="460A36D9">
      <w:pPr>
        <w:pStyle w:val="16"/>
        <w:spacing w:before="114" w:line="332" w:lineRule="auto"/>
        <w:ind w:left="5" w:right="70" w:firstLine="418"/>
        <w:rPr>
          <w:rFonts w:hint="eastAsia"/>
          <w:color w:val="auto"/>
          <w:spacing w:val="8"/>
          <w:highlight w:val="none"/>
        </w:rPr>
      </w:pPr>
      <w:r>
        <w:rPr>
          <w:rFonts w:hint="eastAsia"/>
          <w:color w:val="auto"/>
          <w:spacing w:val="8"/>
          <w:highlight w:val="none"/>
        </w:rPr>
        <w:t>体系与措施：提供安全生产管理体系，但提供的安全保证措施内容不完整（仅包含组织保障、制度保障或技术保障措施中的一项）；</w:t>
      </w:r>
    </w:p>
    <w:p w14:paraId="561365BC">
      <w:pPr>
        <w:pStyle w:val="16"/>
        <w:spacing w:before="114" w:line="332" w:lineRule="auto"/>
        <w:ind w:left="5" w:right="70" w:firstLine="418"/>
        <w:rPr>
          <w:rFonts w:hint="eastAsia"/>
          <w:color w:val="auto"/>
          <w:spacing w:val="8"/>
          <w:highlight w:val="none"/>
        </w:rPr>
      </w:pPr>
      <w:r>
        <w:rPr>
          <w:rFonts w:hint="eastAsia"/>
          <w:color w:val="auto"/>
          <w:spacing w:val="8"/>
          <w:highlight w:val="none"/>
        </w:rPr>
        <w:t>工序安全与专项方案：针对各道工序提供了安全技术措施，但缺少现场防火措施、应急救援预案及社会治安安全措施中的任一项。</w:t>
      </w:r>
    </w:p>
    <w:p w14:paraId="73C2702E">
      <w:pPr>
        <w:pStyle w:val="16"/>
        <w:spacing w:before="114" w:line="332" w:lineRule="auto"/>
        <w:ind w:left="5" w:right="70" w:firstLine="418"/>
        <w:rPr>
          <w:rFonts w:hint="eastAsia" w:ascii="宋体" w:hAnsi="宋体" w:eastAsia="宋体" w:cs="宋体"/>
          <w:b w:val="0"/>
          <w:bCs/>
          <w:color w:val="auto"/>
          <w:kern w:val="0"/>
          <w:szCs w:val="21"/>
          <w:highlight w:val="none"/>
        </w:rPr>
      </w:pPr>
      <w:r>
        <w:rPr>
          <w:rFonts w:hint="eastAsia"/>
          <w:color w:val="auto"/>
          <w:spacing w:val="8"/>
          <w:highlight w:val="none"/>
          <w:lang w:val="en-US" w:eastAsia="zh-CN"/>
        </w:rPr>
        <w:t>差</w:t>
      </w:r>
      <w:r>
        <w:rPr>
          <w:rFonts w:hint="eastAsia"/>
          <w:color w:val="auto"/>
          <w:spacing w:val="8"/>
          <w:highlight w:val="none"/>
        </w:rPr>
        <w:t>（1 分）：未提供安全生产管理体系、安全保证措施、各道工序安全技术措施或专项安全方案，或提供的内容完全脱离本项目实际、缺失严重。</w:t>
      </w:r>
    </w:p>
    <w:p w14:paraId="5E581242">
      <w:pPr>
        <w:spacing w:line="360" w:lineRule="auto"/>
        <w:ind w:firstLine="422" w:firstLineChars="200"/>
        <w:rPr>
          <w:rFonts w:hint="eastAsia" w:ascii="Times New Roman" w:hAnsi="Times New Roman" w:eastAsia="宋体" w:cs="Times New Roman"/>
          <w:color w:val="auto"/>
          <w:spacing w:val="8"/>
          <w:highlight w:val="none"/>
        </w:rPr>
      </w:pPr>
      <w:r>
        <w:rPr>
          <w:rFonts w:hint="eastAsia" w:ascii="宋体" w:hAnsi="宋体" w:eastAsia="宋体" w:cs="宋体"/>
          <w:b/>
          <w:bCs w:val="0"/>
          <w:color w:val="auto"/>
          <w:kern w:val="0"/>
          <w:szCs w:val="21"/>
          <w:highlight w:val="none"/>
        </w:rPr>
        <w:t>（7）</w:t>
      </w:r>
      <w:r>
        <w:rPr>
          <w:rFonts w:hint="eastAsia" w:ascii="Times New Roman" w:hAnsi="Times New Roman" w:eastAsia="宋体" w:cs="Times New Roman"/>
          <w:b/>
          <w:bCs w:val="0"/>
          <w:color w:val="auto"/>
          <w:spacing w:val="8"/>
          <w:highlight w:val="none"/>
        </w:rPr>
        <w:t>环境保护、水土保持保证体系及保证措施</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hAnsi="宋体" w:cs="宋体"/>
          <w:b/>
          <w:bCs w:val="0"/>
          <w:color w:val="auto"/>
          <w:highlight w:val="none"/>
          <w:lang w:val="en-US" w:eastAsia="zh-CN"/>
        </w:rPr>
        <w:t>5</w:t>
      </w:r>
      <w:r>
        <w:rPr>
          <w:rFonts w:hint="eastAsia" w:ascii="宋体" w:hAnsi="宋体" w:eastAsia="宋体" w:cs="宋体"/>
          <w:b/>
          <w:bCs w:val="0"/>
          <w:color w:val="auto"/>
          <w:szCs w:val="21"/>
          <w:highlight w:val="none"/>
        </w:rPr>
        <w:t>分</w:t>
      </w:r>
    </w:p>
    <w:p w14:paraId="7DF1FAE1">
      <w:pPr>
        <w:spacing w:line="360" w:lineRule="auto"/>
        <w:ind w:firstLine="452" w:firstLineChars="200"/>
        <w:rPr>
          <w:rFonts w:hint="eastAsia" w:ascii="Times New Roman" w:hAnsi="Times New Roman" w:eastAsia="宋体" w:cs="Times New Roman"/>
          <w:color w:val="auto"/>
          <w:spacing w:val="8"/>
          <w:highlight w:val="none"/>
        </w:rPr>
      </w:pPr>
      <w:r>
        <w:rPr>
          <w:rFonts w:hint="eastAsia" w:ascii="Times New Roman" w:hAnsi="Times New Roman" w:eastAsia="宋体" w:cs="Times New Roman"/>
          <w:color w:val="auto"/>
          <w:spacing w:val="8"/>
          <w:highlight w:val="none"/>
          <w:lang w:val="en-US" w:eastAsia="zh-CN"/>
        </w:rPr>
        <w:t>优</w:t>
      </w:r>
      <w:r>
        <w:rPr>
          <w:rFonts w:hint="eastAsia" w:ascii="Times New Roman" w:hAnsi="Times New Roman" w:eastAsia="宋体" w:cs="Times New Roman"/>
          <w:color w:val="auto"/>
          <w:spacing w:val="8"/>
          <w:highlight w:val="none"/>
        </w:rPr>
        <w:t>（5 分）：</w:t>
      </w:r>
    </w:p>
    <w:p w14:paraId="4618455C">
      <w:pPr>
        <w:spacing w:line="360" w:lineRule="auto"/>
        <w:ind w:firstLine="452" w:firstLineChars="200"/>
        <w:rPr>
          <w:rFonts w:hint="eastAsia" w:ascii="Times New Roman" w:hAnsi="Times New Roman" w:eastAsia="宋体" w:cs="Times New Roman"/>
          <w:color w:val="auto"/>
          <w:spacing w:val="8"/>
          <w:highlight w:val="none"/>
        </w:rPr>
      </w:pPr>
      <w:r>
        <w:rPr>
          <w:rFonts w:hint="eastAsia" w:ascii="Times New Roman" w:hAnsi="Times New Roman" w:eastAsia="宋体" w:cs="Times New Roman"/>
          <w:color w:val="auto"/>
          <w:spacing w:val="8"/>
          <w:highlight w:val="none"/>
        </w:rPr>
        <w:t>体系与措施：提供完整的环境保护及水土保持保证体系，且针对本项目提供了具体的保证措施（包含组织保障措施、制度保障措施、技术保障措施等）；</w:t>
      </w:r>
    </w:p>
    <w:p w14:paraId="13639042">
      <w:pPr>
        <w:spacing w:line="360" w:lineRule="auto"/>
        <w:ind w:firstLine="452" w:firstLineChars="200"/>
        <w:rPr>
          <w:rFonts w:hint="eastAsia" w:ascii="Times New Roman" w:hAnsi="Times New Roman" w:eastAsia="宋体" w:cs="Times New Roman"/>
          <w:color w:val="auto"/>
          <w:spacing w:val="8"/>
          <w:highlight w:val="none"/>
        </w:rPr>
      </w:pPr>
      <w:r>
        <w:rPr>
          <w:rFonts w:hint="eastAsia" w:ascii="Times New Roman" w:hAnsi="Times New Roman" w:eastAsia="宋体" w:cs="Times New Roman"/>
          <w:color w:val="auto"/>
          <w:spacing w:val="8"/>
          <w:highlight w:val="none"/>
        </w:rPr>
        <w:t>现场专项方案：针对本工程项目特点，提供了明确的现场环境保护措施（如扬尘治理、噪声控制、污水排放等）及水土保护措施（如表土剥离、弃渣场防护、植被恢复等），内容完整且符合相关环保与水保标准要求。</w:t>
      </w:r>
    </w:p>
    <w:p w14:paraId="1BC2A0D0">
      <w:pPr>
        <w:spacing w:line="360" w:lineRule="auto"/>
        <w:ind w:firstLine="452" w:firstLineChars="200"/>
        <w:rPr>
          <w:rFonts w:hint="eastAsia" w:ascii="Times New Roman" w:hAnsi="Times New Roman" w:eastAsia="宋体" w:cs="Times New Roman"/>
          <w:color w:val="auto"/>
          <w:spacing w:val="8"/>
          <w:highlight w:val="none"/>
        </w:rPr>
      </w:pPr>
      <w:r>
        <w:rPr>
          <w:rFonts w:hint="eastAsia" w:ascii="Times New Roman" w:hAnsi="Times New Roman" w:eastAsia="宋体" w:cs="Times New Roman"/>
          <w:color w:val="auto"/>
          <w:spacing w:val="8"/>
          <w:highlight w:val="none"/>
          <w:lang w:val="en-US" w:eastAsia="zh-CN"/>
        </w:rPr>
        <w:t>良</w:t>
      </w:r>
      <w:r>
        <w:rPr>
          <w:rFonts w:hint="eastAsia" w:ascii="Times New Roman" w:hAnsi="Times New Roman" w:eastAsia="宋体" w:cs="Times New Roman"/>
          <w:color w:val="auto"/>
          <w:spacing w:val="8"/>
          <w:highlight w:val="none"/>
        </w:rPr>
        <w:t>（4 分）：</w:t>
      </w:r>
    </w:p>
    <w:p w14:paraId="6C4967B5">
      <w:pPr>
        <w:spacing w:line="360" w:lineRule="auto"/>
        <w:ind w:firstLine="452" w:firstLineChars="200"/>
        <w:rPr>
          <w:rFonts w:hint="eastAsia" w:ascii="Times New Roman" w:hAnsi="Times New Roman" w:eastAsia="宋体" w:cs="Times New Roman"/>
          <w:color w:val="auto"/>
          <w:spacing w:val="8"/>
          <w:highlight w:val="none"/>
        </w:rPr>
      </w:pPr>
      <w:r>
        <w:rPr>
          <w:rFonts w:hint="eastAsia" w:ascii="Times New Roman" w:hAnsi="Times New Roman" w:eastAsia="宋体" w:cs="Times New Roman"/>
          <w:color w:val="auto"/>
          <w:spacing w:val="8"/>
          <w:highlight w:val="none"/>
        </w:rPr>
        <w:t>体系与措施：提供环境保护及水土保持保证体系，且提供了保证措施（包含组织保障措施、制度保障措施或技术保障措施中的至少两项）；</w:t>
      </w:r>
    </w:p>
    <w:p w14:paraId="78731B91">
      <w:pPr>
        <w:spacing w:line="360" w:lineRule="auto"/>
        <w:ind w:firstLine="452" w:firstLineChars="200"/>
        <w:rPr>
          <w:rFonts w:hint="eastAsia" w:ascii="Times New Roman" w:hAnsi="Times New Roman" w:eastAsia="宋体" w:cs="Times New Roman"/>
          <w:color w:val="auto"/>
          <w:spacing w:val="8"/>
          <w:highlight w:val="none"/>
        </w:rPr>
      </w:pPr>
      <w:r>
        <w:rPr>
          <w:rFonts w:hint="eastAsia" w:ascii="Times New Roman" w:hAnsi="Times New Roman" w:eastAsia="宋体" w:cs="Times New Roman"/>
          <w:color w:val="auto"/>
          <w:spacing w:val="8"/>
          <w:highlight w:val="none"/>
        </w:rPr>
        <w:t>现场专项方案：针对本工程项目，提供了现场环境保护措施及水土保护措施，但措施内容不够完善（如缺少部分扬尘治理或弃渣场防护的具体内容）。</w:t>
      </w:r>
    </w:p>
    <w:p w14:paraId="2F298EE1">
      <w:pPr>
        <w:spacing w:line="360" w:lineRule="auto"/>
        <w:ind w:firstLine="452" w:firstLineChars="200"/>
        <w:rPr>
          <w:rFonts w:hint="eastAsia" w:ascii="Times New Roman" w:hAnsi="Times New Roman" w:eastAsia="宋体" w:cs="Times New Roman"/>
          <w:color w:val="auto"/>
          <w:spacing w:val="8"/>
          <w:highlight w:val="none"/>
        </w:rPr>
      </w:pPr>
      <w:r>
        <w:rPr>
          <w:rFonts w:hint="eastAsia" w:ascii="Times New Roman" w:hAnsi="Times New Roman" w:eastAsia="宋体" w:cs="Times New Roman"/>
          <w:color w:val="auto"/>
          <w:spacing w:val="8"/>
          <w:highlight w:val="none"/>
          <w:lang w:val="en-US" w:eastAsia="zh-CN"/>
        </w:rPr>
        <w:t>中</w:t>
      </w:r>
      <w:r>
        <w:rPr>
          <w:rFonts w:hint="eastAsia" w:ascii="Times New Roman" w:hAnsi="Times New Roman" w:eastAsia="宋体" w:cs="Times New Roman"/>
          <w:color w:val="auto"/>
          <w:spacing w:val="8"/>
          <w:highlight w:val="none"/>
        </w:rPr>
        <w:t>（2 分）：</w:t>
      </w:r>
    </w:p>
    <w:p w14:paraId="376E85CF">
      <w:pPr>
        <w:spacing w:line="360" w:lineRule="auto"/>
        <w:ind w:firstLine="452" w:firstLineChars="200"/>
        <w:rPr>
          <w:rFonts w:hint="eastAsia" w:ascii="Times New Roman" w:hAnsi="Times New Roman" w:eastAsia="宋体" w:cs="Times New Roman"/>
          <w:color w:val="auto"/>
          <w:spacing w:val="8"/>
          <w:highlight w:val="none"/>
        </w:rPr>
      </w:pPr>
      <w:r>
        <w:rPr>
          <w:rFonts w:hint="eastAsia" w:ascii="Times New Roman" w:hAnsi="Times New Roman" w:eastAsia="宋体" w:cs="Times New Roman"/>
          <w:color w:val="auto"/>
          <w:spacing w:val="8"/>
          <w:highlight w:val="none"/>
        </w:rPr>
        <w:t>体系与措施：提供环境保护及水土保持保证体系，但提供的保证措施内容不完整（仅包含组织保障、制度保障或技术保障措施中的一项）；</w:t>
      </w:r>
    </w:p>
    <w:p w14:paraId="1D7F4BFF">
      <w:pPr>
        <w:spacing w:line="360" w:lineRule="auto"/>
        <w:ind w:firstLine="452" w:firstLineChars="200"/>
        <w:rPr>
          <w:rFonts w:hint="eastAsia" w:ascii="Times New Roman" w:hAnsi="Times New Roman" w:eastAsia="宋体" w:cs="Times New Roman"/>
          <w:color w:val="auto"/>
          <w:spacing w:val="8"/>
          <w:highlight w:val="none"/>
        </w:rPr>
      </w:pPr>
      <w:r>
        <w:rPr>
          <w:rFonts w:hint="eastAsia" w:ascii="Times New Roman" w:hAnsi="Times New Roman" w:eastAsia="宋体" w:cs="Times New Roman"/>
          <w:color w:val="auto"/>
          <w:spacing w:val="8"/>
          <w:highlight w:val="none"/>
        </w:rPr>
        <w:t>现场专项方案：提供了现场环境保护措施或水土保护措施（仅提供其中一项），或提供的措施内容过于简单、缺乏针对性。</w:t>
      </w:r>
    </w:p>
    <w:p w14:paraId="67B36772">
      <w:pPr>
        <w:spacing w:line="360" w:lineRule="auto"/>
        <w:ind w:firstLine="452" w:firstLineChars="200"/>
        <w:rPr>
          <w:rFonts w:hint="eastAsia" w:ascii="Times New Roman" w:hAnsi="Times New Roman" w:eastAsia="宋体" w:cs="Times New Roman"/>
          <w:color w:val="auto"/>
          <w:spacing w:val="8"/>
          <w:highlight w:val="none"/>
        </w:rPr>
      </w:pPr>
      <w:r>
        <w:rPr>
          <w:rFonts w:hint="eastAsia" w:ascii="Times New Roman" w:hAnsi="Times New Roman" w:eastAsia="宋体" w:cs="Times New Roman"/>
          <w:color w:val="auto"/>
          <w:spacing w:val="8"/>
          <w:highlight w:val="none"/>
          <w:lang w:val="en-US" w:eastAsia="zh-CN"/>
        </w:rPr>
        <w:t>差</w:t>
      </w:r>
      <w:r>
        <w:rPr>
          <w:rFonts w:hint="eastAsia" w:ascii="Times New Roman" w:hAnsi="Times New Roman" w:eastAsia="宋体" w:cs="Times New Roman"/>
          <w:color w:val="auto"/>
          <w:spacing w:val="8"/>
          <w:highlight w:val="none"/>
        </w:rPr>
        <w:t>（1 分）：未提供环境保护及水土保持保证体系、保证措施或现场专项方案，或提供的内容完全脱离本项目实际、缺失严重。</w:t>
      </w:r>
    </w:p>
    <w:p w14:paraId="2C708EFA">
      <w:pPr>
        <w:pStyle w:val="16"/>
        <w:spacing w:before="113" w:line="228" w:lineRule="auto"/>
        <w:ind w:left="430"/>
        <w:rPr>
          <w:rFonts w:hint="eastAsia" w:ascii="宋体" w:hAnsi="宋体" w:eastAsia="宋体" w:cs="宋体"/>
          <w:b/>
          <w:bCs w:val="0"/>
          <w:color w:val="auto"/>
          <w:szCs w:val="21"/>
          <w:highlight w:val="none"/>
        </w:rPr>
      </w:pPr>
      <w:r>
        <w:rPr>
          <w:b/>
          <w:bCs/>
          <w:color w:val="auto"/>
          <w:spacing w:val="7"/>
          <w:highlight w:val="none"/>
        </w:rPr>
        <w:t>（8）文明施工、体系及保证措施</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hAnsi="宋体" w:cs="宋体"/>
          <w:b/>
          <w:bCs w:val="0"/>
          <w:color w:val="auto"/>
          <w:highlight w:val="none"/>
          <w:lang w:val="en-US" w:eastAsia="zh-CN"/>
        </w:rPr>
        <w:t>5</w:t>
      </w:r>
      <w:r>
        <w:rPr>
          <w:rFonts w:hint="eastAsia" w:ascii="宋体" w:hAnsi="宋体" w:eastAsia="宋体" w:cs="宋体"/>
          <w:b/>
          <w:bCs w:val="0"/>
          <w:color w:val="auto"/>
          <w:szCs w:val="21"/>
          <w:highlight w:val="none"/>
        </w:rPr>
        <w:t>分</w:t>
      </w:r>
    </w:p>
    <w:p w14:paraId="2DB47CF0">
      <w:pPr>
        <w:spacing w:line="360" w:lineRule="auto"/>
        <w:ind w:firstLine="452" w:firstLineChars="200"/>
        <w:rPr>
          <w:rFonts w:hint="eastAsia"/>
          <w:color w:val="auto"/>
          <w:spacing w:val="8"/>
          <w:highlight w:val="none"/>
        </w:rPr>
      </w:pPr>
      <w:r>
        <w:rPr>
          <w:rFonts w:hint="eastAsia"/>
          <w:color w:val="auto"/>
          <w:spacing w:val="8"/>
          <w:highlight w:val="none"/>
          <w:lang w:val="en-US" w:eastAsia="zh-CN"/>
        </w:rPr>
        <w:t>优</w:t>
      </w:r>
      <w:r>
        <w:rPr>
          <w:rFonts w:hint="eastAsia"/>
          <w:color w:val="auto"/>
          <w:spacing w:val="8"/>
          <w:highlight w:val="none"/>
        </w:rPr>
        <w:t>（5 分）：</w:t>
      </w:r>
    </w:p>
    <w:p w14:paraId="5EDFABCA">
      <w:pPr>
        <w:spacing w:line="360" w:lineRule="auto"/>
        <w:ind w:firstLine="452" w:firstLineChars="200"/>
        <w:rPr>
          <w:rFonts w:hint="eastAsia"/>
          <w:color w:val="auto"/>
          <w:spacing w:val="8"/>
          <w:highlight w:val="none"/>
        </w:rPr>
      </w:pPr>
      <w:r>
        <w:rPr>
          <w:rFonts w:hint="eastAsia"/>
          <w:color w:val="auto"/>
          <w:spacing w:val="8"/>
          <w:highlight w:val="none"/>
        </w:rPr>
        <w:t>体系与措施：提供完整的文明施工保证体系，且针对本项目提供了具体的保证措施（包含组织保障措施、制度保障措施、技术保障措施等）；</w:t>
      </w:r>
    </w:p>
    <w:p w14:paraId="282051FE">
      <w:pPr>
        <w:spacing w:line="360" w:lineRule="auto"/>
        <w:ind w:firstLine="452" w:firstLineChars="200"/>
        <w:rPr>
          <w:rFonts w:hint="eastAsia"/>
          <w:color w:val="auto"/>
          <w:spacing w:val="8"/>
          <w:highlight w:val="none"/>
        </w:rPr>
      </w:pPr>
      <w:r>
        <w:rPr>
          <w:rFonts w:hint="eastAsia"/>
          <w:color w:val="auto"/>
          <w:spacing w:val="8"/>
          <w:highlight w:val="none"/>
        </w:rPr>
        <w:t>现场专项方案：针对本工程项目特点，提供了明确的现场文明施工措施（如现场围挡、封闭管理、场地硬化、材料堆放等）及环境保护措施（如扬尘治理、噪声控制、污水排放等）；</w:t>
      </w:r>
    </w:p>
    <w:p w14:paraId="2C8663BD">
      <w:pPr>
        <w:spacing w:line="360" w:lineRule="auto"/>
        <w:ind w:firstLine="452" w:firstLineChars="200"/>
        <w:rPr>
          <w:rFonts w:hint="eastAsia"/>
          <w:color w:val="auto"/>
          <w:spacing w:val="8"/>
          <w:highlight w:val="none"/>
        </w:rPr>
      </w:pPr>
      <w:r>
        <w:rPr>
          <w:rFonts w:hint="eastAsia"/>
          <w:color w:val="auto"/>
          <w:spacing w:val="8"/>
          <w:highlight w:val="none"/>
        </w:rPr>
        <w:t>目标承诺：提供具体实现现场文明施工目标的承诺书。</w:t>
      </w:r>
    </w:p>
    <w:p w14:paraId="37C20B9F">
      <w:pPr>
        <w:spacing w:line="360" w:lineRule="auto"/>
        <w:ind w:firstLine="452" w:firstLineChars="200"/>
        <w:rPr>
          <w:rFonts w:hint="eastAsia"/>
          <w:color w:val="auto"/>
          <w:spacing w:val="8"/>
          <w:highlight w:val="none"/>
        </w:rPr>
      </w:pPr>
      <w:r>
        <w:rPr>
          <w:rFonts w:hint="eastAsia"/>
          <w:color w:val="auto"/>
          <w:spacing w:val="8"/>
          <w:highlight w:val="none"/>
          <w:lang w:val="en-US" w:eastAsia="zh-CN"/>
        </w:rPr>
        <w:t>良</w:t>
      </w:r>
      <w:r>
        <w:rPr>
          <w:rFonts w:hint="eastAsia"/>
          <w:color w:val="auto"/>
          <w:spacing w:val="8"/>
          <w:highlight w:val="none"/>
        </w:rPr>
        <w:t>（4 分）：</w:t>
      </w:r>
    </w:p>
    <w:p w14:paraId="15F719B0">
      <w:pPr>
        <w:spacing w:line="360" w:lineRule="auto"/>
        <w:ind w:firstLine="452" w:firstLineChars="200"/>
        <w:rPr>
          <w:rFonts w:hint="eastAsia"/>
          <w:color w:val="auto"/>
          <w:spacing w:val="8"/>
          <w:highlight w:val="none"/>
        </w:rPr>
      </w:pPr>
      <w:r>
        <w:rPr>
          <w:rFonts w:hint="eastAsia"/>
          <w:color w:val="auto"/>
          <w:spacing w:val="8"/>
          <w:highlight w:val="none"/>
        </w:rPr>
        <w:t>体系与措施：提供文明施工保证体系，且提供了保证措施（包含组织保障措施、制度保障措施或技术保障措施中的至少两项）；</w:t>
      </w:r>
    </w:p>
    <w:p w14:paraId="2F79085C">
      <w:pPr>
        <w:spacing w:line="360" w:lineRule="auto"/>
        <w:ind w:firstLine="452" w:firstLineChars="200"/>
        <w:rPr>
          <w:rFonts w:hint="eastAsia"/>
          <w:color w:val="auto"/>
          <w:spacing w:val="8"/>
          <w:highlight w:val="none"/>
        </w:rPr>
      </w:pPr>
      <w:r>
        <w:rPr>
          <w:rFonts w:hint="eastAsia"/>
          <w:color w:val="auto"/>
          <w:spacing w:val="8"/>
          <w:highlight w:val="none"/>
        </w:rPr>
        <w:t>现场专项方案：针对本工程项目特点，提供了现场文明施工措施及环境保护措施，但措施内容不够完善（如缺少部分围挡标准或扬尘治理的具体内容）；</w:t>
      </w:r>
    </w:p>
    <w:p w14:paraId="375ECEE9">
      <w:pPr>
        <w:spacing w:line="360" w:lineRule="auto"/>
        <w:ind w:firstLine="452" w:firstLineChars="200"/>
        <w:rPr>
          <w:rFonts w:hint="eastAsia"/>
          <w:color w:val="auto"/>
          <w:spacing w:val="8"/>
          <w:highlight w:val="none"/>
        </w:rPr>
      </w:pPr>
      <w:r>
        <w:rPr>
          <w:rFonts w:hint="eastAsia"/>
          <w:color w:val="auto"/>
          <w:spacing w:val="8"/>
          <w:highlight w:val="none"/>
        </w:rPr>
        <w:t>目标承诺：提供具体实现现场文明施工目标的承诺书。</w:t>
      </w:r>
    </w:p>
    <w:p w14:paraId="0353104F">
      <w:pPr>
        <w:spacing w:line="360" w:lineRule="auto"/>
        <w:ind w:firstLine="452" w:firstLineChars="200"/>
        <w:rPr>
          <w:rFonts w:hint="eastAsia"/>
          <w:color w:val="auto"/>
          <w:spacing w:val="8"/>
          <w:highlight w:val="none"/>
        </w:rPr>
      </w:pPr>
      <w:r>
        <w:rPr>
          <w:rFonts w:hint="eastAsia"/>
          <w:color w:val="auto"/>
          <w:spacing w:val="8"/>
          <w:highlight w:val="none"/>
          <w:lang w:val="en-US" w:eastAsia="zh-CN"/>
        </w:rPr>
        <w:t>中</w:t>
      </w:r>
      <w:r>
        <w:rPr>
          <w:rFonts w:hint="eastAsia"/>
          <w:color w:val="auto"/>
          <w:spacing w:val="8"/>
          <w:highlight w:val="none"/>
        </w:rPr>
        <w:t>（2 分）：</w:t>
      </w:r>
    </w:p>
    <w:p w14:paraId="1E231BA7">
      <w:pPr>
        <w:spacing w:line="360" w:lineRule="auto"/>
        <w:ind w:firstLine="452" w:firstLineChars="200"/>
        <w:rPr>
          <w:rFonts w:hint="eastAsia"/>
          <w:color w:val="auto"/>
          <w:spacing w:val="8"/>
          <w:highlight w:val="none"/>
        </w:rPr>
      </w:pPr>
      <w:r>
        <w:rPr>
          <w:rFonts w:hint="eastAsia"/>
          <w:color w:val="auto"/>
          <w:spacing w:val="8"/>
          <w:highlight w:val="none"/>
        </w:rPr>
        <w:t>体系与措施：提供文明施工保证体系，但提供的保证措施内容不完整（仅包含组织保障、制度保障或技术保障措施中的一项）；</w:t>
      </w:r>
    </w:p>
    <w:p w14:paraId="215CD8E8">
      <w:pPr>
        <w:spacing w:line="360" w:lineRule="auto"/>
        <w:ind w:firstLine="452" w:firstLineChars="200"/>
        <w:rPr>
          <w:rFonts w:hint="eastAsia"/>
          <w:color w:val="auto"/>
          <w:spacing w:val="8"/>
          <w:highlight w:val="none"/>
        </w:rPr>
      </w:pPr>
      <w:r>
        <w:rPr>
          <w:rFonts w:hint="eastAsia"/>
          <w:color w:val="auto"/>
          <w:spacing w:val="8"/>
          <w:highlight w:val="none"/>
        </w:rPr>
        <w:t>现场专项方案：提供了现场文明施工措施或环境保护措施（仅提供其中一项），或提供的措施内容过于简单、缺乏针对性；</w:t>
      </w:r>
    </w:p>
    <w:p w14:paraId="6580E9B9">
      <w:pPr>
        <w:spacing w:line="360" w:lineRule="auto"/>
        <w:ind w:firstLine="452" w:firstLineChars="200"/>
        <w:rPr>
          <w:rFonts w:hint="eastAsia"/>
          <w:color w:val="auto"/>
          <w:spacing w:val="8"/>
          <w:highlight w:val="none"/>
        </w:rPr>
      </w:pPr>
      <w:r>
        <w:rPr>
          <w:rFonts w:hint="eastAsia"/>
          <w:color w:val="auto"/>
          <w:spacing w:val="8"/>
          <w:highlight w:val="none"/>
        </w:rPr>
        <w:t>目标承诺：提供文明施工目标的承诺，但承诺内容不具体。</w:t>
      </w:r>
    </w:p>
    <w:p w14:paraId="61828BE7">
      <w:pPr>
        <w:spacing w:line="360" w:lineRule="auto"/>
        <w:ind w:firstLine="452" w:firstLineChars="200"/>
        <w:rPr>
          <w:rFonts w:hint="eastAsia"/>
          <w:color w:val="auto"/>
          <w:spacing w:val="8"/>
          <w:highlight w:val="none"/>
        </w:rPr>
      </w:pPr>
      <w:r>
        <w:rPr>
          <w:rFonts w:hint="eastAsia"/>
          <w:color w:val="auto"/>
          <w:spacing w:val="8"/>
          <w:highlight w:val="none"/>
          <w:lang w:val="en-US" w:eastAsia="zh-CN"/>
        </w:rPr>
        <w:t>差</w:t>
      </w:r>
      <w:r>
        <w:rPr>
          <w:rFonts w:hint="eastAsia"/>
          <w:color w:val="auto"/>
          <w:spacing w:val="8"/>
          <w:highlight w:val="none"/>
        </w:rPr>
        <w:t>（1 分）：未提供文明施工保证体系、保证措施或现场专项方案，或提供的内容完全脱离本项目实际、缺失严重。</w:t>
      </w:r>
    </w:p>
    <w:p w14:paraId="02EA9BEF">
      <w:pPr>
        <w:pStyle w:val="22"/>
        <w:pageBreakBefore w:val="0"/>
        <w:widowControl w:val="0"/>
        <w:kinsoku/>
        <w:wordWrap/>
        <w:overflowPunct/>
        <w:topLinePunct w:val="0"/>
        <w:bidi w:val="0"/>
        <w:snapToGrid/>
        <w:spacing w:line="360" w:lineRule="auto"/>
        <w:ind w:firstLine="211" w:firstLineChars="100"/>
        <w:textAlignment w:val="auto"/>
        <w:outlineLvl w:val="9"/>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（9）</w:t>
      </w:r>
      <w:r>
        <w:rPr>
          <w:b/>
          <w:bCs/>
          <w:color w:val="auto"/>
          <w:spacing w:val="7"/>
          <w:highlight w:val="none"/>
        </w:rPr>
        <w:t>项目风险预测与防范，事故应急预案</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hAnsi="宋体" w:cs="宋体"/>
          <w:b/>
          <w:bCs w:val="0"/>
          <w:color w:val="auto"/>
          <w:highlight w:val="none"/>
          <w:lang w:val="en-US" w:eastAsia="zh-CN"/>
        </w:rPr>
        <w:t>5</w:t>
      </w:r>
      <w:r>
        <w:rPr>
          <w:rFonts w:hint="eastAsia" w:ascii="宋体" w:hAnsi="宋体" w:eastAsia="宋体" w:cs="宋体"/>
          <w:b/>
          <w:bCs w:val="0"/>
          <w:color w:val="auto"/>
          <w:szCs w:val="21"/>
          <w:highlight w:val="none"/>
        </w:rPr>
        <w:t>分</w:t>
      </w:r>
    </w:p>
    <w:p w14:paraId="4ABF5D3E">
      <w:pPr>
        <w:pStyle w:val="16"/>
        <w:spacing w:line="332" w:lineRule="auto"/>
        <w:ind w:left="12" w:right="2" w:firstLine="428"/>
        <w:rPr>
          <w:rFonts w:hint="eastAsia"/>
          <w:color w:val="auto"/>
          <w:spacing w:val="8"/>
          <w:highlight w:val="none"/>
        </w:rPr>
      </w:pPr>
      <w:r>
        <w:rPr>
          <w:rFonts w:hint="eastAsia"/>
          <w:color w:val="auto"/>
          <w:spacing w:val="8"/>
          <w:highlight w:val="none"/>
          <w:lang w:val="en-US" w:eastAsia="zh-CN"/>
        </w:rPr>
        <w:t>优</w:t>
      </w:r>
      <w:r>
        <w:rPr>
          <w:rFonts w:hint="eastAsia"/>
          <w:color w:val="auto"/>
          <w:spacing w:val="8"/>
          <w:highlight w:val="none"/>
        </w:rPr>
        <w:t>（5 分）：</w:t>
      </w:r>
    </w:p>
    <w:p w14:paraId="6C95B521">
      <w:pPr>
        <w:pStyle w:val="16"/>
        <w:spacing w:line="332" w:lineRule="auto"/>
        <w:ind w:left="12" w:right="2" w:firstLine="428"/>
        <w:rPr>
          <w:rFonts w:hint="eastAsia"/>
          <w:color w:val="auto"/>
          <w:spacing w:val="8"/>
          <w:highlight w:val="none"/>
        </w:rPr>
      </w:pPr>
      <w:r>
        <w:rPr>
          <w:rFonts w:hint="eastAsia"/>
          <w:color w:val="auto"/>
          <w:spacing w:val="8"/>
          <w:highlight w:val="none"/>
        </w:rPr>
        <w:t>风险预测与防范：提供完整的项目风险预测与防范方案，且针对本项目特点明确了具体的风险源清单、风险等级评估结果，并针对性地提出了具体的防范措施（包含风险规避、降低、转移或接受等应对策略）；</w:t>
      </w:r>
    </w:p>
    <w:p w14:paraId="15CBE34D">
      <w:pPr>
        <w:pStyle w:val="16"/>
        <w:spacing w:line="332" w:lineRule="auto"/>
        <w:ind w:left="12" w:right="2" w:firstLine="428"/>
        <w:rPr>
          <w:rFonts w:hint="eastAsia"/>
          <w:color w:val="auto"/>
          <w:spacing w:val="8"/>
          <w:highlight w:val="none"/>
        </w:rPr>
      </w:pPr>
      <w:r>
        <w:rPr>
          <w:rFonts w:hint="eastAsia"/>
          <w:color w:val="auto"/>
          <w:spacing w:val="8"/>
          <w:highlight w:val="none"/>
        </w:rPr>
        <w:t>事故应急预案：提供完整的事故应急预案，预案中明确包含应急组织机构及职责分工、应急响应程序、应急资源（人员、物资、设备）保障清单及应急通讯联络机制。</w:t>
      </w:r>
    </w:p>
    <w:p w14:paraId="4D675C87">
      <w:pPr>
        <w:pStyle w:val="16"/>
        <w:spacing w:line="332" w:lineRule="auto"/>
        <w:ind w:left="12" w:right="2" w:firstLine="428"/>
        <w:rPr>
          <w:rFonts w:hint="eastAsia"/>
          <w:color w:val="auto"/>
          <w:spacing w:val="8"/>
          <w:highlight w:val="none"/>
        </w:rPr>
      </w:pPr>
      <w:r>
        <w:rPr>
          <w:rFonts w:hint="eastAsia"/>
          <w:color w:val="auto"/>
          <w:spacing w:val="8"/>
          <w:highlight w:val="none"/>
          <w:lang w:val="en-US" w:eastAsia="zh-CN"/>
        </w:rPr>
        <w:t>良</w:t>
      </w:r>
      <w:r>
        <w:rPr>
          <w:rFonts w:hint="eastAsia"/>
          <w:color w:val="auto"/>
          <w:spacing w:val="8"/>
          <w:highlight w:val="none"/>
        </w:rPr>
        <w:t>（4 分）：</w:t>
      </w:r>
    </w:p>
    <w:p w14:paraId="203B0F86">
      <w:pPr>
        <w:pStyle w:val="16"/>
        <w:spacing w:line="332" w:lineRule="auto"/>
        <w:ind w:left="12" w:right="2" w:firstLine="428"/>
        <w:rPr>
          <w:rFonts w:hint="eastAsia"/>
          <w:color w:val="auto"/>
          <w:spacing w:val="8"/>
          <w:highlight w:val="none"/>
        </w:rPr>
      </w:pPr>
      <w:r>
        <w:rPr>
          <w:rFonts w:hint="eastAsia"/>
          <w:color w:val="auto"/>
          <w:spacing w:val="8"/>
          <w:highlight w:val="none"/>
        </w:rPr>
        <w:t>风险预测与防范：提供项目风险预测与防范方案，明确了风险源清单，并提出了相应的防范措施；</w:t>
      </w:r>
    </w:p>
    <w:p w14:paraId="6121A3DA">
      <w:pPr>
        <w:pStyle w:val="16"/>
        <w:spacing w:line="332" w:lineRule="auto"/>
        <w:ind w:left="12" w:right="2" w:firstLine="428"/>
        <w:rPr>
          <w:rFonts w:hint="eastAsia"/>
          <w:color w:val="auto"/>
          <w:spacing w:val="8"/>
          <w:highlight w:val="none"/>
        </w:rPr>
      </w:pPr>
      <w:r>
        <w:rPr>
          <w:rFonts w:hint="eastAsia"/>
          <w:color w:val="auto"/>
          <w:spacing w:val="8"/>
          <w:highlight w:val="none"/>
        </w:rPr>
        <w:t>事故应急预案：提供事故应急预案，预案中包含了应急组织机构及职责分工、应急响应程序及应急资源保障清单。</w:t>
      </w:r>
    </w:p>
    <w:p w14:paraId="3B94515B">
      <w:pPr>
        <w:pStyle w:val="16"/>
        <w:spacing w:line="332" w:lineRule="auto"/>
        <w:ind w:left="12" w:right="2" w:firstLine="428"/>
        <w:rPr>
          <w:rFonts w:hint="eastAsia"/>
          <w:color w:val="auto"/>
          <w:spacing w:val="8"/>
          <w:highlight w:val="none"/>
        </w:rPr>
      </w:pPr>
      <w:r>
        <w:rPr>
          <w:rFonts w:hint="eastAsia"/>
          <w:color w:val="auto"/>
          <w:spacing w:val="8"/>
          <w:highlight w:val="none"/>
          <w:lang w:val="en-US" w:eastAsia="zh-CN"/>
        </w:rPr>
        <w:t>中</w:t>
      </w:r>
      <w:r>
        <w:rPr>
          <w:rFonts w:hint="eastAsia"/>
          <w:color w:val="auto"/>
          <w:spacing w:val="8"/>
          <w:highlight w:val="none"/>
        </w:rPr>
        <w:t>（2 分）：</w:t>
      </w:r>
    </w:p>
    <w:p w14:paraId="41DF2EBB">
      <w:pPr>
        <w:pStyle w:val="16"/>
        <w:spacing w:line="332" w:lineRule="auto"/>
        <w:ind w:left="12" w:right="2" w:firstLine="428"/>
        <w:rPr>
          <w:rFonts w:hint="eastAsia"/>
          <w:color w:val="auto"/>
          <w:spacing w:val="8"/>
          <w:highlight w:val="none"/>
        </w:rPr>
      </w:pPr>
      <w:r>
        <w:rPr>
          <w:rFonts w:hint="eastAsia"/>
          <w:color w:val="auto"/>
          <w:spacing w:val="8"/>
          <w:highlight w:val="none"/>
        </w:rPr>
        <w:t>风险预测与防范：提供项目风险预测与防范方案，但仅列出了风险源清单，未提出具体的防范措施；</w:t>
      </w:r>
    </w:p>
    <w:p w14:paraId="649100EF">
      <w:pPr>
        <w:pStyle w:val="16"/>
        <w:spacing w:line="332" w:lineRule="auto"/>
        <w:ind w:left="12" w:right="2" w:firstLine="428"/>
        <w:rPr>
          <w:rFonts w:hint="eastAsia"/>
          <w:color w:val="auto"/>
          <w:spacing w:val="8"/>
          <w:highlight w:val="none"/>
        </w:rPr>
      </w:pPr>
      <w:r>
        <w:rPr>
          <w:rFonts w:hint="eastAsia"/>
          <w:color w:val="auto"/>
          <w:spacing w:val="8"/>
          <w:highlight w:val="none"/>
        </w:rPr>
        <w:t>事故应急预案：提供事故应急预案，但预案内容不完整（缺少应急组织机构及职责分工、应急响应程序或应急资源保障清单中的任一项）。</w:t>
      </w:r>
    </w:p>
    <w:p w14:paraId="32D5FAC9">
      <w:pPr>
        <w:pStyle w:val="16"/>
        <w:spacing w:line="332" w:lineRule="auto"/>
        <w:ind w:left="12" w:right="2" w:firstLine="428"/>
        <w:rPr>
          <w:rFonts w:hint="eastAsia" w:ascii="宋体" w:hAnsi="宋体" w:eastAsia="宋体" w:cs="宋体"/>
          <w:b/>
          <w:bCs/>
          <w:color w:val="auto"/>
          <w:kern w:val="0"/>
          <w:sz w:val="21"/>
          <w:szCs w:val="21"/>
          <w:highlight w:val="none"/>
        </w:rPr>
      </w:pPr>
      <w:r>
        <w:rPr>
          <w:rFonts w:hint="eastAsia"/>
          <w:color w:val="auto"/>
          <w:spacing w:val="8"/>
          <w:highlight w:val="none"/>
          <w:lang w:val="en-US" w:eastAsia="zh-CN"/>
        </w:rPr>
        <w:t>差</w:t>
      </w:r>
      <w:r>
        <w:rPr>
          <w:rFonts w:hint="eastAsia"/>
          <w:color w:val="auto"/>
          <w:spacing w:val="8"/>
          <w:highlight w:val="none"/>
        </w:rPr>
        <w:t>（1 分）：未提供项目风险预测与防范方案或事故应急预案，或提供的内容完全脱离本项目实际、缺失严重。</w:t>
      </w:r>
    </w:p>
    <w:p w14:paraId="205DF93C">
      <w:pPr>
        <w:pageBreakBefore w:val="0"/>
        <w:widowControl w:val="0"/>
        <w:tabs>
          <w:tab w:val="left" w:pos="1305"/>
        </w:tabs>
        <w:kinsoku/>
        <w:wordWrap/>
        <w:overflowPunct/>
        <w:topLinePunct w:val="0"/>
        <w:bidi w:val="0"/>
        <w:snapToGrid/>
        <w:spacing w:line="360" w:lineRule="auto"/>
        <w:ind w:firstLine="211" w:firstLineChars="100"/>
        <w:textAlignment w:val="auto"/>
        <w:outlineLvl w:val="9"/>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3、拟投入主要管理人员配置……………………………………………………………</w:t>
      </w:r>
      <w:r>
        <w:rPr>
          <w:rFonts w:hint="eastAsia" w:ascii="宋体" w:hAnsi="宋体" w:eastAsia="宋体" w:cs="宋体"/>
          <w:b/>
          <w:bCs/>
          <w:color w:val="auto"/>
          <w:kern w:val="0"/>
          <w:sz w:val="21"/>
          <w:szCs w:val="21"/>
          <w:highlight w:val="none"/>
          <w:lang w:val="en-US" w:eastAsia="zh-CN" w:bidi="ar-SA"/>
        </w:rPr>
        <w:t>……5分</w:t>
      </w:r>
    </w:p>
    <w:p w14:paraId="0B8712E7">
      <w:pPr>
        <w:keepNext w:val="0"/>
        <w:keepLines w:val="0"/>
        <w:pageBreakBefore w:val="0"/>
        <w:kinsoku/>
        <w:wordWrap/>
        <w:overflowPunct/>
        <w:topLinePunct w:val="0"/>
        <w:autoSpaceDE/>
        <w:autoSpaceDN/>
        <w:bidi w:val="0"/>
        <w:adjustRightInd/>
        <w:spacing w:line="360" w:lineRule="auto"/>
        <w:ind w:firstLine="210" w:firstLineChars="100"/>
        <w:outlineLvl w:val="9"/>
        <w:rPr>
          <w:rFonts w:hint="eastAsia" w:ascii="宋体" w:hAnsi="宋体" w:eastAsia="宋体" w:cs="宋体"/>
          <w:b/>
          <w:bCs/>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项目经理</w:t>
      </w:r>
      <w:r>
        <w:rPr>
          <w:rFonts w:hint="eastAsia" w:ascii="宋体" w:hAnsi="宋体" w:eastAsia="宋体" w:cs="宋体"/>
          <w:color w:val="auto"/>
          <w:highlight w:val="none"/>
          <w:lang w:eastAsia="zh-CN"/>
        </w:rPr>
        <w:t>资格</w:t>
      </w:r>
      <w:r>
        <w:rPr>
          <w:rFonts w:hint="eastAsia" w:ascii="宋体" w:hAnsi="宋体" w:eastAsia="宋体" w:cs="宋体"/>
          <w:color w:val="auto"/>
          <w:highlight w:val="none"/>
        </w:rPr>
        <w:t>：具有</w:t>
      </w:r>
      <w:r>
        <w:rPr>
          <w:rFonts w:hint="eastAsia" w:ascii="宋体" w:hAnsi="宋体" w:eastAsia="宋体" w:cs="宋体"/>
          <w:b w:val="0"/>
          <w:bCs w:val="0"/>
          <w:color w:val="auto"/>
          <w:szCs w:val="21"/>
          <w:highlight w:val="none"/>
          <w:lang w:eastAsia="zh-CN"/>
        </w:rPr>
        <w:t>水利水电工程专业二级及以上注册建造师</w:t>
      </w:r>
      <w:r>
        <w:rPr>
          <w:rFonts w:hint="eastAsia" w:ascii="宋体" w:hAnsi="宋体" w:eastAsia="宋体" w:cs="宋体"/>
          <w:b w:val="0"/>
          <w:bCs w:val="0"/>
          <w:color w:val="auto"/>
          <w:highlight w:val="none"/>
          <w:lang w:eastAsia="zh-CN"/>
        </w:rPr>
        <w:t>及</w:t>
      </w:r>
      <w:r>
        <w:rPr>
          <w:rFonts w:hint="eastAsia" w:ascii="宋体" w:hAnsi="宋体" w:eastAsia="宋体" w:cs="宋体"/>
          <w:b w:val="0"/>
          <w:bCs w:val="0"/>
          <w:color w:val="auto"/>
          <w:kern w:val="0"/>
          <w:highlight w:val="none"/>
          <w:lang w:bidi="ar"/>
        </w:rPr>
        <w:t>安全生产考</w:t>
      </w:r>
      <w:r>
        <w:rPr>
          <w:rFonts w:hint="eastAsia" w:ascii="宋体" w:hAnsi="宋体" w:eastAsia="宋体" w:cs="宋体"/>
          <w:color w:val="auto"/>
          <w:kern w:val="0"/>
          <w:highlight w:val="none"/>
          <w:lang w:bidi="ar"/>
        </w:rPr>
        <w:t>核合格证书（B类）</w:t>
      </w:r>
      <w:r>
        <w:rPr>
          <w:rFonts w:hint="eastAsia" w:ascii="宋体" w:hAnsi="宋体" w:eastAsia="宋体" w:cs="宋体"/>
          <w:color w:val="auto"/>
          <w:kern w:val="0"/>
          <w:highlight w:val="none"/>
          <w:lang w:eastAsia="zh-CN" w:bidi="ar"/>
        </w:rPr>
        <w:t>且同时具有</w:t>
      </w:r>
      <w:r>
        <w:rPr>
          <w:rFonts w:hint="eastAsia" w:ascii="宋体" w:hAnsi="宋体" w:eastAsia="宋体" w:cs="宋体"/>
          <w:color w:val="auto"/>
          <w:highlight w:val="none"/>
        </w:rPr>
        <w:t>工程师或以上职称</w:t>
      </w:r>
      <w:r>
        <w:rPr>
          <w:rFonts w:hint="eastAsia" w:ascii="宋体" w:hAnsi="宋体" w:eastAsia="宋体" w:cs="宋体"/>
          <w:color w:val="auto"/>
          <w:kern w:val="0"/>
          <w:highlight w:val="none"/>
          <w:lang w:bidi="ar"/>
        </w:rPr>
        <w:t>的得</w:t>
      </w:r>
      <w:r>
        <w:rPr>
          <w:rFonts w:hint="eastAsia" w:ascii="宋体" w:hAnsi="宋体" w:eastAsia="宋体" w:cs="宋体"/>
          <w:color w:val="auto"/>
          <w:kern w:val="0"/>
          <w:highlight w:val="none"/>
          <w:lang w:val="en-US" w:eastAsia="zh-CN" w:bidi="ar"/>
        </w:rPr>
        <w:t>2</w:t>
      </w:r>
      <w:r>
        <w:rPr>
          <w:rFonts w:hint="eastAsia" w:ascii="宋体" w:hAnsi="宋体" w:eastAsia="宋体" w:cs="宋体"/>
          <w:color w:val="auto"/>
          <w:kern w:val="0"/>
          <w:highlight w:val="none"/>
          <w:lang w:bidi="ar"/>
        </w:rPr>
        <w:t>分</w:t>
      </w:r>
      <w:r>
        <w:rPr>
          <w:rFonts w:hint="eastAsia" w:ascii="宋体" w:hAnsi="宋体" w:eastAsia="宋体" w:cs="宋体"/>
          <w:color w:val="auto"/>
          <w:kern w:val="0"/>
          <w:highlight w:val="none"/>
          <w:lang w:eastAsia="zh-CN" w:bidi="ar"/>
        </w:rPr>
        <w:t>，具有助理工程师的得</w:t>
      </w:r>
      <w:r>
        <w:rPr>
          <w:rFonts w:hint="eastAsia" w:ascii="宋体" w:hAnsi="宋体" w:eastAsia="宋体" w:cs="宋体"/>
          <w:color w:val="auto"/>
          <w:kern w:val="0"/>
          <w:highlight w:val="none"/>
          <w:lang w:val="en-US" w:eastAsia="zh-CN" w:bidi="ar"/>
        </w:rPr>
        <w:t>1分。</w:t>
      </w:r>
      <w:r>
        <w:rPr>
          <w:rFonts w:hint="eastAsia" w:ascii="宋体" w:hAnsi="宋体" w:eastAsia="宋体" w:cs="宋体"/>
          <w:b/>
          <w:bCs/>
          <w:color w:val="auto"/>
          <w:highlight w:val="none"/>
        </w:rPr>
        <w:t>（满分</w:t>
      </w:r>
      <w:r>
        <w:rPr>
          <w:rFonts w:hint="eastAsia" w:ascii="宋体" w:hAnsi="宋体" w:eastAsia="宋体" w:cs="宋体"/>
          <w:b/>
          <w:bCs/>
          <w:color w:val="auto"/>
          <w:highlight w:val="none"/>
          <w:lang w:val="en-US" w:eastAsia="zh-CN"/>
        </w:rPr>
        <w:t>2</w:t>
      </w:r>
      <w:r>
        <w:rPr>
          <w:rFonts w:hint="eastAsia" w:ascii="宋体" w:hAnsi="宋体" w:eastAsia="宋体" w:cs="宋体"/>
          <w:b/>
          <w:bCs/>
          <w:color w:val="auto"/>
          <w:highlight w:val="none"/>
        </w:rPr>
        <w:t>分）</w:t>
      </w:r>
    </w:p>
    <w:p w14:paraId="695E1CC2">
      <w:pPr>
        <w:pStyle w:val="87"/>
        <w:keepNext w:val="0"/>
        <w:keepLines w:val="0"/>
        <w:pageBreakBefore w:val="0"/>
        <w:kinsoku/>
        <w:wordWrap/>
        <w:overflowPunct/>
        <w:topLinePunct w:val="0"/>
        <w:autoSpaceDE/>
        <w:autoSpaceDN/>
        <w:bidi w:val="0"/>
        <w:adjustRightInd/>
        <w:snapToGrid w:val="0"/>
        <w:spacing w:line="360" w:lineRule="auto"/>
        <w:ind w:firstLine="210" w:firstLineChars="100"/>
        <w:outlineLvl w:val="9"/>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技术负责人职称：具有工程师或以上职称的得</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分，具有助理工程师的得</w:t>
      </w:r>
      <w:r>
        <w:rPr>
          <w:rFonts w:hint="eastAsia" w:ascii="宋体" w:hAnsi="宋体" w:eastAsia="宋体" w:cs="宋体"/>
          <w:color w:val="auto"/>
          <w:highlight w:val="none"/>
          <w:lang w:val="en-US" w:eastAsia="zh-CN"/>
        </w:rPr>
        <w:t>0.5</w:t>
      </w:r>
      <w:r>
        <w:rPr>
          <w:rFonts w:hint="eastAsia" w:ascii="宋体" w:hAnsi="宋体" w:eastAsia="宋体" w:cs="宋体"/>
          <w:color w:val="auto"/>
          <w:highlight w:val="none"/>
        </w:rPr>
        <w:t>分。</w:t>
      </w:r>
      <w:r>
        <w:rPr>
          <w:rFonts w:hint="eastAsia" w:ascii="宋体" w:hAnsi="宋体" w:eastAsia="宋体" w:cs="宋体"/>
          <w:b/>
          <w:bCs/>
          <w:color w:val="auto"/>
          <w:highlight w:val="none"/>
        </w:rPr>
        <w:t>（满分</w:t>
      </w:r>
      <w:r>
        <w:rPr>
          <w:rFonts w:hint="eastAsia" w:ascii="宋体" w:hAnsi="宋体" w:eastAsia="宋体" w:cs="宋体"/>
          <w:b/>
          <w:bCs/>
          <w:color w:val="auto"/>
          <w:highlight w:val="none"/>
          <w:lang w:val="en-US" w:eastAsia="zh-CN"/>
        </w:rPr>
        <w:t>1</w:t>
      </w:r>
      <w:r>
        <w:rPr>
          <w:rFonts w:hint="eastAsia" w:ascii="宋体" w:hAnsi="宋体" w:eastAsia="宋体" w:cs="宋体"/>
          <w:b/>
          <w:bCs/>
          <w:color w:val="auto"/>
          <w:highlight w:val="none"/>
        </w:rPr>
        <w:t>分）</w:t>
      </w:r>
    </w:p>
    <w:p w14:paraId="584DB441">
      <w:pPr>
        <w:keepNext w:val="0"/>
        <w:keepLines w:val="0"/>
        <w:pageBreakBefore w:val="0"/>
        <w:widowControl/>
        <w:kinsoku/>
        <w:wordWrap/>
        <w:overflowPunct/>
        <w:topLinePunct w:val="0"/>
        <w:autoSpaceDE/>
        <w:autoSpaceDN/>
        <w:bidi w:val="0"/>
        <w:adjustRightInd/>
        <w:spacing w:line="360" w:lineRule="auto"/>
        <w:ind w:firstLine="210" w:firstLineChars="100"/>
        <w:jc w:val="left"/>
        <w:textAlignment w:val="center"/>
        <w:outlineLvl w:val="9"/>
        <w:rPr>
          <w:rFonts w:hint="eastAsia" w:ascii="宋体" w:hAnsi="宋体" w:eastAsia="宋体" w:cs="宋体"/>
          <w:b/>
          <w:bCs/>
          <w:color w:val="auto"/>
          <w:highlight w:val="none"/>
        </w:rPr>
      </w:pPr>
      <w:r>
        <w:rPr>
          <w:rFonts w:hint="eastAsia" w:ascii="宋体" w:hAnsi="宋体" w:eastAsia="宋体" w:cs="宋体"/>
          <w:color w:val="auto"/>
          <w:kern w:val="0"/>
          <w:highlight w:val="none"/>
          <w:lang w:eastAsia="zh-CN" w:bidi="ar"/>
        </w:rPr>
        <w:t>（</w:t>
      </w:r>
      <w:r>
        <w:rPr>
          <w:rFonts w:hint="eastAsia" w:ascii="宋体" w:hAnsi="宋体" w:eastAsia="宋体" w:cs="宋体"/>
          <w:color w:val="auto"/>
          <w:kern w:val="0"/>
          <w:highlight w:val="none"/>
          <w:lang w:val="en-US" w:eastAsia="zh-CN" w:bidi="ar"/>
        </w:rPr>
        <w:t>3</w:t>
      </w:r>
      <w:r>
        <w:rPr>
          <w:rFonts w:hint="eastAsia" w:ascii="宋体" w:hAnsi="宋体" w:eastAsia="宋体" w:cs="宋体"/>
          <w:color w:val="auto"/>
          <w:kern w:val="0"/>
          <w:highlight w:val="none"/>
          <w:lang w:eastAsia="zh-CN" w:bidi="ar"/>
        </w:rPr>
        <w:t>）</w:t>
      </w:r>
      <w:r>
        <w:rPr>
          <w:rFonts w:hint="eastAsia" w:ascii="宋体" w:hAnsi="宋体" w:eastAsia="宋体" w:cs="宋体"/>
          <w:color w:val="auto"/>
          <w:kern w:val="0"/>
          <w:highlight w:val="none"/>
          <w:lang w:bidi="ar"/>
        </w:rPr>
        <w:t>安全员具备有效的岗位证</w:t>
      </w:r>
      <w:r>
        <w:rPr>
          <w:rFonts w:hint="eastAsia" w:ascii="宋体" w:hAnsi="宋体" w:eastAsia="宋体" w:cs="宋体"/>
          <w:color w:val="auto"/>
          <w:kern w:val="0"/>
          <w:highlight w:val="none"/>
          <w:lang w:eastAsia="zh-CN" w:bidi="ar"/>
        </w:rPr>
        <w:t>书</w:t>
      </w:r>
      <w:r>
        <w:rPr>
          <w:rFonts w:hint="eastAsia" w:ascii="宋体" w:hAnsi="宋体" w:eastAsia="宋体" w:cs="宋体"/>
          <w:color w:val="auto"/>
          <w:kern w:val="0"/>
          <w:highlight w:val="none"/>
          <w:lang w:bidi="ar"/>
        </w:rPr>
        <w:t>及安全生产考核合格证书（C类）且同时</w:t>
      </w:r>
      <w:r>
        <w:rPr>
          <w:rFonts w:hint="eastAsia" w:ascii="宋体" w:hAnsi="宋体" w:eastAsia="宋体" w:cs="宋体"/>
          <w:color w:val="auto"/>
          <w:highlight w:val="none"/>
        </w:rPr>
        <w:t>具有工程师或以上职称的得</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分，具有助理工程师的得</w:t>
      </w:r>
      <w:r>
        <w:rPr>
          <w:rFonts w:hint="eastAsia" w:ascii="宋体" w:hAnsi="宋体" w:eastAsia="宋体" w:cs="宋体"/>
          <w:color w:val="auto"/>
          <w:highlight w:val="none"/>
          <w:lang w:val="en-US" w:eastAsia="zh-CN"/>
        </w:rPr>
        <w:t>0.5</w:t>
      </w:r>
      <w:r>
        <w:rPr>
          <w:rFonts w:hint="eastAsia" w:ascii="宋体" w:hAnsi="宋体" w:eastAsia="宋体" w:cs="宋体"/>
          <w:color w:val="auto"/>
          <w:highlight w:val="none"/>
        </w:rPr>
        <w:t>分。</w:t>
      </w:r>
      <w:r>
        <w:rPr>
          <w:rFonts w:hint="eastAsia" w:ascii="宋体" w:hAnsi="宋体" w:eastAsia="宋体" w:cs="宋体"/>
          <w:b/>
          <w:bCs/>
          <w:color w:val="auto"/>
          <w:highlight w:val="none"/>
        </w:rPr>
        <w:t>（满分</w:t>
      </w:r>
      <w:r>
        <w:rPr>
          <w:rFonts w:hint="eastAsia" w:ascii="宋体" w:hAnsi="宋体" w:eastAsia="宋体" w:cs="宋体"/>
          <w:b/>
          <w:bCs/>
          <w:color w:val="auto"/>
          <w:highlight w:val="none"/>
          <w:lang w:val="en-US" w:eastAsia="zh-CN"/>
        </w:rPr>
        <w:t>1</w:t>
      </w:r>
      <w:r>
        <w:rPr>
          <w:rFonts w:hint="eastAsia" w:ascii="宋体" w:hAnsi="宋体" w:eastAsia="宋体" w:cs="宋体"/>
          <w:b/>
          <w:bCs/>
          <w:color w:val="auto"/>
          <w:highlight w:val="none"/>
        </w:rPr>
        <w:t>分）</w:t>
      </w:r>
    </w:p>
    <w:p w14:paraId="74908F36">
      <w:pPr>
        <w:pageBreakBefore w:val="0"/>
        <w:widowControl/>
        <w:kinsoku/>
        <w:wordWrap/>
        <w:overflowPunct/>
        <w:topLinePunct w:val="0"/>
        <w:bidi w:val="0"/>
        <w:spacing w:line="360" w:lineRule="auto"/>
        <w:ind w:firstLine="210" w:firstLineChars="100"/>
        <w:jc w:val="left"/>
        <w:textAlignment w:val="center"/>
        <w:outlineLvl w:val="9"/>
        <w:rPr>
          <w:rFonts w:hint="eastAsia" w:ascii="宋体" w:hAnsi="宋体" w:eastAsia="宋体" w:cs="宋体"/>
          <w:b/>
          <w:bCs/>
          <w:color w:val="auto"/>
          <w:kern w:val="0"/>
          <w:highlight w:val="none"/>
          <w:lang w:bidi="ar"/>
        </w:rPr>
      </w:pPr>
      <w:r>
        <w:rPr>
          <w:rFonts w:hint="eastAsia" w:ascii="宋体" w:hAnsi="宋体" w:eastAsia="宋体" w:cs="宋体"/>
          <w:color w:val="auto"/>
          <w:kern w:val="0"/>
          <w:highlight w:val="none"/>
          <w:lang w:val="en-US" w:eastAsia="zh-CN" w:bidi="ar"/>
        </w:rPr>
        <w:t>（4）</w:t>
      </w:r>
      <w:r>
        <w:rPr>
          <w:rFonts w:hint="eastAsia" w:ascii="宋体" w:hAnsi="宋体" w:eastAsia="宋体" w:cs="宋体"/>
          <w:color w:val="auto"/>
          <w:kern w:val="0"/>
          <w:highlight w:val="none"/>
          <w:lang w:bidi="ar"/>
        </w:rPr>
        <w:t>施工员具备有效的岗位证</w:t>
      </w:r>
      <w:r>
        <w:rPr>
          <w:rFonts w:hint="eastAsia" w:ascii="宋体" w:hAnsi="宋体" w:eastAsia="宋体" w:cs="宋体"/>
          <w:color w:val="auto"/>
          <w:kern w:val="0"/>
          <w:highlight w:val="none"/>
          <w:lang w:eastAsia="zh-CN" w:bidi="ar"/>
        </w:rPr>
        <w:t>书同时</w:t>
      </w:r>
      <w:r>
        <w:rPr>
          <w:rFonts w:hint="eastAsia" w:ascii="宋体" w:hAnsi="宋体" w:eastAsia="宋体" w:cs="宋体"/>
          <w:color w:val="auto"/>
          <w:kern w:val="0"/>
          <w:highlight w:val="none"/>
          <w:lang w:bidi="ar"/>
        </w:rPr>
        <w:t>具有工程师或以上职称的得</w:t>
      </w:r>
      <w:r>
        <w:rPr>
          <w:rFonts w:hint="eastAsia" w:ascii="宋体" w:hAnsi="宋体" w:eastAsia="宋体" w:cs="宋体"/>
          <w:color w:val="auto"/>
          <w:kern w:val="0"/>
          <w:highlight w:val="none"/>
          <w:lang w:val="en-US" w:eastAsia="zh-CN" w:bidi="ar"/>
        </w:rPr>
        <w:t>1</w:t>
      </w:r>
      <w:r>
        <w:rPr>
          <w:rFonts w:hint="eastAsia" w:ascii="宋体" w:hAnsi="宋体" w:eastAsia="宋体" w:cs="宋体"/>
          <w:color w:val="auto"/>
          <w:kern w:val="0"/>
          <w:highlight w:val="none"/>
          <w:lang w:bidi="ar"/>
        </w:rPr>
        <w:t>分，具有助理工程师的得</w:t>
      </w:r>
      <w:r>
        <w:rPr>
          <w:rFonts w:hint="eastAsia" w:ascii="宋体" w:hAnsi="宋体" w:eastAsia="宋体" w:cs="宋体"/>
          <w:color w:val="auto"/>
          <w:kern w:val="0"/>
          <w:highlight w:val="none"/>
          <w:lang w:val="en-US" w:eastAsia="zh-CN" w:bidi="ar"/>
        </w:rPr>
        <w:t>0.5</w:t>
      </w:r>
      <w:r>
        <w:rPr>
          <w:rFonts w:hint="eastAsia" w:ascii="宋体" w:hAnsi="宋体" w:eastAsia="宋体" w:cs="宋体"/>
          <w:color w:val="auto"/>
          <w:kern w:val="0"/>
          <w:highlight w:val="none"/>
          <w:lang w:bidi="ar"/>
        </w:rPr>
        <w:t>分。</w:t>
      </w:r>
      <w:r>
        <w:rPr>
          <w:rFonts w:hint="eastAsia" w:ascii="宋体" w:hAnsi="宋体" w:eastAsia="宋体" w:cs="宋体"/>
          <w:b/>
          <w:bCs/>
          <w:color w:val="auto"/>
          <w:kern w:val="0"/>
          <w:highlight w:val="none"/>
          <w:lang w:bidi="ar"/>
        </w:rPr>
        <w:t>（满分</w:t>
      </w:r>
      <w:r>
        <w:rPr>
          <w:rFonts w:hint="eastAsia" w:ascii="宋体" w:hAnsi="宋体" w:eastAsia="宋体" w:cs="宋体"/>
          <w:b/>
          <w:bCs/>
          <w:color w:val="auto"/>
          <w:kern w:val="0"/>
          <w:highlight w:val="none"/>
          <w:lang w:val="en-US" w:eastAsia="zh-CN" w:bidi="ar"/>
        </w:rPr>
        <w:t>1</w:t>
      </w:r>
      <w:r>
        <w:rPr>
          <w:rFonts w:hint="eastAsia" w:ascii="宋体" w:hAnsi="宋体" w:eastAsia="宋体" w:cs="宋体"/>
          <w:b/>
          <w:bCs/>
          <w:color w:val="auto"/>
          <w:kern w:val="0"/>
          <w:highlight w:val="none"/>
          <w:lang w:bidi="ar"/>
        </w:rPr>
        <w:t>分）</w:t>
      </w:r>
    </w:p>
    <w:p w14:paraId="3F463C98">
      <w:pPr>
        <w:pageBreakBefore w:val="0"/>
        <w:widowControl w:val="0"/>
        <w:numPr>
          <w:ilvl w:val="0"/>
          <w:numId w:val="0"/>
        </w:numPr>
        <w:tabs>
          <w:tab w:val="left" w:pos="1305"/>
        </w:tabs>
        <w:kinsoku/>
        <w:wordWrap/>
        <w:overflowPunct/>
        <w:topLinePunct w:val="0"/>
        <w:bidi w:val="0"/>
        <w:snapToGrid/>
        <w:spacing w:line="360" w:lineRule="auto"/>
        <w:ind w:left="-1" w:leftChars="0" w:firstLine="211" w:firstLineChars="0"/>
        <w:textAlignment w:val="auto"/>
        <w:outlineLvl w:val="9"/>
        <w:rPr>
          <w:rFonts w:hint="eastAsia" w:ascii="宋体" w:hAnsi="宋体" w:eastAsia="宋体" w:cs="宋体"/>
          <w:b/>
          <w:bCs/>
          <w:color w:val="auto"/>
          <w:szCs w:val="21"/>
          <w:highlight w:val="none"/>
        </w:rPr>
      </w:pPr>
      <w:r>
        <w:rPr>
          <w:rFonts w:hint="eastAsia" w:ascii="宋体" w:hAnsi="宋体" w:eastAsia="宋体" w:cs="宋体"/>
          <w:b/>
          <w:bCs/>
          <w:color w:val="auto"/>
          <w:kern w:val="2"/>
          <w:sz w:val="21"/>
          <w:szCs w:val="21"/>
          <w:lang w:val="en-US" w:eastAsia="zh-CN" w:bidi="ar-SA"/>
        </w:rPr>
        <w:t>4、</w:t>
      </w:r>
      <w:r>
        <w:rPr>
          <w:rFonts w:hint="eastAsia" w:ascii="宋体" w:hAnsi="宋体" w:eastAsia="宋体" w:cs="宋体"/>
          <w:b/>
          <w:bCs/>
          <w:color w:val="auto"/>
          <w:highlight w:val="none"/>
          <w:lang w:val="en-US" w:eastAsia="zh-CN"/>
        </w:rPr>
        <w:t>业绩分</w:t>
      </w:r>
      <w:r>
        <w:rPr>
          <w:rFonts w:hint="eastAsia" w:ascii="宋体" w:hAnsi="宋体" w:eastAsia="宋体" w:cs="宋体"/>
          <w:b/>
          <w:bCs/>
          <w:color w:val="auto"/>
          <w:highlight w:val="none"/>
        </w:rPr>
        <w:t>………………</w:t>
      </w: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w:t>
      </w: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w:t>
      </w: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w:t>
      </w: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w:t>
      </w: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w:t>
      </w: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w:t>
      </w: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w:t>
      </w: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分</w:t>
      </w:r>
    </w:p>
    <w:p w14:paraId="1509780B">
      <w:pPr>
        <w:pageBreakBefore w:val="0"/>
        <w:widowControl w:val="0"/>
        <w:tabs>
          <w:tab w:val="left" w:pos="1305"/>
        </w:tabs>
        <w:kinsoku/>
        <w:wordWrap/>
        <w:overflowPunct/>
        <w:topLinePunct w:val="0"/>
        <w:bidi w:val="0"/>
        <w:snapToGrid/>
        <w:spacing w:line="360" w:lineRule="auto"/>
        <w:ind w:firstLine="224" w:firstLineChars="100"/>
        <w:textAlignment w:val="auto"/>
        <w:outlineLvl w:val="9"/>
        <w:rPr>
          <w:rFonts w:hint="eastAsia" w:ascii="宋体" w:hAnsi="宋体" w:eastAsia="宋体" w:cs="宋体"/>
          <w:color w:val="auto"/>
          <w:kern w:val="2"/>
          <w:sz w:val="21"/>
          <w:szCs w:val="24"/>
          <w:highlight w:val="none"/>
          <w:lang w:val="en-US" w:eastAsia="zh-CN" w:bidi="ar-SA"/>
        </w:rPr>
      </w:pPr>
      <w:r>
        <w:rPr>
          <w:color w:val="auto"/>
          <w:spacing w:val="7"/>
          <w:highlight w:val="none"/>
        </w:rPr>
        <w:t>供应商</w:t>
      </w:r>
      <w:r>
        <w:rPr>
          <w:color w:val="auto"/>
          <w:spacing w:val="-34"/>
          <w:highlight w:val="none"/>
        </w:rPr>
        <w:t xml:space="preserve"> </w:t>
      </w:r>
      <w:r>
        <w:rPr>
          <w:color w:val="auto"/>
          <w:spacing w:val="7"/>
          <w:highlight w:val="none"/>
        </w:rPr>
        <w:t>202</w:t>
      </w:r>
      <w:r>
        <w:rPr>
          <w:rFonts w:hint="eastAsia"/>
          <w:color w:val="auto"/>
          <w:spacing w:val="7"/>
          <w:highlight w:val="none"/>
          <w:lang w:val="en-US" w:eastAsia="zh-CN"/>
        </w:rPr>
        <w:t>3</w:t>
      </w:r>
      <w:r>
        <w:rPr>
          <w:color w:val="auto"/>
          <w:spacing w:val="-40"/>
          <w:highlight w:val="none"/>
        </w:rPr>
        <w:t xml:space="preserve"> </w:t>
      </w:r>
      <w:r>
        <w:rPr>
          <w:color w:val="auto"/>
          <w:spacing w:val="7"/>
          <w:highlight w:val="none"/>
        </w:rPr>
        <w:t>年</w:t>
      </w:r>
      <w:r>
        <w:rPr>
          <w:rFonts w:hint="eastAsia"/>
          <w:color w:val="auto"/>
          <w:spacing w:val="7"/>
          <w:highlight w:val="none"/>
          <w:lang w:val="en-US" w:eastAsia="zh-CN"/>
        </w:rPr>
        <w:t>1月1日</w:t>
      </w:r>
      <w:r>
        <w:rPr>
          <w:color w:val="auto"/>
          <w:spacing w:val="7"/>
          <w:highlight w:val="none"/>
        </w:rPr>
        <w:t>以来具有水利工程相关类似业绩的</w:t>
      </w:r>
      <w:r>
        <w:rPr>
          <w:color w:val="auto"/>
          <w:spacing w:val="6"/>
          <w:highlight w:val="none"/>
        </w:rPr>
        <w:t>每个得</w:t>
      </w:r>
      <w:r>
        <w:rPr>
          <w:color w:val="auto"/>
          <w:spacing w:val="-32"/>
          <w:highlight w:val="none"/>
        </w:rPr>
        <w:t xml:space="preserve"> </w:t>
      </w:r>
      <w:r>
        <w:rPr>
          <w:rFonts w:hint="eastAsia"/>
          <w:color w:val="auto"/>
          <w:spacing w:val="6"/>
          <w:highlight w:val="none"/>
          <w:lang w:val="en-US" w:eastAsia="zh-CN"/>
        </w:rPr>
        <w:t>5</w:t>
      </w:r>
      <w:r>
        <w:rPr>
          <w:color w:val="auto"/>
          <w:spacing w:val="6"/>
          <w:highlight w:val="none"/>
        </w:rPr>
        <w:t>分，满分</w:t>
      </w:r>
      <w:r>
        <w:rPr>
          <w:rFonts w:hint="eastAsia"/>
          <w:color w:val="auto"/>
          <w:spacing w:val="-24"/>
          <w:highlight w:val="none"/>
          <w:lang w:val="en-US" w:eastAsia="zh-CN"/>
        </w:rPr>
        <w:t>5</w:t>
      </w:r>
      <w:r>
        <w:rPr>
          <w:color w:val="auto"/>
          <w:spacing w:val="6"/>
          <w:highlight w:val="none"/>
        </w:rPr>
        <w:t>分（</w:t>
      </w:r>
      <w:r>
        <w:rPr>
          <w:rFonts w:hint="eastAsia"/>
          <w:color w:val="auto"/>
          <w:spacing w:val="6"/>
          <w:highlight w:val="none"/>
          <w:lang w:val="en-US" w:eastAsia="zh-CN"/>
        </w:rPr>
        <w:t>供应商</w:t>
      </w:r>
      <w:r>
        <w:rPr>
          <w:rFonts w:hint="eastAsia"/>
          <w:color w:val="auto"/>
          <w:highlight w:val="none"/>
          <w:lang w:val="en-US" w:eastAsia="zh-CN"/>
        </w:rPr>
        <w:t>需在响应文件中提供相应业绩的</w:t>
      </w:r>
      <w:r>
        <w:rPr>
          <w:color w:val="auto"/>
          <w:spacing w:val="9"/>
          <w:highlight w:val="none"/>
        </w:rPr>
        <w:t>中标（成交）通知书</w:t>
      </w:r>
      <w:r>
        <w:rPr>
          <w:rFonts w:hint="eastAsia"/>
          <w:color w:val="auto"/>
          <w:spacing w:val="9"/>
          <w:highlight w:val="none"/>
          <w:lang w:eastAsia="zh-CN"/>
        </w:rPr>
        <w:t>复印件</w:t>
      </w:r>
      <w:r>
        <w:rPr>
          <w:color w:val="auto"/>
          <w:spacing w:val="9"/>
          <w:highlight w:val="none"/>
        </w:rPr>
        <w:t>或施工承包合同协议书复印</w:t>
      </w:r>
      <w:r>
        <w:rPr>
          <w:rFonts w:hint="eastAsia"/>
          <w:color w:val="auto"/>
          <w:highlight w:val="none"/>
          <w:lang w:val="en-US" w:eastAsia="zh-CN"/>
        </w:rPr>
        <w:t>件</w:t>
      </w:r>
      <w:r>
        <w:rPr>
          <w:rFonts w:hint="eastAsia"/>
          <w:color w:val="auto"/>
          <w:spacing w:val="9"/>
          <w:highlight w:val="none"/>
          <w:lang w:eastAsia="zh-CN"/>
        </w:rPr>
        <w:t>或竣工验收意见书复印件</w:t>
      </w:r>
      <w:r>
        <w:rPr>
          <w:color w:val="auto"/>
          <w:spacing w:val="9"/>
          <w:highlight w:val="none"/>
        </w:rPr>
        <w:t>并加盖供应</w:t>
      </w:r>
      <w:r>
        <w:rPr>
          <w:color w:val="auto"/>
          <w:spacing w:val="8"/>
          <w:highlight w:val="none"/>
        </w:rPr>
        <w:t>商公章（</w:t>
      </w:r>
      <w:r>
        <w:rPr>
          <w:color w:val="auto"/>
          <w:highlight w:val="none"/>
        </w:rPr>
        <w:t>CA</w:t>
      </w:r>
      <w:r>
        <w:rPr>
          <w:color w:val="auto"/>
          <w:spacing w:val="-40"/>
          <w:highlight w:val="none"/>
        </w:rPr>
        <w:t xml:space="preserve"> </w:t>
      </w:r>
      <w:r>
        <w:rPr>
          <w:color w:val="auto"/>
          <w:spacing w:val="8"/>
          <w:highlight w:val="none"/>
        </w:rPr>
        <w:t>签章）</w:t>
      </w:r>
      <w:r>
        <w:rPr>
          <w:rFonts w:hint="eastAsia"/>
          <w:color w:val="auto"/>
          <w:highlight w:val="none"/>
          <w:lang w:val="en-US" w:eastAsia="zh-CN"/>
        </w:rPr>
        <w:t>未按要求提供的不予计分</w:t>
      </w:r>
      <w:r>
        <w:rPr>
          <w:rFonts w:hint="eastAsia"/>
          <w:color w:val="auto"/>
          <w:spacing w:val="8"/>
          <w:highlight w:val="none"/>
          <w:lang w:eastAsia="zh-CN"/>
        </w:rPr>
        <w:t>）</w:t>
      </w:r>
      <w:r>
        <w:rPr>
          <w:color w:val="auto"/>
          <w:spacing w:val="8"/>
          <w:highlight w:val="none"/>
        </w:rPr>
        <w:t>。</w:t>
      </w:r>
    </w:p>
    <w:p w14:paraId="3D82969E">
      <w:pPr>
        <w:pStyle w:val="266"/>
        <w:spacing w:line="360" w:lineRule="auto"/>
        <w:ind w:left="0" w:leftChars="0" w:firstLine="0" w:firstLineChars="0"/>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 xml:space="preserve">  5、综合得分＝1+2+3+4</w:t>
      </w:r>
    </w:p>
    <w:p w14:paraId="080DBD29">
      <w:pPr>
        <w:tabs>
          <w:tab w:val="left" w:pos="1305"/>
        </w:tabs>
        <w:spacing w:line="360" w:lineRule="auto"/>
        <w:ind w:firstLine="211" w:firstLineChars="100"/>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三、推荐成交候选人原则</w:t>
      </w:r>
    </w:p>
    <w:p w14:paraId="1A7DA88D">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lang w:val="en-US" w:eastAsia="zh-CN"/>
        </w:rPr>
        <w:t>1</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磋商小组应当根据综合得分情况，按照综合得分由高到低顺序推荐成交候选人，并编写评审报告。磋商小组根据综合得分由高到低排列次序，若得分相同时，以最后报价由低到高顺序排列；若得分相同且最后报价相同的，由磋商小组按照技术指标优劣顺序推荐。</w:t>
      </w:r>
    </w:p>
    <w:p w14:paraId="4DDC1BFF">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lang w:val="en-US" w:eastAsia="zh-CN"/>
        </w:rPr>
        <w:t>2</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采购单位应当确定磋商小组推荐排名第一的成交候选人为成交供应商。</w:t>
      </w:r>
    </w:p>
    <w:p w14:paraId="676608B0">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lang w:val="en-US" w:eastAsia="zh-CN"/>
        </w:rPr>
        <w:t>3</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排名第一的成交候选人放弃成交、因不可抗力提出不能履行合同，或信用信息记录不符合相关规定的，或者磋商文件规定应当提交履约保证金而在规定的期限内未能提交的，采购单位可以依法确定排名第二的成交候选人为成交供应商。</w:t>
      </w:r>
    </w:p>
    <w:p w14:paraId="6E1246D2">
      <w:pPr>
        <w:pageBreakBefore w:val="0"/>
        <w:widowControl w:val="0"/>
        <w:kinsoku/>
        <w:wordWrap/>
        <w:overflowPunct/>
        <w:topLinePunct w:val="0"/>
        <w:autoSpaceDE/>
        <w:autoSpaceDN/>
        <w:bidi w:val="0"/>
        <w:adjustRightInd/>
        <w:spacing w:line="360" w:lineRule="auto"/>
        <w:ind w:left="0" w:leftChars="0"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lang w:val="en-US" w:eastAsia="zh-CN"/>
        </w:rPr>
        <w:t>4</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排名第二的成交候选人因前款规定的同样原因不能签订合同的，采购单位可以依法确定排名第三的成交候选人为成交供应商。</w:t>
      </w:r>
    </w:p>
    <w:p w14:paraId="3F000691">
      <w:pPr>
        <w:pStyle w:val="82"/>
        <w:spacing w:line="360" w:lineRule="auto"/>
        <w:outlineLvl w:val="9"/>
        <w:rPr>
          <w:rFonts w:hint="eastAsia" w:ascii="宋体" w:hAnsi="宋体" w:eastAsia="宋体" w:cs="宋体"/>
          <w:color w:val="auto"/>
          <w:highlight w:val="none"/>
        </w:rPr>
      </w:pPr>
    </w:p>
    <w:p w14:paraId="212CE472">
      <w:pPr>
        <w:tabs>
          <w:tab w:val="left" w:pos="0"/>
        </w:tabs>
        <w:autoSpaceDE w:val="0"/>
        <w:autoSpaceDN w:val="0"/>
        <w:adjustRightInd w:val="0"/>
        <w:spacing w:before="0" w:after="0" w:line="360" w:lineRule="auto"/>
        <w:jc w:val="center"/>
        <w:outlineLvl w:val="9"/>
        <w:rPr>
          <w:rFonts w:hint="eastAsia" w:ascii="宋体" w:hAnsi="宋体" w:eastAsia="宋体" w:cs="宋体"/>
          <w:color w:val="auto"/>
          <w:sz w:val="32"/>
          <w:szCs w:val="32"/>
          <w:highlight w:val="none"/>
        </w:rPr>
      </w:pPr>
    </w:p>
    <w:p w14:paraId="73E7BD76">
      <w:pPr>
        <w:outlineLvl w:val="9"/>
        <w:rPr>
          <w:rFonts w:hint="eastAsia" w:ascii="宋体" w:hAnsi="宋体" w:eastAsia="宋体" w:cs="宋体"/>
          <w:color w:val="auto"/>
          <w:highlight w:val="none"/>
          <w:shd w:val="clear" w:color="auto" w:fill="auto"/>
        </w:rPr>
      </w:pPr>
    </w:p>
    <w:p w14:paraId="16FC2F79">
      <w:pPr>
        <w:pStyle w:val="16"/>
        <w:outlineLvl w:val="9"/>
        <w:rPr>
          <w:rFonts w:hint="eastAsia" w:ascii="宋体" w:hAnsi="宋体" w:eastAsia="宋体" w:cs="宋体"/>
          <w:color w:val="auto"/>
          <w:highlight w:val="none"/>
          <w:shd w:val="clear" w:color="auto" w:fill="auto"/>
        </w:rPr>
      </w:pPr>
    </w:p>
    <w:bookmarkEnd w:id="243"/>
    <w:bookmarkEnd w:id="244"/>
    <w:bookmarkEnd w:id="245"/>
    <w:bookmarkEnd w:id="246"/>
    <w:p w14:paraId="2B339A3B">
      <w:pPr>
        <w:jc w:val="both"/>
        <w:outlineLvl w:val="9"/>
        <w:rPr>
          <w:rFonts w:hint="eastAsia" w:ascii="宋体"/>
          <w:b/>
          <w:sz w:val="44"/>
          <w:szCs w:val="44"/>
          <w:lang w:val="en-US" w:eastAsia="zh-CN"/>
        </w:rPr>
      </w:pPr>
      <w:bookmarkStart w:id="247" w:name="_Toc497927069"/>
      <w:bookmarkStart w:id="248" w:name="_Toc21496"/>
      <w:bookmarkStart w:id="249" w:name="_Toc18351"/>
    </w:p>
    <w:p w14:paraId="518D01BA">
      <w:pPr>
        <w:jc w:val="center"/>
        <w:outlineLvl w:val="0"/>
        <w:rPr>
          <w:rFonts w:hint="eastAsia" w:ascii="宋体" w:hAnsi="宋体" w:eastAsia="宋体" w:cs="宋体"/>
          <w:b/>
          <w:bCs/>
          <w:color w:val="auto"/>
          <w:kern w:val="44"/>
          <w:sz w:val="44"/>
          <w:szCs w:val="44"/>
          <w:highlight w:val="none"/>
          <w:lang w:val="en-US" w:eastAsia="zh-CN" w:bidi="ar-SA"/>
        </w:rPr>
      </w:pPr>
      <w:bookmarkStart w:id="250" w:name="_Toc16504"/>
      <w:r>
        <w:rPr>
          <w:rFonts w:hint="eastAsia" w:ascii="宋体" w:hAnsi="宋体" w:eastAsia="宋体" w:cs="宋体"/>
          <w:b/>
          <w:bCs/>
          <w:color w:val="auto"/>
          <w:kern w:val="44"/>
          <w:sz w:val="44"/>
          <w:szCs w:val="44"/>
          <w:highlight w:val="none"/>
          <w:lang w:val="en-US" w:eastAsia="zh-CN" w:bidi="ar-SA"/>
        </w:rPr>
        <w:t>第五章  合同条款及格式</w:t>
      </w:r>
      <w:bookmarkEnd w:id="250"/>
    </w:p>
    <w:p w14:paraId="675678E1">
      <w:pPr>
        <w:jc w:val="center"/>
        <w:outlineLvl w:val="9"/>
        <w:rPr>
          <w:rFonts w:hint="eastAsia" w:ascii="宋体" w:hAnsi="宋体" w:eastAsia="宋体" w:cs="宋体"/>
          <w:b/>
          <w:bCs/>
          <w:color w:val="auto"/>
          <w:highlight w:val="none"/>
        </w:rPr>
      </w:pPr>
      <w:bookmarkStart w:id="251" w:name="_Toc4704"/>
    </w:p>
    <w:p w14:paraId="2642F5C4">
      <w:pPr>
        <w:jc w:val="center"/>
        <w:outlineLvl w:val="9"/>
        <w:rPr>
          <w:rFonts w:hint="eastAsia" w:ascii="宋体" w:hAnsi="宋体" w:eastAsia="宋体" w:cs="宋体"/>
          <w:b/>
          <w:bCs/>
          <w:color w:val="auto"/>
          <w:kern w:val="44"/>
          <w:sz w:val="44"/>
          <w:szCs w:val="44"/>
          <w:highlight w:val="none"/>
          <w:lang w:val="en-US" w:eastAsia="zh-CN" w:bidi="ar-SA"/>
        </w:rPr>
      </w:pPr>
      <w:r>
        <w:rPr>
          <w:rFonts w:hint="eastAsia" w:ascii="宋体" w:hAnsi="宋体" w:eastAsia="宋体" w:cs="宋体"/>
          <w:b/>
          <w:bCs/>
          <w:color w:val="auto"/>
          <w:kern w:val="44"/>
          <w:sz w:val="44"/>
          <w:szCs w:val="44"/>
          <w:highlight w:val="none"/>
          <w:lang w:val="en-US" w:eastAsia="zh-CN" w:bidi="ar-SA"/>
        </w:rPr>
        <w:t>第一部分 合同协议书</w:t>
      </w:r>
      <w:bookmarkEnd w:id="251"/>
    </w:p>
    <w:p w14:paraId="30C93420">
      <w:pPr>
        <w:spacing w:before="65" w:line="227" w:lineRule="auto"/>
        <w:ind w:left="3"/>
        <w:rPr>
          <w:rFonts w:ascii="宋体" w:hAnsi="宋体" w:eastAsia="宋体" w:cs="宋体"/>
          <w:spacing w:val="8"/>
          <w:sz w:val="20"/>
          <w:szCs w:val="20"/>
        </w:rPr>
      </w:pPr>
      <w:bookmarkStart w:id="252" w:name="_Toc7212"/>
    </w:p>
    <w:p w14:paraId="64498CF8">
      <w:pPr>
        <w:spacing w:before="65" w:line="227" w:lineRule="auto"/>
        <w:ind w:left="3"/>
        <w:rPr>
          <w:rFonts w:ascii="宋体" w:hAnsi="宋体" w:eastAsia="宋体" w:cs="宋体"/>
          <w:sz w:val="20"/>
          <w:szCs w:val="20"/>
        </w:rPr>
      </w:pPr>
      <w:r>
        <w:rPr>
          <w:rFonts w:ascii="宋体" w:hAnsi="宋体" w:eastAsia="宋体" w:cs="宋体"/>
          <w:spacing w:val="8"/>
          <w:sz w:val="20"/>
          <w:szCs w:val="20"/>
        </w:rPr>
        <w:t>发包人（全称</w:t>
      </w:r>
      <w:r>
        <w:rPr>
          <w:rFonts w:ascii="宋体" w:hAnsi="宋体" w:eastAsia="宋体" w:cs="宋体"/>
          <w:spacing w:val="17"/>
          <w:sz w:val="20"/>
          <w:szCs w:val="20"/>
        </w:rPr>
        <w:t>）：</w:t>
      </w:r>
      <w:r>
        <w:rPr>
          <w:rFonts w:ascii="宋体" w:hAnsi="宋体" w:eastAsia="宋体" w:cs="宋体"/>
          <w:spacing w:val="8"/>
          <w:sz w:val="20"/>
          <w:szCs w:val="20"/>
          <w:u w:val="single" w:color="auto"/>
        </w:rPr>
        <w:t xml:space="preserve">  </w:t>
      </w:r>
      <w:r>
        <w:rPr>
          <w:rFonts w:hint="eastAsia" w:ascii="宋体" w:hAnsi="宋体" w:eastAsia="宋体" w:cs="宋体"/>
          <w:spacing w:val="8"/>
          <w:sz w:val="20"/>
          <w:szCs w:val="20"/>
          <w:u w:val="single" w:color="auto"/>
        </w:rPr>
        <w:t>桂林市临桂区两江镇人民政府</w:t>
      </w:r>
      <w:r>
        <w:rPr>
          <w:rFonts w:hint="eastAsia" w:ascii="宋体" w:hAnsi="宋体" w:eastAsia="宋体" w:cs="宋体"/>
          <w:sz w:val="20"/>
          <w:szCs w:val="20"/>
          <w:u w:val="single" w:color="auto"/>
          <w:lang w:val="en-US" w:eastAsia="zh-CN"/>
        </w:rPr>
        <w:t xml:space="preserve"> </w:t>
      </w:r>
      <w:r>
        <w:rPr>
          <w:rFonts w:ascii="宋体" w:hAnsi="宋体" w:eastAsia="宋体" w:cs="宋体"/>
          <w:sz w:val="20"/>
          <w:szCs w:val="20"/>
          <w:u w:val="single" w:color="auto"/>
        </w:rPr>
        <w:t xml:space="preserve">    </w:t>
      </w:r>
    </w:p>
    <w:p w14:paraId="7ABEA6A5">
      <w:pPr>
        <w:spacing w:before="154" w:line="228" w:lineRule="auto"/>
        <w:rPr>
          <w:rFonts w:ascii="宋体" w:hAnsi="宋体" w:eastAsia="宋体" w:cs="宋体"/>
          <w:sz w:val="20"/>
          <w:szCs w:val="20"/>
        </w:rPr>
      </w:pPr>
      <w:r>
        <w:rPr>
          <w:rFonts w:ascii="宋体" w:hAnsi="宋体" w:eastAsia="宋体" w:cs="宋体"/>
          <w:spacing w:val="8"/>
          <w:sz w:val="20"/>
          <w:szCs w:val="20"/>
        </w:rPr>
        <w:t>承包人（全称</w:t>
      </w:r>
      <w:r>
        <w:rPr>
          <w:rFonts w:ascii="宋体" w:hAnsi="宋体" w:eastAsia="宋体" w:cs="宋体"/>
          <w:spacing w:val="11"/>
          <w:sz w:val="20"/>
          <w:szCs w:val="20"/>
        </w:rPr>
        <w:t>）：</w:t>
      </w:r>
      <w:r>
        <w:rPr>
          <w:rFonts w:ascii="宋体" w:hAnsi="宋体" w:eastAsia="宋体" w:cs="宋体"/>
          <w:sz w:val="20"/>
          <w:szCs w:val="20"/>
          <w:u w:val="single" w:color="auto"/>
        </w:rPr>
        <w:t xml:space="preserve">                                          </w:t>
      </w:r>
    </w:p>
    <w:p w14:paraId="4F26F505">
      <w:pPr>
        <w:spacing w:before="155" w:line="369" w:lineRule="auto"/>
        <w:ind w:left="34" w:firstLine="385"/>
        <w:rPr>
          <w:rFonts w:ascii="宋体" w:hAnsi="宋体" w:eastAsia="宋体" w:cs="宋体"/>
          <w:sz w:val="20"/>
          <w:szCs w:val="20"/>
        </w:rPr>
      </w:pPr>
      <w:r>
        <w:rPr>
          <w:rFonts w:ascii="宋体" w:hAnsi="宋体" w:eastAsia="宋体" w:cs="宋体"/>
          <w:spacing w:val="10"/>
          <w:sz w:val="20"/>
          <w:szCs w:val="20"/>
        </w:rPr>
        <w:t>根据《中华人民共和国民法典》、《中华人民共和国建筑法》及有关法律规定，遵循平等、</w:t>
      </w:r>
      <w:r>
        <w:rPr>
          <w:rFonts w:ascii="宋体" w:hAnsi="宋体" w:eastAsia="宋体" w:cs="宋体"/>
          <w:spacing w:val="9"/>
          <w:sz w:val="20"/>
          <w:szCs w:val="20"/>
        </w:rPr>
        <w:t>自愿、公平和诚实信用的原则，双方就</w:t>
      </w:r>
      <w:r>
        <w:rPr>
          <w:rFonts w:ascii="宋体" w:hAnsi="宋体" w:eastAsia="宋体" w:cs="宋体"/>
          <w:spacing w:val="9"/>
          <w:sz w:val="20"/>
          <w:szCs w:val="20"/>
          <w:u w:val="single" w:color="auto"/>
        </w:rPr>
        <w:t xml:space="preserve"> </w:t>
      </w:r>
      <w:r>
        <w:rPr>
          <w:rFonts w:hint="eastAsia" w:ascii="宋体" w:hAnsi="宋体" w:eastAsia="宋体" w:cs="宋体"/>
          <w:spacing w:val="9"/>
          <w:sz w:val="20"/>
          <w:szCs w:val="20"/>
          <w:u w:val="single" w:color="auto"/>
        </w:rPr>
        <w:t>桂林市临桂区两江镇培塘村委、大洲村委、保全村委等美丽宜居村庄整治提升以工代赈项目</w:t>
      </w:r>
      <w:r>
        <w:rPr>
          <w:rFonts w:ascii="宋体" w:hAnsi="宋体" w:eastAsia="宋体" w:cs="宋体"/>
          <w:spacing w:val="4"/>
          <w:sz w:val="20"/>
          <w:szCs w:val="20"/>
          <w:u w:val="single" w:color="auto"/>
        </w:rPr>
        <w:t>（项目编号：</w:t>
      </w:r>
      <w:r>
        <w:rPr>
          <w:rFonts w:hint="eastAsia" w:ascii="宋体" w:hAnsi="宋体" w:eastAsia="宋体" w:cs="宋体"/>
          <w:sz w:val="20"/>
          <w:szCs w:val="20"/>
          <w:u w:val="single" w:color="auto"/>
          <w:lang w:val="en-US" w:eastAsia="zh-CN"/>
        </w:rPr>
        <w:t xml:space="preserve">         </w:t>
      </w:r>
      <w:r>
        <w:rPr>
          <w:rFonts w:ascii="宋体" w:hAnsi="宋体" w:eastAsia="宋体" w:cs="宋体"/>
          <w:spacing w:val="4"/>
          <w:sz w:val="20"/>
          <w:szCs w:val="20"/>
          <w:u w:val="single" w:color="auto"/>
        </w:rPr>
        <w:t>）</w:t>
      </w:r>
      <w:r>
        <w:rPr>
          <w:rFonts w:ascii="宋体" w:hAnsi="宋体" w:eastAsia="宋体" w:cs="宋体"/>
          <w:spacing w:val="4"/>
          <w:sz w:val="20"/>
          <w:szCs w:val="20"/>
        </w:rPr>
        <w:t>工程施工及</w:t>
      </w:r>
      <w:r>
        <w:rPr>
          <w:rFonts w:ascii="宋体" w:hAnsi="宋体" w:eastAsia="宋体" w:cs="宋体"/>
          <w:spacing w:val="3"/>
          <w:sz w:val="20"/>
          <w:szCs w:val="20"/>
        </w:rPr>
        <w:t>有关事项协商一致，共同达成如下协议：</w:t>
      </w:r>
    </w:p>
    <w:p w14:paraId="547A7FDC">
      <w:pPr>
        <w:spacing w:line="227" w:lineRule="auto"/>
        <w:ind w:left="423"/>
        <w:outlineLvl w:val="0"/>
        <w:rPr>
          <w:rFonts w:ascii="宋体" w:hAnsi="宋体" w:eastAsia="宋体" w:cs="宋体"/>
          <w:sz w:val="20"/>
          <w:szCs w:val="20"/>
        </w:rPr>
      </w:pPr>
      <w:bookmarkStart w:id="253" w:name="_Toc18316"/>
      <w:r>
        <w:rPr>
          <w:rFonts w:ascii="宋体" w:hAnsi="宋体" w:eastAsia="宋体" w:cs="宋体"/>
          <w:b/>
          <w:bCs/>
          <w:spacing w:val="6"/>
          <w:sz w:val="20"/>
          <w:szCs w:val="20"/>
        </w:rPr>
        <w:t>一、工程概况</w:t>
      </w:r>
      <w:bookmarkEnd w:id="253"/>
    </w:p>
    <w:p w14:paraId="68473160">
      <w:pPr>
        <w:spacing w:before="152" w:line="227" w:lineRule="auto"/>
        <w:ind w:left="428"/>
        <w:rPr>
          <w:rFonts w:ascii="宋体" w:hAnsi="宋体" w:eastAsia="宋体" w:cs="宋体"/>
          <w:sz w:val="20"/>
          <w:szCs w:val="20"/>
        </w:rPr>
      </w:pPr>
      <w:r>
        <w:rPr>
          <w:rFonts w:ascii="宋体" w:hAnsi="宋体" w:eastAsia="宋体" w:cs="宋体"/>
          <w:spacing w:val="8"/>
          <w:sz w:val="20"/>
          <w:szCs w:val="20"/>
        </w:rPr>
        <w:t>1. 工程名称：</w:t>
      </w:r>
      <w:r>
        <w:rPr>
          <w:rFonts w:hint="eastAsia" w:ascii="宋体" w:hAnsi="宋体" w:eastAsia="宋体" w:cs="宋体"/>
          <w:spacing w:val="9"/>
          <w:sz w:val="20"/>
          <w:szCs w:val="20"/>
          <w:u w:val="single" w:color="auto"/>
        </w:rPr>
        <w:t>桂林市临桂区两江镇培塘村委、大洲村委、保全村委等美丽宜居村庄整治提升以工代赈项目</w:t>
      </w:r>
      <w:r>
        <w:rPr>
          <w:rFonts w:ascii="宋体" w:hAnsi="宋体" w:eastAsia="宋体" w:cs="宋体"/>
          <w:spacing w:val="8"/>
          <w:sz w:val="20"/>
          <w:szCs w:val="20"/>
          <w:u w:val="single" w:color="auto"/>
        </w:rPr>
        <w:t xml:space="preserve"> </w:t>
      </w:r>
      <w:r>
        <w:rPr>
          <w:rFonts w:ascii="宋体" w:hAnsi="宋体" w:eastAsia="宋体" w:cs="宋体"/>
          <w:spacing w:val="8"/>
          <w:sz w:val="20"/>
          <w:szCs w:val="20"/>
        </w:rPr>
        <w:t>。</w:t>
      </w:r>
    </w:p>
    <w:p w14:paraId="4EE4633A">
      <w:pPr>
        <w:spacing w:before="155" w:line="228" w:lineRule="auto"/>
        <w:ind w:left="415"/>
        <w:rPr>
          <w:rFonts w:ascii="宋体" w:hAnsi="宋体" w:eastAsia="宋体" w:cs="宋体"/>
          <w:sz w:val="20"/>
          <w:szCs w:val="20"/>
        </w:rPr>
      </w:pPr>
      <w:r>
        <w:rPr>
          <w:rFonts w:ascii="宋体" w:hAnsi="宋体" w:eastAsia="宋体" w:cs="宋体"/>
          <w:spacing w:val="5"/>
          <w:sz w:val="20"/>
          <w:szCs w:val="20"/>
        </w:rPr>
        <w:t>2. 工程地点：</w:t>
      </w:r>
      <w:r>
        <w:rPr>
          <w:rFonts w:ascii="宋体" w:hAnsi="宋体" w:eastAsia="宋体" w:cs="宋体"/>
          <w:spacing w:val="26"/>
          <w:sz w:val="20"/>
          <w:szCs w:val="20"/>
          <w:u w:val="single" w:color="auto"/>
        </w:rPr>
        <w:t xml:space="preserve"> </w:t>
      </w:r>
      <w:r>
        <w:rPr>
          <w:rFonts w:ascii="宋体" w:hAnsi="宋体" w:eastAsia="宋体" w:cs="宋体"/>
          <w:spacing w:val="5"/>
          <w:sz w:val="20"/>
          <w:szCs w:val="20"/>
          <w:u w:val="single" w:color="auto"/>
        </w:rPr>
        <w:t xml:space="preserve">临桂区  </w:t>
      </w:r>
      <w:r>
        <w:rPr>
          <w:rFonts w:ascii="宋体" w:hAnsi="宋体" w:eastAsia="宋体" w:cs="宋体"/>
          <w:spacing w:val="5"/>
          <w:sz w:val="20"/>
          <w:szCs w:val="20"/>
        </w:rPr>
        <w:t>。</w:t>
      </w:r>
    </w:p>
    <w:p w14:paraId="61D07C6D">
      <w:pPr>
        <w:spacing w:before="153" w:line="228" w:lineRule="auto"/>
        <w:ind w:left="416"/>
        <w:rPr>
          <w:rFonts w:ascii="宋体" w:hAnsi="宋体" w:eastAsia="宋体" w:cs="宋体"/>
          <w:sz w:val="20"/>
          <w:szCs w:val="20"/>
        </w:rPr>
      </w:pPr>
      <w:r>
        <w:rPr>
          <w:rFonts w:ascii="宋体" w:hAnsi="宋体" w:eastAsia="宋体" w:cs="宋体"/>
          <w:spacing w:val="6"/>
          <w:sz w:val="20"/>
          <w:szCs w:val="20"/>
        </w:rPr>
        <w:t>3. 资金来源：</w:t>
      </w:r>
      <w:r>
        <w:rPr>
          <w:rFonts w:ascii="宋体" w:hAnsi="宋体" w:eastAsia="宋体" w:cs="宋体"/>
          <w:spacing w:val="10"/>
          <w:sz w:val="20"/>
          <w:szCs w:val="20"/>
          <w:u w:val="single" w:color="auto"/>
        </w:rPr>
        <w:t xml:space="preserve">  </w:t>
      </w:r>
      <w:r>
        <w:rPr>
          <w:rFonts w:ascii="宋体" w:hAnsi="宋体" w:eastAsia="宋体" w:cs="宋体"/>
          <w:spacing w:val="6"/>
          <w:sz w:val="20"/>
          <w:szCs w:val="20"/>
          <w:u w:val="single" w:color="auto"/>
        </w:rPr>
        <w:t>财政资金</w:t>
      </w:r>
      <w:r>
        <w:rPr>
          <w:rFonts w:ascii="宋体" w:hAnsi="宋体" w:eastAsia="宋体" w:cs="宋体"/>
          <w:spacing w:val="5"/>
          <w:sz w:val="20"/>
          <w:szCs w:val="20"/>
          <w:u w:val="single" w:color="auto"/>
        </w:rPr>
        <w:t xml:space="preserve">  </w:t>
      </w:r>
      <w:r>
        <w:rPr>
          <w:rFonts w:ascii="宋体" w:hAnsi="宋体" w:eastAsia="宋体" w:cs="宋体"/>
          <w:spacing w:val="6"/>
          <w:sz w:val="20"/>
          <w:szCs w:val="20"/>
        </w:rPr>
        <w:t>。</w:t>
      </w:r>
    </w:p>
    <w:p w14:paraId="5B0AD2F1">
      <w:pPr>
        <w:spacing w:before="73" w:line="278" w:lineRule="auto"/>
        <w:ind w:right="53" w:firstLine="429"/>
        <w:rPr>
          <w:rFonts w:ascii="宋体" w:hAnsi="宋体" w:eastAsia="宋体" w:cs="宋体"/>
          <w:sz w:val="20"/>
          <w:szCs w:val="20"/>
        </w:rPr>
      </w:pPr>
      <w:r>
        <w:rPr>
          <w:rFonts w:ascii="宋体" w:hAnsi="宋体" w:eastAsia="宋体" w:cs="宋体"/>
          <w:spacing w:val="7"/>
          <w:sz w:val="20"/>
          <w:szCs w:val="20"/>
        </w:rPr>
        <w:t>4. 工程内容：</w:t>
      </w:r>
      <w:r>
        <w:rPr>
          <w:rFonts w:hint="eastAsia" w:ascii="宋体" w:hAnsi="宋体" w:eastAsia="宋体" w:cs="宋体"/>
          <w:spacing w:val="7"/>
          <w:sz w:val="20"/>
          <w:szCs w:val="20"/>
          <w:u w:val="single" w:color="auto"/>
        </w:rPr>
        <w:t>原有土渠改三面光灌溉渠16819m，其中保全村委6795m、城联村委8029m、粟村村委1995m；原有土渠修缮为两面光挡墙1430m，其中大洲村委900m、保全村委290m、粟村村委240m；原有土沟改建砖砌排污沟3605m，其中培塘村委1720m、保全村委432m、宿棠村委360m、粟村村委1093m；大洲村委在原有土渠内改建箱涵2个；大洲村委原有土渠清淤445m等。</w:t>
      </w:r>
    </w:p>
    <w:p w14:paraId="676A7208">
      <w:pPr>
        <w:spacing w:before="76" w:line="228" w:lineRule="auto"/>
        <w:ind w:left="416"/>
        <w:rPr>
          <w:rFonts w:ascii="宋体" w:hAnsi="宋体" w:eastAsia="宋体" w:cs="宋体"/>
          <w:sz w:val="20"/>
          <w:szCs w:val="20"/>
        </w:rPr>
      </w:pPr>
      <w:r>
        <w:rPr>
          <w:rFonts w:ascii="宋体" w:hAnsi="宋体" w:eastAsia="宋体" w:cs="宋体"/>
          <w:spacing w:val="9"/>
          <w:sz w:val="20"/>
          <w:szCs w:val="20"/>
        </w:rPr>
        <w:t>5. 工程承包范围：</w:t>
      </w:r>
      <w:r>
        <w:rPr>
          <w:rFonts w:ascii="宋体" w:hAnsi="宋体" w:eastAsia="宋体" w:cs="宋体"/>
          <w:spacing w:val="9"/>
          <w:sz w:val="20"/>
          <w:szCs w:val="20"/>
          <w:u w:val="single" w:color="auto"/>
        </w:rPr>
        <w:t>施工图纸范围内的工程，具体情况详见施工图纸及工程</w:t>
      </w:r>
      <w:r>
        <w:rPr>
          <w:rFonts w:ascii="宋体" w:hAnsi="宋体" w:eastAsia="宋体" w:cs="宋体"/>
          <w:spacing w:val="8"/>
          <w:sz w:val="20"/>
          <w:szCs w:val="20"/>
          <w:u w:val="single" w:color="auto"/>
        </w:rPr>
        <w:t>量清单</w:t>
      </w:r>
      <w:r>
        <w:rPr>
          <w:rFonts w:ascii="宋体" w:hAnsi="宋体" w:eastAsia="宋体" w:cs="宋体"/>
          <w:spacing w:val="8"/>
          <w:sz w:val="20"/>
          <w:szCs w:val="20"/>
        </w:rPr>
        <w:t>。</w:t>
      </w:r>
    </w:p>
    <w:p w14:paraId="4C661099">
      <w:pPr>
        <w:spacing w:before="155" w:line="228" w:lineRule="auto"/>
        <w:ind w:left="423"/>
        <w:outlineLvl w:val="0"/>
        <w:rPr>
          <w:rFonts w:ascii="宋体" w:hAnsi="宋体" w:eastAsia="宋体" w:cs="宋体"/>
          <w:sz w:val="20"/>
          <w:szCs w:val="20"/>
        </w:rPr>
      </w:pPr>
      <w:bookmarkStart w:id="254" w:name="_Toc27365"/>
      <w:r>
        <w:rPr>
          <w:rFonts w:ascii="宋体" w:hAnsi="宋体" w:eastAsia="宋体" w:cs="宋体"/>
          <w:b/>
          <w:bCs/>
          <w:spacing w:val="6"/>
          <w:sz w:val="20"/>
          <w:szCs w:val="20"/>
        </w:rPr>
        <w:t>二、合同工期</w:t>
      </w:r>
      <w:bookmarkEnd w:id="254"/>
    </w:p>
    <w:p w14:paraId="4B37ACFF">
      <w:pPr>
        <w:spacing w:before="153" w:line="228" w:lineRule="auto"/>
        <w:ind w:left="458"/>
        <w:rPr>
          <w:rFonts w:ascii="宋体" w:hAnsi="宋体" w:eastAsia="宋体" w:cs="宋体"/>
          <w:sz w:val="20"/>
          <w:szCs w:val="20"/>
        </w:rPr>
      </w:pPr>
      <w:r>
        <w:rPr>
          <w:rFonts w:ascii="宋体" w:hAnsi="宋体" w:eastAsia="宋体" w:cs="宋体"/>
          <w:spacing w:val="2"/>
          <w:sz w:val="20"/>
          <w:szCs w:val="20"/>
        </w:rPr>
        <w:t>计划开工日期：</w:t>
      </w:r>
      <w:r>
        <w:rPr>
          <w:rFonts w:ascii="宋体" w:hAnsi="宋体" w:eastAsia="宋体" w:cs="宋体"/>
          <w:spacing w:val="4"/>
          <w:sz w:val="20"/>
          <w:szCs w:val="20"/>
          <w:u w:val="single" w:color="auto"/>
        </w:rPr>
        <w:t xml:space="preserve">          </w:t>
      </w:r>
      <w:r>
        <w:rPr>
          <w:rFonts w:ascii="宋体" w:hAnsi="宋体" w:eastAsia="宋体" w:cs="宋体"/>
          <w:spacing w:val="-82"/>
          <w:sz w:val="20"/>
          <w:szCs w:val="20"/>
        </w:rPr>
        <w:t xml:space="preserve"> </w:t>
      </w:r>
      <w:r>
        <w:rPr>
          <w:rFonts w:ascii="宋体" w:hAnsi="宋体" w:eastAsia="宋体" w:cs="宋体"/>
          <w:spacing w:val="2"/>
          <w:sz w:val="20"/>
          <w:szCs w:val="20"/>
        </w:rPr>
        <w:t>年</w:t>
      </w:r>
      <w:r>
        <w:rPr>
          <w:rFonts w:ascii="宋体" w:hAnsi="宋体" w:eastAsia="宋体" w:cs="宋体"/>
          <w:spacing w:val="-99"/>
          <w:sz w:val="20"/>
          <w:szCs w:val="20"/>
        </w:rPr>
        <w:t xml:space="preserve"> </w:t>
      </w:r>
      <w:r>
        <w:rPr>
          <w:rFonts w:ascii="宋体" w:hAnsi="宋体" w:eastAsia="宋体" w:cs="宋体"/>
          <w:spacing w:val="5"/>
          <w:sz w:val="20"/>
          <w:szCs w:val="20"/>
          <w:u w:val="single" w:color="auto"/>
        </w:rPr>
        <w:t xml:space="preserve">       </w:t>
      </w:r>
      <w:r>
        <w:rPr>
          <w:rFonts w:ascii="宋体" w:hAnsi="宋体" w:eastAsia="宋体" w:cs="宋体"/>
          <w:spacing w:val="-86"/>
          <w:sz w:val="20"/>
          <w:szCs w:val="20"/>
        </w:rPr>
        <w:t xml:space="preserve"> </w:t>
      </w:r>
      <w:r>
        <w:rPr>
          <w:rFonts w:ascii="宋体" w:hAnsi="宋体" w:eastAsia="宋体" w:cs="宋体"/>
          <w:spacing w:val="2"/>
          <w:sz w:val="20"/>
          <w:szCs w:val="20"/>
        </w:rPr>
        <w:t>月</w:t>
      </w:r>
      <w:r>
        <w:rPr>
          <w:rFonts w:ascii="宋体" w:hAnsi="宋体" w:eastAsia="宋体" w:cs="宋体"/>
          <w:spacing w:val="5"/>
          <w:sz w:val="20"/>
          <w:szCs w:val="20"/>
          <w:u w:val="single" w:color="auto"/>
        </w:rPr>
        <w:t xml:space="preserve">       </w:t>
      </w:r>
      <w:r>
        <w:rPr>
          <w:rFonts w:ascii="宋体" w:hAnsi="宋体" w:eastAsia="宋体" w:cs="宋体"/>
          <w:spacing w:val="-54"/>
          <w:sz w:val="20"/>
          <w:szCs w:val="20"/>
        </w:rPr>
        <w:t xml:space="preserve"> </w:t>
      </w:r>
      <w:r>
        <w:rPr>
          <w:rFonts w:ascii="宋体" w:hAnsi="宋体" w:eastAsia="宋体" w:cs="宋体"/>
          <w:spacing w:val="2"/>
          <w:sz w:val="20"/>
          <w:szCs w:val="20"/>
        </w:rPr>
        <w:t>日。</w:t>
      </w:r>
    </w:p>
    <w:p w14:paraId="40F8F338">
      <w:pPr>
        <w:spacing w:before="151" w:line="228" w:lineRule="auto"/>
        <w:ind w:left="458"/>
        <w:rPr>
          <w:rFonts w:ascii="宋体" w:hAnsi="宋体" w:eastAsia="宋体" w:cs="宋体"/>
          <w:sz w:val="20"/>
          <w:szCs w:val="20"/>
        </w:rPr>
      </w:pPr>
      <w:r>
        <w:rPr>
          <w:rFonts w:ascii="宋体" w:hAnsi="宋体" w:eastAsia="宋体" w:cs="宋体"/>
          <w:spacing w:val="2"/>
          <w:sz w:val="20"/>
          <w:szCs w:val="20"/>
        </w:rPr>
        <w:t>计划竣工日期：</w:t>
      </w:r>
      <w:r>
        <w:rPr>
          <w:rFonts w:ascii="宋体" w:hAnsi="宋体" w:eastAsia="宋体" w:cs="宋体"/>
          <w:spacing w:val="4"/>
          <w:sz w:val="20"/>
          <w:szCs w:val="20"/>
          <w:u w:val="single" w:color="auto"/>
        </w:rPr>
        <w:t xml:space="preserve">          </w:t>
      </w:r>
      <w:r>
        <w:rPr>
          <w:rFonts w:ascii="宋体" w:hAnsi="宋体" w:eastAsia="宋体" w:cs="宋体"/>
          <w:spacing w:val="-82"/>
          <w:sz w:val="20"/>
          <w:szCs w:val="20"/>
        </w:rPr>
        <w:t xml:space="preserve"> </w:t>
      </w:r>
      <w:r>
        <w:rPr>
          <w:rFonts w:ascii="宋体" w:hAnsi="宋体" w:eastAsia="宋体" w:cs="宋体"/>
          <w:spacing w:val="2"/>
          <w:sz w:val="20"/>
          <w:szCs w:val="20"/>
        </w:rPr>
        <w:t>年</w:t>
      </w:r>
      <w:r>
        <w:rPr>
          <w:rFonts w:ascii="宋体" w:hAnsi="宋体" w:eastAsia="宋体" w:cs="宋体"/>
          <w:spacing w:val="-99"/>
          <w:sz w:val="20"/>
          <w:szCs w:val="20"/>
        </w:rPr>
        <w:t xml:space="preserve"> </w:t>
      </w:r>
      <w:r>
        <w:rPr>
          <w:rFonts w:ascii="宋体" w:hAnsi="宋体" w:eastAsia="宋体" w:cs="宋体"/>
          <w:spacing w:val="5"/>
          <w:sz w:val="20"/>
          <w:szCs w:val="20"/>
          <w:u w:val="single" w:color="auto"/>
        </w:rPr>
        <w:t xml:space="preserve">       </w:t>
      </w:r>
      <w:r>
        <w:rPr>
          <w:rFonts w:ascii="宋体" w:hAnsi="宋体" w:eastAsia="宋体" w:cs="宋体"/>
          <w:spacing w:val="-86"/>
          <w:sz w:val="20"/>
          <w:szCs w:val="20"/>
        </w:rPr>
        <w:t xml:space="preserve"> </w:t>
      </w:r>
      <w:r>
        <w:rPr>
          <w:rFonts w:ascii="宋体" w:hAnsi="宋体" w:eastAsia="宋体" w:cs="宋体"/>
          <w:spacing w:val="2"/>
          <w:sz w:val="20"/>
          <w:szCs w:val="20"/>
        </w:rPr>
        <w:t>月</w:t>
      </w:r>
      <w:r>
        <w:rPr>
          <w:rFonts w:ascii="宋体" w:hAnsi="宋体" w:eastAsia="宋体" w:cs="宋体"/>
          <w:spacing w:val="5"/>
          <w:sz w:val="20"/>
          <w:szCs w:val="20"/>
          <w:u w:val="single" w:color="auto"/>
        </w:rPr>
        <w:t xml:space="preserve">       </w:t>
      </w:r>
      <w:r>
        <w:rPr>
          <w:rFonts w:ascii="宋体" w:hAnsi="宋体" w:eastAsia="宋体" w:cs="宋体"/>
          <w:spacing w:val="-54"/>
          <w:sz w:val="20"/>
          <w:szCs w:val="20"/>
        </w:rPr>
        <w:t xml:space="preserve"> </w:t>
      </w:r>
      <w:r>
        <w:rPr>
          <w:rFonts w:ascii="宋体" w:hAnsi="宋体" w:eastAsia="宋体" w:cs="宋体"/>
          <w:spacing w:val="2"/>
          <w:sz w:val="20"/>
          <w:szCs w:val="20"/>
        </w:rPr>
        <w:t>日。</w:t>
      </w:r>
    </w:p>
    <w:p w14:paraId="141E37C6">
      <w:pPr>
        <w:spacing w:before="154" w:line="369" w:lineRule="auto"/>
        <w:ind w:right="55" w:firstLine="460"/>
        <w:rPr>
          <w:rFonts w:ascii="宋体" w:hAnsi="宋体" w:eastAsia="宋体" w:cs="宋体"/>
          <w:sz w:val="20"/>
          <w:szCs w:val="20"/>
        </w:rPr>
      </w:pPr>
      <w:r>
        <w:rPr>
          <w:rFonts w:ascii="宋体" w:hAnsi="宋体" w:eastAsia="宋体" w:cs="宋体"/>
          <w:spacing w:val="8"/>
          <w:sz w:val="20"/>
          <w:szCs w:val="20"/>
        </w:rPr>
        <w:t>工期总日历天数：</w:t>
      </w:r>
      <w:r>
        <w:rPr>
          <w:rFonts w:ascii="宋体" w:hAnsi="宋体" w:eastAsia="宋体" w:cs="宋体"/>
          <w:spacing w:val="8"/>
          <w:sz w:val="20"/>
          <w:szCs w:val="20"/>
          <w:highlight w:val="none"/>
          <w:u w:val="single" w:color="auto"/>
        </w:rPr>
        <w:t xml:space="preserve"> </w:t>
      </w:r>
      <w:r>
        <w:rPr>
          <w:rFonts w:hint="eastAsia" w:ascii="宋体" w:hAnsi="宋体" w:eastAsia="宋体" w:cs="宋体"/>
          <w:spacing w:val="8"/>
          <w:sz w:val="20"/>
          <w:szCs w:val="20"/>
          <w:highlight w:val="none"/>
          <w:u w:val="single" w:color="auto"/>
          <w:lang w:val="en-US" w:eastAsia="zh-CN"/>
        </w:rPr>
        <w:t>180</w:t>
      </w:r>
      <w:r>
        <w:rPr>
          <w:rFonts w:ascii="宋体" w:hAnsi="宋体" w:eastAsia="宋体" w:cs="宋体"/>
          <w:spacing w:val="8"/>
          <w:sz w:val="20"/>
          <w:szCs w:val="20"/>
          <w:highlight w:val="none"/>
          <w:u w:val="single" w:color="auto"/>
        </w:rPr>
        <w:t xml:space="preserve"> </w:t>
      </w:r>
      <w:r>
        <w:rPr>
          <w:rFonts w:ascii="宋体" w:hAnsi="宋体" w:eastAsia="宋体" w:cs="宋体"/>
          <w:spacing w:val="8"/>
          <w:sz w:val="20"/>
          <w:szCs w:val="20"/>
          <w:highlight w:val="none"/>
        </w:rPr>
        <w:t>天（以招标人通知开工之日起计算）。工期总日历天数与根据前述</w:t>
      </w:r>
      <w:r>
        <w:rPr>
          <w:rFonts w:ascii="宋体" w:hAnsi="宋体" w:eastAsia="宋体" w:cs="宋体"/>
          <w:spacing w:val="9"/>
          <w:sz w:val="20"/>
          <w:szCs w:val="20"/>
          <w:highlight w:val="none"/>
        </w:rPr>
        <w:t>计划开竣工日期计算的工期天数不一致的，以工期总日历天数为准。</w:t>
      </w:r>
    </w:p>
    <w:p w14:paraId="06217D03">
      <w:pPr>
        <w:spacing w:before="1" w:line="228" w:lineRule="auto"/>
        <w:ind w:left="420"/>
        <w:outlineLvl w:val="0"/>
        <w:rPr>
          <w:rFonts w:ascii="宋体" w:hAnsi="宋体" w:eastAsia="宋体" w:cs="宋体"/>
          <w:sz w:val="20"/>
          <w:szCs w:val="20"/>
        </w:rPr>
      </w:pPr>
      <w:bookmarkStart w:id="255" w:name="_Toc19404"/>
      <w:r>
        <w:rPr>
          <w:rFonts w:ascii="宋体" w:hAnsi="宋体" w:eastAsia="宋体" w:cs="宋体"/>
          <w:b/>
          <w:bCs/>
          <w:spacing w:val="6"/>
          <w:sz w:val="20"/>
          <w:szCs w:val="20"/>
        </w:rPr>
        <w:t>三、质量标准</w:t>
      </w:r>
      <w:bookmarkEnd w:id="255"/>
    </w:p>
    <w:p w14:paraId="3AE65CB0">
      <w:pPr>
        <w:spacing w:before="153" w:line="228" w:lineRule="auto"/>
        <w:ind w:left="460"/>
        <w:rPr>
          <w:rFonts w:ascii="宋体" w:hAnsi="宋体" w:eastAsia="宋体" w:cs="宋体"/>
          <w:sz w:val="20"/>
          <w:szCs w:val="20"/>
        </w:rPr>
      </w:pPr>
      <w:r>
        <w:rPr>
          <w:rFonts w:ascii="宋体" w:hAnsi="宋体" w:eastAsia="宋体" w:cs="宋体"/>
          <w:spacing w:val="8"/>
          <w:sz w:val="20"/>
          <w:szCs w:val="20"/>
        </w:rPr>
        <w:t>工程质量符合</w:t>
      </w:r>
      <w:r>
        <w:rPr>
          <w:rFonts w:ascii="宋体" w:hAnsi="宋体" w:eastAsia="宋体" w:cs="宋体"/>
          <w:spacing w:val="8"/>
          <w:sz w:val="20"/>
          <w:szCs w:val="20"/>
          <w:u w:val="single" w:color="auto"/>
        </w:rPr>
        <w:t xml:space="preserve">  </w:t>
      </w:r>
      <w:r>
        <w:rPr>
          <w:rFonts w:hint="eastAsia" w:ascii="宋体" w:hAnsi="宋体" w:eastAsia="宋体" w:cs="宋体"/>
          <w:spacing w:val="8"/>
          <w:sz w:val="20"/>
          <w:szCs w:val="20"/>
          <w:u w:val="single" w:color="auto"/>
        </w:rPr>
        <w:t>国家施工验收规范合格</w:t>
      </w:r>
      <w:r>
        <w:rPr>
          <w:rFonts w:hint="eastAsia" w:ascii="宋体" w:hAnsi="宋体" w:eastAsia="宋体" w:cs="宋体"/>
          <w:spacing w:val="8"/>
          <w:sz w:val="20"/>
          <w:szCs w:val="20"/>
          <w:u w:val="single" w:color="auto"/>
          <w:lang w:val="en-US" w:eastAsia="zh-CN"/>
        </w:rPr>
        <w:t xml:space="preserve"> </w:t>
      </w:r>
      <w:r>
        <w:rPr>
          <w:rFonts w:ascii="宋体" w:hAnsi="宋体" w:eastAsia="宋体" w:cs="宋体"/>
          <w:spacing w:val="-90"/>
          <w:sz w:val="20"/>
          <w:szCs w:val="20"/>
        </w:rPr>
        <w:t xml:space="preserve"> </w:t>
      </w:r>
      <w:r>
        <w:rPr>
          <w:rFonts w:ascii="宋体" w:hAnsi="宋体" w:eastAsia="宋体" w:cs="宋体"/>
          <w:spacing w:val="8"/>
          <w:sz w:val="20"/>
          <w:szCs w:val="20"/>
        </w:rPr>
        <w:t>标</w:t>
      </w:r>
      <w:r>
        <w:rPr>
          <w:rFonts w:ascii="宋体" w:hAnsi="宋体" w:eastAsia="宋体" w:cs="宋体"/>
          <w:spacing w:val="7"/>
          <w:sz w:val="20"/>
          <w:szCs w:val="20"/>
        </w:rPr>
        <w:t>准。</w:t>
      </w:r>
    </w:p>
    <w:p w14:paraId="413FC9CB">
      <w:pPr>
        <w:spacing w:before="154" w:line="226" w:lineRule="auto"/>
        <w:ind w:left="439"/>
        <w:outlineLvl w:val="0"/>
        <w:rPr>
          <w:rFonts w:ascii="宋体" w:hAnsi="宋体" w:eastAsia="宋体" w:cs="宋体"/>
          <w:sz w:val="20"/>
          <w:szCs w:val="20"/>
        </w:rPr>
      </w:pPr>
      <w:bookmarkStart w:id="256" w:name="_Toc10807"/>
      <w:r>
        <w:rPr>
          <w:rFonts w:ascii="宋体" w:hAnsi="宋体" w:eastAsia="宋体" w:cs="宋体"/>
          <w:b/>
          <w:bCs/>
          <w:spacing w:val="6"/>
          <w:sz w:val="20"/>
          <w:szCs w:val="20"/>
        </w:rPr>
        <w:t>四、签约合同价与合同价格形式</w:t>
      </w:r>
      <w:bookmarkEnd w:id="256"/>
    </w:p>
    <w:p w14:paraId="0970319F">
      <w:pPr>
        <w:spacing w:before="154" w:line="226" w:lineRule="auto"/>
        <w:ind w:left="473"/>
        <w:rPr>
          <w:rFonts w:ascii="宋体" w:hAnsi="宋体" w:eastAsia="宋体" w:cs="宋体"/>
          <w:sz w:val="20"/>
          <w:szCs w:val="20"/>
        </w:rPr>
      </w:pPr>
      <w:r>
        <w:rPr>
          <w:rFonts w:ascii="宋体" w:hAnsi="宋体" w:eastAsia="宋体" w:cs="宋体"/>
          <w:spacing w:val="4"/>
          <w:sz w:val="20"/>
          <w:szCs w:val="20"/>
        </w:rPr>
        <w:t>1. 签约合同价为：</w:t>
      </w:r>
    </w:p>
    <w:p w14:paraId="6803CE80">
      <w:pPr>
        <w:spacing w:before="156" w:line="226" w:lineRule="auto"/>
        <w:ind w:left="531"/>
        <w:rPr>
          <w:rFonts w:ascii="宋体" w:hAnsi="宋体" w:eastAsia="宋体" w:cs="宋体"/>
          <w:sz w:val="20"/>
          <w:szCs w:val="20"/>
        </w:rPr>
      </w:pPr>
      <w:r>
        <w:rPr>
          <w:rFonts w:ascii="宋体" w:hAnsi="宋体" w:eastAsia="宋体" w:cs="宋体"/>
          <w:spacing w:val="5"/>
          <w:sz w:val="20"/>
          <w:szCs w:val="20"/>
        </w:rPr>
        <w:t>总价：人民币（大写）</w:t>
      </w:r>
      <w:r>
        <w:rPr>
          <w:rFonts w:ascii="宋体" w:hAnsi="宋体" w:eastAsia="宋体" w:cs="宋体"/>
          <w:spacing w:val="5"/>
          <w:sz w:val="20"/>
          <w:szCs w:val="20"/>
          <w:u w:val="single" w:color="auto"/>
        </w:rPr>
        <w:t xml:space="preserve">                 </w:t>
      </w:r>
      <w:r>
        <w:rPr>
          <w:rFonts w:ascii="宋体" w:hAnsi="宋体" w:eastAsia="宋体" w:cs="宋体"/>
          <w:spacing w:val="19"/>
          <w:sz w:val="20"/>
          <w:szCs w:val="20"/>
        </w:rPr>
        <w:t xml:space="preserve"> </w:t>
      </w:r>
      <w:r>
        <w:rPr>
          <w:rFonts w:ascii="宋体" w:hAnsi="宋体" w:eastAsia="宋体" w:cs="宋体"/>
          <w:spacing w:val="5"/>
          <w:sz w:val="20"/>
          <w:szCs w:val="20"/>
        </w:rPr>
        <w:t>(¥</w:t>
      </w:r>
      <w:r>
        <w:rPr>
          <w:rFonts w:ascii="宋体" w:hAnsi="宋体" w:eastAsia="宋体" w:cs="宋体"/>
          <w:spacing w:val="-100"/>
          <w:sz w:val="20"/>
          <w:szCs w:val="20"/>
        </w:rPr>
        <w:t xml:space="preserve"> </w:t>
      </w:r>
      <w:r>
        <w:rPr>
          <w:rFonts w:ascii="宋体" w:hAnsi="宋体" w:eastAsia="宋体" w:cs="宋体"/>
          <w:spacing w:val="5"/>
          <w:sz w:val="20"/>
          <w:szCs w:val="20"/>
          <w:u w:val="single" w:color="auto"/>
        </w:rPr>
        <w:t xml:space="preserve">            </w:t>
      </w:r>
      <w:r>
        <w:rPr>
          <w:rFonts w:ascii="宋体" w:hAnsi="宋体" w:eastAsia="宋体" w:cs="宋体"/>
          <w:spacing w:val="-89"/>
          <w:sz w:val="20"/>
          <w:szCs w:val="20"/>
        </w:rPr>
        <w:t xml:space="preserve"> </w:t>
      </w:r>
      <w:r>
        <w:rPr>
          <w:rFonts w:ascii="宋体" w:hAnsi="宋体" w:eastAsia="宋体" w:cs="宋体"/>
          <w:spacing w:val="5"/>
          <w:sz w:val="20"/>
          <w:szCs w:val="20"/>
        </w:rPr>
        <w:t>元</w:t>
      </w:r>
      <w:r>
        <w:rPr>
          <w:rFonts w:ascii="宋体" w:hAnsi="宋体" w:eastAsia="宋体" w:cs="宋体"/>
          <w:spacing w:val="7"/>
          <w:sz w:val="20"/>
          <w:szCs w:val="20"/>
        </w:rPr>
        <w:t>）；</w:t>
      </w:r>
    </w:p>
    <w:p w14:paraId="0CA2FB85">
      <w:pPr>
        <w:spacing w:before="156" w:line="226" w:lineRule="auto"/>
        <w:ind w:left="422"/>
        <w:rPr>
          <w:rFonts w:ascii="宋体" w:hAnsi="宋体" w:eastAsia="宋体" w:cs="宋体"/>
          <w:sz w:val="20"/>
          <w:szCs w:val="20"/>
        </w:rPr>
      </w:pPr>
      <w:r>
        <w:rPr>
          <w:rFonts w:ascii="宋体" w:hAnsi="宋体" w:eastAsia="宋体" w:cs="宋体"/>
          <w:spacing w:val="7"/>
          <w:sz w:val="20"/>
          <w:szCs w:val="20"/>
        </w:rPr>
        <w:t>2. 合同价格形式：</w:t>
      </w:r>
      <w:r>
        <w:rPr>
          <w:rFonts w:ascii="宋体" w:hAnsi="宋体" w:eastAsia="宋体" w:cs="宋体"/>
          <w:spacing w:val="7"/>
          <w:sz w:val="20"/>
          <w:szCs w:val="20"/>
          <w:u w:val="single" w:color="auto"/>
        </w:rPr>
        <w:t xml:space="preserve">  单价合同</w:t>
      </w:r>
      <w:r>
        <w:rPr>
          <w:rFonts w:ascii="宋体" w:hAnsi="宋体" w:eastAsia="宋体" w:cs="宋体"/>
          <w:spacing w:val="5"/>
          <w:sz w:val="20"/>
          <w:szCs w:val="20"/>
          <w:u w:val="single" w:color="auto"/>
        </w:rPr>
        <w:t xml:space="preserve">    </w:t>
      </w:r>
      <w:r>
        <w:rPr>
          <w:rFonts w:ascii="宋体" w:hAnsi="宋体" w:eastAsia="宋体" w:cs="宋体"/>
          <w:spacing w:val="7"/>
          <w:sz w:val="20"/>
          <w:szCs w:val="20"/>
        </w:rPr>
        <w:t>。</w:t>
      </w:r>
    </w:p>
    <w:p w14:paraId="3EF6FA9F">
      <w:pPr>
        <w:spacing w:before="153" w:line="228" w:lineRule="auto"/>
        <w:ind w:left="423"/>
        <w:outlineLvl w:val="0"/>
        <w:rPr>
          <w:rFonts w:ascii="宋体" w:hAnsi="宋体" w:eastAsia="宋体" w:cs="宋体"/>
          <w:sz w:val="20"/>
          <w:szCs w:val="20"/>
        </w:rPr>
      </w:pPr>
      <w:bookmarkStart w:id="257" w:name="_Toc9668"/>
      <w:r>
        <w:rPr>
          <w:rFonts w:ascii="宋体" w:hAnsi="宋体" w:eastAsia="宋体" w:cs="宋体"/>
          <w:b/>
          <w:bCs/>
          <w:spacing w:val="6"/>
          <w:sz w:val="20"/>
          <w:szCs w:val="20"/>
        </w:rPr>
        <w:t>五、项目经理</w:t>
      </w:r>
      <w:bookmarkEnd w:id="257"/>
    </w:p>
    <w:p w14:paraId="40EDEC40">
      <w:pPr>
        <w:spacing w:before="153" w:line="228" w:lineRule="auto"/>
        <w:ind w:left="420"/>
        <w:rPr>
          <w:rFonts w:ascii="宋体" w:hAnsi="宋体" w:eastAsia="宋体" w:cs="宋体"/>
          <w:sz w:val="20"/>
          <w:szCs w:val="20"/>
        </w:rPr>
      </w:pPr>
      <w:r>
        <w:rPr>
          <w:rFonts w:ascii="宋体" w:hAnsi="宋体" w:eastAsia="宋体" w:cs="宋体"/>
          <w:spacing w:val="6"/>
          <w:sz w:val="20"/>
          <w:szCs w:val="20"/>
        </w:rPr>
        <w:t>承包人项目经理：</w:t>
      </w:r>
      <w:r>
        <w:rPr>
          <w:rFonts w:ascii="宋体" w:hAnsi="宋体" w:eastAsia="宋体" w:cs="宋体"/>
          <w:spacing w:val="6"/>
          <w:sz w:val="20"/>
          <w:szCs w:val="20"/>
          <w:u w:val="single" w:color="auto"/>
        </w:rPr>
        <w:t xml:space="preserve">                 </w:t>
      </w:r>
      <w:r>
        <w:rPr>
          <w:rFonts w:ascii="宋体" w:hAnsi="宋体" w:eastAsia="宋体" w:cs="宋体"/>
          <w:spacing w:val="5"/>
          <w:sz w:val="20"/>
          <w:szCs w:val="20"/>
          <w:u w:val="single" w:color="auto"/>
        </w:rPr>
        <w:t xml:space="preserve">    </w:t>
      </w:r>
      <w:r>
        <w:rPr>
          <w:rFonts w:ascii="宋体" w:hAnsi="宋体" w:eastAsia="宋体" w:cs="宋体"/>
          <w:spacing w:val="5"/>
          <w:sz w:val="20"/>
          <w:szCs w:val="20"/>
        </w:rPr>
        <w:t>。</w:t>
      </w:r>
    </w:p>
    <w:p w14:paraId="7DE88BAD">
      <w:pPr>
        <w:spacing w:before="154" w:line="228" w:lineRule="auto"/>
        <w:ind w:left="421"/>
        <w:outlineLvl w:val="0"/>
        <w:rPr>
          <w:rFonts w:ascii="宋体" w:hAnsi="宋体" w:eastAsia="宋体" w:cs="宋体"/>
          <w:sz w:val="20"/>
          <w:szCs w:val="20"/>
        </w:rPr>
      </w:pPr>
      <w:bookmarkStart w:id="258" w:name="_Toc24611"/>
      <w:r>
        <w:rPr>
          <w:rFonts w:ascii="宋体" w:hAnsi="宋体" w:eastAsia="宋体" w:cs="宋体"/>
          <w:b/>
          <w:bCs/>
          <w:spacing w:val="7"/>
          <w:sz w:val="20"/>
          <w:szCs w:val="20"/>
        </w:rPr>
        <w:t>六、合同文件构成</w:t>
      </w:r>
      <w:bookmarkEnd w:id="258"/>
    </w:p>
    <w:p w14:paraId="7F175558">
      <w:pPr>
        <w:spacing w:before="152" w:line="227" w:lineRule="auto"/>
        <w:ind w:left="420"/>
        <w:rPr>
          <w:rFonts w:ascii="宋体" w:hAnsi="宋体" w:eastAsia="宋体" w:cs="宋体"/>
          <w:sz w:val="20"/>
          <w:szCs w:val="20"/>
        </w:rPr>
      </w:pPr>
      <w:r>
        <w:rPr>
          <w:rFonts w:ascii="宋体" w:hAnsi="宋体" w:eastAsia="宋体" w:cs="宋体"/>
          <w:spacing w:val="8"/>
          <w:sz w:val="20"/>
          <w:szCs w:val="20"/>
        </w:rPr>
        <w:t>本协议书与下列文件一起构成合同文件：</w:t>
      </w:r>
    </w:p>
    <w:p w14:paraId="56A0000A">
      <w:pPr>
        <w:spacing w:before="155" w:line="227" w:lineRule="auto"/>
        <w:ind w:left="430"/>
        <w:rPr>
          <w:rFonts w:ascii="宋体" w:hAnsi="宋体" w:eastAsia="宋体" w:cs="宋体"/>
          <w:sz w:val="20"/>
          <w:szCs w:val="20"/>
        </w:rPr>
      </w:pPr>
      <w:r>
        <w:rPr>
          <w:rFonts w:ascii="宋体" w:hAnsi="宋体" w:eastAsia="宋体" w:cs="宋体"/>
          <w:spacing w:val="7"/>
          <w:sz w:val="20"/>
          <w:szCs w:val="20"/>
        </w:rPr>
        <w:t>（1）成交通知书（如果有</w:t>
      </w:r>
      <w:r>
        <w:rPr>
          <w:rFonts w:ascii="宋体" w:hAnsi="宋体" w:eastAsia="宋体" w:cs="宋体"/>
          <w:spacing w:val="4"/>
          <w:sz w:val="20"/>
          <w:szCs w:val="20"/>
        </w:rPr>
        <w:t>）；</w:t>
      </w:r>
    </w:p>
    <w:p w14:paraId="1866C5F4">
      <w:pPr>
        <w:pStyle w:val="16"/>
        <w:spacing w:line="361" w:lineRule="auto"/>
        <w:ind w:firstLine="432" w:firstLineChars="200"/>
      </w:pPr>
      <w:r>
        <w:rPr>
          <w:rFonts w:ascii="宋体" w:hAnsi="宋体" w:eastAsia="宋体" w:cs="宋体"/>
          <w:spacing w:val="8"/>
          <w:sz w:val="20"/>
          <w:szCs w:val="20"/>
        </w:rPr>
        <w:t>（2）投标函及其附录（如果有</w:t>
      </w:r>
      <w:r>
        <w:rPr>
          <w:rFonts w:ascii="宋体" w:hAnsi="宋体" w:eastAsia="宋体" w:cs="宋体"/>
          <w:sz w:val="20"/>
          <w:szCs w:val="20"/>
        </w:rPr>
        <w:t>）；</w:t>
      </w:r>
    </w:p>
    <w:p w14:paraId="67133024">
      <w:pPr>
        <w:spacing w:before="78" w:line="221" w:lineRule="auto"/>
        <w:ind w:left="440"/>
        <w:rPr>
          <w:rFonts w:ascii="宋体" w:hAnsi="宋体" w:eastAsia="宋体" w:cs="宋体"/>
          <w:sz w:val="24"/>
          <w:szCs w:val="24"/>
        </w:rPr>
      </w:pPr>
      <w:r>
        <w:rPr>
          <w:rFonts w:ascii="宋体" w:hAnsi="宋体" w:eastAsia="宋体" w:cs="宋体"/>
          <w:spacing w:val="7"/>
          <w:sz w:val="20"/>
          <w:szCs w:val="20"/>
        </w:rPr>
        <w:t>（3）专用合同条款及其附件</w:t>
      </w:r>
      <w:r>
        <w:rPr>
          <w:rFonts w:ascii="宋体" w:hAnsi="宋体" w:eastAsia="宋体" w:cs="宋体"/>
          <w:b/>
          <w:bCs/>
          <w:spacing w:val="7"/>
          <w:sz w:val="24"/>
          <w:szCs w:val="24"/>
        </w:rPr>
        <w:t>；</w:t>
      </w:r>
    </w:p>
    <w:p w14:paraId="1050398D">
      <w:pPr>
        <w:spacing w:before="136" w:line="228" w:lineRule="auto"/>
        <w:ind w:left="440"/>
        <w:rPr>
          <w:rFonts w:ascii="宋体" w:hAnsi="宋体" w:eastAsia="宋体" w:cs="宋体"/>
          <w:sz w:val="20"/>
          <w:szCs w:val="20"/>
        </w:rPr>
      </w:pPr>
      <w:r>
        <w:rPr>
          <w:rFonts w:ascii="宋体" w:hAnsi="宋体" w:eastAsia="宋体" w:cs="宋体"/>
          <w:spacing w:val="6"/>
          <w:sz w:val="20"/>
          <w:szCs w:val="20"/>
        </w:rPr>
        <w:t>（4）通用合同条款；</w:t>
      </w:r>
    </w:p>
    <w:p w14:paraId="0CDC31C7">
      <w:pPr>
        <w:spacing w:before="153" w:line="228" w:lineRule="auto"/>
        <w:ind w:left="440"/>
        <w:rPr>
          <w:rFonts w:ascii="宋体" w:hAnsi="宋体" w:eastAsia="宋体" w:cs="宋体"/>
          <w:sz w:val="20"/>
          <w:szCs w:val="20"/>
        </w:rPr>
      </w:pPr>
      <w:r>
        <w:rPr>
          <w:rFonts w:ascii="宋体" w:hAnsi="宋体" w:eastAsia="宋体" w:cs="宋体"/>
          <w:spacing w:val="6"/>
          <w:sz w:val="20"/>
          <w:szCs w:val="20"/>
        </w:rPr>
        <w:t>（5）技术标准和要求；</w:t>
      </w:r>
    </w:p>
    <w:p w14:paraId="63FB92F2">
      <w:pPr>
        <w:spacing w:before="154" w:line="226" w:lineRule="auto"/>
        <w:ind w:left="440"/>
        <w:rPr>
          <w:rFonts w:ascii="宋体" w:hAnsi="宋体" w:eastAsia="宋体" w:cs="宋体"/>
          <w:sz w:val="20"/>
          <w:szCs w:val="20"/>
        </w:rPr>
      </w:pPr>
      <w:r>
        <w:rPr>
          <w:rFonts w:ascii="宋体" w:hAnsi="宋体" w:eastAsia="宋体" w:cs="宋体"/>
          <w:spacing w:val="5"/>
          <w:sz w:val="20"/>
          <w:szCs w:val="20"/>
        </w:rPr>
        <w:t>（6）</w:t>
      </w:r>
      <w:r>
        <w:rPr>
          <w:rFonts w:ascii="宋体" w:hAnsi="宋体" w:eastAsia="宋体" w:cs="宋体"/>
          <w:spacing w:val="-56"/>
          <w:sz w:val="20"/>
          <w:szCs w:val="20"/>
        </w:rPr>
        <w:t xml:space="preserve"> </w:t>
      </w:r>
      <w:r>
        <w:rPr>
          <w:rFonts w:ascii="宋体" w:hAnsi="宋体" w:eastAsia="宋体" w:cs="宋体"/>
          <w:spacing w:val="5"/>
          <w:sz w:val="20"/>
          <w:szCs w:val="20"/>
        </w:rPr>
        <w:t>已标价工程量清单或预算书；</w:t>
      </w:r>
    </w:p>
    <w:p w14:paraId="4D1EE07A">
      <w:pPr>
        <w:spacing w:before="153" w:line="229" w:lineRule="auto"/>
        <w:ind w:left="440"/>
        <w:rPr>
          <w:rFonts w:ascii="宋体" w:hAnsi="宋体" w:eastAsia="宋体" w:cs="宋体"/>
          <w:sz w:val="20"/>
          <w:szCs w:val="20"/>
        </w:rPr>
      </w:pPr>
      <w:r>
        <w:rPr>
          <w:rFonts w:ascii="宋体" w:hAnsi="宋体" w:eastAsia="宋体" w:cs="宋体"/>
          <w:spacing w:val="4"/>
          <w:sz w:val="20"/>
          <w:szCs w:val="20"/>
        </w:rPr>
        <w:t>（7）图纸；</w:t>
      </w:r>
    </w:p>
    <w:p w14:paraId="445D3EC4">
      <w:pPr>
        <w:spacing w:before="153" w:line="228" w:lineRule="auto"/>
        <w:ind w:left="440"/>
        <w:rPr>
          <w:rFonts w:ascii="宋体" w:hAnsi="宋体" w:eastAsia="宋体" w:cs="宋体"/>
          <w:sz w:val="20"/>
          <w:szCs w:val="20"/>
        </w:rPr>
      </w:pPr>
      <w:r>
        <w:rPr>
          <w:rFonts w:ascii="宋体" w:hAnsi="宋体" w:eastAsia="宋体" w:cs="宋体"/>
          <w:spacing w:val="6"/>
          <w:sz w:val="20"/>
          <w:szCs w:val="20"/>
        </w:rPr>
        <w:t>（8）其他合同文件。</w:t>
      </w:r>
    </w:p>
    <w:p w14:paraId="3B5CC151">
      <w:pPr>
        <w:spacing w:before="153" w:line="228" w:lineRule="auto"/>
        <w:ind w:left="429"/>
        <w:rPr>
          <w:rFonts w:ascii="宋体" w:hAnsi="宋体" w:eastAsia="宋体" w:cs="宋体"/>
          <w:sz w:val="20"/>
          <w:szCs w:val="20"/>
        </w:rPr>
      </w:pPr>
      <w:r>
        <w:rPr>
          <w:rFonts w:ascii="宋体" w:hAnsi="宋体" w:eastAsia="宋体" w:cs="宋体"/>
          <w:spacing w:val="9"/>
          <w:sz w:val="20"/>
          <w:szCs w:val="20"/>
        </w:rPr>
        <w:t>在合同订立及履行过程中形成的与合同有关的文件均构成合同文件组成部分。</w:t>
      </w:r>
    </w:p>
    <w:p w14:paraId="1069FAC7">
      <w:pPr>
        <w:spacing w:before="152" w:line="370" w:lineRule="auto"/>
        <w:ind w:left="11" w:right="3" w:firstLine="420"/>
        <w:rPr>
          <w:rFonts w:ascii="宋体" w:hAnsi="宋体" w:eastAsia="宋体" w:cs="宋体"/>
          <w:sz w:val="20"/>
          <w:szCs w:val="20"/>
        </w:rPr>
      </w:pPr>
      <w:r>
        <w:rPr>
          <w:rFonts w:ascii="宋体" w:hAnsi="宋体" w:eastAsia="宋体" w:cs="宋体"/>
          <w:spacing w:val="10"/>
          <w:sz w:val="20"/>
          <w:szCs w:val="20"/>
        </w:rPr>
        <w:t>上述各项合同文件包括合同当事人就该项合同文件所作出的</w:t>
      </w:r>
      <w:r>
        <w:rPr>
          <w:rFonts w:ascii="宋体" w:hAnsi="宋体" w:eastAsia="宋体" w:cs="宋体"/>
          <w:spacing w:val="9"/>
          <w:sz w:val="20"/>
          <w:szCs w:val="20"/>
        </w:rPr>
        <w:t>补充和修改，属于同一类内容的文件，应以最新签署的为准。专用合同条款及其附件须经合同当事人签字或盖章。</w:t>
      </w:r>
    </w:p>
    <w:p w14:paraId="0ECD6B37">
      <w:pPr>
        <w:spacing w:before="1" w:line="227" w:lineRule="auto"/>
        <w:ind w:left="429"/>
        <w:outlineLvl w:val="0"/>
        <w:rPr>
          <w:rFonts w:ascii="宋体" w:hAnsi="宋体" w:eastAsia="宋体" w:cs="宋体"/>
          <w:sz w:val="20"/>
          <w:szCs w:val="20"/>
        </w:rPr>
      </w:pPr>
      <w:bookmarkStart w:id="259" w:name="_Toc5536"/>
      <w:r>
        <w:rPr>
          <w:rFonts w:ascii="宋体" w:hAnsi="宋体" w:eastAsia="宋体" w:cs="宋体"/>
          <w:b/>
          <w:bCs/>
          <w:spacing w:val="6"/>
          <w:sz w:val="20"/>
          <w:szCs w:val="20"/>
        </w:rPr>
        <w:t>七、承诺</w:t>
      </w:r>
      <w:bookmarkEnd w:id="259"/>
    </w:p>
    <w:p w14:paraId="63B638E8">
      <w:pPr>
        <w:spacing w:before="151" w:line="370" w:lineRule="auto"/>
        <w:ind w:left="10" w:firstLine="434"/>
        <w:rPr>
          <w:rFonts w:ascii="宋体" w:hAnsi="宋体" w:eastAsia="宋体" w:cs="宋体"/>
          <w:sz w:val="20"/>
          <w:szCs w:val="20"/>
        </w:rPr>
      </w:pPr>
      <w:r>
        <w:rPr>
          <w:rFonts w:ascii="宋体" w:hAnsi="宋体" w:eastAsia="宋体" w:cs="宋体"/>
          <w:spacing w:val="7"/>
          <w:sz w:val="20"/>
          <w:szCs w:val="20"/>
        </w:rPr>
        <w:t>1. 发包人承诺按照法律规定履行项目审批手续、</w:t>
      </w:r>
      <w:r>
        <w:rPr>
          <w:rFonts w:ascii="宋体" w:hAnsi="宋体" w:eastAsia="宋体" w:cs="宋体"/>
          <w:spacing w:val="6"/>
          <w:sz w:val="20"/>
          <w:szCs w:val="20"/>
        </w:rPr>
        <w:t>筹集工程建设资金并按照合同约定的期限和</w:t>
      </w:r>
      <w:r>
        <w:rPr>
          <w:rFonts w:ascii="宋体" w:hAnsi="宋体" w:eastAsia="宋体" w:cs="宋体"/>
          <w:spacing w:val="7"/>
          <w:sz w:val="20"/>
          <w:szCs w:val="20"/>
        </w:rPr>
        <w:t>方式支付合同价款。</w:t>
      </w:r>
    </w:p>
    <w:p w14:paraId="32B22EC3">
      <w:pPr>
        <w:spacing w:before="2" w:line="368" w:lineRule="auto"/>
        <w:ind w:left="10" w:right="3" w:firstLine="422"/>
        <w:rPr>
          <w:rFonts w:ascii="宋体" w:hAnsi="宋体" w:eastAsia="宋体" w:cs="宋体"/>
          <w:sz w:val="20"/>
          <w:szCs w:val="20"/>
        </w:rPr>
      </w:pPr>
      <w:r>
        <w:rPr>
          <w:rFonts w:ascii="宋体" w:hAnsi="宋体" w:eastAsia="宋体" w:cs="宋体"/>
          <w:spacing w:val="7"/>
          <w:sz w:val="20"/>
          <w:szCs w:val="20"/>
        </w:rPr>
        <w:t>2. 承包人承诺按照法律规定及合同约定组织完成工程施工，确保工程质量</w:t>
      </w:r>
      <w:r>
        <w:rPr>
          <w:rFonts w:ascii="宋体" w:hAnsi="宋体" w:eastAsia="宋体" w:cs="宋体"/>
          <w:spacing w:val="6"/>
          <w:sz w:val="20"/>
          <w:szCs w:val="20"/>
        </w:rPr>
        <w:t>和安全，不进行转</w:t>
      </w:r>
      <w:r>
        <w:rPr>
          <w:rFonts w:ascii="宋体" w:hAnsi="宋体" w:eastAsia="宋体" w:cs="宋体"/>
          <w:spacing w:val="9"/>
          <w:sz w:val="20"/>
          <w:szCs w:val="20"/>
        </w:rPr>
        <w:t>包及违法分包，并在缺陷责任期及保修期内承担相应的工程维修责任。</w:t>
      </w:r>
    </w:p>
    <w:p w14:paraId="39A71E37">
      <w:pPr>
        <w:spacing w:before="1" w:line="362" w:lineRule="auto"/>
        <w:ind w:left="10" w:firstLine="423"/>
        <w:rPr>
          <w:rFonts w:ascii="宋体" w:hAnsi="宋体" w:eastAsia="宋体" w:cs="宋体"/>
          <w:sz w:val="20"/>
          <w:szCs w:val="20"/>
        </w:rPr>
      </w:pPr>
      <w:r>
        <w:rPr>
          <w:rFonts w:ascii="宋体" w:hAnsi="宋体" w:eastAsia="宋体" w:cs="宋体"/>
          <w:spacing w:val="7"/>
          <w:sz w:val="20"/>
          <w:szCs w:val="20"/>
        </w:rPr>
        <w:t>3. 发包人和承包人通过招投标形式签订合同的，双方理解并承诺不再就同</w:t>
      </w:r>
      <w:r>
        <w:rPr>
          <w:rFonts w:ascii="宋体" w:hAnsi="宋体" w:eastAsia="宋体" w:cs="宋体"/>
          <w:spacing w:val="6"/>
          <w:sz w:val="20"/>
          <w:szCs w:val="20"/>
        </w:rPr>
        <w:t>一工程另行签订与</w:t>
      </w:r>
      <w:r>
        <w:rPr>
          <w:rFonts w:ascii="宋体" w:hAnsi="宋体" w:eastAsia="宋体" w:cs="宋体"/>
          <w:spacing w:val="8"/>
          <w:sz w:val="20"/>
          <w:szCs w:val="20"/>
        </w:rPr>
        <w:t>合同实质性内容相背离的协议。</w:t>
      </w:r>
    </w:p>
    <w:p w14:paraId="0D503BC3">
      <w:pPr>
        <w:spacing w:before="2" w:line="350" w:lineRule="auto"/>
        <w:ind w:left="10" w:firstLine="419"/>
        <w:rPr>
          <w:rFonts w:ascii="宋体" w:hAnsi="宋体" w:eastAsia="宋体" w:cs="宋体"/>
          <w:sz w:val="20"/>
          <w:szCs w:val="20"/>
          <w:highlight w:val="none"/>
        </w:rPr>
      </w:pPr>
      <w:r>
        <w:rPr>
          <w:rFonts w:ascii="宋体" w:hAnsi="宋体" w:eastAsia="宋体" w:cs="宋体"/>
          <w:spacing w:val="10"/>
          <w:sz w:val="20"/>
          <w:szCs w:val="20"/>
        </w:rPr>
        <w:t>4.承包人必须按照桂林市财政局《桂林市财</w:t>
      </w:r>
      <w:r>
        <w:rPr>
          <w:rFonts w:ascii="宋体" w:hAnsi="宋体" w:eastAsia="宋体" w:cs="宋体"/>
          <w:spacing w:val="9"/>
          <w:sz w:val="20"/>
          <w:szCs w:val="20"/>
        </w:rPr>
        <w:t>政局关于落实政府投资工程项目工程款与农民工</w:t>
      </w:r>
      <w:r>
        <w:rPr>
          <w:rFonts w:ascii="宋体" w:hAnsi="宋体" w:eastAsia="宋体" w:cs="宋体"/>
          <w:spacing w:val="8"/>
          <w:sz w:val="20"/>
          <w:szCs w:val="20"/>
        </w:rPr>
        <w:t>工资分账拨款的通知》（市财建（2018）73</w:t>
      </w:r>
      <w:r>
        <w:rPr>
          <w:rFonts w:ascii="宋体" w:hAnsi="宋体" w:eastAsia="宋体" w:cs="宋体"/>
          <w:spacing w:val="-36"/>
          <w:sz w:val="20"/>
          <w:szCs w:val="20"/>
        </w:rPr>
        <w:t xml:space="preserve"> </w:t>
      </w:r>
      <w:r>
        <w:rPr>
          <w:rFonts w:ascii="宋体" w:hAnsi="宋体" w:eastAsia="宋体" w:cs="宋体"/>
          <w:spacing w:val="8"/>
          <w:sz w:val="20"/>
          <w:szCs w:val="20"/>
        </w:rPr>
        <w:t>号）文件要求，设立</w:t>
      </w:r>
      <w:r>
        <w:rPr>
          <w:rFonts w:ascii="宋体" w:hAnsi="宋体" w:eastAsia="宋体" w:cs="宋体"/>
          <w:spacing w:val="7"/>
          <w:sz w:val="20"/>
          <w:szCs w:val="20"/>
        </w:rPr>
        <w:t>独立农民工工资支付专用账号，</w:t>
      </w:r>
      <w:r>
        <w:rPr>
          <w:rFonts w:ascii="宋体" w:hAnsi="宋体" w:eastAsia="宋体" w:cs="宋体"/>
          <w:spacing w:val="10"/>
          <w:sz w:val="20"/>
          <w:szCs w:val="20"/>
        </w:rPr>
        <w:t>严格按要求及时支付农民工工资，绝不拖欠农民工工资。如承包人未能严</w:t>
      </w:r>
      <w:r>
        <w:rPr>
          <w:rFonts w:ascii="宋体" w:hAnsi="宋体" w:eastAsia="宋体" w:cs="宋体"/>
          <w:spacing w:val="9"/>
          <w:sz w:val="20"/>
          <w:szCs w:val="20"/>
        </w:rPr>
        <w:t>格按照要求执行，由此</w:t>
      </w:r>
      <w:r>
        <w:rPr>
          <w:rFonts w:ascii="宋体" w:hAnsi="宋体" w:eastAsia="宋体" w:cs="宋体"/>
          <w:spacing w:val="8"/>
          <w:sz w:val="20"/>
          <w:szCs w:val="20"/>
        </w:rPr>
        <w:t>产生的经济及法律责任由承包人承担。</w:t>
      </w:r>
    </w:p>
    <w:p w14:paraId="5459EF53">
      <w:pPr>
        <w:spacing w:before="5" w:line="350" w:lineRule="auto"/>
        <w:ind w:firstLine="434"/>
        <w:rPr>
          <w:rFonts w:ascii="宋体" w:hAnsi="宋体" w:eastAsia="宋体" w:cs="宋体"/>
          <w:b/>
          <w:bCs/>
          <w:sz w:val="20"/>
          <w:szCs w:val="20"/>
          <w:highlight w:val="none"/>
        </w:rPr>
      </w:pPr>
      <w:r>
        <w:rPr>
          <w:rFonts w:ascii="宋体" w:hAnsi="宋体" w:eastAsia="宋体" w:cs="宋体"/>
          <w:spacing w:val="8"/>
          <w:sz w:val="20"/>
          <w:szCs w:val="20"/>
          <w:highlight w:val="none"/>
        </w:rPr>
        <w:t>5.承包人须完善项目相关审批手续，规范执行项目“</w:t>
      </w:r>
      <w:r>
        <w:rPr>
          <w:rFonts w:ascii="宋体" w:hAnsi="宋体" w:eastAsia="宋体" w:cs="宋体"/>
          <w:spacing w:val="-69"/>
          <w:sz w:val="20"/>
          <w:szCs w:val="20"/>
          <w:highlight w:val="none"/>
        </w:rPr>
        <w:t xml:space="preserve"> </w:t>
      </w:r>
      <w:r>
        <w:rPr>
          <w:rFonts w:ascii="宋体" w:hAnsi="宋体" w:eastAsia="宋体" w:cs="宋体"/>
          <w:spacing w:val="8"/>
          <w:sz w:val="20"/>
          <w:szCs w:val="20"/>
          <w:highlight w:val="none"/>
        </w:rPr>
        <w:t>四制</w:t>
      </w:r>
      <w:r>
        <w:rPr>
          <w:rFonts w:ascii="宋体" w:hAnsi="宋体" w:eastAsia="宋体" w:cs="宋体"/>
          <w:spacing w:val="-73"/>
          <w:sz w:val="20"/>
          <w:szCs w:val="20"/>
          <w:highlight w:val="none"/>
        </w:rPr>
        <w:t xml:space="preserve"> </w:t>
      </w:r>
      <w:r>
        <w:rPr>
          <w:rFonts w:ascii="宋体" w:hAnsi="宋体" w:eastAsia="宋体" w:cs="宋体"/>
          <w:spacing w:val="8"/>
          <w:sz w:val="20"/>
          <w:szCs w:val="20"/>
          <w:highlight w:val="none"/>
        </w:rPr>
        <w:t>”建设规定，</w:t>
      </w:r>
      <w:r>
        <w:rPr>
          <w:rFonts w:ascii="宋体" w:hAnsi="宋体" w:eastAsia="宋体" w:cs="宋体"/>
          <w:b/>
          <w:bCs/>
          <w:spacing w:val="8"/>
          <w:sz w:val="20"/>
          <w:szCs w:val="20"/>
          <w:highlight w:val="none"/>
        </w:rPr>
        <w:t>通过多种方式宣传以</w:t>
      </w:r>
      <w:r>
        <w:rPr>
          <w:rFonts w:ascii="宋体" w:hAnsi="宋体" w:eastAsia="宋体" w:cs="宋体"/>
          <w:b/>
          <w:bCs/>
          <w:spacing w:val="10"/>
          <w:sz w:val="20"/>
          <w:szCs w:val="20"/>
          <w:highlight w:val="none"/>
        </w:rPr>
        <w:t>工代赈政策，对有意愿的务工群众进行摸底调查，建立实名制台账，并留存会议照片和摸底调查台账备查。结合就业意愿和工程项目建设用工需求，充分利用项目施工场地、机械设备等，采取</w:t>
      </w:r>
      <w:r>
        <w:rPr>
          <w:rFonts w:ascii="宋体" w:hAnsi="宋体" w:eastAsia="宋体" w:cs="宋体"/>
          <w:b/>
          <w:bCs/>
          <w:spacing w:val="7"/>
          <w:sz w:val="20"/>
          <w:szCs w:val="20"/>
          <w:highlight w:val="none"/>
        </w:rPr>
        <w:t>“培训+上岗</w:t>
      </w:r>
      <w:r>
        <w:rPr>
          <w:rFonts w:ascii="宋体" w:hAnsi="宋体" w:eastAsia="宋体" w:cs="宋体"/>
          <w:b/>
          <w:bCs/>
          <w:spacing w:val="-70"/>
          <w:sz w:val="20"/>
          <w:szCs w:val="20"/>
          <w:highlight w:val="none"/>
        </w:rPr>
        <w:t xml:space="preserve"> </w:t>
      </w:r>
      <w:r>
        <w:rPr>
          <w:rFonts w:ascii="宋体" w:hAnsi="宋体" w:eastAsia="宋体" w:cs="宋体"/>
          <w:b/>
          <w:bCs/>
          <w:spacing w:val="7"/>
          <w:sz w:val="20"/>
          <w:szCs w:val="20"/>
          <w:highlight w:val="none"/>
        </w:rPr>
        <w:t>”等方式，有针对性地开展岗前培训、以工代训、劳动技能集</w:t>
      </w:r>
      <w:r>
        <w:rPr>
          <w:rFonts w:ascii="宋体" w:hAnsi="宋体" w:eastAsia="宋体" w:cs="宋体"/>
          <w:b/>
          <w:bCs/>
          <w:spacing w:val="6"/>
          <w:sz w:val="20"/>
          <w:szCs w:val="20"/>
          <w:highlight w:val="none"/>
        </w:rPr>
        <w:t>中培训等，提升务工群</w:t>
      </w:r>
      <w:r>
        <w:rPr>
          <w:rFonts w:ascii="宋体" w:hAnsi="宋体" w:eastAsia="宋体" w:cs="宋体"/>
          <w:b/>
          <w:bCs/>
          <w:spacing w:val="10"/>
          <w:sz w:val="20"/>
          <w:szCs w:val="20"/>
          <w:highlight w:val="none"/>
        </w:rPr>
        <w:t>众劳动就业技能。应注重培训实效，不得以安全知识</w:t>
      </w:r>
      <w:r>
        <w:rPr>
          <w:rFonts w:ascii="宋体" w:hAnsi="宋体" w:eastAsia="宋体" w:cs="宋体"/>
          <w:b/>
          <w:bCs/>
          <w:spacing w:val="9"/>
          <w:sz w:val="20"/>
          <w:szCs w:val="20"/>
          <w:highlight w:val="none"/>
        </w:rPr>
        <w:t>培训代替就业技能培训。</w:t>
      </w:r>
    </w:p>
    <w:p w14:paraId="5F916071">
      <w:pPr>
        <w:spacing w:before="3" w:line="350" w:lineRule="auto"/>
        <w:ind w:left="11" w:firstLine="420"/>
        <w:rPr>
          <w:rFonts w:ascii="宋体" w:hAnsi="宋体" w:eastAsia="宋体" w:cs="宋体"/>
          <w:sz w:val="20"/>
          <w:szCs w:val="20"/>
          <w:highlight w:val="none"/>
        </w:rPr>
      </w:pPr>
      <w:r>
        <w:rPr>
          <w:rFonts w:ascii="宋体" w:hAnsi="宋体" w:eastAsia="宋体" w:cs="宋体"/>
          <w:spacing w:val="9"/>
          <w:sz w:val="20"/>
          <w:szCs w:val="20"/>
          <w:highlight w:val="none"/>
        </w:rPr>
        <w:t>6.</w:t>
      </w:r>
      <w:r>
        <w:rPr>
          <w:rFonts w:hint="eastAsia" w:ascii="宋体" w:hAnsi="宋体" w:eastAsia="宋体" w:cs="宋体"/>
          <w:spacing w:val="9"/>
          <w:sz w:val="20"/>
          <w:szCs w:val="20"/>
          <w:highlight w:val="none"/>
          <w:lang w:val="en-US" w:eastAsia="zh-CN"/>
        </w:rPr>
        <w:t>6.发包人与承包人在签订施工合同时，</w:t>
      </w:r>
      <w:r>
        <w:rPr>
          <w:rFonts w:hint="eastAsia" w:ascii="宋体" w:hAnsi="宋体" w:eastAsia="宋体" w:cs="宋体"/>
          <w:b/>
          <w:bCs/>
          <w:spacing w:val="9"/>
          <w:sz w:val="20"/>
          <w:szCs w:val="20"/>
          <w:highlight w:val="none"/>
          <w:lang w:val="en-US" w:eastAsia="zh-CN"/>
        </w:rPr>
        <w:t>应优先组织当地群众参与项目施工作业，须带动务工人数不低于 320 人，其中优先吸纳当地脱贫户110人，返乡农民工172人，退役军人15人，低保户17人，防止返贫监测对象6人。及时足额发放劳务报酬40</w:t>
      </w:r>
      <w:r>
        <w:rPr>
          <w:rFonts w:hint="eastAsia" w:ascii="宋体" w:hAnsi="宋体" w:cs="宋体"/>
          <w:b/>
          <w:bCs/>
          <w:spacing w:val="9"/>
          <w:sz w:val="20"/>
          <w:szCs w:val="20"/>
          <w:highlight w:val="none"/>
          <w:lang w:val="en-US" w:eastAsia="zh-CN"/>
        </w:rPr>
        <w:t>6</w:t>
      </w:r>
      <w:r>
        <w:rPr>
          <w:rFonts w:hint="eastAsia" w:ascii="宋体" w:hAnsi="宋体" w:eastAsia="宋体" w:cs="宋体"/>
          <w:b/>
          <w:bCs/>
          <w:spacing w:val="9"/>
          <w:sz w:val="20"/>
          <w:szCs w:val="20"/>
          <w:highlight w:val="none"/>
          <w:lang w:val="en-US" w:eastAsia="zh-CN"/>
        </w:rPr>
        <w:t xml:space="preserve">万元，占以工代赈中央预算内投资的 </w:t>
      </w:r>
      <w:r>
        <w:rPr>
          <w:rFonts w:hint="eastAsia" w:ascii="宋体" w:hAnsi="宋体" w:cs="宋体"/>
          <w:b/>
          <w:bCs/>
          <w:spacing w:val="9"/>
          <w:sz w:val="20"/>
          <w:szCs w:val="20"/>
          <w:highlight w:val="none"/>
          <w:lang w:val="en-US" w:eastAsia="zh-CN"/>
        </w:rPr>
        <w:t>50.73</w:t>
      </w:r>
      <w:r>
        <w:rPr>
          <w:rFonts w:hint="eastAsia" w:ascii="宋体" w:hAnsi="宋体" w:eastAsia="宋体" w:cs="宋体"/>
          <w:b/>
          <w:bCs/>
          <w:spacing w:val="9"/>
          <w:sz w:val="20"/>
          <w:szCs w:val="20"/>
          <w:highlight w:val="none"/>
          <w:lang w:val="en-US" w:eastAsia="zh-CN"/>
        </w:rPr>
        <w:t>%</w:t>
      </w:r>
      <w:r>
        <w:rPr>
          <w:rFonts w:hint="eastAsia" w:ascii="宋体" w:hAnsi="宋体" w:cs="宋体"/>
          <w:b/>
          <w:bCs/>
          <w:spacing w:val="9"/>
          <w:sz w:val="20"/>
          <w:szCs w:val="20"/>
          <w:highlight w:val="none"/>
          <w:lang w:val="en-US" w:eastAsia="zh-CN"/>
        </w:rPr>
        <w:t>。</w:t>
      </w:r>
      <w:r>
        <w:rPr>
          <w:rFonts w:hint="eastAsia" w:ascii="宋体" w:hAnsi="宋体" w:eastAsia="宋体" w:cs="宋体"/>
          <w:b/>
          <w:bCs/>
          <w:spacing w:val="9"/>
          <w:sz w:val="20"/>
          <w:szCs w:val="20"/>
          <w:highlight w:val="none"/>
          <w:lang w:val="en-US" w:eastAsia="zh-CN"/>
        </w:rPr>
        <w:t>在依法合规的前提下，尽量提高项目资金中劳务报酬发放比例等要求纳入合同约定条款。在保证工程质量的前提下，能用人工的尽量不用机械，能动员当地群众务工的尽量不用专业施工队伍，帮助农村低收入人口特别是脱贫群众和易地扶贫搬迁脱贫人口实现就地就近就业增收，防止致贫返贫。</w:t>
      </w:r>
    </w:p>
    <w:p w14:paraId="082470D8">
      <w:pPr>
        <w:pStyle w:val="16"/>
        <w:spacing w:line="383" w:lineRule="auto"/>
        <w:ind w:firstLine="436" w:firstLineChars="200"/>
        <w:rPr>
          <w:rFonts w:ascii="宋体" w:hAnsi="宋体" w:eastAsia="宋体" w:cs="宋体"/>
          <w:sz w:val="20"/>
          <w:szCs w:val="20"/>
        </w:rPr>
      </w:pPr>
      <w:r>
        <w:rPr>
          <w:rFonts w:ascii="宋体" w:hAnsi="宋体" w:eastAsia="宋体" w:cs="宋体"/>
          <w:spacing w:val="9"/>
          <w:sz w:val="20"/>
          <w:szCs w:val="20"/>
        </w:rPr>
        <w:t>7.施工单位应与务工群众签订务工合同，合同明确务工内容和劳务报酬标准。劳务报酬原则上通过银行卡或“一卡通</w:t>
      </w:r>
      <w:r>
        <w:rPr>
          <w:rFonts w:ascii="宋体" w:hAnsi="宋体" w:eastAsia="宋体" w:cs="宋体"/>
          <w:spacing w:val="-67"/>
          <w:sz w:val="20"/>
          <w:szCs w:val="20"/>
        </w:rPr>
        <w:t xml:space="preserve"> </w:t>
      </w:r>
      <w:r>
        <w:rPr>
          <w:rFonts w:ascii="宋体" w:hAnsi="宋体" w:eastAsia="宋体" w:cs="宋体"/>
          <w:spacing w:val="9"/>
          <w:sz w:val="20"/>
          <w:szCs w:val="20"/>
        </w:rPr>
        <w:t>”平台发放，并按统一规范台账做好登记，发放台账应包含务工群众姓</w:t>
      </w:r>
      <w:r>
        <w:rPr>
          <w:rFonts w:ascii="宋体" w:hAnsi="宋体" w:eastAsia="宋体" w:cs="宋体"/>
          <w:spacing w:val="10"/>
          <w:sz w:val="20"/>
          <w:szCs w:val="20"/>
        </w:rPr>
        <w:t>名、所在村组、务工内容、劳务报酬标准、务工天数、发放金额、身份证号</w:t>
      </w:r>
      <w:r>
        <w:rPr>
          <w:rFonts w:ascii="宋体" w:hAnsi="宋体" w:eastAsia="宋体" w:cs="宋体"/>
          <w:spacing w:val="9"/>
          <w:sz w:val="20"/>
          <w:szCs w:val="20"/>
        </w:rPr>
        <w:t>、银行卡号、发放日</w:t>
      </w:r>
      <w:r>
        <w:rPr>
          <w:rFonts w:ascii="宋体" w:hAnsi="宋体" w:eastAsia="宋体" w:cs="宋体"/>
          <w:spacing w:val="10"/>
          <w:sz w:val="20"/>
          <w:szCs w:val="20"/>
        </w:rPr>
        <w:t>期、手机号码等信息。劳务报酬发放台账应由务工群众本人确认，并按程序</w:t>
      </w:r>
      <w:r>
        <w:rPr>
          <w:rFonts w:ascii="宋体" w:hAnsi="宋体" w:eastAsia="宋体" w:cs="宋体"/>
          <w:spacing w:val="9"/>
          <w:sz w:val="20"/>
          <w:szCs w:val="20"/>
        </w:rPr>
        <w:t>履行公告公示。项目</w:t>
      </w:r>
      <w:r>
        <w:rPr>
          <w:rFonts w:ascii="宋体" w:hAnsi="宋体" w:eastAsia="宋体" w:cs="宋体"/>
          <w:spacing w:val="10"/>
          <w:sz w:val="20"/>
          <w:szCs w:val="20"/>
        </w:rPr>
        <w:t>施工单位应及时向参与务工群众足额支付劳务报酬。原则上，支付周期应按</w:t>
      </w:r>
      <w:r>
        <w:rPr>
          <w:rFonts w:ascii="宋体" w:hAnsi="宋体" w:eastAsia="宋体" w:cs="宋体"/>
          <w:spacing w:val="9"/>
          <w:sz w:val="20"/>
          <w:szCs w:val="20"/>
        </w:rPr>
        <w:t>月发放，最长不得超过</w:t>
      </w:r>
      <w:r>
        <w:rPr>
          <w:rFonts w:ascii="宋体" w:hAnsi="宋体" w:eastAsia="宋体" w:cs="宋体"/>
          <w:spacing w:val="-24"/>
          <w:sz w:val="20"/>
          <w:szCs w:val="20"/>
        </w:rPr>
        <w:t xml:space="preserve"> </w:t>
      </w:r>
      <w:r>
        <w:rPr>
          <w:rFonts w:ascii="宋体" w:hAnsi="宋体" w:eastAsia="宋体" w:cs="宋体"/>
          <w:spacing w:val="9"/>
          <w:sz w:val="20"/>
          <w:szCs w:val="20"/>
        </w:rPr>
        <w:t>1</w:t>
      </w:r>
      <w:r>
        <w:rPr>
          <w:rFonts w:ascii="宋体" w:hAnsi="宋体" w:eastAsia="宋体" w:cs="宋体"/>
          <w:spacing w:val="-38"/>
          <w:sz w:val="20"/>
          <w:szCs w:val="20"/>
        </w:rPr>
        <w:t xml:space="preserve"> </w:t>
      </w:r>
      <w:r>
        <w:rPr>
          <w:rFonts w:ascii="宋体" w:hAnsi="宋体" w:eastAsia="宋体" w:cs="宋体"/>
          <w:spacing w:val="9"/>
          <w:sz w:val="20"/>
          <w:szCs w:val="20"/>
        </w:rPr>
        <w:t>个月。严禁施工单位将机械设备租赁、施工材料等费用计入劳务报酬，严禁将因</w:t>
      </w:r>
      <w:r>
        <w:rPr>
          <w:rFonts w:ascii="宋体" w:hAnsi="宋体" w:eastAsia="宋体" w:cs="宋体"/>
          <w:spacing w:val="8"/>
          <w:sz w:val="20"/>
          <w:szCs w:val="20"/>
        </w:rPr>
        <w:t>工程建设产</w:t>
      </w:r>
      <w:r>
        <w:rPr>
          <w:rFonts w:ascii="宋体" w:hAnsi="宋体" w:eastAsia="宋体" w:cs="宋体"/>
          <w:spacing w:val="10"/>
          <w:sz w:val="20"/>
          <w:szCs w:val="20"/>
        </w:rPr>
        <w:t>生的土地或农作物经济损失赔偿计入劳务报酬，严禁虚报冒领、克扣截</w:t>
      </w:r>
      <w:r>
        <w:rPr>
          <w:rFonts w:ascii="宋体" w:hAnsi="宋体" w:eastAsia="宋体" w:cs="宋体"/>
          <w:spacing w:val="9"/>
          <w:sz w:val="20"/>
          <w:szCs w:val="20"/>
        </w:rPr>
        <w:t>留、拖欠务工群众劳务报</w:t>
      </w:r>
      <w:r>
        <w:rPr>
          <w:rFonts w:ascii="宋体" w:hAnsi="宋体" w:eastAsia="宋体" w:cs="宋体"/>
          <w:sz w:val="20"/>
          <w:szCs w:val="20"/>
        </w:rPr>
        <w:t>酬。</w:t>
      </w:r>
    </w:p>
    <w:p w14:paraId="3DA55FAA">
      <w:pPr>
        <w:spacing w:line="351" w:lineRule="auto"/>
        <w:ind w:left="8" w:firstLine="420"/>
        <w:jc w:val="both"/>
        <w:rPr>
          <w:rFonts w:ascii="宋体" w:hAnsi="宋体" w:eastAsia="宋体" w:cs="宋体"/>
          <w:sz w:val="20"/>
          <w:szCs w:val="20"/>
        </w:rPr>
      </w:pPr>
      <w:r>
        <w:rPr>
          <w:rFonts w:ascii="宋体" w:hAnsi="宋体" w:eastAsia="宋体" w:cs="宋体"/>
          <w:spacing w:val="6"/>
          <w:sz w:val="20"/>
          <w:szCs w:val="20"/>
        </w:rPr>
        <w:t>8.承包人承诺在工程建设中要按照批复的项目名称、内容、规模和工期进行建设，不得截留、</w:t>
      </w:r>
      <w:r>
        <w:rPr>
          <w:rFonts w:ascii="宋体" w:hAnsi="宋体" w:eastAsia="宋体" w:cs="宋体"/>
          <w:spacing w:val="7"/>
          <w:sz w:val="20"/>
          <w:szCs w:val="20"/>
        </w:rPr>
        <w:t>挤占、挪用建设资金，未经批准不得擅自更变建设地</w:t>
      </w:r>
      <w:r>
        <w:rPr>
          <w:rFonts w:ascii="宋体" w:hAnsi="宋体" w:eastAsia="宋体" w:cs="宋体"/>
          <w:spacing w:val="6"/>
          <w:sz w:val="20"/>
          <w:szCs w:val="20"/>
        </w:rPr>
        <w:t>点、内容和规模，如确需调整须按程序报批。</w:t>
      </w:r>
      <w:r>
        <w:rPr>
          <w:rFonts w:ascii="宋体" w:hAnsi="宋体" w:eastAsia="宋体" w:cs="宋体"/>
          <w:spacing w:val="10"/>
          <w:sz w:val="20"/>
          <w:szCs w:val="20"/>
        </w:rPr>
        <w:t>项目竣工后要建立项目永久公示牌，明确项目名称、建设时间、资金投入</w:t>
      </w:r>
      <w:r>
        <w:rPr>
          <w:rFonts w:ascii="宋体" w:hAnsi="宋体" w:eastAsia="宋体" w:cs="宋体"/>
          <w:spacing w:val="9"/>
          <w:sz w:val="20"/>
          <w:szCs w:val="20"/>
        </w:rPr>
        <w:t>、建设内容及规模、群</w:t>
      </w:r>
      <w:r>
        <w:rPr>
          <w:rFonts w:ascii="宋体" w:hAnsi="宋体" w:eastAsia="宋体" w:cs="宋体"/>
          <w:spacing w:val="10"/>
          <w:sz w:val="20"/>
          <w:szCs w:val="20"/>
        </w:rPr>
        <w:t>众受益情况、项目主管单位、项目业主单位、项目施工单位、运行管护责</w:t>
      </w:r>
      <w:r>
        <w:rPr>
          <w:rFonts w:ascii="宋体" w:hAnsi="宋体" w:eastAsia="宋体" w:cs="宋体"/>
          <w:spacing w:val="9"/>
          <w:sz w:val="20"/>
          <w:szCs w:val="20"/>
        </w:rPr>
        <w:t>任主体、监督举报电话</w:t>
      </w:r>
      <w:r>
        <w:rPr>
          <w:rFonts w:ascii="宋体" w:hAnsi="宋体" w:eastAsia="宋体" w:cs="宋体"/>
          <w:spacing w:val="5"/>
          <w:sz w:val="20"/>
          <w:szCs w:val="20"/>
        </w:rPr>
        <w:t>等信息。</w:t>
      </w:r>
    </w:p>
    <w:p w14:paraId="0B39EA0D">
      <w:pPr>
        <w:spacing w:before="12" w:line="228" w:lineRule="auto"/>
        <w:ind w:left="431"/>
        <w:outlineLvl w:val="0"/>
        <w:rPr>
          <w:rFonts w:ascii="宋体" w:hAnsi="宋体" w:eastAsia="宋体" w:cs="宋体"/>
          <w:sz w:val="20"/>
          <w:szCs w:val="20"/>
        </w:rPr>
      </w:pPr>
      <w:bookmarkStart w:id="260" w:name="_Toc17481"/>
      <w:r>
        <w:rPr>
          <w:rFonts w:ascii="宋体" w:hAnsi="宋体" w:eastAsia="宋体" w:cs="宋体"/>
          <w:b/>
          <w:bCs/>
          <w:spacing w:val="6"/>
          <w:sz w:val="20"/>
          <w:szCs w:val="20"/>
        </w:rPr>
        <w:t>八、词语含义</w:t>
      </w:r>
      <w:bookmarkEnd w:id="260"/>
    </w:p>
    <w:p w14:paraId="1E92CEED">
      <w:pPr>
        <w:spacing w:before="154" w:line="227" w:lineRule="auto"/>
        <w:ind w:left="429"/>
        <w:rPr>
          <w:rFonts w:ascii="宋体" w:hAnsi="宋体" w:eastAsia="宋体" w:cs="宋体"/>
          <w:sz w:val="20"/>
          <w:szCs w:val="20"/>
        </w:rPr>
      </w:pPr>
      <w:r>
        <w:rPr>
          <w:rFonts w:ascii="宋体" w:hAnsi="宋体" w:eastAsia="宋体" w:cs="宋体"/>
          <w:spacing w:val="9"/>
          <w:sz w:val="20"/>
          <w:szCs w:val="20"/>
        </w:rPr>
        <w:t>本协议书中词语含义与第二部分通用合同条款中赋予的含义相同。</w:t>
      </w:r>
    </w:p>
    <w:p w14:paraId="382C48F4">
      <w:pPr>
        <w:spacing w:before="152" w:line="230" w:lineRule="auto"/>
        <w:ind w:left="433"/>
        <w:outlineLvl w:val="0"/>
        <w:rPr>
          <w:rFonts w:ascii="宋体" w:hAnsi="宋体" w:eastAsia="宋体" w:cs="宋体"/>
          <w:sz w:val="20"/>
          <w:szCs w:val="20"/>
        </w:rPr>
      </w:pPr>
      <w:bookmarkStart w:id="261" w:name="_Toc5150"/>
      <w:r>
        <w:rPr>
          <w:rFonts w:ascii="宋体" w:hAnsi="宋体" w:eastAsia="宋体" w:cs="宋体"/>
          <w:b/>
          <w:bCs/>
          <w:spacing w:val="6"/>
          <w:sz w:val="20"/>
          <w:szCs w:val="20"/>
        </w:rPr>
        <w:t>九、签订时间</w:t>
      </w:r>
      <w:bookmarkEnd w:id="261"/>
    </w:p>
    <w:p w14:paraId="3761B85C">
      <w:pPr>
        <w:spacing w:before="152" w:line="227" w:lineRule="auto"/>
        <w:ind w:left="429"/>
        <w:rPr>
          <w:rFonts w:ascii="宋体" w:hAnsi="宋体" w:eastAsia="宋体" w:cs="宋体"/>
          <w:sz w:val="20"/>
          <w:szCs w:val="20"/>
        </w:rPr>
      </w:pPr>
      <w:r>
        <w:rPr>
          <w:rFonts w:ascii="宋体" w:hAnsi="宋体" w:eastAsia="宋体" w:cs="宋体"/>
          <w:spacing w:val="2"/>
          <w:sz w:val="20"/>
          <w:szCs w:val="20"/>
        </w:rPr>
        <w:t>本合同于</w:t>
      </w:r>
      <w:r>
        <w:rPr>
          <w:rFonts w:ascii="宋体" w:hAnsi="宋体" w:eastAsia="宋体" w:cs="宋体"/>
          <w:spacing w:val="-98"/>
          <w:sz w:val="20"/>
          <w:szCs w:val="20"/>
        </w:rPr>
        <w:t xml:space="preserve"> </w:t>
      </w:r>
      <w:r>
        <w:rPr>
          <w:rFonts w:ascii="宋体" w:hAnsi="宋体" w:eastAsia="宋体" w:cs="宋体"/>
          <w:spacing w:val="5"/>
          <w:sz w:val="20"/>
          <w:szCs w:val="20"/>
          <w:u w:val="single" w:color="auto"/>
        </w:rPr>
        <w:t xml:space="preserve">         </w:t>
      </w:r>
      <w:r>
        <w:rPr>
          <w:rFonts w:ascii="宋体" w:hAnsi="宋体" w:eastAsia="宋体" w:cs="宋体"/>
          <w:spacing w:val="-91"/>
          <w:sz w:val="20"/>
          <w:szCs w:val="20"/>
        </w:rPr>
        <w:t xml:space="preserve"> </w:t>
      </w:r>
      <w:r>
        <w:rPr>
          <w:rFonts w:ascii="宋体" w:hAnsi="宋体" w:eastAsia="宋体" w:cs="宋体"/>
          <w:spacing w:val="2"/>
          <w:sz w:val="20"/>
          <w:szCs w:val="20"/>
        </w:rPr>
        <w:t>年</w:t>
      </w:r>
      <w:r>
        <w:rPr>
          <w:rFonts w:ascii="宋体" w:hAnsi="宋体" w:eastAsia="宋体" w:cs="宋体"/>
          <w:spacing w:val="2"/>
          <w:sz w:val="20"/>
          <w:szCs w:val="20"/>
          <w:u w:val="single" w:color="auto"/>
        </w:rPr>
        <w:t xml:space="preserve">    </w:t>
      </w:r>
      <w:r>
        <w:rPr>
          <w:rFonts w:ascii="宋体" w:hAnsi="宋体" w:eastAsia="宋体" w:cs="宋体"/>
          <w:spacing w:val="-86"/>
          <w:sz w:val="20"/>
          <w:szCs w:val="20"/>
        </w:rPr>
        <w:t xml:space="preserve"> </w:t>
      </w:r>
      <w:r>
        <w:rPr>
          <w:rFonts w:ascii="宋体" w:hAnsi="宋体" w:eastAsia="宋体" w:cs="宋体"/>
          <w:spacing w:val="2"/>
          <w:sz w:val="20"/>
          <w:szCs w:val="20"/>
        </w:rPr>
        <w:t>月</w:t>
      </w:r>
      <w:r>
        <w:rPr>
          <w:rFonts w:ascii="宋体" w:hAnsi="宋体" w:eastAsia="宋体" w:cs="宋体"/>
          <w:spacing w:val="-99"/>
          <w:sz w:val="20"/>
          <w:szCs w:val="20"/>
        </w:rPr>
        <w:t xml:space="preserve"> </w:t>
      </w:r>
      <w:r>
        <w:rPr>
          <w:rFonts w:ascii="宋体" w:hAnsi="宋体" w:eastAsia="宋体" w:cs="宋体"/>
          <w:spacing w:val="5"/>
          <w:sz w:val="20"/>
          <w:szCs w:val="20"/>
          <w:u w:val="single" w:color="auto"/>
        </w:rPr>
        <w:t xml:space="preserve">    </w:t>
      </w:r>
      <w:r>
        <w:rPr>
          <w:rFonts w:ascii="宋体" w:hAnsi="宋体" w:eastAsia="宋体" w:cs="宋体"/>
          <w:spacing w:val="-55"/>
          <w:sz w:val="20"/>
          <w:szCs w:val="20"/>
        </w:rPr>
        <w:t xml:space="preserve"> </w:t>
      </w:r>
      <w:r>
        <w:rPr>
          <w:rFonts w:ascii="宋体" w:hAnsi="宋体" w:eastAsia="宋体" w:cs="宋体"/>
          <w:spacing w:val="2"/>
          <w:sz w:val="20"/>
          <w:szCs w:val="20"/>
        </w:rPr>
        <w:t>日签订。</w:t>
      </w:r>
    </w:p>
    <w:p w14:paraId="3CD55C3F">
      <w:pPr>
        <w:spacing w:before="155" w:line="229" w:lineRule="auto"/>
        <w:ind w:left="429"/>
        <w:outlineLvl w:val="0"/>
        <w:rPr>
          <w:rFonts w:ascii="宋体" w:hAnsi="宋体" w:eastAsia="宋体" w:cs="宋体"/>
          <w:sz w:val="20"/>
          <w:szCs w:val="20"/>
        </w:rPr>
      </w:pPr>
      <w:bookmarkStart w:id="262" w:name="_Toc30116"/>
      <w:r>
        <w:rPr>
          <w:rFonts w:ascii="宋体" w:hAnsi="宋体" w:eastAsia="宋体" w:cs="宋体"/>
          <w:b/>
          <w:bCs/>
          <w:spacing w:val="6"/>
          <w:sz w:val="20"/>
          <w:szCs w:val="20"/>
        </w:rPr>
        <w:t>十、签订地点</w:t>
      </w:r>
      <w:bookmarkEnd w:id="262"/>
    </w:p>
    <w:p w14:paraId="617F164E">
      <w:pPr>
        <w:spacing w:before="150" w:line="227" w:lineRule="auto"/>
        <w:ind w:left="429"/>
        <w:rPr>
          <w:rFonts w:ascii="宋体" w:hAnsi="宋体" w:eastAsia="宋体" w:cs="宋体"/>
          <w:sz w:val="20"/>
          <w:szCs w:val="20"/>
        </w:rPr>
      </w:pPr>
      <w:r>
        <w:rPr>
          <w:rFonts w:ascii="宋体" w:hAnsi="宋体" w:eastAsia="宋体" w:cs="宋体"/>
          <w:spacing w:val="5"/>
          <w:sz w:val="20"/>
          <w:szCs w:val="20"/>
        </w:rPr>
        <w:t>本合同在</w:t>
      </w:r>
      <w:r>
        <w:rPr>
          <w:rFonts w:ascii="宋体" w:hAnsi="宋体" w:eastAsia="宋体" w:cs="宋体"/>
          <w:spacing w:val="-96"/>
          <w:sz w:val="20"/>
          <w:szCs w:val="20"/>
        </w:rPr>
        <w:t xml:space="preserve"> </w:t>
      </w:r>
      <w:r>
        <w:rPr>
          <w:rFonts w:ascii="宋体" w:hAnsi="宋体" w:eastAsia="宋体" w:cs="宋体"/>
          <w:spacing w:val="2"/>
          <w:sz w:val="20"/>
          <w:szCs w:val="20"/>
          <w:u w:val="single" w:color="auto"/>
        </w:rPr>
        <w:t xml:space="preserve">                                     </w:t>
      </w:r>
      <w:r>
        <w:rPr>
          <w:rFonts w:ascii="宋体" w:hAnsi="宋体" w:eastAsia="宋体" w:cs="宋体"/>
          <w:spacing w:val="-86"/>
          <w:sz w:val="20"/>
          <w:szCs w:val="20"/>
        </w:rPr>
        <w:t xml:space="preserve"> </w:t>
      </w:r>
      <w:r>
        <w:rPr>
          <w:rFonts w:ascii="宋体" w:hAnsi="宋体" w:eastAsia="宋体" w:cs="宋体"/>
          <w:spacing w:val="5"/>
          <w:sz w:val="20"/>
          <w:szCs w:val="20"/>
        </w:rPr>
        <w:t>签订。</w:t>
      </w:r>
    </w:p>
    <w:p w14:paraId="427B5BFD">
      <w:pPr>
        <w:spacing w:before="156" w:line="228" w:lineRule="auto"/>
        <w:ind w:left="429"/>
        <w:outlineLvl w:val="0"/>
        <w:rPr>
          <w:rFonts w:ascii="宋体" w:hAnsi="宋体" w:eastAsia="宋体" w:cs="宋体"/>
          <w:sz w:val="20"/>
          <w:szCs w:val="20"/>
        </w:rPr>
      </w:pPr>
      <w:bookmarkStart w:id="263" w:name="_Toc28850"/>
      <w:r>
        <w:rPr>
          <w:rFonts w:ascii="宋体" w:hAnsi="宋体" w:eastAsia="宋体" w:cs="宋体"/>
          <w:b/>
          <w:bCs/>
          <w:spacing w:val="7"/>
          <w:sz w:val="20"/>
          <w:szCs w:val="20"/>
        </w:rPr>
        <w:t>十一、补充协议</w:t>
      </w:r>
      <w:bookmarkEnd w:id="263"/>
    </w:p>
    <w:p w14:paraId="7471DD61">
      <w:pPr>
        <w:spacing w:before="153" w:line="228" w:lineRule="auto"/>
        <w:ind w:left="429"/>
        <w:rPr>
          <w:rFonts w:ascii="宋体" w:hAnsi="宋体" w:eastAsia="宋体" w:cs="宋体"/>
          <w:sz w:val="20"/>
          <w:szCs w:val="20"/>
        </w:rPr>
      </w:pPr>
      <w:r>
        <w:rPr>
          <w:rFonts w:ascii="宋体" w:hAnsi="宋体" w:eastAsia="宋体" w:cs="宋体"/>
          <w:spacing w:val="9"/>
          <w:sz w:val="20"/>
          <w:szCs w:val="20"/>
        </w:rPr>
        <w:t>合同未尽事宜，合同当事人另行签订补充协议，补充协议是合同的组成部分。</w:t>
      </w:r>
    </w:p>
    <w:p w14:paraId="52DAD603">
      <w:pPr>
        <w:spacing w:before="152" w:line="228" w:lineRule="auto"/>
        <w:ind w:left="429"/>
        <w:outlineLvl w:val="0"/>
        <w:rPr>
          <w:rFonts w:ascii="宋体" w:hAnsi="宋体" w:eastAsia="宋体" w:cs="宋体"/>
          <w:sz w:val="20"/>
          <w:szCs w:val="20"/>
        </w:rPr>
      </w:pPr>
      <w:bookmarkStart w:id="264" w:name="_Toc10390"/>
      <w:r>
        <w:rPr>
          <w:rFonts w:ascii="宋体" w:hAnsi="宋体" w:eastAsia="宋体" w:cs="宋体"/>
          <w:b/>
          <w:bCs/>
          <w:spacing w:val="7"/>
          <w:sz w:val="20"/>
          <w:szCs w:val="20"/>
        </w:rPr>
        <w:t>十二、合同生效</w:t>
      </w:r>
      <w:bookmarkEnd w:id="264"/>
    </w:p>
    <w:p w14:paraId="474A0BD1">
      <w:pPr>
        <w:spacing w:before="153" w:line="227" w:lineRule="auto"/>
        <w:ind w:left="429"/>
        <w:rPr>
          <w:rFonts w:ascii="宋体" w:hAnsi="宋体" w:eastAsia="宋体" w:cs="宋体"/>
          <w:sz w:val="20"/>
          <w:szCs w:val="20"/>
        </w:rPr>
      </w:pPr>
      <w:r>
        <w:rPr>
          <w:rFonts w:ascii="宋体" w:hAnsi="宋体" w:eastAsia="宋体" w:cs="宋体"/>
          <w:spacing w:val="5"/>
          <w:sz w:val="20"/>
          <w:szCs w:val="20"/>
        </w:rPr>
        <w:t>本合同自</w:t>
      </w:r>
      <w:r>
        <w:rPr>
          <w:rFonts w:ascii="宋体" w:hAnsi="宋体" w:eastAsia="宋体" w:cs="宋体"/>
          <w:spacing w:val="-98"/>
          <w:sz w:val="20"/>
          <w:szCs w:val="20"/>
        </w:rPr>
        <w:t xml:space="preserve"> </w:t>
      </w:r>
      <w:r>
        <w:rPr>
          <w:rFonts w:ascii="宋体" w:hAnsi="宋体" w:eastAsia="宋体" w:cs="宋体"/>
          <w:spacing w:val="2"/>
          <w:sz w:val="20"/>
          <w:szCs w:val="20"/>
          <w:u w:val="single" w:color="auto"/>
        </w:rPr>
        <w:t xml:space="preserve">                                    </w:t>
      </w:r>
      <w:r>
        <w:rPr>
          <w:rFonts w:ascii="宋体" w:hAnsi="宋体" w:eastAsia="宋体" w:cs="宋体"/>
          <w:spacing w:val="-87"/>
          <w:sz w:val="20"/>
          <w:szCs w:val="20"/>
        </w:rPr>
        <w:t xml:space="preserve"> </w:t>
      </w:r>
      <w:r>
        <w:rPr>
          <w:rFonts w:ascii="宋体" w:hAnsi="宋体" w:eastAsia="宋体" w:cs="宋体"/>
          <w:spacing w:val="5"/>
          <w:sz w:val="20"/>
          <w:szCs w:val="20"/>
        </w:rPr>
        <w:t>生效。</w:t>
      </w:r>
    </w:p>
    <w:p w14:paraId="775F91B6">
      <w:pPr>
        <w:spacing w:before="155" w:line="228" w:lineRule="auto"/>
        <w:ind w:left="429"/>
        <w:outlineLvl w:val="0"/>
        <w:rPr>
          <w:rFonts w:ascii="宋体" w:hAnsi="宋体" w:eastAsia="宋体" w:cs="宋体"/>
          <w:sz w:val="20"/>
          <w:szCs w:val="20"/>
        </w:rPr>
      </w:pPr>
      <w:bookmarkStart w:id="265" w:name="_Toc11764"/>
      <w:r>
        <w:rPr>
          <w:rFonts w:ascii="宋体" w:hAnsi="宋体" w:eastAsia="宋体" w:cs="宋体"/>
          <w:b/>
          <w:bCs/>
          <w:spacing w:val="7"/>
          <w:sz w:val="20"/>
          <w:szCs w:val="20"/>
        </w:rPr>
        <w:t>十三、合同份数</w:t>
      </w:r>
      <w:bookmarkEnd w:id="265"/>
    </w:p>
    <w:p w14:paraId="3AE3D4C9">
      <w:pPr>
        <w:spacing w:before="152" w:line="371" w:lineRule="auto"/>
        <w:ind w:left="10" w:right="70" w:firstLine="418"/>
      </w:pPr>
      <w:r>
        <w:rPr>
          <w:rFonts w:ascii="宋体" w:hAnsi="宋体" w:eastAsia="宋体" w:cs="宋体"/>
          <w:spacing w:val="7"/>
          <w:sz w:val="20"/>
          <w:szCs w:val="20"/>
        </w:rPr>
        <w:t>本合同一式</w:t>
      </w:r>
      <w:r>
        <w:rPr>
          <w:rFonts w:ascii="宋体" w:hAnsi="宋体" w:eastAsia="宋体" w:cs="宋体"/>
          <w:spacing w:val="7"/>
          <w:sz w:val="20"/>
          <w:szCs w:val="20"/>
          <w:u w:val="single" w:color="auto"/>
        </w:rPr>
        <w:t xml:space="preserve"> 七 </w:t>
      </w:r>
      <w:r>
        <w:rPr>
          <w:rFonts w:ascii="宋体" w:hAnsi="宋体" w:eastAsia="宋体" w:cs="宋体"/>
          <w:spacing w:val="7"/>
          <w:sz w:val="20"/>
          <w:szCs w:val="20"/>
        </w:rPr>
        <w:t>份，均具有同等法律效力，发包人执</w:t>
      </w:r>
      <w:r>
        <w:rPr>
          <w:rFonts w:ascii="宋体" w:hAnsi="宋体" w:eastAsia="宋体" w:cs="宋体"/>
          <w:spacing w:val="7"/>
          <w:sz w:val="20"/>
          <w:szCs w:val="20"/>
          <w:u w:val="single" w:color="auto"/>
        </w:rPr>
        <w:t xml:space="preserve">  </w:t>
      </w:r>
      <w:r>
        <w:rPr>
          <w:rFonts w:ascii="宋体" w:hAnsi="宋体" w:eastAsia="宋体" w:cs="宋体"/>
          <w:spacing w:val="6"/>
          <w:sz w:val="20"/>
          <w:szCs w:val="20"/>
          <w:u w:val="single" w:color="auto"/>
        </w:rPr>
        <w:t xml:space="preserve">三 </w:t>
      </w:r>
      <w:r>
        <w:rPr>
          <w:rFonts w:ascii="宋体" w:hAnsi="宋体" w:eastAsia="宋体" w:cs="宋体"/>
          <w:spacing w:val="6"/>
          <w:sz w:val="20"/>
          <w:szCs w:val="20"/>
        </w:rPr>
        <w:t>份，承包人执</w:t>
      </w:r>
      <w:r>
        <w:rPr>
          <w:rFonts w:ascii="宋体" w:hAnsi="宋体" w:eastAsia="宋体" w:cs="宋体"/>
          <w:spacing w:val="6"/>
          <w:sz w:val="20"/>
          <w:szCs w:val="20"/>
          <w:u w:val="single" w:color="auto"/>
        </w:rPr>
        <w:t xml:space="preserve"> 三 </w:t>
      </w:r>
      <w:r>
        <w:rPr>
          <w:rFonts w:ascii="宋体" w:hAnsi="宋体" w:eastAsia="宋体" w:cs="宋体"/>
          <w:spacing w:val="6"/>
          <w:sz w:val="20"/>
          <w:szCs w:val="20"/>
        </w:rPr>
        <w:t>份，招标代理机</w:t>
      </w:r>
      <w:r>
        <w:rPr>
          <w:rFonts w:ascii="宋体" w:hAnsi="宋体" w:eastAsia="宋体" w:cs="宋体"/>
          <w:spacing w:val="-1"/>
          <w:sz w:val="20"/>
          <w:szCs w:val="20"/>
        </w:rPr>
        <w:t>构</w:t>
      </w:r>
      <w:r>
        <w:rPr>
          <w:rFonts w:ascii="宋体" w:hAnsi="宋体" w:eastAsia="宋体" w:cs="宋体"/>
          <w:spacing w:val="16"/>
          <w:sz w:val="20"/>
          <w:szCs w:val="20"/>
          <w:u w:val="single" w:color="auto"/>
        </w:rPr>
        <w:t xml:space="preserve"> </w:t>
      </w:r>
      <w:r>
        <w:rPr>
          <w:rFonts w:ascii="宋体" w:hAnsi="宋体" w:eastAsia="宋体" w:cs="宋体"/>
          <w:spacing w:val="-1"/>
          <w:sz w:val="20"/>
          <w:szCs w:val="20"/>
          <w:u w:val="single" w:color="auto"/>
        </w:rPr>
        <w:t>一</w:t>
      </w:r>
      <w:r>
        <w:rPr>
          <w:rFonts w:ascii="宋体" w:hAnsi="宋体" w:eastAsia="宋体" w:cs="宋体"/>
          <w:spacing w:val="14"/>
          <w:sz w:val="20"/>
          <w:szCs w:val="20"/>
          <w:u w:val="single" w:color="auto"/>
        </w:rPr>
        <w:t xml:space="preserve"> </w:t>
      </w:r>
      <w:r>
        <w:rPr>
          <w:rFonts w:ascii="宋体" w:hAnsi="宋体" w:eastAsia="宋体" w:cs="宋体"/>
          <w:spacing w:val="-1"/>
          <w:sz w:val="20"/>
          <w:szCs w:val="20"/>
        </w:rPr>
        <w:t>份。</w:t>
      </w:r>
    </w:p>
    <w:p w14:paraId="22E617C5">
      <w:pPr>
        <w:spacing w:before="66" w:line="227" w:lineRule="auto"/>
        <w:ind w:left="11"/>
        <w:rPr>
          <w:rFonts w:ascii="宋体" w:hAnsi="宋体" w:eastAsia="宋体" w:cs="宋体"/>
          <w:sz w:val="20"/>
          <w:szCs w:val="20"/>
        </w:rPr>
      </w:pPr>
      <w:r>
        <w:rPr>
          <w:rFonts w:ascii="宋体" w:hAnsi="宋体" w:eastAsia="宋体" w:cs="宋体"/>
          <w:spacing w:val="11"/>
          <w:sz w:val="20"/>
          <w:szCs w:val="20"/>
        </w:rPr>
        <w:t>发包人</w:t>
      </w:r>
      <w:r>
        <w:rPr>
          <w:rFonts w:ascii="宋体" w:hAnsi="宋体" w:eastAsia="宋体" w:cs="宋体"/>
          <w:spacing w:val="-12"/>
          <w:sz w:val="20"/>
          <w:szCs w:val="20"/>
        </w:rPr>
        <w:t>：</w:t>
      </w:r>
      <w:r>
        <w:rPr>
          <w:rFonts w:ascii="宋体" w:hAnsi="宋体" w:eastAsia="宋体" w:cs="宋体"/>
          <w:spacing w:val="13"/>
          <w:sz w:val="20"/>
          <w:szCs w:val="20"/>
        </w:rPr>
        <w:t xml:space="preserve">  </w:t>
      </w:r>
      <w:r>
        <w:rPr>
          <w:rFonts w:ascii="宋体" w:hAnsi="宋体" w:eastAsia="宋体" w:cs="宋体"/>
          <w:spacing w:val="-12"/>
          <w:sz w:val="20"/>
          <w:szCs w:val="20"/>
        </w:rPr>
        <w:t>（</w:t>
      </w:r>
      <w:r>
        <w:rPr>
          <w:rFonts w:ascii="宋体" w:hAnsi="宋体" w:eastAsia="宋体" w:cs="宋体"/>
          <w:spacing w:val="11"/>
          <w:sz w:val="20"/>
          <w:szCs w:val="20"/>
        </w:rPr>
        <w:t>公章）</w:t>
      </w:r>
      <w:r>
        <w:rPr>
          <w:rFonts w:ascii="宋体" w:hAnsi="宋体" w:eastAsia="宋体" w:cs="宋体"/>
          <w:spacing w:val="2"/>
          <w:sz w:val="20"/>
          <w:szCs w:val="20"/>
        </w:rPr>
        <w:t xml:space="preserve">                      </w:t>
      </w:r>
      <w:r>
        <w:rPr>
          <w:rFonts w:ascii="宋体" w:hAnsi="宋体" w:eastAsia="宋体" w:cs="宋体"/>
          <w:spacing w:val="1"/>
          <w:sz w:val="20"/>
          <w:szCs w:val="20"/>
        </w:rPr>
        <w:t xml:space="preserve">     </w:t>
      </w:r>
      <w:r>
        <w:rPr>
          <w:rFonts w:ascii="宋体" w:hAnsi="宋体" w:eastAsia="宋体" w:cs="宋体"/>
          <w:spacing w:val="11"/>
          <w:sz w:val="20"/>
          <w:szCs w:val="20"/>
        </w:rPr>
        <w:t>承包人</w:t>
      </w:r>
      <w:r>
        <w:rPr>
          <w:rFonts w:ascii="宋体" w:hAnsi="宋体" w:eastAsia="宋体" w:cs="宋体"/>
          <w:spacing w:val="-12"/>
          <w:sz w:val="20"/>
          <w:szCs w:val="20"/>
        </w:rPr>
        <w:t>：</w:t>
      </w:r>
      <w:r>
        <w:rPr>
          <w:rFonts w:ascii="宋体" w:hAnsi="宋体" w:eastAsia="宋体" w:cs="宋体"/>
          <w:spacing w:val="13"/>
          <w:sz w:val="20"/>
          <w:szCs w:val="20"/>
        </w:rPr>
        <w:t xml:space="preserve">  </w:t>
      </w:r>
      <w:r>
        <w:rPr>
          <w:rFonts w:ascii="宋体" w:hAnsi="宋体" w:eastAsia="宋体" w:cs="宋体"/>
          <w:spacing w:val="-12"/>
          <w:sz w:val="20"/>
          <w:szCs w:val="20"/>
        </w:rPr>
        <w:t>（</w:t>
      </w:r>
      <w:r>
        <w:rPr>
          <w:rFonts w:ascii="宋体" w:hAnsi="宋体" w:eastAsia="宋体" w:cs="宋体"/>
          <w:spacing w:val="11"/>
          <w:sz w:val="20"/>
          <w:szCs w:val="20"/>
        </w:rPr>
        <w:t>公章）</w:t>
      </w:r>
    </w:p>
    <w:p w14:paraId="4DADDB2D">
      <w:pPr>
        <w:pStyle w:val="16"/>
        <w:spacing w:line="244" w:lineRule="auto"/>
      </w:pPr>
    </w:p>
    <w:p w14:paraId="087D919F">
      <w:pPr>
        <w:spacing w:before="65" w:line="228" w:lineRule="auto"/>
        <w:ind w:left="9"/>
        <w:rPr>
          <w:rFonts w:ascii="宋体" w:hAnsi="宋体" w:eastAsia="宋体" w:cs="宋体"/>
          <w:sz w:val="20"/>
          <w:szCs w:val="20"/>
        </w:rPr>
      </w:pPr>
      <w:r>
        <w:rPr>
          <w:rFonts w:ascii="宋体" w:hAnsi="宋体" w:eastAsia="宋体" w:cs="宋体"/>
          <w:spacing w:val="8"/>
          <w:sz w:val="20"/>
          <w:szCs w:val="20"/>
        </w:rPr>
        <w:t xml:space="preserve">法定代表人或其委托代理人：      </w:t>
      </w:r>
      <w:r>
        <w:rPr>
          <w:rFonts w:ascii="宋体" w:hAnsi="宋体" w:eastAsia="宋体" w:cs="宋体"/>
          <w:spacing w:val="7"/>
          <w:sz w:val="20"/>
          <w:szCs w:val="20"/>
        </w:rPr>
        <w:t xml:space="preserve">            法定代表人或其委托代理人：</w:t>
      </w:r>
    </w:p>
    <w:p w14:paraId="454D34BE">
      <w:pPr>
        <w:spacing w:before="151" w:line="228" w:lineRule="auto"/>
        <w:ind w:left="18"/>
      </w:pPr>
      <w:r>
        <w:rPr>
          <w:rFonts w:ascii="宋体" w:hAnsi="宋体" w:eastAsia="宋体" w:cs="宋体"/>
          <w:spacing w:val="10"/>
          <w:sz w:val="20"/>
          <w:szCs w:val="20"/>
        </w:rPr>
        <w:t>（签字</w:t>
      </w:r>
      <w:r>
        <w:rPr>
          <w:rFonts w:ascii="宋体" w:hAnsi="宋体" w:eastAsia="宋体" w:cs="宋体"/>
          <w:spacing w:val="-14"/>
          <w:sz w:val="20"/>
          <w:szCs w:val="20"/>
        </w:rPr>
        <w:t>）</w:t>
      </w:r>
      <w:r>
        <w:rPr>
          <w:rFonts w:ascii="宋体" w:hAnsi="宋体" w:eastAsia="宋体" w:cs="宋体"/>
          <w:sz w:val="20"/>
          <w:szCs w:val="20"/>
        </w:rPr>
        <w:t xml:space="preserve">                                       </w:t>
      </w:r>
      <w:r>
        <w:rPr>
          <w:rFonts w:ascii="宋体" w:hAnsi="宋体" w:eastAsia="宋体" w:cs="宋体"/>
          <w:spacing w:val="-14"/>
          <w:sz w:val="20"/>
          <w:szCs w:val="20"/>
        </w:rPr>
        <w:t>（</w:t>
      </w:r>
      <w:r>
        <w:rPr>
          <w:rFonts w:ascii="宋体" w:hAnsi="宋体" w:eastAsia="宋体" w:cs="宋体"/>
          <w:spacing w:val="10"/>
          <w:sz w:val="20"/>
          <w:szCs w:val="20"/>
        </w:rPr>
        <w:t>签字）</w:t>
      </w:r>
    </w:p>
    <w:p w14:paraId="7784777A">
      <w:pPr>
        <w:pStyle w:val="16"/>
        <w:spacing w:line="243" w:lineRule="auto"/>
      </w:pPr>
    </w:p>
    <w:p w14:paraId="5BD38541">
      <w:pPr>
        <w:spacing w:before="66" w:line="227" w:lineRule="auto"/>
        <w:ind w:left="10"/>
        <w:rPr>
          <w:rFonts w:ascii="宋体" w:hAnsi="宋体" w:eastAsia="宋体" w:cs="宋体"/>
          <w:sz w:val="20"/>
          <w:szCs w:val="20"/>
        </w:rPr>
      </w:pPr>
      <w:r>
        <w:rPr>
          <w:rFonts w:ascii="宋体" w:hAnsi="宋体" w:eastAsia="宋体" w:cs="宋体"/>
          <w:spacing w:val="4"/>
          <w:sz w:val="20"/>
          <w:szCs w:val="20"/>
        </w:rPr>
        <w:t>组织机构代码：</w:t>
      </w:r>
      <w:r>
        <w:rPr>
          <w:rFonts w:ascii="宋体" w:hAnsi="宋体" w:eastAsia="宋体" w:cs="宋体"/>
          <w:spacing w:val="4"/>
          <w:sz w:val="20"/>
          <w:szCs w:val="20"/>
          <w:u w:val="single" w:color="auto"/>
        </w:rPr>
        <w:t xml:space="preserve">              </w:t>
      </w:r>
      <w:r>
        <w:rPr>
          <w:rFonts w:ascii="宋体" w:hAnsi="宋体" w:eastAsia="宋体" w:cs="宋体"/>
          <w:spacing w:val="4"/>
          <w:sz w:val="20"/>
          <w:szCs w:val="20"/>
        </w:rPr>
        <w:t xml:space="preserve">                 组织机构代码：</w:t>
      </w:r>
      <w:r>
        <w:rPr>
          <w:rFonts w:ascii="宋体" w:hAnsi="宋体" w:eastAsia="宋体" w:cs="宋体"/>
          <w:spacing w:val="4"/>
          <w:sz w:val="20"/>
          <w:szCs w:val="20"/>
          <w:u w:val="single" w:color="auto"/>
        </w:rPr>
        <w:t xml:space="preserve">               </w:t>
      </w:r>
    </w:p>
    <w:p w14:paraId="2865B1D7">
      <w:pPr>
        <w:spacing w:before="153" w:line="237" w:lineRule="auto"/>
        <w:ind w:left="8"/>
        <w:rPr>
          <w:rFonts w:ascii="宋体" w:hAnsi="宋体" w:eastAsia="宋体" w:cs="宋体"/>
          <w:sz w:val="20"/>
          <w:szCs w:val="20"/>
        </w:rPr>
      </w:pPr>
      <w:r>
        <w:rPr>
          <w:rFonts w:ascii="宋体" w:hAnsi="宋体" w:eastAsia="宋体" w:cs="宋体"/>
          <w:spacing w:val="-5"/>
          <w:sz w:val="20"/>
          <w:szCs w:val="20"/>
        </w:rPr>
        <w:t>地</w:t>
      </w:r>
      <w:r>
        <w:rPr>
          <w:rFonts w:ascii="宋体" w:hAnsi="宋体" w:eastAsia="宋体" w:cs="宋体"/>
          <w:spacing w:val="9"/>
          <w:sz w:val="20"/>
          <w:szCs w:val="20"/>
        </w:rPr>
        <w:t xml:space="preserve">  </w:t>
      </w:r>
      <w:r>
        <w:rPr>
          <w:rFonts w:ascii="宋体" w:hAnsi="宋体" w:eastAsia="宋体" w:cs="宋体"/>
          <w:spacing w:val="-5"/>
          <w:sz w:val="20"/>
          <w:szCs w:val="20"/>
        </w:rPr>
        <w:t>址</w:t>
      </w:r>
      <w:r>
        <w:rPr>
          <w:rFonts w:ascii="宋体" w:hAnsi="宋体" w:eastAsia="宋体" w:cs="宋体"/>
          <w:spacing w:val="-73"/>
          <w:sz w:val="20"/>
          <w:szCs w:val="20"/>
        </w:rPr>
        <w:t xml:space="preserve"> </w:t>
      </w:r>
      <w:r>
        <w:rPr>
          <w:rFonts w:ascii="宋体" w:hAnsi="宋体" w:eastAsia="宋体" w:cs="宋体"/>
          <w:spacing w:val="-5"/>
          <w:sz w:val="20"/>
          <w:szCs w:val="20"/>
        </w:rPr>
        <w:t>：</w:t>
      </w:r>
      <w:r>
        <w:rPr>
          <w:rFonts w:ascii="宋体" w:hAnsi="宋体" w:eastAsia="宋体" w:cs="宋体"/>
          <w:sz w:val="20"/>
          <w:szCs w:val="20"/>
          <w:u w:val="single" w:color="auto"/>
        </w:rPr>
        <w:t xml:space="preserve">                     </w:t>
      </w:r>
      <w:r>
        <w:rPr>
          <w:rFonts w:ascii="宋体" w:hAnsi="宋体" w:eastAsia="宋体" w:cs="宋体"/>
          <w:spacing w:val="5"/>
          <w:sz w:val="20"/>
          <w:szCs w:val="20"/>
        </w:rPr>
        <w:t xml:space="preserve">                 </w:t>
      </w:r>
      <w:r>
        <w:rPr>
          <w:rFonts w:ascii="宋体" w:hAnsi="宋体" w:eastAsia="宋体" w:cs="宋体"/>
          <w:spacing w:val="-5"/>
          <w:sz w:val="20"/>
          <w:szCs w:val="20"/>
        </w:rPr>
        <w:t>地</w:t>
      </w:r>
      <w:r>
        <w:rPr>
          <w:rFonts w:ascii="宋体" w:hAnsi="宋体" w:eastAsia="宋体" w:cs="宋体"/>
          <w:spacing w:val="14"/>
          <w:sz w:val="20"/>
          <w:szCs w:val="20"/>
        </w:rPr>
        <w:t xml:space="preserve">  </w:t>
      </w:r>
      <w:r>
        <w:rPr>
          <w:rFonts w:ascii="宋体" w:hAnsi="宋体" w:eastAsia="宋体" w:cs="宋体"/>
          <w:spacing w:val="-5"/>
          <w:sz w:val="20"/>
          <w:szCs w:val="20"/>
        </w:rPr>
        <w:t>址</w:t>
      </w:r>
      <w:r>
        <w:rPr>
          <w:rFonts w:ascii="宋体" w:hAnsi="宋体" w:eastAsia="宋体" w:cs="宋体"/>
          <w:spacing w:val="-73"/>
          <w:sz w:val="20"/>
          <w:szCs w:val="20"/>
        </w:rPr>
        <w:t xml:space="preserve"> </w:t>
      </w:r>
      <w:r>
        <w:rPr>
          <w:rFonts w:ascii="宋体" w:hAnsi="宋体" w:eastAsia="宋体" w:cs="宋体"/>
          <w:spacing w:val="-5"/>
          <w:sz w:val="20"/>
          <w:szCs w:val="20"/>
        </w:rPr>
        <w:t>：</w:t>
      </w:r>
      <w:r>
        <w:rPr>
          <w:rFonts w:ascii="宋体" w:hAnsi="宋体" w:eastAsia="宋体" w:cs="宋体"/>
          <w:sz w:val="20"/>
          <w:szCs w:val="20"/>
          <w:u w:val="single" w:color="auto"/>
        </w:rPr>
        <w:t xml:space="preserve">                     </w:t>
      </w:r>
    </w:p>
    <w:p w14:paraId="57921A1C">
      <w:pPr>
        <w:spacing w:before="144" w:line="228" w:lineRule="auto"/>
        <w:ind w:left="23"/>
        <w:rPr>
          <w:rFonts w:ascii="宋体" w:hAnsi="宋体" w:eastAsia="宋体" w:cs="宋体"/>
          <w:sz w:val="20"/>
          <w:szCs w:val="20"/>
        </w:rPr>
      </w:pPr>
      <w:r>
        <w:rPr>
          <w:rFonts w:ascii="宋体" w:hAnsi="宋体" w:eastAsia="宋体" w:cs="宋体"/>
          <w:spacing w:val="4"/>
          <w:sz w:val="20"/>
          <w:szCs w:val="20"/>
        </w:rPr>
        <w:t>邮政编码：</w:t>
      </w:r>
      <w:r>
        <w:rPr>
          <w:rFonts w:ascii="宋体" w:hAnsi="宋体" w:eastAsia="宋体" w:cs="宋体"/>
          <w:spacing w:val="5"/>
          <w:sz w:val="20"/>
          <w:szCs w:val="20"/>
          <w:u w:val="single" w:color="auto"/>
        </w:rPr>
        <w:t xml:space="preserve">                  </w:t>
      </w:r>
      <w:r>
        <w:rPr>
          <w:rFonts w:ascii="宋体" w:hAnsi="宋体" w:eastAsia="宋体" w:cs="宋体"/>
          <w:spacing w:val="1"/>
          <w:sz w:val="20"/>
          <w:szCs w:val="20"/>
        </w:rPr>
        <w:t xml:space="preserve">                  </w:t>
      </w:r>
      <w:r>
        <w:rPr>
          <w:rFonts w:ascii="宋体" w:hAnsi="宋体" w:eastAsia="宋体" w:cs="宋体"/>
          <w:spacing w:val="4"/>
          <w:sz w:val="20"/>
          <w:szCs w:val="20"/>
        </w:rPr>
        <w:t>邮政编码：</w:t>
      </w:r>
      <w:r>
        <w:rPr>
          <w:rFonts w:ascii="宋体" w:hAnsi="宋体" w:eastAsia="宋体" w:cs="宋体"/>
          <w:sz w:val="20"/>
          <w:szCs w:val="20"/>
          <w:u w:val="single" w:color="auto"/>
        </w:rPr>
        <w:t xml:space="preserve">                   </w:t>
      </w:r>
    </w:p>
    <w:p w14:paraId="198C07DB">
      <w:pPr>
        <w:spacing w:before="153" w:line="228" w:lineRule="auto"/>
        <w:ind w:left="9"/>
        <w:rPr>
          <w:rFonts w:ascii="宋体" w:hAnsi="宋体" w:eastAsia="宋体" w:cs="宋体"/>
          <w:sz w:val="20"/>
          <w:szCs w:val="20"/>
        </w:rPr>
      </w:pPr>
      <w:r>
        <w:rPr>
          <w:rFonts w:ascii="宋体" w:hAnsi="宋体" w:eastAsia="宋体" w:cs="宋体"/>
          <w:spacing w:val="4"/>
          <w:sz w:val="20"/>
          <w:szCs w:val="20"/>
        </w:rPr>
        <w:t>法定代表人：</w:t>
      </w:r>
      <w:r>
        <w:rPr>
          <w:rFonts w:ascii="宋体" w:hAnsi="宋体" w:eastAsia="宋体" w:cs="宋体"/>
          <w:spacing w:val="4"/>
          <w:sz w:val="20"/>
          <w:szCs w:val="20"/>
          <w:u w:val="single" w:color="auto"/>
        </w:rPr>
        <w:t xml:space="preserve">                </w:t>
      </w:r>
      <w:r>
        <w:rPr>
          <w:rFonts w:ascii="宋体" w:hAnsi="宋体" w:eastAsia="宋体" w:cs="宋体"/>
          <w:spacing w:val="4"/>
          <w:sz w:val="20"/>
          <w:szCs w:val="20"/>
        </w:rPr>
        <w:t xml:space="preserve">                 法定代表人：</w:t>
      </w:r>
      <w:r>
        <w:rPr>
          <w:rFonts w:ascii="宋体" w:hAnsi="宋体" w:eastAsia="宋体" w:cs="宋体"/>
          <w:spacing w:val="4"/>
          <w:sz w:val="20"/>
          <w:szCs w:val="20"/>
          <w:u w:val="single" w:color="auto"/>
        </w:rPr>
        <w:t xml:space="preserve">                 </w:t>
      </w:r>
    </w:p>
    <w:p w14:paraId="23CC79BC">
      <w:pPr>
        <w:spacing w:before="152" w:line="228" w:lineRule="auto"/>
        <w:ind w:left="7"/>
        <w:rPr>
          <w:rFonts w:ascii="宋体" w:hAnsi="宋体" w:eastAsia="宋体" w:cs="宋体"/>
          <w:sz w:val="20"/>
          <w:szCs w:val="20"/>
        </w:rPr>
      </w:pPr>
      <w:r>
        <w:rPr>
          <w:rFonts w:ascii="宋体" w:hAnsi="宋体" w:eastAsia="宋体" w:cs="宋体"/>
          <w:spacing w:val="4"/>
          <w:sz w:val="20"/>
          <w:szCs w:val="20"/>
        </w:rPr>
        <w:t>委托代理人：</w:t>
      </w:r>
      <w:r>
        <w:rPr>
          <w:rFonts w:ascii="宋体" w:hAnsi="宋体" w:eastAsia="宋体" w:cs="宋体"/>
          <w:spacing w:val="4"/>
          <w:sz w:val="20"/>
          <w:szCs w:val="20"/>
          <w:u w:val="single" w:color="auto"/>
        </w:rPr>
        <w:t xml:space="preserve">                </w:t>
      </w:r>
      <w:r>
        <w:rPr>
          <w:rFonts w:ascii="宋体" w:hAnsi="宋体" w:eastAsia="宋体" w:cs="宋体"/>
          <w:spacing w:val="4"/>
          <w:sz w:val="20"/>
          <w:szCs w:val="20"/>
        </w:rPr>
        <w:t xml:space="preserve">                 委托代理人：</w:t>
      </w:r>
      <w:r>
        <w:rPr>
          <w:rFonts w:ascii="宋体" w:hAnsi="宋体" w:eastAsia="宋体" w:cs="宋体"/>
          <w:spacing w:val="4"/>
          <w:sz w:val="20"/>
          <w:szCs w:val="20"/>
          <w:u w:val="single" w:color="auto"/>
        </w:rPr>
        <w:t xml:space="preserve">                 </w:t>
      </w:r>
    </w:p>
    <w:p w14:paraId="0D1102ED">
      <w:pPr>
        <w:spacing w:before="154" w:line="230" w:lineRule="auto"/>
        <w:ind w:left="32"/>
        <w:rPr>
          <w:rFonts w:ascii="宋体" w:hAnsi="宋体" w:eastAsia="宋体" w:cs="宋体"/>
          <w:sz w:val="20"/>
          <w:szCs w:val="20"/>
        </w:rPr>
      </w:pPr>
      <w:r>
        <w:rPr>
          <w:rFonts w:ascii="宋体" w:hAnsi="宋体" w:eastAsia="宋体" w:cs="宋体"/>
          <w:spacing w:val="-13"/>
          <w:sz w:val="20"/>
          <w:szCs w:val="20"/>
        </w:rPr>
        <w:t>电</w:t>
      </w:r>
      <w:r>
        <w:rPr>
          <w:rFonts w:ascii="宋体" w:hAnsi="宋体" w:eastAsia="宋体" w:cs="宋体"/>
          <w:spacing w:val="9"/>
          <w:sz w:val="20"/>
          <w:szCs w:val="20"/>
        </w:rPr>
        <w:t xml:space="preserve">  </w:t>
      </w:r>
      <w:r>
        <w:rPr>
          <w:rFonts w:ascii="宋体" w:hAnsi="宋体" w:eastAsia="宋体" w:cs="宋体"/>
          <w:spacing w:val="-13"/>
          <w:sz w:val="20"/>
          <w:szCs w:val="20"/>
        </w:rPr>
        <w:t>话</w:t>
      </w:r>
      <w:r>
        <w:rPr>
          <w:rFonts w:ascii="宋体" w:hAnsi="宋体" w:eastAsia="宋体" w:cs="宋体"/>
          <w:spacing w:val="-73"/>
          <w:sz w:val="20"/>
          <w:szCs w:val="20"/>
        </w:rPr>
        <w:t xml:space="preserve"> </w:t>
      </w:r>
      <w:r>
        <w:rPr>
          <w:rFonts w:ascii="宋体" w:hAnsi="宋体" w:eastAsia="宋体" w:cs="宋体"/>
          <w:spacing w:val="-13"/>
          <w:sz w:val="20"/>
          <w:szCs w:val="20"/>
        </w:rPr>
        <w:t>：</w:t>
      </w:r>
      <w:r>
        <w:rPr>
          <w:rFonts w:ascii="宋体" w:hAnsi="宋体" w:eastAsia="宋体" w:cs="宋体"/>
          <w:sz w:val="20"/>
          <w:szCs w:val="20"/>
          <w:u w:val="single" w:color="auto"/>
        </w:rPr>
        <w:t xml:space="preserve">                     </w:t>
      </w:r>
      <w:r>
        <w:rPr>
          <w:rFonts w:ascii="宋体" w:hAnsi="宋体" w:eastAsia="宋体" w:cs="宋体"/>
          <w:spacing w:val="1"/>
          <w:sz w:val="20"/>
          <w:szCs w:val="20"/>
        </w:rPr>
        <w:t xml:space="preserve">                  </w:t>
      </w:r>
      <w:r>
        <w:rPr>
          <w:rFonts w:ascii="宋体" w:hAnsi="宋体" w:eastAsia="宋体" w:cs="宋体"/>
          <w:spacing w:val="-13"/>
          <w:sz w:val="20"/>
          <w:szCs w:val="20"/>
        </w:rPr>
        <w:t>电</w:t>
      </w:r>
      <w:r>
        <w:rPr>
          <w:rFonts w:ascii="宋体" w:hAnsi="宋体" w:eastAsia="宋体" w:cs="宋体"/>
          <w:spacing w:val="10"/>
          <w:sz w:val="20"/>
          <w:szCs w:val="20"/>
        </w:rPr>
        <w:t xml:space="preserve">  </w:t>
      </w:r>
      <w:r>
        <w:rPr>
          <w:rFonts w:ascii="宋体" w:hAnsi="宋体" w:eastAsia="宋体" w:cs="宋体"/>
          <w:spacing w:val="-13"/>
          <w:sz w:val="20"/>
          <w:szCs w:val="20"/>
        </w:rPr>
        <w:t>话</w:t>
      </w:r>
      <w:r>
        <w:rPr>
          <w:rFonts w:ascii="宋体" w:hAnsi="宋体" w:eastAsia="宋体" w:cs="宋体"/>
          <w:spacing w:val="-74"/>
          <w:sz w:val="20"/>
          <w:szCs w:val="20"/>
        </w:rPr>
        <w:t xml:space="preserve"> </w:t>
      </w:r>
      <w:r>
        <w:rPr>
          <w:rFonts w:ascii="宋体" w:hAnsi="宋体" w:eastAsia="宋体" w:cs="宋体"/>
          <w:spacing w:val="-13"/>
          <w:sz w:val="20"/>
          <w:szCs w:val="20"/>
        </w:rPr>
        <w:t>：</w:t>
      </w:r>
      <w:r>
        <w:rPr>
          <w:rFonts w:ascii="宋体" w:hAnsi="宋体" w:eastAsia="宋体" w:cs="宋体"/>
          <w:sz w:val="20"/>
          <w:szCs w:val="20"/>
          <w:u w:val="single" w:color="auto"/>
        </w:rPr>
        <w:t xml:space="preserve">                     </w:t>
      </w:r>
    </w:p>
    <w:p w14:paraId="7681DDE6">
      <w:pPr>
        <w:spacing w:before="151" w:line="227" w:lineRule="auto"/>
        <w:ind w:left="6"/>
        <w:rPr>
          <w:rFonts w:ascii="宋体" w:hAnsi="宋体" w:eastAsia="宋体" w:cs="宋体"/>
          <w:sz w:val="20"/>
          <w:szCs w:val="20"/>
        </w:rPr>
      </w:pPr>
      <w:r>
        <w:rPr>
          <w:rFonts w:ascii="宋体" w:hAnsi="宋体" w:eastAsia="宋体" w:cs="宋体"/>
          <w:spacing w:val="-5"/>
          <w:sz w:val="20"/>
          <w:szCs w:val="20"/>
        </w:rPr>
        <w:t>传</w:t>
      </w:r>
      <w:r>
        <w:rPr>
          <w:rFonts w:ascii="宋体" w:hAnsi="宋体" w:eastAsia="宋体" w:cs="宋体"/>
          <w:spacing w:val="10"/>
          <w:sz w:val="20"/>
          <w:szCs w:val="20"/>
        </w:rPr>
        <w:t xml:space="preserve">  </w:t>
      </w:r>
      <w:r>
        <w:rPr>
          <w:rFonts w:ascii="宋体" w:hAnsi="宋体" w:eastAsia="宋体" w:cs="宋体"/>
          <w:spacing w:val="-5"/>
          <w:sz w:val="20"/>
          <w:szCs w:val="20"/>
        </w:rPr>
        <w:t>真</w:t>
      </w:r>
      <w:r>
        <w:rPr>
          <w:rFonts w:ascii="宋体" w:hAnsi="宋体" w:eastAsia="宋体" w:cs="宋体"/>
          <w:spacing w:val="-73"/>
          <w:sz w:val="20"/>
          <w:szCs w:val="20"/>
        </w:rPr>
        <w:t xml:space="preserve"> </w:t>
      </w:r>
      <w:r>
        <w:rPr>
          <w:rFonts w:ascii="宋体" w:hAnsi="宋体" w:eastAsia="宋体" w:cs="宋体"/>
          <w:spacing w:val="-5"/>
          <w:sz w:val="20"/>
          <w:szCs w:val="20"/>
        </w:rPr>
        <w:t>：</w:t>
      </w:r>
      <w:r>
        <w:rPr>
          <w:rFonts w:ascii="宋体" w:hAnsi="宋体" w:eastAsia="宋体" w:cs="宋体"/>
          <w:sz w:val="20"/>
          <w:szCs w:val="20"/>
          <w:u w:val="single" w:color="auto"/>
        </w:rPr>
        <w:t xml:space="preserve">                     </w:t>
      </w:r>
      <w:r>
        <w:rPr>
          <w:rFonts w:ascii="宋体" w:hAnsi="宋体" w:eastAsia="宋体" w:cs="宋体"/>
          <w:spacing w:val="5"/>
          <w:sz w:val="20"/>
          <w:szCs w:val="20"/>
        </w:rPr>
        <w:t xml:space="preserve">                 </w:t>
      </w:r>
      <w:r>
        <w:rPr>
          <w:rFonts w:ascii="宋体" w:hAnsi="宋体" w:eastAsia="宋体" w:cs="宋体"/>
          <w:spacing w:val="-5"/>
          <w:sz w:val="20"/>
          <w:szCs w:val="20"/>
        </w:rPr>
        <w:t>传</w:t>
      </w:r>
      <w:r>
        <w:rPr>
          <w:rFonts w:ascii="宋体" w:hAnsi="宋体" w:eastAsia="宋体" w:cs="宋体"/>
          <w:spacing w:val="14"/>
          <w:sz w:val="20"/>
          <w:szCs w:val="20"/>
        </w:rPr>
        <w:t xml:space="preserve">  </w:t>
      </w:r>
      <w:r>
        <w:rPr>
          <w:rFonts w:ascii="宋体" w:hAnsi="宋体" w:eastAsia="宋体" w:cs="宋体"/>
          <w:spacing w:val="-5"/>
          <w:sz w:val="20"/>
          <w:szCs w:val="20"/>
        </w:rPr>
        <w:t>真</w:t>
      </w:r>
      <w:r>
        <w:rPr>
          <w:rFonts w:ascii="宋体" w:hAnsi="宋体" w:eastAsia="宋体" w:cs="宋体"/>
          <w:spacing w:val="-73"/>
          <w:sz w:val="20"/>
          <w:szCs w:val="20"/>
        </w:rPr>
        <w:t xml:space="preserve"> </w:t>
      </w:r>
      <w:r>
        <w:rPr>
          <w:rFonts w:ascii="宋体" w:hAnsi="宋体" w:eastAsia="宋体" w:cs="宋体"/>
          <w:spacing w:val="-5"/>
          <w:sz w:val="20"/>
          <w:szCs w:val="20"/>
        </w:rPr>
        <w:t>：</w:t>
      </w:r>
      <w:r>
        <w:rPr>
          <w:rFonts w:ascii="宋体" w:hAnsi="宋体" w:eastAsia="宋体" w:cs="宋体"/>
          <w:sz w:val="20"/>
          <w:szCs w:val="20"/>
          <w:u w:val="single" w:color="auto"/>
        </w:rPr>
        <w:t xml:space="preserve">                     </w:t>
      </w:r>
    </w:p>
    <w:p w14:paraId="4DF88C1A">
      <w:pPr>
        <w:spacing w:before="153" w:line="228" w:lineRule="auto"/>
        <w:ind w:left="32"/>
        <w:rPr>
          <w:rFonts w:ascii="宋体" w:hAnsi="宋体" w:eastAsia="宋体" w:cs="宋体"/>
          <w:sz w:val="20"/>
          <w:szCs w:val="20"/>
        </w:rPr>
      </w:pPr>
      <w:r>
        <w:rPr>
          <w:rFonts w:ascii="宋体" w:hAnsi="宋体" w:eastAsia="宋体" w:cs="宋体"/>
          <w:spacing w:val="3"/>
          <w:sz w:val="20"/>
          <w:szCs w:val="20"/>
        </w:rPr>
        <w:t>电子信箱：</w:t>
      </w:r>
      <w:r>
        <w:rPr>
          <w:rFonts w:ascii="宋体" w:hAnsi="宋体" w:eastAsia="宋体" w:cs="宋体"/>
          <w:spacing w:val="5"/>
          <w:sz w:val="20"/>
          <w:szCs w:val="20"/>
          <w:u w:val="single" w:color="auto"/>
        </w:rPr>
        <w:t xml:space="preserve">                  </w:t>
      </w:r>
      <w:r>
        <w:rPr>
          <w:rFonts w:ascii="宋体" w:hAnsi="宋体" w:eastAsia="宋体" w:cs="宋体"/>
          <w:spacing w:val="1"/>
          <w:sz w:val="20"/>
          <w:szCs w:val="20"/>
        </w:rPr>
        <w:t xml:space="preserve">                  </w:t>
      </w:r>
      <w:r>
        <w:rPr>
          <w:rFonts w:ascii="宋体" w:hAnsi="宋体" w:eastAsia="宋体" w:cs="宋体"/>
          <w:spacing w:val="3"/>
          <w:sz w:val="20"/>
          <w:szCs w:val="20"/>
        </w:rPr>
        <w:t>电子信箱：</w:t>
      </w:r>
      <w:r>
        <w:rPr>
          <w:rFonts w:ascii="宋体" w:hAnsi="宋体" w:eastAsia="宋体" w:cs="宋体"/>
          <w:sz w:val="20"/>
          <w:szCs w:val="20"/>
          <w:u w:val="single" w:color="auto"/>
        </w:rPr>
        <w:t xml:space="preserve">                   </w:t>
      </w:r>
    </w:p>
    <w:p w14:paraId="5E488636">
      <w:pPr>
        <w:pStyle w:val="16"/>
        <w:spacing w:line="271" w:lineRule="auto"/>
        <w:ind w:firstLine="208" w:firstLineChars="100"/>
        <w:rPr>
          <w:rFonts w:ascii="宋体" w:hAnsi="宋体" w:eastAsia="宋体" w:cs="宋体"/>
          <w:spacing w:val="4"/>
          <w:sz w:val="20"/>
          <w:szCs w:val="20"/>
        </w:rPr>
      </w:pPr>
    </w:p>
    <w:p w14:paraId="74D13CEF">
      <w:pPr>
        <w:pStyle w:val="16"/>
        <w:spacing w:line="271" w:lineRule="auto"/>
        <w:rPr>
          <w:rFonts w:ascii="宋体" w:hAnsi="宋体" w:eastAsia="宋体" w:cs="宋体"/>
          <w:spacing w:val="4"/>
          <w:sz w:val="20"/>
          <w:szCs w:val="20"/>
        </w:rPr>
      </w:pPr>
      <w:r>
        <w:rPr>
          <w:rFonts w:ascii="宋体" w:hAnsi="宋体" w:eastAsia="宋体" w:cs="宋体"/>
          <w:spacing w:val="4"/>
          <w:sz w:val="20"/>
          <w:szCs w:val="20"/>
        </w:rPr>
        <w:t>开户银行：</w:t>
      </w:r>
      <w:r>
        <w:rPr>
          <w:rFonts w:ascii="宋体" w:hAnsi="宋体" w:eastAsia="宋体" w:cs="宋体"/>
          <w:spacing w:val="4"/>
          <w:sz w:val="20"/>
          <w:szCs w:val="20"/>
          <w:u w:val="single" w:color="auto"/>
        </w:rPr>
        <w:t xml:space="preserve">                   </w:t>
      </w:r>
      <w:r>
        <w:rPr>
          <w:rFonts w:ascii="宋体" w:hAnsi="宋体" w:eastAsia="宋体" w:cs="宋体"/>
          <w:spacing w:val="4"/>
          <w:sz w:val="20"/>
          <w:szCs w:val="20"/>
        </w:rPr>
        <w:t xml:space="preserve">                开户银行：</w:t>
      </w:r>
      <w:r>
        <w:rPr>
          <w:rFonts w:ascii="宋体" w:hAnsi="宋体" w:eastAsia="宋体" w:cs="宋体"/>
          <w:spacing w:val="4"/>
          <w:sz w:val="20"/>
          <w:szCs w:val="20"/>
          <w:u w:val="single" w:color="auto"/>
        </w:rPr>
        <w:t xml:space="preserve">                   </w:t>
      </w:r>
      <w:r>
        <w:rPr>
          <w:rFonts w:ascii="宋体" w:hAnsi="宋体" w:eastAsia="宋体" w:cs="宋体"/>
          <w:spacing w:val="4"/>
          <w:sz w:val="20"/>
          <w:szCs w:val="20"/>
        </w:rPr>
        <w:t xml:space="preserve"> </w:t>
      </w:r>
    </w:p>
    <w:p w14:paraId="04E7A697">
      <w:pPr>
        <w:pStyle w:val="16"/>
        <w:spacing w:line="271" w:lineRule="auto"/>
        <w:rPr>
          <w:rFonts w:ascii="宋体" w:hAnsi="宋体" w:eastAsia="宋体" w:cs="宋体"/>
          <w:spacing w:val="-6"/>
          <w:sz w:val="20"/>
          <w:szCs w:val="20"/>
          <w:u w:val="single" w:color="auto"/>
        </w:rPr>
      </w:pPr>
      <w:r>
        <w:rPr>
          <w:rFonts w:ascii="宋体" w:hAnsi="宋体" w:eastAsia="宋体" w:cs="宋体"/>
          <w:spacing w:val="-5"/>
          <w:sz w:val="20"/>
          <w:szCs w:val="20"/>
        </w:rPr>
        <w:t>账</w:t>
      </w:r>
      <w:r>
        <w:rPr>
          <w:rFonts w:ascii="宋体" w:hAnsi="宋体" w:eastAsia="宋体" w:cs="宋体"/>
          <w:spacing w:val="12"/>
          <w:sz w:val="20"/>
          <w:szCs w:val="20"/>
        </w:rPr>
        <w:t xml:space="preserve">  </w:t>
      </w:r>
      <w:r>
        <w:rPr>
          <w:rFonts w:ascii="宋体" w:hAnsi="宋体" w:eastAsia="宋体" w:cs="宋体"/>
          <w:spacing w:val="-5"/>
          <w:sz w:val="20"/>
          <w:szCs w:val="20"/>
        </w:rPr>
        <w:t>号</w:t>
      </w:r>
      <w:r>
        <w:rPr>
          <w:rFonts w:ascii="宋体" w:hAnsi="宋体" w:eastAsia="宋体" w:cs="宋体"/>
          <w:spacing w:val="-74"/>
          <w:sz w:val="20"/>
          <w:szCs w:val="20"/>
        </w:rPr>
        <w:t xml:space="preserve"> </w:t>
      </w:r>
      <w:r>
        <w:rPr>
          <w:rFonts w:ascii="宋体" w:hAnsi="宋体" w:eastAsia="宋体" w:cs="宋体"/>
          <w:spacing w:val="-5"/>
          <w:sz w:val="20"/>
          <w:szCs w:val="20"/>
        </w:rPr>
        <w:t>：</w:t>
      </w:r>
      <w:r>
        <w:rPr>
          <w:rFonts w:ascii="宋体" w:hAnsi="宋体" w:eastAsia="宋体" w:cs="宋体"/>
          <w:sz w:val="20"/>
          <w:szCs w:val="20"/>
          <w:u w:val="single" w:color="auto"/>
        </w:rPr>
        <w:t xml:space="preserve">                      </w:t>
      </w:r>
      <w:r>
        <w:rPr>
          <w:rFonts w:ascii="宋体" w:hAnsi="宋体" w:eastAsia="宋体" w:cs="宋体"/>
          <w:spacing w:val="6"/>
          <w:sz w:val="20"/>
          <w:szCs w:val="20"/>
        </w:rPr>
        <w:t xml:space="preserve">                </w:t>
      </w:r>
      <w:r>
        <w:rPr>
          <w:rFonts w:ascii="宋体" w:hAnsi="宋体" w:eastAsia="宋体" w:cs="宋体"/>
          <w:spacing w:val="-5"/>
          <w:sz w:val="20"/>
          <w:szCs w:val="20"/>
        </w:rPr>
        <w:t>账</w:t>
      </w:r>
      <w:r>
        <w:rPr>
          <w:rFonts w:ascii="宋体" w:hAnsi="宋体" w:eastAsia="宋体" w:cs="宋体"/>
          <w:spacing w:val="13"/>
          <w:sz w:val="20"/>
          <w:szCs w:val="20"/>
        </w:rPr>
        <w:t xml:space="preserve">  </w:t>
      </w:r>
      <w:r>
        <w:rPr>
          <w:rFonts w:ascii="宋体" w:hAnsi="宋体" w:eastAsia="宋体" w:cs="宋体"/>
          <w:spacing w:val="-5"/>
          <w:sz w:val="20"/>
          <w:szCs w:val="20"/>
        </w:rPr>
        <w:t>号</w:t>
      </w:r>
      <w:r>
        <w:rPr>
          <w:rFonts w:ascii="宋体" w:hAnsi="宋体" w:eastAsia="宋体" w:cs="宋体"/>
          <w:spacing w:val="-74"/>
          <w:sz w:val="20"/>
          <w:szCs w:val="20"/>
        </w:rPr>
        <w:t xml:space="preserve"> </w:t>
      </w:r>
      <w:r>
        <w:rPr>
          <w:rFonts w:ascii="宋体" w:hAnsi="宋体" w:eastAsia="宋体" w:cs="宋体"/>
          <w:spacing w:val="-5"/>
          <w:sz w:val="20"/>
          <w:szCs w:val="20"/>
        </w:rPr>
        <w:t>：</w:t>
      </w:r>
      <w:r>
        <w:rPr>
          <w:rFonts w:ascii="宋体" w:hAnsi="宋体" w:eastAsia="宋体" w:cs="宋体"/>
          <w:spacing w:val="-5"/>
          <w:sz w:val="20"/>
          <w:szCs w:val="20"/>
          <w:u w:val="single" w:color="auto"/>
        </w:rPr>
        <w:t xml:space="preserve">                </w:t>
      </w:r>
      <w:r>
        <w:rPr>
          <w:rFonts w:ascii="宋体" w:hAnsi="宋体" w:eastAsia="宋体" w:cs="宋体"/>
          <w:spacing w:val="-6"/>
          <w:sz w:val="20"/>
          <w:szCs w:val="20"/>
          <w:u w:val="single" w:color="auto"/>
        </w:rPr>
        <w:t xml:space="preserve">      </w:t>
      </w:r>
    </w:p>
    <w:p w14:paraId="13BEDCDB">
      <w:pPr>
        <w:pStyle w:val="2"/>
        <w:spacing w:line="360" w:lineRule="auto"/>
        <w:jc w:val="center"/>
        <w:rPr>
          <w:rFonts w:hint="eastAsia" w:ascii="宋体" w:hAnsi="宋体" w:eastAsia="宋体" w:cs="宋体"/>
          <w:color w:val="auto"/>
          <w:highlight w:val="none"/>
        </w:rPr>
      </w:pPr>
      <w:bookmarkStart w:id="266" w:name="_Toc24103"/>
      <w:r>
        <w:rPr>
          <w:rFonts w:hint="eastAsia" w:ascii="宋体" w:hAnsi="宋体" w:eastAsia="宋体" w:cs="宋体"/>
          <w:color w:val="auto"/>
          <w:highlight w:val="none"/>
        </w:rPr>
        <w:t>第二部分 通用合同条款</w:t>
      </w:r>
      <w:bookmarkEnd w:id="252"/>
      <w:bookmarkEnd w:id="266"/>
    </w:p>
    <w:p w14:paraId="61E64721">
      <w:pPr>
        <w:spacing w:line="360" w:lineRule="auto"/>
        <w:ind w:firstLine="422" w:firstLineChars="200"/>
        <w:rPr>
          <w:rFonts w:hint="eastAsia" w:ascii="宋体" w:hAnsi="宋体" w:eastAsia="宋体" w:cs="宋体"/>
          <w:b/>
          <w:bCs/>
          <w:color w:val="auto"/>
          <w:kern w:val="0"/>
          <w:highlight w:val="none"/>
        </w:rPr>
      </w:pPr>
      <w:r>
        <w:rPr>
          <w:rFonts w:hint="eastAsia" w:ascii="宋体" w:hAnsi="宋体" w:eastAsia="宋体" w:cs="宋体"/>
          <w:b/>
          <w:bCs/>
          <w:color w:val="auto"/>
          <w:kern w:val="0"/>
          <w:highlight w:val="none"/>
        </w:rPr>
        <w:t>采用《建设工程施工合同（示范文本）》（GF—2017—0201）。</w:t>
      </w:r>
    </w:p>
    <w:p w14:paraId="1B061E54">
      <w:pPr>
        <w:outlineLvl w:val="9"/>
        <w:rPr>
          <w:rFonts w:hint="eastAsia" w:ascii="宋体" w:hAnsi="宋体" w:eastAsia="宋体" w:cs="宋体"/>
          <w:color w:val="auto"/>
          <w:sz w:val="30"/>
          <w:szCs w:val="30"/>
          <w:highlight w:val="none"/>
        </w:rPr>
      </w:pPr>
      <w:bookmarkStart w:id="267" w:name="_Toc15440"/>
    </w:p>
    <w:p w14:paraId="1D1FC558">
      <w:pPr>
        <w:outlineLvl w:val="9"/>
        <w:rPr>
          <w:rFonts w:hint="eastAsia" w:ascii="宋体" w:hAnsi="宋体" w:eastAsia="宋体" w:cs="宋体"/>
          <w:color w:val="auto"/>
          <w:sz w:val="30"/>
          <w:szCs w:val="30"/>
          <w:highlight w:val="none"/>
        </w:rPr>
      </w:pPr>
    </w:p>
    <w:p w14:paraId="2218EA04">
      <w:pPr>
        <w:outlineLvl w:val="9"/>
        <w:rPr>
          <w:rFonts w:hint="eastAsia" w:ascii="宋体" w:hAnsi="宋体" w:eastAsia="宋体" w:cs="宋体"/>
          <w:color w:val="auto"/>
          <w:sz w:val="30"/>
          <w:szCs w:val="30"/>
          <w:highlight w:val="none"/>
        </w:rPr>
      </w:pPr>
    </w:p>
    <w:p w14:paraId="3F68CBB2">
      <w:pPr>
        <w:outlineLvl w:val="9"/>
        <w:rPr>
          <w:rFonts w:hint="eastAsia" w:ascii="宋体" w:hAnsi="宋体" w:eastAsia="宋体" w:cs="宋体"/>
          <w:color w:val="auto"/>
          <w:sz w:val="30"/>
          <w:szCs w:val="30"/>
          <w:highlight w:val="none"/>
        </w:rPr>
      </w:pPr>
    </w:p>
    <w:p w14:paraId="7BDD438D">
      <w:pPr>
        <w:outlineLvl w:val="9"/>
        <w:rPr>
          <w:rFonts w:hint="eastAsia" w:ascii="宋体" w:hAnsi="宋体" w:eastAsia="宋体" w:cs="宋体"/>
          <w:color w:val="auto"/>
          <w:sz w:val="30"/>
          <w:szCs w:val="30"/>
          <w:highlight w:val="none"/>
        </w:rPr>
      </w:pPr>
    </w:p>
    <w:p w14:paraId="28ED57A2">
      <w:pPr>
        <w:outlineLvl w:val="9"/>
        <w:rPr>
          <w:rFonts w:hint="eastAsia" w:ascii="宋体" w:hAnsi="宋体" w:eastAsia="宋体" w:cs="宋体"/>
          <w:color w:val="auto"/>
          <w:sz w:val="30"/>
          <w:szCs w:val="30"/>
          <w:highlight w:val="none"/>
        </w:rPr>
      </w:pPr>
    </w:p>
    <w:p w14:paraId="69802BB2">
      <w:pPr>
        <w:outlineLvl w:val="9"/>
        <w:rPr>
          <w:rFonts w:hint="eastAsia" w:ascii="宋体" w:hAnsi="宋体" w:eastAsia="宋体" w:cs="宋体"/>
          <w:color w:val="auto"/>
          <w:sz w:val="30"/>
          <w:szCs w:val="30"/>
          <w:highlight w:val="none"/>
        </w:rPr>
      </w:pPr>
    </w:p>
    <w:p w14:paraId="047D53A2">
      <w:pPr>
        <w:outlineLvl w:val="9"/>
        <w:rPr>
          <w:rFonts w:hint="eastAsia" w:ascii="宋体" w:hAnsi="宋体" w:eastAsia="宋体" w:cs="宋体"/>
          <w:color w:val="auto"/>
          <w:sz w:val="30"/>
          <w:szCs w:val="30"/>
          <w:highlight w:val="none"/>
        </w:rPr>
      </w:pPr>
    </w:p>
    <w:p w14:paraId="5D7BAEA9">
      <w:pPr>
        <w:outlineLvl w:val="9"/>
        <w:rPr>
          <w:rFonts w:hint="eastAsia" w:ascii="宋体" w:hAnsi="宋体" w:eastAsia="宋体" w:cs="宋体"/>
          <w:color w:val="auto"/>
          <w:sz w:val="44"/>
          <w:szCs w:val="44"/>
          <w:highlight w:val="none"/>
        </w:rPr>
      </w:pPr>
    </w:p>
    <w:p w14:paraId="25A017FE">
      <w:pPr>
        <w:pStyle w:val="2"/>
        <w:keepNext w:val="0"/>
        <w:keepLines w:val="0"/>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br w:type="page"/>
      </w:r>
      <w:bookmarkStart w:id="268" w:name="_Toc30290"/>
      <w:r>
        <w:rPr>
          <w:rFonts w:hint="eastAsia" w:ascii="宋体" w:hAnsi="宋体" w:eastAsia="宋体" w:cs="宋体"/>
          <w:color w:val="auto"/>
          <w:sz w:val="44"/>
          <w:szCs w:val="44"/>
          <w:highlight w:val="none"/>
        </w:rPr>
        <w:t>第三部分 专用合同条款</w:t>
      </w:r>
      <w:bookmarkEnd w:id="267"/>
      <w:bookmarkEnd w:id="268"/>
    </w:p>
    <w:p w14:paraId="279616C5">
      <w:pPr>
        <w:spacing w:line="360" w:lineRule="auto"/>
        <w:jc w:val="center"/>
        <w:rPr>
          <w:rFonts w:hint="eastAsia" w:ascii="宋体" w:hAnsi="宋体" w:eastAsia="宋体" w:cs="宋体"/>
          <w:b/>
          <w:bCs/>
          <w:color w:val="auto"/>
          <w:kern w:val="0"/>
          <w:highlight w:val="none"/>
        </w:rPr>
      </w:pPr>
      <w:r>
        <w:rPr>
          <w:rFonts w:hint="eastAsia" w:ascii="宋体" w:hAnsi="宋体" w:eastAsia="宋体" w:cs="宋体"/>
          <w:b/>
          <w:bCs/>
          <w:color w:val="auto"/>
          <w:kern w:val="0"/>
          <w:highlight w:val="none"/>
        </w:rPr>
        <w:t>（注：专用合同条款每一条均应填写完整！）</w:t>
      </w:r>
    </w:p>
    <w:p w14:paraId="7ECB1DF5">
      <w:pPr>
        <w:pStyle w:val="3"/>
        <w:rPr>
          <w:rFonts w:hint="eastAsia" w:ascii="宋体" w:hAnsi="宋体" w:eastAsia="宋体" w:cs="宋体"/>
          <w:color w:val="auto"/>
          <w:highlight w:val="none"/>
        </w:rPr>
      </w:pPr>
      <w:bookmarkStart w:id="269" w:name="_Toc7869"/>
      <w:r>
        <w:rPr>
          <w:rFonts w:hint="eastAsia" w:ascii="宋体" w:hAnsi="宋体" w:eastAsia="宋体" w:cs="宋体"/>
          <w:color w:val="auto"/>
          <w:highlight w:val="none"/>
        </w:rPr>
        <w:t>1. 一般约定</w:t>
      </w:r>
      <w:bookmarkEnd w:id="269"/>
    </w:p>
    <w:p w14:paraId="746431DF">
      <w:pPr>
        <w:pStyle w:val="4"/>
        <w:rPr>
          <w:rFonts w:hint="eastAsia" w:ascii="宋体" w:hAnsi="宋体" w:eastAsia="宋体" w:cs="宋体"/>
          <w:color w:val="auto"/>
          <w:highlight w:val="none"/>
        </w:rPr>
      </w:pPr>
      <w:bookmarkStart w:id="270" w:name="_Toc31903"/>
      <w:bookmarkStart w:id="271" w:name="_Toc17652"/>
      <w:r>
        <w:rPr>
          <w:rFonts w:hint="eastAsia" w:ascii="宋体" w:hAnsi="宋体" w:eastAsia="宋体" w:cs="宋体"/>
          <w:color w:val="auto"/>
          <w:highlight w:val="none"/>
        </w:rPr>
        <w:t>1.1 词语定义</w:t>
      </w:r>
      <w:bookmarkEnd w:id="270"/>
      <w:bookmarkEnd w:id="271"/>
    </w:p>
    <w:p w14:paraId="373D522C">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1.1.1 合同</w:t>
      </w:r>
    </w:p>
    <w:p w14:paraId="479465EA">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1.1.1.10 其他合同文件包括：</w:t>
      </w:r>
      <w:r>
        <w:rPr>
          <w:rFonts w:hint="eastAsia" w:ascii="宋体" w:hAnsi="宋体" w:eastAsia="宋体" w:cs="宋体"/>
          <w:color w:val="auto"/>
          <w:kern w:val="0"/>
          <w:highlight w:val="none"/>
          <w:u w:val="single"/>
        </w:rPr>
        <w:t>自治区建设行政主管部门颁布的建设工程全过程计价规范及多层级工程量清单计算规范，</w:t>
      </w:r>
      <w:r>
        <w:rPr>
          <w:rFonts w:hint="eastAsia" w:ascii="宋体" w:hAnsi="宋体" w:eastAsia="宋体" w:cs="宋体"/>
          <w:color w:val="auto"/>
          <w:kern w:val="0"/>
          <w:highlight w:val="none"/>
          <w:u w:val="single"/>
          <w:lang w:eastAsia="zh-CN"/>
        </w:rPr>
        <w:t>投标（响应）</w:t>
      </w:r>
      <w:r>
        <w:rPr>
          <w:rFonts w:hint="eastAsia" w:ascii="宋体" w:hAnsi="宋体" w:eastAsia="宋体" w:cs="宋体"/>
          <w:color w:val="auto"/>
          <w:kern w:val="0"/>
          <w:highlight w:val="none"/>
          <w:u w:val="single"/>
        </w:rPr>
        <w:t>文件澄清或说明的文件和回复文件，</w:t>
      </w:r>
      <w:r>
        <w:rPr>
          <w:color w:val="auto"/>
          <w:szCs w:val="21"/>
          <w:highlight w:val="none"/>
          <w:u w:val="single"/>
        </w:rPr>
        <w:t>合同履行过程中有关工程的洽商、变更等书面协议书或文件</w:t>
      </w:r>
      <w:r>
        <w:rPr>
          <w:rFonts w:hint="eastAsia" w:ascii="宋体" w:hAnsi="宋体" w:eastAsia="宋体" w:cs="宋体"/>
          <w:color w:val="auto"/>
          <w:highlight w:val="none"/>
        </w:rPr>
        <w:t>。</w:t>
      </w:r>
    </w:p>
    <w:p w14:paraId="1FB6E1F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1.1.2 合同当事人及其他相关方</w:t>
      </w:r>
    </w:p>
    <w:p w14:paraId="2EC228E2">
      <w:pPr>
        <w:spacing w:line="360" w:lineRule="auto"/>
        <w:ind w:firstLine="420" w:firstLineChars="200"/>
        <w:outlineLvl w:val="0"/>
        <w:rPr>
          <w:rFonts w:hint="eastAsia" w:ascii="宋体" w:hAnsi="宋体" w:eastAsia="宋体" w:cs="宋体"/>
          <w:color w:val="auto"/>
          <w:highlight w:val="none"/>
        </w:rPr>
      </w:pPr>
      <w:bookmarkStart w:id="272" w:name="_Toc13942"/>
      <w:r>
        <w:rPr>
          <w:rFonts w:hint="eastAsia" w:ascii="宋体" w:hAnsi="宋体" w:eastAsia="宋体" w:cs="宋体"/>
          <w:color w:val="auto"/>
          <w:highlight w:val="none"/>
        </w:rPr>
        <w:t>1.1.2.4 监理人：</w:t>
      </w:r>
      <w:bookmarkEnd w:id="272"/>
    </w:p>
    <w:p w14:paraId="75CB7B4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名    称：</w:t>
      </w:r>
      <w:r>
        <w:rPr>
          <w:rFonts w:hint="eastAsia" w:ascii="宋体" w:hAnsi="宋体" w:eastAsia="宋体" w:cs="宋体"/>
          <w:color w:val="auto"/>
          <w:highlight w:val="none"/>
          <w:u w:val="single"/>
        </w:rPr>
        <w:t xml:space="preserve">    </w:t>
      </w:r>
      <w:r>
        <w:rPr>
          <w:color w:val="auto"/>
          <w:szCs w:val="21"/>
          <w:highlight w:val="none"/>
          <w:u w:val="single"/>
        </w:rPr>
        <w:t>（成交后填写）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66E9D2D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资质类别和等级：</w:t>
      </w:r>
      <w:r>
        <w:rPr>
          <w:rFonts w:hint="eastAsia" w:ascii="宋体" w:hAnsi="宋体" w:eastAsia="宋体" w:cs="宋体"/>
          <w:color w:val="auto"/>
          <w:highlight w:val="none"/>
          <w:u w:val="single"/>
        </w:rPr>
        <w:t xml:space="preserve">  </w:t>
      </w:r>
      <w:r>
        <w:rPr>
          <w:color w:val="auto"/>
          <w:szCs w:val="21"/>
          <w:highlight w:val="none"/>
          <w:u w:val="single"/>
        </w:rPr>
        <w:t>（成交后填写）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3101871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rPr>
        <w:t xml:space="preserve"> </w:t>
      </w:r>
      <w:r>
        <w:rPr>
          <w:color w:val="auto"/>
          <w:szCs w:val="21"/>
          <w:highlight w:val="none"/>
          <w:u w:val="single"/>
        </w:rPr>
        <w:t>（成交后填写）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379C0EE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rPr>
        <w:t xml:space="preserve"> </w:t>
      </w:r>
      <w:r>
        <w:rPr>
          <w:color w:val="auto"/>
          <w:szCs w:val="21"/>
          <w:highlight w:val="none"/>
          <w:u w:val="single"/>
        </w:rPr>
        <w:t>（成交后填写）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23BDF5D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通信地址：</w:t>
      </w:r>
      <w:r>
        <w:rPr>
          <w:rFonts w:hint="eastAsia" w:ascii="宋体" w:hAnsi="宋体" w:eastAsia="宋体" w:cs="宋体"/>
          <w:color w:val="auto"/>
          <w:highlight w:val="none"/>
          <w:u w:val="single"/>
        </w:rPr>
        <w:t xml:space="preserve"> </w:t>
      </w:r>
      <w:r>
        <w:rPr>
          <w:color w:val="auto"/>
          <w:szCs w:val="21"/>
          <w:highlight w:val="none"/>
          <w:u w:val="single"/>
        </w:rPr>
        <w:t>（成交后填写）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17FA9B9A">
      <w:pPr>
        <w:spacing w:line="360" w:lineRule="auto"/>
        <w:ind w:firstLine="420" w:firstLineChars="200"/>
        <w:outlineLvl w:val="0"/>
        <w:rPr>
          <w:rFonts w:hint="eastAsia" w:ascii="宋体" w:hAnsi="宋体" w:eastAsia="宋体" w:cs="宋体"/>
          <w:color w:val="auto"/>
          <w:highlight w:val="none"/>
        </w:rPr>
      </w:pPr>
      <w:bookmarkStart w:id="273" w:name="_Toc4943"/>
      <w:r>
        <w:rPr>
          <w:rFonts w:hint="eastAsia" w:ascii="宋体" w:hAnsi="宋体" w:eastAsia="宋体" w:cs="宋体"/>
          <w:color w:val="auto"/>
          <w:highlight w:val="none"/>
        </w:rPr>
        <w:t>1.1.2.5 设计人：</w:t>
      </w:r>
      <w:bookmarkEnd w:id="273"/>
    </w:p>
    <w:p w14:paraId="63BB998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名    称：</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w:t>
      </w:r>
    </w:p>
    <w:p w14:paraId="2547AC8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资质类别和等级：</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w:t>
      </w:r>
    </w:p>
    <w:p w14:paraId="2AB5B54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w:t>
      </w:r>
    </w:p>
    <w:p w14:paraId="53E72C5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投诉电话</w:t>
      </w:r>
      <w:r>
        <w:rPr>
          <w:rFonts w:hint="eastAsia" w:ascii="宋体" w:hAnsi="宋体" w:eastAsia="宋体" w:cs="宋体"/>
          <w:color w:val="auto"/>
          <w:highlight w:val="none"/>
        </w:rPr>
        <w:t>：</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2937675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通信地址：</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4E3868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1.1.3 工程和设备</w:t>
      </w:r>
    </w:p>
    <w:p w14:paraId="1CA62818">
      <w:pPr>
        <w:spacing w:line="360" w:lineRule="auto"/>
        <w:ind w:firstLine="420" w:firstLineChars="200"/>
        <w:outlineLvl w:val="0"/>
        <w:rPr>
          <w:rFonts w:hint="eastAsia" w:ascii="宋体" w:hAnsi="宋体" w:eastAsia="宋体" w:cs="宋体"/>
          <w:color w:val="auto"/>
          <w:highlight w:val="none"/>
        </w:rPr>
      </w:pPr>
      <w:bookmarkStart w:id="274" w:name="_Toc16231"/>
      <w:r>
        <w:rPr>
          <w:rFonts w:hint="eastAsia" w:ascii="宋体" w:hAnsi="宋体" w:eastAsia="宋体" w:cs="宋体"/>
          <w:color w:val="auto"/>
          <w:highlight w:val="none"/>
        </w:rPr>
        <w:t>1.1.3.7 作为施工现场组成部分的其他场所包括：</w:t>
      </w:r>
      <w:r>
        <w:rPr>
          <w:rFonts w:hint="eastAsia" w:ascii="宋体" w:hAnsi="宋体" w:eastAsia="宋体" w:cs="宋体"/>
          <w:color w:val="auto"/>
          <w:highlight w:val="none"/>
          <w:u w:val="single"/>
        </w:rPr>
        <w:t xml:space="preserve">   固定材料堆放区、临时材料堆放区 </w:t>
      </w:r>
      <w:r>
        <w:rPr>
          <w:rFonts w:hint="eastAsia" w:ascii="宋体" w:hAnsi="宋体" w:eastAsia="宋体" w:cs="宋体"/>
          <w:color w:val="auto"/>
          <w:highlight w:val="none"/>
        </w:rPr>
        <w:t>。</w:t>
      </w:r>
      <w:bookmarkEnd w:id="274"/>
    </w:p>
    <w:p w14:paraId="221B0BC6">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1.1.3.9 永久占地包括：</w:t>
      </w:r>
      <w:r>
        <w:rPr>
          <w:rFonts w:hint="eastAsia" w:ascii="宋体" w:hAnsi="宋体" w:eastAsia="宋体" w:cs="宋体"/>
          <w:color w:val="auto"/>
          <w:highlight w:val="none"/>
          <w:u w:val="single"/>
        </w:rPr>
        <w:t xml:space="preserve">  </w:t>
      </w:r>
      <w:r>
        <w:rPr>
          <w:color w:val="auto"/>
          <w:highlight w:val="none"/>
          <w:u w:val="single"/>
        </w:rPr>
        <w:t>无</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highlight w:val="none"/>
        </w:rPr>
        <w:t>。</w:t>
      </w:r>
    </w:p>
    <w:p w14:paraId="4CF9F131">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highlight w:val="none"/>
        </w:rPr>
        <w:t>1.1.3.10 临时占地包括：</w:t>
      </w:r>
      <w:r>
        <w:rPr>
          <w:rFonts w:hint="eastAsia" w:ascii="宋体" w:hAnsi="宋体" w:eastAsia="宋体" w:cs="宋体"/>
          <w:color w:val="auto"/>
          <w:highlight w:val="none"/>
          <w:u w:val="single"/>
        </w:rPr>
        <w:t xml:space="preserve">  </w:t>
      </w:r>
      <w:r>
        <w:rPr>
          <w:color w:val="auto"/>
          <w:highlight w:val="none"/>
          <w:u w:val="single"/>
        </w:rPr>
        <w:t>临时设施、运料通道、材料堆放、材料加工等为实施合同工程需临时占用的土地</w:t>
      </w:r>
      <w:r>
        <w:rPr>
          <w:rFonts w:hint="eastAsia" w:ascii="宋体" w:hAnsi="宋体" w:eastAsia="宋体" w:cs="宋体"/>
          <w:color w:val="auto"/>
          <w:kern w:val="0"/>
          <w:highlight w:val="none"/>
        </w:rPr>
        <w:t>。</w:t>
      </w:r>
    </w:p>
    <w:p w14:paraId="5BC74D01">
      <w:pPr>
        <w:pStyle w:val="4"/>
        <w:rPr>
          <w:rFonts w:hint="eastAsia" w:ascii="宋体" w:hAnsi="宋体" w:eastAsia="宋体" w:cs="宋体"/>
          <w:color w:val="auto"/>
          <w:highlight w:val="none"/>
        </w:rPr>
      </w:pPr>
      <w:bookmarkStart w:id="275" w:name="_Toc16494"/>
      <w:bookmarkStart w:id="276" w:name="_Toc10861"/>
      <w:r>
        <w:rPr>
          <w:rFonts w:hint="eastAsia" w:ascii="宋体" w:hAnsi="宋体" w:eastAsia="宋体" w:cs="宋体"/>
          <w:color w:val="auto"/>
          <w:highlight w:val="none"/>
        </w:rPr>
        <w:t>1.3 法律</w:t>
      </w:r>
      <w:bookmarkEnd w:id="275"/>
      <w:bookmarkEnd w:id="276"/>
    </w:p>
    <w:p w14:paraId="3093F4B6">
      <w:pPr>
        <w:autoSpaceDE w:val="0"/>
        <w:autoSpaceDN w:val="0"/>
        <w:adjustRightIn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适用于合同的其他规范性文件：</w:t>
      </w:r>
      <w:r>
        <w:rPr>
          <w:rFonts w:hint="eastAsia" w:ascii="宋体" w:hAnsi="宋体" w:eastAsia="宋体" w:cs="宋体"/>
          <w:color w:val="auto"/>
          <w:highlight w:val="none"/>
          <w:u w:val="single"/>
        </w:rPr>
        <w:t xml:space="preserve">  需要明示的法律、行政法规：《中华人民共和国民法典》《中华人民共和国建筑法》《中华人民共和国安全生产法》《建设工程质量管理条例》，以及其他有关法律、法规</w:t>
      </w:r>
      <w:r>
        <w:rPr>
          <w:rFonts w:hint="eastAsia" w:ascii="宋体" w:hAnsi="宋体" w:eastAsia="宋体" w:cs="宋体"/>
          <w:color w:val="auto"/>
          <w:highlight w:val="none"/>
        </w:rPr>
        <w:t>。</w:t>
      </w:r>
    </w:p>
    <w:p w14:paraId="256A0C09">
      <w:pPr>
        <w:pStyle w:val="4"/>
        <w:rPr>
          <w:rFonts w:hint="eastAsia" w:ascii="宋体" w:hAnsi="宋体" w:eastAsia="宋体" w:cs="宋体"/>
          <w:color w:val="auto"/>
          <w:highlight w:val="none"/>
        </w:rPr>
      </w:pPr>
      <w:bookmarkStart w:id="277" w:name="_Toc16410"/>
      <w:bookmarkStart w:id="278" w:name="_Toc1492"/>
      <w:r>
        <w:rPr>
          <w:rFonts w:hint="eastAsia" w:ascii="宋体" w:hAnsi="宋体" w:eastAsia="宋体" w:cs="宋体"/>
          <w:color w:val="auto"/>
          <w:highlight w:val="none"/>
        </w:rPr>
        <w:t>1.4 标准和规范</w:t>
      </w:r>
      <w:bookmarkEnd w:id="277"/>
      <w:bookmarkEnd w:id="278"/>
    </w:p>
    <w:p w14:paraId="73DC3396">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1.4.1 适用于工程的标准规范包括：</w:t>
      </w:r>
      <w:r>
        <w:rPr>
          <w:rFonts w:hint="eastAsia" w:ascii="宋体" w:hAnsi="宋体" w:eastAsia="宋体" w:cs="宋体"/>
          <w:color w:val="auto"/>
          <w:highlight w:val="none"/>
          <w:u w:val="single"/>
        </w:rPr>
        <w:t xml:space="preserve"> </w:t>
      </w:r>
      <w:r>
        <w:rPr>
          <w:rFonts w:ascii="Times New Roman" w:hAnsi="Times New Roman"/>
          <w:color w:val="auto"/>
          <w:szCs w:val="21"/>
          <w:highlight w:val="none"/>
          <w:u w:val="single"/>
        </w:rPr>
        <w:t>执行国家、行业和地方颁布的所有现行建筑工程及相关现行工程验收规范、质量检验评定标准；</w:t>
      </w:r>
      <w:r>
        <w:rPr>
          <w:rFonts w:hint="eastAsia" w:ascii="Times New Roman" w:hAnsi="Times New Roman"/>
          <w:color w:val="auto"/>
          <w:szCs w:val="21"/>
          <w:highlight w:val="none"/>
          <w:u w:val="single"/>
          <w:lang w:eastAsia="zh-CN"/>
        </w:rPr>
        <w:t>根据</w:t>
      </w:r>
      <w:r>
        <w:rPr>
          <w:rFonts w:hint="eastAsia" w:ascii="Times New Roman" w:hAnsi="Times New Roman"/>
          <w:color w:val="auto"/>
          <w:szCs w:val="21"/>
          <w:highlight w:val="none"/>
          <w:u w:val="single"/>
        </w:rPr>
        <w:t>《灌溉与排水工程设计标准》(GB50288-2018)、《渠道防渗衬砌工程技术标准》(GB/T50600-2020)，本工程渠道防渗等级为IV级，建筑物级别为5级，渠道防渗衬砌工程合理使用年限为20年。</w:t>
      </w:r>
      <w:r>
        <w:rPr>
          <w:rFonts w:ascii="Times New Roman" w:hAnsi="Times New Roman"/>
          <w:color w:val="auto"/>
          <w:szCs w:val="21"/>
          <w:highlight w:val="none"/>
          <w:u w:val="single"/>
        </w:rPr>
        <w:t>若上述标准和规范作出修改时，则以修订后的新标准和规范为准</w:t>
      </w:r>
      <w:r>
        <w:rPr>
          <w:rFonts w:hint="eastAsia" w:ascii="宋体" w:hAnsi="宋体" w:eastAsia="宋体" w:cs="宋体"/>
          <w:color w:val="auto"/>
          <w:highlight w:val="none"/>
        </w:rPr>
        <w:t>。</w:t>
      </w:r>
    </w:p>
    <w:p w14:paraId="032F4E53">
      <w:pPr>
        <w:spacing w:line="360" w:lineRule="auto"/>
        <w:rPr>
          <w:rFonts w:hint="eastAsia" w:ascii="宋体" w:hAnsi="宋体" w:eastAsia="宋体" w:cs="宋体"/>
          <w:color w:val="auto"/>
          <w:kern w:val="0"/>
          <w:highlight w:val="none"/>
        </w:rPr>
      </w:pPr>
      <w:r>
        <w:rPr>
          <w:rFonts w:hint="eastAsia" w:ascii="宋体" w:hAnsi="宋体" w:eastAsia="宋体" w:cs="宋体"/>
          <w:color w:val="auto"/>
          <w:kern w:val="0"/>
          <w:highlight w:val="none"/>
        </w:rPr>
        <w:t>1.4.2 发包人提供国外标准、规范的名称：</w:t>
      </w:r>
      <w:r>
        <w:rPr>
          <w:rFonts w:hint="eastAsia" w:ascii="宋体" w:hAnsi="宋体" w:eastAsia="宋体" w:cs="宋体"/>
          <w:color w:val="auto"/>
          <w:highlight w:val="none"/>
          <w:u w:val="single"/>
        </w:rPr>
        <w:t xml:space="preserve">  </w:t>
      </w:r>
      <w:r>
        <w:rPr>
          <w:rFonts w:ascii="Times New Roman" w:hAnsi="Times New Roman"/>
          <w:color w:val="auto"/>
          <w:kern w:val="2"/>
          <w:sz w:val="21"/>
          <w:szCs w:val="21"/>
          <w:highlight w:val="none"/>
          <w:u w:val="single"/>
        </w:rPr>
        <w:t>无</w:t>
      </w:r>
      <w:r>
        <w:rPr>
          <w:rFonts w:hint="eastAsia" w:ascii="宋体" w:hAnsi="宋体" w:eastAsia="宋体" w:cs="宋体"/>
          <w:color w:val="auto"/>
          <w:highlight w:val="none"/>
        </w:rPr>
        <w:t>；</w:t>
      </w:r>
    </w:p>
    <w:p w14:paraId="223569DA">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发包人提供国外标准、规范的份数：</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highlight w:val="none"/>
          <w:u w:val="single"/>
        </w:rPr>
        <w:t xml:space="preserve"> </w:t>
      </w:r>
      <w:r>
        <w:rPr>
          <w:rFonts w:ascii="Times New Roman" w:hAnsi="Times New Roman"/>
          <w:color w:val="auto"/>
          <w:kern w:val="2"/>
          <w:sz w:val="21"/>
          <w:szCs w:val="21"/>
          <w:highlight w:val="none"/>
          <w:u w:val="single"/>
        </w:rPr>
        <w:t>无</w:t>
      </w:r>
      <w:r>
        <w:rPr>
          <w:rFonts w:hint="eastAsia" w:ascii="宋体" w:hAnsi="宋体" w:eastAsia="宋体" w:cs="宋体"/>
          <w:color w:val="auto"/>
          <w:kern w:val="0"/>
          <w:highlight w:val="none"/>
        </w:rPr>
        <w:t>；</w:t>
      </w:r>
    </w:p>
    <w:p w14:paraId="4CC602DA">
      <w:pPr>
        <w:spacing w:line="360" w:lineRule="auto"/>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kern w:val="0"/>
          <w:highlight w:val="none"/>
        </w:rPr>
        <w:t>发包人提供国外标准、规范的名称：</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highlight w:val="none"/>
          <w:u w:val="single"/>
        </w:rPr>
        <w:t xml:space="preserve"> </w:t>
      </w:r>
      <w:r>
        <w:rPr>
          <w:rFonts w:ascii="Times New Roman" w:hAnsi="Times New Roman"/>
          <w:color w:val="auto"/>
          <w:kern w:val="2"/>
          <w:sz w:val="21"/>
          <w:szCs w:val="21"/>
          <w:highlight w:val="none"/>
          <w:u w:val="single"/>
        </w:rPr>
        <w:t>无</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lang w:eastAsia="zh-CN"/>
        </w:rPr>
        <w:t>。</w:t>
      </w:r>
    </w:p>
    <w:p w14:paraId="642170D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1.4.3 发包人对工程的技术标准和功能要求的特殊要求：</w:t>
      </w:r>
      <w:r>
        <w:rPr>
          <w:rFonts w:hint="eastAsia" w:ascii="宋体" w:hAnsi="宋体" w:eastAsia="宋体" w:cs="宋体"/>
          <w:color w:val="auto"/>
          <w:highlight w:val="none"/>
          <w:u w:val="single"/>
        </w:rPr>
        <w:t xml:space="preserve">   </w:t>
      </w:r>
      <w:r>
        <w:rPr>
          <w:rFonts w:ascii="Times New Roman" w:hAnsi="Times New Roman"/>
          <w:color w:val="auto"/>
          <w:kern w:val="2"/>
          <w:sz w:val="21"/>
          <w:szCs w:val="21"/>
          <w:highlight w:val="none"/>
          <w:u w:val="single"/>
        </w:rPr>
        <w:t>无</w:t>
      </w:r>
      <w:r>
        <w:rPr>
          <w:rFonts w:hint="eastAsia" w:ascii="宋体" w:hAnsi="宋体" w:eastAsia="宋体" w:cs="宋体"/>
          <w:color w:val="auto"/>
          <w:highlight w:val="none"/>
        </w:rPr>
        <w:t>。</w:t>
      </w:r>
    </w:p>
    <w:p w14:paraId="031A2A37">
      <w:pPr>
        <w:pStyle w:val="4"/>
        <w:rPr>
          <w:rFonts w:hint="eastAsia" w:ascii="宋体" w:hAnsi="宋体" w:eastAsia="宋体" w:cs="宋体"/>
          <w:color w:val="auto"/>
          <w:highlight w:val="none"/>
        </w:rPr>
      </w:pPr>
      <w:bookmarkStart w:id="279" w:name="_Toc5118"/>
      <w:bookmarkStart w:id="280" w:name="_Toc21404"/>
      <w:r>
        <w:rPr>
          <w:rFonts w:hint="eastAsia" w:ascii="宋体" w:hAnsi="宋体" w:eastAsia="宋体" w:cs="宋体"/>
          <w:color w:val="auto"/>
          <w:highlight w:val="none"/>
        </w:rPr>
        <w:t>1.5 合同文件的优先顺序</w:t>
      </w:r>
      <w:bookmarkEnd w:id="279"/>
      <w:bookmarkEnd w:id="280"/>
    </w:p>
    <w:p w14:paraId="42D5C57D">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highlight w:val="none"/>
        </w:rPr>
        <w:t>合同文件组成及优先顺序为：</w:t>
      </w:r>
    </w:p>
    <w:p w14:paraId="509B8585">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1</w:t>
      </w:r>
      <w:r>
        <w:rPr>
          <w:rFonts w:hint="eastAsia" w:ascii="宋体" w:hAnsi="宋体" w:eastAsia="宋体" w:cs="宋体"/>
          <w:color w:val="auto"/>
          <w:kern w:val="0"/>
          <w:highlight w:val="none"/>
        </w:rPr>
        <w:t>）合同协议书；</w:t>
      </w:r>
    </w:p>
    <w:p w14:paraId="19574F60">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2</w:t>
      </w: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成交</w:t>
      </w:r>
      <w:r>
        <w:rPr>
          <w:rFonts w:hint="eastAsia" w:ascii="宋体" w:hAnsi="宋体" w:eastAsia="宋体" w:cs="宋体"/>
          <w:color w:val="auto"/>
          <w:kern w:val="0"/>
          <w:highlight w:val="none"/>
        </w:rPr>
        <w:t>通知书；</w:t>
      </w:r>
    </w:p>
    <w:p w14:paraId="2AB31B23">
      <w:pPr>
        <w:spacing w:line="360" w:lineRule="auto"/>
        <w:ind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3</w:t>
      </w: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响应</w:t>
      </w:r>
      <w:r>
        <w:rPr>
          <w:rFonts w:hint="eastAsia" w:ascii="宋体" w:hAnsi="宋体" w:eastAsia="宋体" w:cs="宋体"/>
          <w:color w:val="auto"/>
          <w:kern w:val="0"/>
          <w:highlight w:val="none"/>
        </w:rPr>
        <w:t>函及</w:t>
      </w:r>
      <w:r>
        <w:rPr>
          <w:rFonts w:hint="eastAsia" w:ascii="宋体" w:hAnsi="宋体" w:eastAsia="宋体" w:cs="宋体"/>
          <w:color w:val="auto"/>
          <w:kern w:val="0"/>
          <w:highlight w:val="none"/>
          <w:lang w:val="en-US" w:eastAsia="zh-CN"/>
        </w:rPr>
        <w:t>响应</w:t>
      </w:r>
      <w:r>
        <w:rPr>
          <w:rFonts w:hint="eastAsia" w:ascii="宋体" w:hAnsi="宋体" w:eastAsia="宋体" w:cs="宋体"/>
          <w:color w:val="auto"/>
          <w:kern w:val="0"/>
          <w:highlight w:val="none"/>
        </w:rPr>
        <w:t>函附录；</w:t>
      </w:r>
    </w:p>
    <w:p w14:paraId="74A6EB2B">
      <w:pPr>
        <w:spacing w:line="360" w:lineRule="auto"/>
        <w:ind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4</w:t>
      </w:r>
      <w:r>
        <w:rPr>
          <w:rFonts w:hint="eastAsia" w:ascii="宋体" w:hAnsi="宋体" w:eastAsia="宋体" w:cs="宋体"/>
          <w:color w:val="auto"/>
          <w:kern w:val="0"/>
          <w:highlight w:val="none"/>
        </w:rPr>
        <w:t>）专用合同条款；</w:t>
      </w:r>
    </w:p>
    <w:p w14:paraId="6B1717B3">
      <w:pPr>
        <w:spacing w:line="360" w:lineRule="auto"/>
        <w:ind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5</w:t>
      </w:r>
      <w:r>
        <w:rPr>
          <w:rFonts w:hint="eastAsia" w:ascii="宋体" w:hAnsi="宋体" w:eastAsia="宋体" w:cs="宋体"/>
          <w:color w:val="auto"/>
          <w:kern w:val="0"/>
          <w:highlight w:val="none"/>
        </w:rPr>
        <w:t>）通用合同条款；</w:t>
      </w:r>
    </w:p>
    <w:p w14:paraId="178FEB9B">
      <w:pPr>
        <w:spacing w:line="360" w:lineRule="auto"/>
        <w:ind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6</w:t>
      </w:r>
      <w:r>
        <w:rPr>
          <w:rFonts w:hint="eastAsia" w:ascii="宋体" w:hAnsi="宋体" w:eastAsia="宋体" w:cs="宋体"/>
          <w:color w:val="auto"/>
          <w:kern w:val="0"/>
          <w:highlight w:val="none"/>
        </w:rPr>
        <w:t>）技术标准和要求；</w:t>
      </w:r>
    </w:p>
    <w:p w14:paraId="7A35FA24">
      <w:pPr>
        <w:spacing w:line="360" w:lineRule="auto"/>
        <w:ind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7</w:t>
      </w:r>
      <w:r>
        <w:rPr>
          <w:rFonts w:hint="eastAsia" w:ascii="宋体" w:hAnsi="宋体" w:eastAsia="宋体" w:cs="宋体"/>
          <w:color w:val="auto"/>
          <w:kern w:val="0"/>
          <w:highlight w:val="none"/>
        </w:rPr>
        <w:t>）图纸；</w:t>
      </w:r>
    </w:p>
    <w:p w14:paraId="06CD1302">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8</w:t>
      </w:r>
      <w:r>
        <w:rPr>
          <w:rFonts w:hint="eastAsia" w:ascii="宋体" w:hAnsi="宋体" w:eastAsia="宋体" w:cs="宋体"/>
          <w:color w:val="auto"/>
          <w:kern w:val="0"/>
          <w:highlight w:val="none"/>
        </w:rPr>
        <w:t>）已标价工程量清单；</w:t>
      </w:r>
    </w:p>
    <w:p w14:paraId="77C281A8">
      <w:pPr>
        <w:autoSpaceDE/>
        <w:autoSpaceDN/>
        <w:adjustRightInd/>
        <w:spacing w:line="360" w:lineRule="auto"/>
        <w:ind w:firstLine="420" w:firstLineChars="200"/>
        <w:jc w:val="left"/>
        <w:rPr>
          <w:rFonts w:hint="eastAsia" w:ascii="宋体" w:hAnsi="宋体" w:eastAsia="宋体" w:cs="宋体"/>
          <w:color w:val="auto"/>
          <w:kern w:val="0"/>
          <w:highlight w:val="none"/>
          <w:u w:val="none"/>
        </w:rPr>
      </w:pP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9</w:t>
      </w:r>
      <w:r>
        <w:rPr>
          <w:rFonts w:hint="eastAsia" w:ascii="宋体" w:hAnsi="宋体" w:eastAsia="宋体" w:cs="宋体"/>
          <w:color w:val="auto"/>
          <w:kern w:val="0"/>
          <w:highlight w:val="none"/>
        </w:rPr>
        <w:t>）</w:t>
      </w:r>
      <w:r>
        <w:rPr>
          <w:rFonts w:hint="eastAsia" w:ascii="宋体" w:hAnsi="宋体" w:eastAsia="宋体" w:cs="宋体"/>
          <w:color w:val="auto"/>
          <w:kern w:val="0"/>
          <w:highlight w:val="none"/>
          <w:u w:val="none"/>
        </w:rPr>
        <w:t>其他合同文件：</w:t>
      </w:r>
    </w:p>
    <w:p w14:paraId="0841DE0B">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上述各项合同文件包括合同当事人就该项合同文件所作出的补充和修改，属于同一类内容的文件，应以最新签署的为准（违反</w:t>
      </w:r>
      <w:r>
        <w:rPr>
          <w:rFonts w:hint="eastAsia" w:ascii="宋体" w:hAnsi="宋体" w:eastAsia="宋体" w:cs="宋体"/>
          <w:color w:val="auto"/>
          <w:kern w:val="0"/>
          <w:highlight w:val="none"/>
          <w:lang w:val="en-US" w:eastAsia="zh-CN"/>
        </w:rPr>
        <w:t>采购</w:t>
      </w:r>
      <w:r>
        <w:rPr>
          <w:rFonts w:hint="eastAsia" w:ascii="宋体" w:hAnsi="宋体" w:eastAsia="宋体" w:cs="宋体"/>
          <w:color w:val="auto"/>
          <w:kern w:val="0"/>
          <w:highlight w:val="none"/>
        </w:rPr>
        <w:t>文件实质性内容的约定除外）。专用合同条款及其附件须经合同当事人签字或盖章。</w:t>
      </w:r>
    </w:p>
    <w:p w14:paraId="7D79D6AC">
      <w:pPr>
        <w:pStyle w:val="4"/>
        <w:rPr>
          <w:rFonts w:hint="eastAsia" w:ascii="宋体" w:hAnsi="宋体" w:eastAsia="宋体" w:cs="宋体"/>
          <w:color w:val="auto"/>
          <w:highlight w:val="none"/>
        </w:rPr>
      </w:pPr>
      <w:bookmarkStart w:id="281" w:name="_Toc24316"/>
      <w:bookmarkStart w:id="282" w:name="_Toc25614"/>
      <w:r>
        <w:rPr>
          <w:rFonts w:hint="eastAsia" w:ascii="宋体" w:hAnsi="宋体" w:eastAsia="宋体" w:cs="宋体"/>
          <w:color w:val="auto"/>
          <w:highlight w:val="none"/>
        </w:rPr>
        <w:t>1.6 图纸和承包人文件</w:t>
      </w:r>
      <w:bookmarkEnd w:id="281"/>
      <w:bookmarkEnd w:id="282"/>
      <w:r>
        <w:rPr>
          <w:rFonts w:hint="eastAsia" w:ascii="宋体" w:hAnsi="宋体" w:eastAsia="宋体" w:cs="宋体"/>
          <w:color w:val="auto"/>
          <w:highlight w:val="none"/>
        </w:rPr>
        <w:tab/>
      </w:r>
    </w:p>
    <w:p w14:paraId="63C2943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1.6.1 图纸的提供</w:t>
      </w:r>
    </w:p>
    <w:p w14:paraId="3151156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发包人向承包人提供图纸的期限：</w:t>
      </w:r>
      <w:r>
        <w:rPr>
          <w:rFonts w:hint="eastAsia" w:ascii="宋体" w:hAnsi="宋体" w:eastAsia="宋体" w:cs="宋体"/>
          <w:color w:val="auto"/>
          <w:highlight w:val="none"/>
          <w:u w:val="single"/>
        </w:rPr>
        <w:t xml:space="preserve"> </w:t>
      </w:r>
      <w:r>
        <w:rPr>
          <w:rFonts w:ascii="Times New Roman" w:hAnsi="Times New Roman"/>
          <w:color w:val="auto"/>
          <w:kern w:val="2"/>
          <w:sz w:val="21"/>
          <w:szCs w:val="21"/>
          <w:highlight w:val="none"/>
          <w:u w:val="single"/>
        </w:rPr>
        <w:t>合同签订后</w:t>
      </w:r>
      <w:r>
        <w:rPr>
          <w:rFonts w:hint="eastAsia" w:ascii="Times New Roman" w:hAnsi="Times New Roman"/>
          <w:color w:val="auto"/>
          <w:kern w:val="2"/>
          <w:sz w:val="21"/>
          <w:szCs w:val="21"/>
          <w:highlight w:val="none"/>
          <w:u w:val="single"/>
          <w:lang w:val="en-US" w:eastAsia="zh-CN"/>
        </w:rPr>
        <w:t>1</w:t>
      </w:r>
      <w:r>
        <w:rPr>
          <w:rFonts w:ascii="Times New Roman" w:hAnsi="Times New Roman"/>
          <w:color w:val="auto"/>
          <w:kern w:val="2"/>
          <w:sz w:val="21"/>
          <w:szCs w:val="21"/>
          <w:highlight w:val="none"/>
          <w:u w:val="single"/>
        </w:rPr>
        <w:t>个工作日内</w:t>
      </w:r>
      <w:r>
        <w:rPr>
          <w:rFonts w:hint="eastAsia" w:ascii="宋体" w:hAnsi="宋体" w:eastAsia="宋体" w:cs="宋体"/>
          <w:color w:val="auto"/>
          <w:highlight w:val="none"/>
        </w:rPr>
        <w:t>；</w:t>
      </w:r>
    </w:p>
    <w:p w14:paraId="376E503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发包人向承包人提供图纸的数量：</w:t>
      </w:r>
      <w:r>
        <w:rPr>
          <w:rFonts w:hint="eastAsia" w:ascii="宋体" w:hAnsi="宋体" w:eastAsia="宋体" w:cs="宋体"/>
          <w:color w:val="auto"/>
          <w:highlight w:val="none"/>
          <w:u w:val="single"/>
        </w:rPr>
        <w:t xml:space="preserve"> </w:t>
      </w:r>
      <w:r>
        <w:rPr>
          <w:rFonts w:ascii="Times New Roman" w:hAnsi="Times New Roman"/>
          <w:color w:val="auto"/>
          <w:kern w:val="2"/>
          <w:sz w:val="21"/>
          <w:szCs w:val="21"/>
          <w:highlight w:val="none"/>
          <w:u w:val="single"/>
        </w:rPr>
        <w:t>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套（承包人需要增加图纸套数的，发包人应代为复制，复制费用由承包人承担）；</w:t>
      </w:r>
    </w:p>
    <w:p w14:paraId="4338364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发包人向承包人提供图纸的内容：</w:t>
      </w:r>
      <w:r>
        <w:rPr>
          <w:rFonts w:hint="eastAsia" w:ascii="宋体" w:hAnsi="宋体" w:eastAsia="宋体" w:cs="宋体"/>
          <w:color w:val="auto"/>
          <w:highlight w:val="none"/>
          <w:u w:val="single"/>
        </w:rPr>
        <w:t xml:space="preserve"> </w:t>
      </w:r>
      <w:r>
        <w:rPr>
          <w:rFonts w:ascii="Times New Roman" w:hAnsi="Times New Roman"/>
          <w:color w:val="auto"/>
          <w:kern w:val="2"/>
          <w:sz w:val="21"/>
          <w:szCs w:val="32"/>
          <w:highlight w:val="none"/>
          <w:u w:val="single"/>
        </w:rPr>
        <w:t>本合同发包内容中的全部图纸（含设计变更）及补充文件</w:t>
      </w:r>
      <w:r>
        <w:rPr>
          <w:rFonts w:hint="eastAsia" w:ascii="宋体" w:hAnsi="宋体" w:eastAsia="宋体" w:cs="宋体"/>
          <w:color w:val="auto"/>
          <w:highlight w:val="none"/>
        </w:rPr>
        <w:t>。</w:t>
      </w:r>
    </w:p>
    <w:p w14:paraId="3E7E399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1.6.4 承包人文件</w:t>
      </w:r>
    </w:p>
    <w:p w14:paraId="40496534">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需要由承包人提供的文件，包括：</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r>
        <w:rPr>
          <w:color w:val="auto"/>
          <w:szCs w:val="21"/>
          <w:highlight w:val="none"/>
          <w:u w:val="single"/>
        </w:rPr>
        <w:t>（1）施工组织设计、总平面布置图、施工进度网络计划、项目管理机构等；（2）有关的专项施工方案、二次深化设计文件、必要的加工图和大样图；（3）工程竣工备案资料（含竣工图）、工程结算书及</w:t>
      </w:r>
      <w:r>
        <w:rPr>
          <w:rFonts w:ascii="Times New Roman" w:hAnsi="Times New Roman"/>
          <w:color w:val="auto"/>
          <w:sz w:val="21"/>
          <w:szCs w:val="21"/>
          <w:highlight w:val="none"/>
          <w:u w:val="single"/>
        </w:rPr>
        <w:t>相关支撑</w:t>
      </w:r>
      <w:r>
        <w:rPr>
          <w:color w:val="auto"/>
          <w:szCs w:val="21"/>
          <w:highlight w:val="none"/>
          <w:u w:val="single"/>
        </w:rPr>
        <w:t>资料等</w:t>
      </w:r>
      <w:r>
        <w:rPr>
          <w:rFonts w:hint="eastAsia" w:ascii="宋体" w:hAnsi="宋体" w:eastAsia="宋体" w:cs="宋体"/>
          <w:color w:val="auto"/>
          <w:highlight w:val="none"/>
        </w:rPr>
        <w:t>；</w:t>
      </w:r>
    </w:p>
    <w:p w14:paraId="606E997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承包人提供的文件的期限为：</w:t>
      </w:r>
      <w:r>
        <w:rPr>
          <w:rFonts w:hint="eastAsia" w:ascii="宋体" w:hAnsi="宋体" w:eastAsia="宋体" w:cs="宋体"/>
          <w:color w:val="auto"/>
          <w:highlight w:val="none"/>
          <w:u w:val="single"/>
        </w:rPr>
        <w:t xml:space="preserve"> </w:t>
      </w:r>
      <w:r>
        <w:rPr>
          <w:color w:val="auto"/>
          <w:szCs w:val="21"/>
          <w:highlight w:val="none"/>
          <w:u w:val="single"/>
        </w:rPr>
        <w:t>（1）以上第（1）部分内容的资料在签订合同之日起1日内；（2）以上第（2）部分内容的资料在项目计划实施前5日内；（3）</w:t>
      </w:r>
      <w:r>
        <w:rPr>
          <w:rFonts w:ascii="Times New Roman" w:hAnsi="Times New Roman" w:eastAsia="宋体" w:cs="Times New Roman"/>
          <w:color w:val="auto"/>
          <w:sz w:val="21"/>
          <w:szCs w:val="21"/>
          <w:highlight w:val="none"/>
          <w:u w:val="single"/>
        </w:rPr>
        <w:t>工程竣工备案资料（含竣工图）在工程竣工验收合格后 28 日内提交；工程结算书及</w:t>
      </w:r>
      <w:r>
        <w:rPr>
          <w:rFonts w:ascii="Times New Roman" w:hAnsi="Times New Roman"/>
          <w:color w:val="auto"/>
          <w:sz w:val="21"/>
          <w:szCs w:val="21"/>
          <w:highlight w:val="none"/>
          <w:u w:val="single"/>
        </w:rPr>
        <w:t>相关支撑</w:t>
      </w:r>
      <w:r>
        <w:rPr>
          <w:rFonts w:ascii="Times New Roman" w:hAnsi="Times New Roman" w:eastAsia="宋体" w:cs="Times New Roman"/>
          <w:color w:val="auto"/>
          <w:sz w:val="21"/>
          <w:szCs w:val="21"/>
          <w:highlight w:val="none"/>
          <w:u w:val="single"/>
        </w:rPr>
        <w:t>资料在工程竣工验收合格后 60 日内提交</w:t>
      </w:r>
      <w:r>
        <w:rPr>
          <w:rFonts w:hint="eastAsia" w:ascii="宋体" w:hAnsi="宋体" w:eastAsia="宋体" w:cs="宋体"/>
          <w:color w:val="auto"/>
          <w:highlight w:val="none"/>
        </w:rPr>
        <w:t>；</w:t>
      </w:r>
    </w:p>
    <w:p w14:paraId="22B997A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承包人提供的文件的数量为：</w:t>
      </w:r>
      <w:r>
        <w:rPr>
          <w:rFonts w:hint="eastAsia" w:ascii="宋体" w:hAnsi="宋体" w:eastAsia="宋体" w:cs="宋体"/>
          <w:color w:val="auto"/>
          <w:highlight w:val="none"/>
          <w:u w:val="single"/>
        </w:rPr>
        <w:t xml:space="preserve"> </w:t>
      </w:r>
      <w:r>
        <w:rPr>
          <w:color w:val="auto"/>
          <w:szCs w:val="21"/>
          <w:highlight w:val="none"/>
          <w:u w:val="single"/>
        </w:rPr>
        <w:t>工程竣工备案资料（含竣工图）2套，其余资料均2套</w:t>
      </w:r>
      <w:r>
        <w:rPr>
          <w:rFonts w:hint="eastAsia" w:ascii="宋体" w:hAnsi="宋体" w:eastAsia="宋体" w:cs="宋体"/>
          <w:color w:val="auto"/>
          <w:highlight w:val="none"/>
        </w:rPr>
        <w:t>；</w:t>
      </w:r>
    </w:p>
    <w:p w14:paraId="00E3A7C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承包人提供的文件的形式为：</w:t>
      </w:r>
      <w:r>
        <w:rPr>
          <w:rFonts w:hint="eastAsia" w:ascii="宋体" w:hAnsi="宋体" w:eastAsia="宋体" w:cs="宋体"/>
          <w:color w:val="auto"/>
          <w:highlight w:val="none"/>
          <w:u w:val="single"/>
        </w:rPr>
        <w:t xml:space="preserve"> </w:t>
      </w:r>
      <w:r>
        <w:rPr>
          <w:color w:val="auto"/>
          <w:szCs w:val="21"/>
          <w:highlight w:val="none"/>
          <w:u w:val="single"/>
        </w:rPr>
        <w:t>除提供纸质文件外，还应提供相关信息电子文件及影像文件</w:t>
      </w:r>
      <w:r>
        <w:rPr>
          <w:rFonts w:hint="eastAsia" w:ascii="宋体" w:hAnsi="宋体" w:eastAsia="宋体" w:cs="宋体"/>
          <w:color w:val="auto"/>
          <w:highlight w:val="none"/>
        </w:rPr>
        <w:t>；</w:t>
      </w:r>
    </w:p>
    <w:p w14:paraId="34894F0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发包人审批承包人文件的期限：</w:t>
      </w:r>
      <w:r>
        <w:rPr>
          <w:rFonts w:hint="eastAsia" w:ascii="宋体" w:hAnsi="宋体" w:eastAsia="宋体" w:cs="宋体"/>
          <w:color w:val="auto"/>
          <w:highlight w:val="none"/>
          <w:u w:val="single"/>
        </w:rPr>
        <w:t xml:space="preserve"> </w:t>
      </w:r>
      <w:r>
        <w:rPr>
          <w:color w:val="auto"/>
          <w:szCs w:val="21"/>
          <w:highlight w:val="none"/>
          <w:u w:val="single"/>
        </w:rPr>
        <w:t>（1）以上第（1）部分内容的资料在收到后3日内；（2）以上第（2）部分内容的资料在收到后3日内；（3）以上第（3）部分内容的资料在收到后20日内</w:t>
      </w:r>
      <w:r>
        <w:rPr>
          <w:rFonts w:hint="eastAsia" w:ascii="宋体" w:hAnsi="宋体" w:eastAsia="宋体" w:cs="宋体"/>
          <w:color w:val="auto"/>
          <w:highlight w:val="none"/>
        </w:rPr>
        <w:t>。</w:t>
      </w:r>
    </w:p>
    <w:p w14:paraId="32BCFFF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1.6.5 现场图纸准备</w:t>
      </w:r>
    </w:p>
    <w:p w14:paraId="7D63462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关于现场图纸准备的约定：</w:t>
      </w:r>
      <w:r>
        <w:rPr>
          <w:rFonts w:hint="eastAsia" w:ascii="宋体" w:hAnsi="宋体" w:eastAsia="宋体" w:cs="宋体"/>
          <w:color w:val="auto"/>
          <w:highlight w:val="none"/>
          <w:u w:val="single"/>
        </w:rPr>
        <w:t xml:space="preserve">  </w:t>
      </w:r>
      <w:r>
        <w:rPr>
          <w:color w:val="auto"/>
          <w:highlight w:val="none"/>
          <w:u w:val="single"/>
        </w:rPr>
        <w:t>承包人应在施工现场保留一套完整的施工图纸，供工程师及有关人员进行工程检查时使用，未经发包人同意不许将图纸泄露和转让给第三方</w:t>
      </w:r>
      <w:r>
        <w:rPr>
          <w:rFonts w:hint="eastAsia" w:ascii="宋体" w:hAnsi="宋体" w:eastAsia="宋体" w:cs="宋体"/>
          <w:color w:val="auto"/>
          <w:highlight w:val="none"/>
        </w:rPr>
        <w:t>。</w:t>
      </w:r>
    </w:p>
    <w:p w14:paraId="1D6547FB">
      <w:pPr>
        <w:pStyle w:val="4"/>
        <w:rPr>
          <w:rFonts w:hint="eastAsia" w:ascii="宋体" w:hAnsi="宋体" w:eastAsia="宋体" w:cs="宋体"/>
          <w:color w:val="auto"/>
          <w:highlight w:val="none"/>
        </w:rPr>
      </w:pPr>
      <w:bookmarkStart w:id="283" w:name="_Toc854"/>
      <w:bookmarkStart w:id="284" w:name="_Toc24741"/>
      <w:r>
        <w:rPr>
          <w:rFonts w:hint="eastAsia" w:ascii="宋体" w:hAnsi="宋体" w:eastAsia="宋体" w:cs="宋体"/>
          <w:color w:val="auto"/>
          <w:highlight w:val="none"/>
        </w:rPr>
        <w:t>1.7 联络</w:t>
      </w:r>
      <w:bookmarkEnd w:id="283"/>
      <w:bookmarkEnd w:id="284"/>
    </w:p>
    <w:p w14:paraId="132405DA">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1.7.1发包人和承包人应当在</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3</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highlight w:val="none"/>
        </w:rPr>
        <w:t>天内将与合同有关的通知、批准、证明、证书、指示、指令、要求、请求、同意、意见、确定和决定等书面函件送达对方当事人。</w:t>
      </w:r>
    </w:p>
    <w:p w14:paraId="0ADAA8D7">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1.7.2 发包人接收文件的地点：</w:t>
      </w:r>
      <w:r>
        <w:rPr>
          <w:rFonts w:hint="eastAsia" w:ascii="宋体" w:hAnsi="宋体" w:eastAsia="宋体" w:cs="宋体"/>
          <w:color w:val="auto"/>
          <w:highlight w:val="none"/>
          <w:u w:val="single"/>
        </w:rPr>
        <w:t xml:space="preserve">   </w:t>
      </w:r>
      <w:r>
        <w:rPr>
          <w:color w:val="auto"/>
          <w:highlight w:val="none"/>
          <w:u w:val="single"/>
        </w:rPr>
        <w:t>发包人工程管理机构的办公地点</w:t>
      </w:r>
      <w:r>
        <w:rPr>
          <w:rFonts w:hint="eastAsia" w:ascii="宋体" w:hAnsi="宋体" w:eastAsia="宋体" w:cs="宋体"/>
          <w:color w:val="auto"/>
          <w:kern w:val="0"/>
          <w:highlight w:val="none"/>
        </w:rPr>
        <w:t>；</w:t>
      </w:r>
    </w:p>
    <w:p w14:paraId="390730C6">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发包人指定的接收人为：</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highlight w:val="none"/>
        </w:rPr>
        <w:t>。</w:t>
      </w:r>
    </w:p>
    <w:p w14:paraId="2156190B">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承包人接收文件的地点：</w:t>
      </w:r>
      <w:r>
        <w:rPr>
          <w:rFonts w:hint="eastAsia" w:ascii="宋体" w:hAnsi="宋体" w:eastAsia="宋体" w:cs="宋体"/>
          <w:color w:val="auto"/>
          <w:highlight w:val="none"/>
          <w:u w:val="single"/>
        </w:rPr>
        <w:t xml:space="preserve">   </w:t>
      </w:r>
      <w:r>
        <w:rPr>
          <w:color w:val="auto"/>
          <w:highlight w:val="none"/>
          <w:u w:val="single"/>
        </w:rPr>
        <w:t>承包人施工场地管理机构的办公地点</w:t>
      </w:r>
      <w:r>
        <w:rPr>
          <w:rFonts w:hint="eastAsia" w:ascii="宋体" w:hAnsi="宋体" w:eastAsia="宋体" w:cs="宋体"/>
          <w:color w:val="auto"/>
          <w:kern w:val="0"/>
          <w:highlight w:val="none"/>
        </w:rPr>
        <w:t>；</w:t>
      </w:r>
    </w:p>
    <w:p w14:paraId="5A6BDC4B">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承包人指定的接收人为：</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highlight w:val="none"/>
        </w:rPr>
        <w:t>。</w:t>
      </w:r>
    </w:p>
    <w:p w14:paraId="6E330879">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监理人接收文件的地点：</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highlight w:val="none"/>
        </w:rPr>
        <w:t>；</w:t>
      </w:r>
    </w:p>
    <w:p w14:paraId="5A08B4EB">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监理人指定的接收人为：</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highlight w:val="none"/>
        </w:rPr>
        <w:t>。</w:t>
      </w:r>
    </w:p>
    <w:p w14:paraId="4AAA9035">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注：（1）除合同另有约定外，任何与本合同有关的通知、批准、证明、证书、指示、指令、要求、请求、同意、意见、确定和决定等或其他通讯往来应当采用书面形式并送达至上述列明的地址。除合同另有约定外，任何面呈的通知或其他通讯往来递交并得到签收时视为送达；任何以特快专递方式发出的通知或其他通讯往来在投邮后3个工作日视为送达；任何以邮寄方式发出的通知或其他通讯往来在投邮后7个工作日视为送达；任何以传真方式发出的通知或其他通讯往来在发出时视为送达。任何写上本合同列明的地址邮寄的信件及任何附有收件人已收取传真的传真报告，将视为任何有关通知或其他通讯往来已根据本合同被妥善传递及发出。</w:t>
      </w:r>
    </w:p>
    <w:p w14:paraId="22F9A654">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2）承包人指定的接收人为合同协议书中载明的承包人项目经理本人或者项目经理的授权代表。项目经理委托授权代表作为接受人的，应在收到开工通知后1天内，将其授权代表的姓名、授权范围和签名式样通知监理人和发包人。除合同另有约定外，承包人施工场地管理机构的办公地点即为承包人指定的接收地点。</w:t>
      </w:r>
    </w:p>
    <w:p w14:paraId="0FAA0797">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3）以上任何一方指定的接收人或者接收地点发生变动，应当提前至少一个工作日以书面方式通知其他各方，并应当确保其指定的接收人在法定的和(或)符合合同约定的工作时间内始终工作在指定的接收地点，指定接收人离开工作岗位而无法及时签收来往信函的，构成拒不签收。</w:t>
      </w:r>
    </w:p>
    <w:p w14:paraId="4189C8E1">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4）以上任何一方均应当及时签收另一方送达其指定接收地点的来往信函，拒不签收的，送达信函的一方可以采用挂号或者公证方式送达，由此所造成的直接和间接的费用增加(包括被迫采用特殊送达方式所发生的费用)和(或)延误的工期由拒绝签收一方承担。</w:t>
      </w:r>
    </w:p>
    <w:p w14:paraId="4E779A48">
      <w:pPr>
        <w:pStyle w:val="4"/>
        <w:rPr>
          <w:rFonts w:hint="eastAsia" w:ascii="宋体" w:hAnsi="宋体" w:eastAsia="宋体" w:cs="宋体"/>
          <w:color w:val="auto"/>
          <w:highlight w:val="none"/>
        </w:rPr>
      </w:pPr>
      <w:bookmarkStart w:id="285" w:name="_Toc10879"/>
      <w:bookmarkStart w:id="286" w:name="_Toc24324"/>
      <w:r>
        <w:rPr>
          <w:rFonts w:hint="eastAsia" w:ascii="宋体" w:hAnsi="宋体" w:eastAsia="宋体" w:cs="宋体"/>
          <w:color w:val="auto"/>
          <w:highlight w:val="none"/>
        </w:rPr>
        <w:t>1.10 交通运输</w:t>
      </w:r>
      <w:bookmarkEnd w:id="285"/>
      <w:bookmarkEnd w:id="286"/>
    </w:p>
    <w:p w14:paraId="4D48AA8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1.10.1 出入现场的权利</w:t>
      </w:r>
    </w:p>
    <w:p w14:paraId="11AC8642">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关于出入现场的权利的约定：</w:t>
      </w:r>
      <w:r>
        <w:rPr>
          <w:rFonts w:hint="eastAsia" w:ascii="宋体" w:hAnsi="宋体" w:eastAsia="宋体" w:cs="宋体"/>
          <w:color w:val="auto"/>
          <w:highlight w:val="none"/>
          <w:u w:val="single"/>
        </w:rPr>
        <w:t xml:space="preserve">  </w:t>
      </w:r>
      <w:r>
        <w:rPr>
          <w:rFonts w:ascii="Times New Roman" w:hAnsi="Times New Roman"/>
          <w:color w:val="auto"/>
          <w:sz w:val="21"/>
          <w:szCs w:val="21"/>
          <w:highlight w:val="none"/>
          <w:u w:val="single"/>
        </w:rPr>
        <w:t>由承包人按发包人要求办理出入施工现场所需的批准手续，在发包人确定的路线和活动区域内开展施工，自觉遵守发包人的管理规定</w:t>
      </w:r>
      <w:r>
        <w:rPr>
          <w:rFonts w:hint="eastAsia" w:ascii="宋体" w:hAnsi="宋体" w:eastAsia="宋体" w:cs="宋体"/>
          <w:color w:val="auto"/>
          <w:highlight w:val="none"/>
        </w:rPr>
        <w:t>。</w:t>
      </w:r>
    </w:p>
    <w:p w14:paraId="48F95E4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1.10.3 场内交通</w:t>
      </w:r>
    </w:p>
    <w:p w14:paraId="0AC40422">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关于场外交通和场内交通的边界的约定：</w:t>
      </w:r>
      <w:r>
        <w:rPr>
          <w:rFonts w:hint="eastAsia" w:ascii="宋体" w:hAnsi="宋体" w:eastAsia="宋体" w:cs="宋体"/>
          <w:color w:val="auto"/>
          <w:highlight w:val="none"/>
          <w:u w:val="single"/>
        </w:rPr>
        <w:t xml:space="preserve">   以现场实际施工条件为准</w:t>
      </w:r>
      <w:r>
        <w:rPr>
          <w:rFonts w:hint="eastAsia" w:ascii="宋体" w:hAnsi="宋体" w:eastAsia="宋体" w:cs="宋体"/>
          <w:color w:val="auto"/>
          <w:highlight w:val="none"/>
        </w:rPr>
        <w:t>。</w:t>
      </w:r>
    </w:p>
    <w:p w14:paraId="5D788EA8">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关于发包人向承包人免费提供满足工程施工需要的场内道路和交通设施的约定：</w:t>
      </w:r>
      <w:r>
        <w:rPr>
          <w:rFonts w:hint="eastAsia" w:ascii="宋体" w:hAnsi="宋体" w:eastAsia="宋体" w:cs="宋体"/>
          <w:color w:val="auto"/>
          <w:highlight w:val="none"/>
          <w:u w:val="single"/>
          <w:lang w:eastAsia="zh-CN"/>
        </w:rPr>
        <w:t xml:space="preserve"> </w:t>
      </w:r>
      <w:r>
        <w:rPr>
          <w:rFonts w:ascii="Times New Roman" w:hAnsi="Times New Roman"/>
          <w:color w:val="auto"/>
          <w:szCs w:val="21"/>
          <w:highlight w:val="none"/>
          <w:u w:val="single"/>
        </w:rPr>
        <w:t>不提供，承包人自理</w:t>
      </w:r>
      <w:r>
        <w:rPr>
          <w:rFonts w:hint="eastAsia" w:ascii="宋体" w:hAnsi="宋体" w:eastAsia="宋体" w:cs="宋体"/>
          <w:color w:val="auto"/>
          <w:highlight w:val="none"/>
        </w:rPr>
        <w:t>。</w:t>
      </w:r>
    </w:p>
    <w:p w14:paraId="458AA0CB">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1.10.4 超大件和超重件的运输</w:t>
      </w:r>
    </w:p>
    <w:p w14:paraId="384DE674">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运输超大件或超重件所需的道路和桥梁临时加固改造费用和其他有关费用由</w:t>
      </w:r>
      <w:r>
        <w:rPr>
          <w:rFonts w:hint="eastAsia" w:ascii="宋体" w:hAnsi="宋体" w:eastAsia="宋体" w:cs="宋体"/>
          <w:color w:val="auto"/>
          <w:highlight w:val="none"/>
          <w:u w:val="single"/>
        </w:rPr>
        <w:t xml:space="preserve">  </w:t>
      </w:r>
      <w:r>
        <w:rPr>
          <w:rFonts w:ascii="Times New Roman" w:hAnsi="Times New Roman"/>
          <w:color w:val="auto"/>
          <w:kern w:val="2"/>
          <w:sz w:val="21"/>
          <w:szCs w:val="32"/>
          <w:highlight w:val="none"/>
          <w:u w:val="single"/>
        </w:rPr>
        <w:t>承包人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承担。</w:t>
      </w:r>
    </w:p>
    <w:p w14:paraId="54F45E95">
      <w:pPr>
        <w:pStyle w:val="4"/>
        <w:rPr>
          <w:rFonts w:hint="eastAsia" w:ascii="宋体" w:hAnsi="宋体" w:eastAsia="宋体" w:cs="宋体"/>
          <w:color w:val="auto"/>
          <w:highlight w:val="none"/>
        </w:rPr>
      </w:pPr>
      <w:bookmarkStart w:id="287" w:name="_Toc10139"/>
      <w:bookmarkStart w:id="288" w:name="_Toc29152"/>
      <w:r>
        <w:rPr>
          <w:rFonts w:hint="eastAsia" w:ascii="宋体" w:hAnsi="宋体" w:eastAsia="宋体" w:cs="宋体"/>
          <w:color w:val="auto"/>
          <w:highlight w:val="none"/>
        </w:rPr>
        <w:t>1.11 知识产权</w:t>
      </w:r>
      <w:bookmarkEnd w:id="287"/>
      <w:bookmarkEnd w:id="288"/>
    </w:p>
    <w:p w14:paraId="4206B46A">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1.11.1 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highlight w:val="none"/>
          <w:u w:val="single"/>
        </w:rPr>
        <w:t xml:space="preserve"> </w:t>
      </w:r>
      <w:r>
        <w:rPr>
          <w:rFonts w:ascii="Times New Roman" w:hAnsi="Times New Roman"/>
          <w:color w:val="auto"/>
          <w:kern w:val="2"/>
          <w:sz w:val="21"/>
          <w:szCs w:val="21"/>
          <w:highlight w:val="none"/>
          <w:u w:val="single"/>
        </w:rPr>
        <w:t>发包人</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w:t>
      </w:r>
    </w:p>
    <w:p w14:paraId="0238FF6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关于发包人提供的上述文件的使用限制的要求：</w:t>
      </w:r>
      <w:r>
        <w:rPr>
          <w:rFonts w:hint="eastAsia" w:ascii="宋体" w:hAnsi="宋体" w:eastAsia="宋体" w:cs="宋体"/>
          <w:color w:val="auto"/>
          <w:highlight w:val="none"/>
          <w:u w:val="single"/>
        </w:rPr>
        <w:t xml:space="preserve"> </w:t>
      </w:r>
      <w:r>
        <w:rPr>
          <w:rFonts w:ascii="Times New Roman" w:hAnsi="Times New Roman"/>
          <w:color w:val="auto"/>
          <w:sz w:val="21"/>
          <w:szCs w:val="21"/>
          <w:highlight w:val="none"/>
          <w:u w:val="single"/>
        </w:rPr>
        <w:t>只能用于本项目，未经发包人同意，承包人不得为了合同以外的目的而复制、使用上述文件或将之提供给任何第三方</w:t>
      </w:r>
      <w:r>
        <w:rPr>
          <w:rFonts w:hint="eastAsia" w:ascii="宋体" w:hAnsi="宋体" w:eastAsia="宋体" w:cs="宋体"/>
          <w:color w:val="auto"/>
          <w:highlight w:val="none"/>
        </w:rPr>
        <w:t>。</w:t>
      </w:r>
    </w:p>
    <w:p w14:paraId="1128E1B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1.11.2 关于承包人为实施工程所编制文件的著作权的归属：</w:t>
      </w:r>
      <w:r>
        <w:rPr>
          <w:rFonts w:hint="eastAsia" w:ascii="宋体" w:hAnsi="宋体" w:eastAsia="宋体" w:cs="宋体"/>
          <w:color w:val="auto"/>
          <w:highlight w:val="none"/>
          <w:u w:val="single"/>
        </w:rPr>
        <w:t xml:space="preserve">  </w:t>
      </w:r>
      <w:r>
        <w:rPr>
          <w:rFonts w:ascii="Times New Roman" w:hAnsi="Times New Roman"/>
          <w:color w:val="auto"/>
          <w:sz w:val="21"/>
          <w:szCs w:val="21"/>
          <w:highlight w:val="none"/>
          <w:u w:val="single"/>
        </w:rPr>
        <w:t>发包人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2874E2B1">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关于承包人提供的上述文件的使用限制的要求：</w:t>
      </w:r>
      <w:r>
        <w:rPr>
          <w:rFonts w:hint="eastAsia" w:ascii="宋体" w:hAnsi="宋体" w:eastAsia="宋体" w:cs="宋体"/>
          <w:color w:val="auto"/>
          <w:highlight w:val="none"/>
          <w:u w:val="single"/>
        </w:rPr>
        <w:t xml:space="preserve">  </w:t>
      </w:r>
      <w:r>
        <w:rPr>
          <w:rFonts w:ascii="Times New Roman" w:hAnsi="Times New Roman"/>
          <w:color w:val="auto"/>
          <w:sz w:val="21"/>
          <w:szCs w:val="21"/>
          <w:highlight w:val="none"/>
          <w:u w:val="single"/>
        </w:rPr>
        <w:t>只能用于本项目施工、保修，未经发包人同意，承包人不得为了合同以外的目的而复制、使用上述文件或将之提供给任何第三方</w:t>
      </w:r>
      <w:r>
        <w:rPr>
          <w:rFonts w:hint="eastAsia" w:ascii="宋体" w:hAnsi="宋体" w:eastAsia="宋体" w:cs="宋体"/>
          <w:color w:val="auto"/>
          <w:highlight w:val="none"/>
        </w:rPr>
        <w:t>。</w:t>
      </w:r>
    </w:p>
    <w:p w14:paraId="7365255F">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1.11.4 承包人在施工过程中所采用的专利、专有技术、技术秘密的使用费的承担方式：</w:t>
      </w:r>
    </w:p>
    <w:p w14:paraId="0216B592">
      <w:pPr>
        <w:spacing w:line="360" w:lineRule="auto"/>
        <w:rPr>
          <w:rFonts w:hint="eastAsia" w:ascii="宋体" w:hAnsi="宋体" w:eastAsia="宋体" w:cs="宋体"/>
          <w:color w:val="auto"/>
          <w:kern w:val="0"/>
          <w:highlight w:val="none"/>
        </w:rPr>
      </w:pPr>
      <w:r>
        <w:rPr>
          <w:rFonts w:hint="eastAsia" w:ascii="宋体" w:hAnsi="宋体" w:eastAsia="宋体" w:cs="宋体"/>
          <w:color w:val="auto"/>
          <w:highlight w:val="none"/>
          <w:u w:val="single"/>
        </w:rPr>
        <w:t xml:space="preserve">   </w:t>
      </w:r>
      <w:r>
        <w:rPr>
          <w:color w:val="auto"/>
          <w:szCs w:val="21"/>
          <w:highlight w:val="none"/>
          <w:u w:val="single"/>
        </w:rPr>
        <w:t>由承包人承担，已包含在签约合同价中，发包人不再另行支付</w:t>
      </w:r>
      <w:r>
        <w:rPr>
          <w:rFonts w:hint="eastAsia" w:ascii="宋体" w:hAnsi="宋体" w:eastAsia="宋体" w:cs="宋体"/>
          <w:color w:val="auto"/>
          <w:kern w:val="0"/>
          <w:highlight w:val="none"/>
        </w:rPr>
        <w:t>。</w:t>
      </w:r>
    </w:p>
    <w:p w14:paraId="7B113246">
      <w:pPr>
        <w:pStyle w:val="4"/>
        <w:rPr>
          <w:rFonts w:hint="eastAsia" w:ascii="宋体" w:hAnsi="宋体" w:eastAsia="宋体" w:cs="宋体"/>
          <w:color w:val="auto"/>
          <w:highlight w:val="none"/>
        </w:rPr>
      </w:pPr>
      <w:bookmarkStart w:id="289" w:name="_Toc25183"/>
      <w:bookmarkStart w:id="290" w:name="_Toc14497"/>
      <w:r>
        <w:rPr>
          <w:rFonts w:hint="eastAsia" w:ascii="宋体" w:hAnsi="宋体" w:eastAsia="宋体" w:cs="宋体"/>
          <w:color w:val="auto"/>
          <w:highlight w:val="none"/>
        </w:rPr>
        <w:t>1.13工程量清单错误的修正</w:t>
      </w:r>
      <w:bookmarkEnd w:id="289"/>
      <w:bookmarkEnd w:id="290"/>
    </w:p>
    <w:p w14:paraId="4C9286E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出现工程量清单工程量偏差时，是否调整合同</w:t>
      </w:r>
      <w:r>
        <w:rPr>
          <w:rFonts w:hint="eastAsia" w:ascii="宋体" w:hAnsi="宋体" w:eastAsia="宋体" w:cs="宋体"/>
          <w:color w:val="auto"/>
          <w:highlight w:val="none"/>
          <w:lang w:eastAsia="zh-CN"/>
        </w:rPr>
        <w:t>单价</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按</w:t>
      </w:r>
      <w:r>
        <w:rPr>
          <w:rFonts w:hint="eastAsia" w:ascii="宋体" w:hAnsi="宋体" w:eastAsia="宋体" w:cs="宋体"/>
          <w:color w:val="auto"/>
          <w:highlight w:val="none"/>
          <w:lang w:val="en-US" w:eastAsia="zh-CN"/>
        </w:rPr>
        <w:t>10.4.1（9）约定执行</w:t>
      </w:r>
      <w:r>
        <w:rPr>
          <w:rFonts w:hint="eastAsia" w:ascii="宋体" w:hAnsi="宋体" w:eastAsia="宋体" w:cs="宋体"/>
          <w:color w:val="auto"/>
          <w:kern w:val="0"/>
          <w:highlight w:val="none"/>
        </w:rPr>
        <w:t>。</w:t>
      </w:r>
    </w:p>
    <w:p w14:paraId="0D076189">
      <w:pPr>
        <w:pStyle w:val="3"/>
        <w:rPr>
          <w:rFonts w:hint="eastAsia" w:ascii="宋体" w:hAnsi="宋体" w:eastAsia="宋体" w:cs="宋体"/>
          <w:color w:val="auto"/>
          <w:highlight w:val="none"/>
        </w:rPr>
      </w:pPr>
      <w:bookmarkStart w:id="291" w:name="_Toc10918"/>
      <w:r>
        <w:rPr>
          <w:rFonts w:hint="eastAsia" w:ascii="宋体" w:hAnsi="宋体" w:eastAsia="宋体" w:cs="宋体"/>
          <w:color w:val="auto"/>
          <w:highlight w:val="none"/>
        </w:rPr>
        <w:t>2. 发包人</w:t>
      </w:r>
      <w:bookmarkEnd w:id="291"/>
    </w:p>
    <w:p w14:paraId="4C29DB17">
      <w:pPr>
        <w:pStyle w:val="4"/>
        <w:rPr>
          <w:rFonts w:hint="eastAsia" w:ascii="宋体" w:hAnsi="宋体" w:eastAsia="宋体" w:cs="宋体"/>
          <w:color w:val="auto"/>
          <w:highlight w:val="none"/>
        </w:rPr>
      </w:pPr>
      <w:bookmarkStart w:id="292" w:name="_Toc27372"/>
      <w:bookmarkStart w:id="293" w:name="_Toc26971"/>
      <w:r>
        <w:rPr>
          <w:rFonts w:hint="eastAsia" w:ascii="宋体" w:hAnsi="宋体" w:eastAsia="宋体" w:cs="宋体"/>
          <w:color w:val="auto"/>
          <w:highlight w:val="none"/>
        </w:rPr>
        <w:t>2.2 发包人代表</w:t>
      </w:r>
      <w:bookmarkEnd w:id="292"/>
      <w:bookmarkEnd w:id="293"/>
    </w:p>
    <w:p w14:paraId="3B71123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发包人代表：</w:t>
      </w:r>
    </w:p>
    <w:p w14:paraId="2B19A52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姓    名：</w:t>
      </w:r>
      <w:r>
        <w:rPr>
          <w:rFonts w:hint="eastAsia" w:ascii="宋体" w:hAnsi="宋体" w:eastAsia="宋体" w:cs="宋体"/>
          <w:color w:val="auto"/>
          <w:highlight w:val="none"/>
          <w:u w:val="single"/>
          <w:lang w:eastAsia="zh-CN"/>
        </w:rPr>
        <w:t xml:space="preserve">  </w:t>
      </w:r>
      <w:r>
        <w:rPr>
          <w:color w:val="auto"/>
          <w:szCs w:val="21"/>
          <w:highlight w:val="none"/>
          <w:u w:val="single"/>
        </w:rPr>
        <w:t>（成交后填写）</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rPr>
        <w:t>；</w:t>
      </w:r>
    </w:p>
    <w:p w14:paraId="41894A6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身份证号：</w:t>
      </w:r>
      <w:r>
        <w:rPr>
          <w:rFonts w:hint="eastAsia" w:ascii="宋体" w:hAnsi="宋体" w:eastAsia="宋体" w:cs="宋体"/>
          <w:color w:val="auto"/>
          <w:highlight w:val="none"/>
          <w:u w:val="single"/>
          <w:lang w:eastAsia="zh-CN"/>
        </w:rPr>
        <w:t xml:space="preserve">  </w:t>
      </w:r>
      <w:r>
        <w:rPr>
          <w:color w:val="auto"/>
          <w:szCs w:val="21"/>
          <w:highlight w:val="none"/>
          <w:u w:val="single"/>
        </w:rPr>
        <w:t>（成交后填写）</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rPr>
        <w:t>；</w:t>
      </w:r>
    </w:p>
    <w:p w14:paraId="33D6B7A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职    务：</w:t>
      </w:r>
      <w:r>
        <w:rPr>
          <w:rFonts w:hint="eastAsia" w:ascii="宋体" w:hAnsi="宋体" w:eastAsia="宋体" w:cs="宋体"/>
          <w:color w:val="auto"/>
          <w:highlight w:val="none"/>
          <w:u w:val="single"/>
          <w:lang w:eastAsia="zh-CN"/>
        </w:rPr>
        <w:t xml:space="preserve">  </w:t>
      </w:r>
      <w:r>
        <w:rPr>
          <w:color w:val="auto"/>
          <w:szCs w:val="21"/>
          <w:highlight w:val="none"/>
          <w:u w:val="single"/>
        </w:rPr>
        <w:t>（成交后填写）</w:t>
      </w:r>
      <w:r>
        <w:rPr>
          <w:rFonts w:hint="eastAsia" w:ascii="宋体" w:hAnsi="宋体" w:eastAsia="宋体" w:cs="宋体"/>
          <w:color w:val="auto"/>
          <w:highlight w:val="none"/>
        </w:rPr>
        <w:t>；</w:t>
      </w:r>
    </w:p>
    <w:p w14:paraId="5B5321C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lang w:eastAsia="zh-CN"/>
        </w:rPr>
        <w:t xml:space="preserve">  </w:t>
      </w:r>
      <w:r>
        <w:rPr>
          <w:color w:val="auto"/>
          <w:szCs w:val="21"/>
          <w:highlight w:val="none"/>
          <w:u w:val="single"/>
        </w:rPr>
        <w:t>（成交后填写）</w:t>
      </w:r>
      <w:r>
        <w:rPr>
          <w:rFonts w:hint="eastAsia" w:ascii="宋体" w:hAnsi="宋体" w:eastAsia="宋体" w:cs="宋体"/>
          <w:color w:val="auto"/>
          <w:highlight w:val="none"/>
        </w:rPr>
        <w:t>；</w:t>
      </w:r>
    </w:p>
    <w:p w14:paraId="3EE5DE8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lang w:eastAsia="zh-CN"/>
        </w:rPr>
        <w:t xml:space="preserve">  </w:t>
      </w:r>
      <w:r>
        <w:rPr>
          <w:color w:val="auto"/>
          <w:szCs w:val="21"/>
          <w:highlight w:val="none"/>
          <w:u w:val="single"/>
        </w:rPr>
        <w:t>（成交后填写）</w:t>
      </w:r>
      <w:r>
        <w:rPr>
          <w:rFonts w:hint="eastAsia" w:ascii="宋体" w:hAnsi="宋体" w:eastAsia="宋体" w:cs="宋体"/>
          <w:color w:val="auto"/>
          <w:highlight w:val="none"/>
        </w:rPr>
        <w:t>；</w:t>
      </w:r>
    </w:p>
    <w:p w14:paraId="6618AC8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通信地址：</w:t>
      </w:r>
      <w:r>
        <w:rPr>
          <w:rFonts w:hint="eastAsia" w:ascii="宋体" w:hAnsi="宋体" w:eastAsia="宋体" w:cs="宋体"/>
          <w:color w:val="auto"/>
          <w:highlight w:val="none"/>
          <w:u w:val="single"/>
          <w:lang w:eastAsia="zh-CN"/>
        </w:rPr>
        <w:t xml:space="preserve">   </w:t>
      </w:r>
      <w:r>
        <w:rPr>
          <w:color w:val="auto"/>
          <w:szCs w:val="21"/>
          <w:highlight w:val="none"/>
          <w:u w:val="single"/>
        </w:rPr>
        <w:t>（成交后填写）</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rPr>
        <w:t>。</w:t>
      </w:r>
    </w:p>
    <w:p w14:paraId="06E78E39">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发包人对发包人代表的授权范围如下：</w:t>
      </w:r>
      <w:r>
        <w:rPr>
          <w:rFonts w:hint="eastAsia" w:ascii="宋体" w:hAnsi="宋体" w:eastAsia="宋体" w:cs="宋体"/>
          <w:color w:val="auto"/>
          <w:highlight w:val="none"/>
          <w:u w:val="single"/>
        </w:rPr>
        <w:t xml:space="preserve">  </w:t>
      </w:r>
      <w:r>
        <w:rPr>
          <w:color w:val="auto"/>
          <w:szCs w:val="21"/>
          <w:highlight w:val="none"/>
          <w:u w:val="single"/>
        </w:rPr>
        <w:t>督促指导监理工程师行使职权，协调工程参建各方的关系，协调处理工程质量、进度和安全文明施工存在的问题，办理有关设计变更、现场经济技术签证，审核工程进度报表和进度款支付凭据，审核工程结算书等</w:t>
      </w:r>
      <w:r>
        <w:rPr>
          <w:rFonts w:hint="eastAsia" w:ascii="宋体" w:hAnsi="宋体" w:eastAsia="宋体" w:cs="宋体"/>
          <w:color w:val="auto"/>
          <w:highlight w:val="none"/>
        </w:rPr>
        <w:t>。</w:t>
      </w:r>
    </w:p>
    <w:p w14:paraId="6F0BB0F1">
      <w:pPr>
        <w:pStyle w:val="4"/>
        <w:rPr>
          <w:rFonts w:hint="eastAsia" w:ascii="宋体" w:hAnsi="宋体" w:eastAsia="宋体" w:cs="宋体"/>
          <w:color w:val="auto"/>
          <w:highlight w:val="none"/>
        </w:rPr>
      </w:pPr>
      <w:bookmarkStart w:id="294" w:name="_Toc17202"/>
      <w:bookmarkStart w:id="295" w:name="_Toc27528"/>
      <w:r>
        <w:rPr>
          <w:rFonts w:hint="eastAsia" w:ascii="宋体" w:hAnsi="宋体" w:eastAsia="宋体" w:cs="宋体"/>
          <w:color w:val="auto"/>
          <w:highlight w:val="none"/>
        </w:rPr>
        <w:t>2.4 施工现场、施工条件和基础资料的提供</w:t>
      </w:r>
      <w:bookmarkEnd w:id="294"/>
      <w:bookmarkEnd w:id="295"/>
    </w:p>
    <w:p w14:paraId="663FA32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2.4.1 提供施工现场</w:t>
      </w:r>
    </w:p>
    <w:p w14:paraId="6D453B3F">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关于发包人移交施工现场的期限要求：</w:t>
      </w:r>
      <w:r>
        <w:rPr>
          <w:rFonts w:hint="eastAsia" w:ascii="宋体" w:hAnsi="宋体" w:eastAsia="宋体" w:cs="宋体"/>
          <w:color w:val="auto"/>
          <w:highlight w:val="none"/>
          <w:u w:val="single"/>
        </w:rPr>
        <w:t xml:space="preserve">   </w:t>
      </w:r>
      <w:r>
        <w:rPr>
          <w:color w:val="auto"/>
          <w:szCs w:val="21"/>
          <w:highlight w:val="none"/>
          <w:u w:val="single"/>
        </w:rPr>
        <w:t>开工前3日内移交，满足工程开工条件</w:t>
      </w:r>
      <w:r>
        <w:rPr>
          <w:rFonts w:hint="eastAsia" w:ascii="宋体" w:hAnsi="宋体" w:eastAsia="宋体" w:cs="宋体"/>
          <w:color w:val="auto"/>
          <w:highlight w:val="none"/>
        </w:rPr>
        <w:t>。</w:t>
      </w:r>
    </w:p>
    <w:p w14:paraId="5FBEAB2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2.4.2 提供施工条件</w:t>
      </w:r>
    </w:p>
    <w:p w14:paraId="2D7140AB">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关于发包人应负责提供施工所需要的条件，包括：</w:t>
      </w:r>
      <w:r>
        <w:rPr>
          <w:rFonts w:hint="eastAsia" w:ascii="宋体" w:hAnsi="宋体" w:eastAsia="宋体" w:cs="宋体"/>
          <w:color w:val="auto"/>
          <w:highlight w:val="none"/>
          <w:u w:val="single"/>
        </w:rPr>
        <w:t xml:space="preserve">  </w:t>
      </w:r>
      <w:r>
        <w:rPr>
          <w:color w:val="auto"/>
          <w:szCs w:val="21"/>
          <w:highlight w:val="none"/>
          <w:u w:val="single"/>
        </w:rPr>
        <w:t>发包人将施工用水、施工用电、场外道路接至施工现场周边位置，并保证满足施工需要，水、电由承包人在指定接线位置装表计量、接至现场各施工地点并自行承担相关费用</w:t>
      </w:r>
      <w:r>
        <w:rPr>
          <w:rFonts w:hint="eastAsia" w:ascii="宋体" w:hAnsi="宋体" w:eastAsia="宋体" w:cs="宋体"/>
          <w:color w:val="auto"/>
          <w:highlight w:val="none"/>
        </w:rPr>
        <w:t>。</w:t>
      </w:r>
    </w:p>
    <w:p w14:paraId="59227B7E">
      <w:pPr>
        <w:pStyle w:val="4"/>
        <w:rPr>
          <w:rFonts w:hint="eastAsia" w:ascii="宋体" w:hAnsi="宋体" w:eastAsia="宋体" w:cs="宋体"/>
          <w:color w:val="auto"/>
          <w:highlight w:val="none"/>
        </w:rPr>
      </w:pPr>
      <w:bookmarkStart w:id="296" w:name="_Toc22558"/>
      <w:bookmarkStart w:id="297" w:name="_Toc7688"/>
      <w:r>
        <w:rPr>
          <w:rFonts w:hint="eastAsia" w:ascii="宋体" w:hAnsi="宋体" w:eastAsia="宋体" w:cs="宋体"/>
          <w:color w:val="auto"/>
          <w:highlight w:val="none"/>
        </w:rPr>
        <w:t>2.5 资金来源证明及支付担保</w:t>
      </w:r>
      <w:bookmarkEnd w:id="296"/>
      <w:bookmarkEnd w:id="297"/>
    </w:p>
    <w:p w14:paraId="5BB9ACA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发包人提供资金来源证明的期限要求：</w:t>
      </w:r>
      <w:r>
        <w:rPr>
          <w:rFonts w:hint="eastAsia" w:ascii="宋体" w:hAnsi="宋体" w:eastAsia="宋体" w:cs="宋体"/>
          <w:color w:val="auto"/>
          <w:highlight w:val="none"/>
          <w:u w:val="single"/>
        </w:rPr>
        <w:t xml:space="preserve"> </w:t>
      </w:r>
      <w:r>
        <w:rPr>
          <w:rFonts w:hint="eastAsia" w:ascii="Times New Roman" w:hAnsi="Times New Roman"/>
          <w:color w:val="auto"/>
          <w:kern w:val="2"/>
          <w:sz w:val="21"/>
          <w:szCs w:val="21"/>
          <w:highlight w:val="none"/>
          <w:u w:val="single"/>
          <w:lang w:val="en-US" w:eastAsia="zh-CN"/>
        </w:rPr>
        <w:t xml:space="preserve">  </w:t>
      </w:r>
      <w:r>
        <w:rPr>
          <w:rFonts w:hint="eastAsia" w:ascii="宋体" w:hAnsi="宋体" w:eastAsia="宋体" w:cs="宋体"/>
          <w:color w:val="auto"/>
          <w:highlight w:val="none"/>
        </w:rPr>
        <w:t>。</w:t>
      </w:r>
    </w:p>
    <w:p w14:paraId="39ED360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发包人是否提供支付担保：</w:t>
      </w:r>
      <w:r>
        <w:rPr>
          <w:rFonts w:hint="eastAsia" w:ascii="宋体" w:hAnsi="宋体" w:eastAsia="宋体" w:cs="宋体"/>
          <w:color w:val="auto"/>
          <w:highlight w:val="none"/>
          <w:u w:val="single"/>
        </w:rPr>
        <w:t xml:space="preserve"> </w:t>
      </w:r>
      <w:r>
        <w:rPr>
          <w:rFonts w:hint="eastAsia" w:ascii="Times New Roman" w:hAnsi="Times New Roman"/>
          <w:color w:val="auto"/>
          <w:kern w:val="2"/>
          <w:sz w:val="21"/>
          <w:szCs w:val="21"/>
          <w:highlight w:val="none"/>
          <w:u w:val="single"/>
          <w:lang w:val="en-US" w:eastAsia="zh-CN"/>
        </w:rPr>
        <w:t xml:space="preserve">   </w:t>
      </w:r>
      <w:r>
        <w:rPr>
          <w:rFonts w:hint="eastAsia" w:ascii="宋体" w:hAnsi="宋体" w:eastAsia="宋体" w:cs="宋体"/>
          <w:color w:val="auto"/>
          <w:highlight w:val="none"/>
        </w:rPr>
        <w:t>。【</w:t>
      </w:r>
      <w:r>
        <w:rPr>
          <w:rFonts w:hint="eastAsia" w:ascii="宋体" w:hAnsi="宋体" w:eastAsia="宋体" w:cs="宋体"/>
          <w:i w:val="0"/>
          <w:caps w:val="0"/>
          <w:color w:val="auto"/>
          <w:spacing w:val="0"/>
          <w:sz w:val="21"/>
          <w:szCs w:val="21"/>
          <w:highlight w:val="none"/>
          <w:lang w:eastAsia="zh-CN"/>
        </w:rPr>
        <w:t>发包</w:t>
      </w:r>
      <w:r>
        <w:rPr>
          <w:rFonts w:hint="eastAsia" w:ascii="宋体" w:hAnsi="宋体" w:eastAsia="宋体" w:cs="宋体"/>
          <w:i w:val="0"/>
          <w:caps w:val="0"/>
          <w:color w:val="auto"/>
          <w:spacing w:val="0"/>
          <w:sz w:val="21"/>
          <w:szCs w:val="21"/>
          <w:highlight w:val="none"/>
        </w:rPr>
        <w:t>人要求</w:t>
      </w:r>
      <w:r>
        <w:rPr>
          <w:rFonts w:hint="eastAsia" w:ascii="宋体" w:hAnsi="宋体" w:eastAsia="宋体" w:cs="宋体"/>
          <w:i w:val="0"/>
          <w:caps w:val="0"/>
          <w:color w:val="auto"/>
          <w:spacing w:val="0"/>
          <w:sz w:val="21"/>
          <w:szCs w:val="21"/>
          <w:highlight w:val="none"/>
          <w:lang w:eastAsia="zh-CN"/>
        </w:rPr>
        <w:t>承包</w:t>
      </w:r>
      <w:r>
        <w:rPr>
          <w:rFonts w:hint="eastAsia" w:ascii="宋体" w:hAnsi="宋体" w:eastAsia="宋体" w:cs="宋体"/>
          <w:i w:val="0"/>
          <w:caps w:val="0"/>
          <w:color w:val="auto"/>
          <w:spacing w:val="0"/>
          <w:sz w:val="21"/>
          <w:szCs w:val="21"/>
          <w:highlight w:val="none"/>
        </w:rPr>
        <w:t>人提供履约担保的，应当同时向</w:t>
      </w:r>
      <w:r>
        <w:rPr>
          <w:rFonts w:hint="eastAsia" w:ascii="宋体" w:hAnsi="宋体" w:eastAsia="宋体" w:cs="宋体"/>
          <w:i w:val="0"/>
          <w:caps w:val="0"/>
          <w:color w:val="auto"/>
          <w:spacing w:val="0"/>
          <w:sz w:val="21"/>
          <w:szCs w:val="21"/>
          <w:highlight w:val="none"/>
          <w:lang w:eastAsia="zh-CN"/>
        </w:rPr>
        <w:t>承包</w:t>
      </w:r>
      <w:r>
        <w:rPr>
          <w:rFonts w:hint="eastAsia" w:ascii="宋体" w:hAnsi="宋体" w:eastAsia="宋体" w:cs="宋体"/>
          <w:i w:val="0"/>
          <w:caps w:val="0"/>
          <w:color w:val="auto"/>
          <w:spacing w:val="0"/>
          <w:sz w:val="21"/>
          <w:szCs w:val="21"/>
          <w:highlight w:val="none"/>
        </w:rPr>
        <w:t>人提供工程款支付担保。工程款支付担保可以全额担保，也可以分阶段担保。分阶段担保的，除保修金以外的全部款项，完成一个阶段清算后再进入下一阶段，有效期截至工程竣工结算款支付完毕。</w:t>
      </w:r>
      <w:r>
        <w:rPr>
          <w:rFonts w:hint="eastAsia" w:ascii="宋体" w:hAnsi="宋体" w:eastAsia="宋体" w:cs="宋体"/>
          <w:i w:val="0"/>
          <w:caps w:val="0"/>
          <w:color w:val="auto"/>
          <w:spacing w:val="0"/>
          <w:sz w:val="21"/>
          <w:szCs w:val="21"/>
          <w:highlight w:val="none"/>
          <w:lang w:eastAsia="zh-CN"/>
        </w:rPr>
        <w:t>发包</w:t>
      </w:r>
      <w:r>
        <w:rPr>
          <w:rFonts w:hint="eastAsia" w:ascii="宋体" w:hAnsi="宋体" w:eastAsia="宋体" w:cs="宋体"/>
          <w:i w:val="0"/>
          <w:caps w:val="0"/>
          <w:color w:val="auto"/>
          <w:spacing w:val="0"/>
          <w:sz w:val="21"/>
          <w:szCs w:val="21"/>
          <w:highlight w:val="none"/>
        </w:rPr>
        <w:t>人未按合同约定及时支付工程款的，工程担保保证人需承担担保责任。对政府投资项目，由建设单位提供落实财政资金来源的证明文件</w:t>
      </w:r>
      <w:r>
        <w:rPr>
          <w:rFonts w:hint="eastAsia" w:ascii="宋体" w:hAnsi="宋体" w:eastAsia="宋体" w:cs="宋体"/>
          <w:i w:val="0"/>
          <w:caps w:val="0"/>
          <w:color w:val="auto"/>
          <w:spacing w:val="0"/>
          <w:sz w:val="21"/>
          <w:szCs w:val="21"/>
          <w:highlight w:val="none"/>
          <w:lang w:eastAsia="zh-CN"/>
        </w:rPr>
        <w:t>】</w:t>
      </w:r>
    </w:p>
    <w:p w14:paraId="22660117">
      <w:pPr>
        <w:spacing w:line="360" w:lineRule="auto"/>
        <w:ind w:firstLine="420" w:firstLineChars="200"/>
        <w:rPr>
          <w:rFonts w:hint="eastAsia" w:ascii="宋体" w:hAnsi="宋体" w:eastAsia="宋体" w:cs="宋体"/>
          <w:color w:val="auto"/>
          <w:highlight w:val="none"/>
          <w:lang w:val="en" w:eastAsia="zh-CN"/>
        </w:rPr>
      </w:pPr>
      <w:r>
        <w:rPr>
          <w:rFonts w:hint="eastAsia" w:ascii="宋体" w:hAnsi="宋体" w:eastAsia="宋体" w:cs="宋体"/>
          <w:color w:val="auto"/>
          <w:highlight w:val="none"/>
        </w:rPr>
        <w:t>发包人提供支付担保的形式：</w:t>
      </w:r>
      <w:r>
        <w:rPr>
          <w:rFonts w:hint="eastAsia" w:ascii="宋体" w:hAnsi="宋体" w:eastAsia="宋体" w:cs="宋体"/>
          <w:color w:val="auto"/>
          <w:highlight w:val="none"/>
          <w:u w:val="none"/>
          <w:lang w:eastAsia="zh-CN"/>
        </w:rPr>
        <w:t>可以是</w:t>
      </w:r>
      <w:r>
        <w:rPr>
          <w:rFonts w:hint="eastAsia" w:ascii="宋体" w:hAnsi="宋体" w:eastAsia="宋体" w:cs="宋体"/>
          <w:color w:val="auto"/>
          <w:highlight w:val="none"/>
        </w:rPr>
        <w:t>银行转账、电汇或网上支付、保函（银行保函、电子保函、保证保险保函、工程担保保函）等形式。</w:t>
      </w:r>
    </w:p>
    <w:p w14:paraId="56ABE5D5">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发包人提供的支付担保格式见合同附件9。</w:t>
      </w:r>
    </w:p>
    <w:p w14:paraId="104CFAA8">
      <w:pPr>
        <w:pStyle w:val="3"/>
        <w:rPr>
          <w:rFonts w:hint="eastAsia" w:ascii="宋体" w:hAnsi="宋体" w:eastAsia="宋体" w:cs="宋体"/>
          <w:color w:val="auto"/>
          <w:highlight w:val="none"/>
        </w:rPr>
      </w:pPr>
      <w:bookmarkStart w:id="298" w:name="_Toc28432"/>
      <w:r>
        <w:rPr>
          <w:rFonts w:hint="eastAsia" w:ascii="宋体" w:hAnsi="宋体" w:eastAsia="宋体" w:cs="宋体"/>
          <w:color w:val="auto"/>
          <w:highlight w:val="none"/>
        </w:rPr>
        <w:t>3. 承包人</w:t>
      </w:r>
      <w:bookmarkEnd w:id="298"/>
    </w:p>
    <w:p w14:paraId="246585DE">
      <w:pPr>
        <w:pStyle w:val="4"/>
        <w:rPr>
          <w:rFonts w:hint="eastAsia" w:ascii="宋体" w:hAnsi="宋体" w:eastAsia="宋体" w:cs="宋体"/>
          <w:color w:val="auto"/>
          <w:highlight w:val="none"/>
        </w:rPr>
      </w:pPr>
      <w:bookmarkStart w:id="299" w:name="_Toc23629"/>
      <w:bookmarkStart w:id="300" w:name="_Toc5874"/>
      <w:r>
        <w:rPr>
          <w:rFonts w:hint="eastAsia" w:ascii="宋体" w:hAnsi="宋体" w:eastAsia="宋体" w:cs="宋体"/>
          <w:color w:val="auto"/>
          <w:highlight w:val="none"/>
        </w:rPr>
        <w:t>3.1 承包人的一般义务</w:t>
      </w:r>
      <w:bookmarkEnd w:id="299"/>
      <w:bookmarkEnd w:id="300"/>
    </w:p>
    <w:p w14:paraId="52542D9D">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highlight w:val="none"/>
        </w:rPr>
        <w:t>（9）</w:t>
      </w:r>
      <w:r>
        <w:rPr>
          <w:rFonts w:hint="eastAsia" w:ascii="宋体" w:hAnsi="宋体" w:eastAsia="宋体" w:cs="宋体"/>
          <w:color w:val="auto"/>
          <w:highlight w:val="none"/>
        </w:rPr>
        <w:t>承包人提交的竣工资料的内容：</w:t>
      </w:r>
    </w:p>
    <w:p w14:paraId="5B9DDAE1">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 xml:space="preserve">  </w:t>
      </w:r>
      <w:r>
        <w:rPr>
          <w:rFonts w:ascii="Times New Roman" w:hAnsi="Times New Roman"/>
          <w:color w:val="auto"/>
          <w:sz w:val="21"/>
          <w:szCs w:val="21"/>
          <w:highlight w:val="none"/>
          <w:u w:val="single"/>
        </w:rPr>
        <w:t>施工技术管理文件；施工质量证明文件；检验和检测报告；施工记录；检验批质量验收记录；竣工图（设计变更较多需重新绘制竣工图的，还包含竣工图电子文档）；工程结算书及相关支撑资料；现场影像资料；工程材料的质保资料；工程质量保修书等</w:t>
      </w:r>
      <w:r>
        <w:rPr>
          <w:rFonts w:hint="eastAsia" w:ascii="宋体" w:hAnsi="宋体" w:eastAsia="宋体" w:cs="宋体"/>
          <w:color w:val="auto"/>
          <w:highlight w:val="none"/>
        </w:rPr>
        <w:t>。</w:t>
      </w:r>
    </w:p>
    <w:p w14:paraId="6EDC891F">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承包人需要提交的竣工资料套数：</w:t>
      </w:r>
      <w:r>
        <w:rPr>
          <w:rFonts w:hint="eastAsia" w:ascii="宋体" w:hAnsi="宋体" w:eastAsia="宋体" w:cs="宋体"/>
          <w:color w:val="auto"/>
          <w:highlight w:val="none"/>
          <w:u w:val="single"/>
        </w:rPr>
        <w:t xml:space="preserve">  </w:t>
      </w:r>
      <w:r>
        <w:rPr>
          <w:rFonts w:ascii="Times New Roman" w:hAnsi="Times New Roman"/>
          <w:color w:val="auto"/>
          <w:kern w:val="2"/>
          <w:sz w:val="21"/>
          <w:szCs w:val="21"/>
          <w:highlight w:val="none"/>
          <w:u w:val="single"/>
        </w:rPr>
        <w:t>2套</w:t>
      </w:r>
      <w:r>
        <w:rPr>
          <w:rFonts w:hint="eastAsia" w:ascii="宋体" w:hAnsi="宋体" w:eastAsia="宋体" w:cs="宋体"/>
          <w:color w:val="auto"/>
          <w:highlight w:val="none"/>
        </w:rPr>
        <w:t>。</w:t>
      </w:r>
    </w:p>
    <w:p w14:paraId="4BBBFBD9">
      <w:pPr>
        <w:spacing w:line="360" w:lineRule="auto"/>
        <w:ind w:left="424" w:leftChars="202"/>
        <w:jc w:val="left"/>
        <w:rPr>
          <w:rFonts w:hint="eastAsia" w:ascii="宋体" w:hAnsi="宋体" w:eastAsia="宋体" w:cs="宋体"/>
          <w:color w:val="auto"/>
          <w:highlight w:val="none"/>
        </w:rPr>
      </w:pPr>
      <w:r>
        <w:rPr>
          <w:rFonts w:hint="eastAsia" w:ascii="宋体" w:hAnsi="宋体" w:eastAsia="宋体" w:cs="宋体"/>
          <w:color w:val="auto"/>
          <w:highlight w:val="none"/>
        </w:rPr>
        <w:t>承包人提交的竣工资料的费用承担：</w:t>
      </w:r>
      <w:r>
        <w:rPr>
          <w:rFonts w:hint="eastAsia" w:ascii="宋体" w:hAnsi="宋体" w:eastAsia="宋体" w:cs="宋体"/>
          <w:color w:val="auto"/>
          <w:highlight w:val="none"/>
          <w:u w:val="single"/>
        </w:rPr>
        <w:t xml:space="preserve"> </w:t>
      </w:r>
      <w:r>
        <w:rPr>
          <w:rFonts w:ascii="Times New Roman" w:hAnsi="Times New Roman"/>
          <w:color w:val="auto"/>
          <w:kern w:val="2"/>
          <w:sz w:val="21"/>
          <w:szCs w:val="32"/>
          <w:highlight w:val="none"/>
          <w:u w:val="single"/>
        </w:rPr>
        <w:t>由承包人承担</w:t>
      </w:r>
      <w:r>
        <w:rPr>
          <w:rFonts w:hint="eastAsia" w:ascii="宋体" w:hAnsi="宋体" w:eastAsia="宋体" w:cs="宋体"/>
          <w:color w:val="auto"/>
          <w:highlight w:val="none"/>
        </w:rPr>
        <w:t>。</w:t>
      </w:r>
    </w:p>
    <w:p w14:paraId="46FADADE">
      <w:pPr>
        <w:spacing w:line="360" w:lineRule="auto"/>
        <w:ind w:left="424" w:leftChars="202"/>
        <w:jc w:val="left"/>
        <w:rPr>
          <w:rFonts w:hint="eastAsia" w:ascii="宋体" w:hAnsi="宋体" w:eastAsia="宋体" w:cs="宋体"/>
          <w:color w:val="auto"/>
          <w:highlight w:val="none"/>
        </w:rPr>
      </w:pPr>
      <w:r>
        <w:rPr>
          <w:rFonts w:hint="eastAsia" w:ascii="宋体" w:hAnsi="宋体" w:eastAsia="宋体" w:cs="宋体"/>
          <w:color w:val="auto"/>
          <w:highlight w:val="none"/>
        </w:rPr>
        <w:t>承包人提交的竣工资料移交时间：</w:t>
      </w:r>
      <w:r>
        <w:rPr>
          <w:rFonts w:hint="eastAsia" w:ascii="宋体" w:hAnsi="宋体" w:eastAsia="宋体" w:cs="宋体"/>
          <w:color w:val="auto"/>
          <w:highlight w:val="none"/>
          <w:u w:val="single"/>
        </w:rPr>
        <w:t xml:space="preserve"> </w:t>
      </w:r>
      <w:r>
        <w:rPr>
          <w:rFonts w:ascii="Times New Roman" w:hAnsi="Times New Roman"/>
          <w:color w:val="auto"/>
          <w:sz w:val="21"/>
          <w:szCs w:val="21"/>
          <w:highlight w:val="none"/>
          <w:u w:val="single"/>
        </w:rPr>
        <w:t>承包人应在竣工验收合格后28天内向发包人移交竣工资料</w:t>
      </w:r>
      <w:r>
        <w:rPr>
          <w:rFonts w:hint="eastAsia" w:ascii="宋体" w:hAnsi="宋体" w:eastAsia="宋体" w:cs="宋体"/>
          <w:color w:val="auto"/>
          <w:highlight w:val="none"/>
        </w:rPr>
        <w:t>。</w:t>
      </w:r>
    </w:p>
    <w:p w14:paraId="4F86B3AF">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承包人提交的竣工资料形式要求：</w:t>
      </w:r>
      <w:r>
        <w:rPr>
          <w:rFonts w:hint="eastAsia" w:ascii="宋体" w:hAnsi="宋体" w:eastAsia="宋体" w:cs="宋体"/>
          <w:color w:val="auto"/>
          <w:highlight w:val="none"/>
          <w:u w:val="single"/>
        </w:rPr>
        <w:t xml:space="preserve"> </w:t>
      </w:r>
      <w:r>
        <w:rPr>
          <w:color w:val="auto"/>
          <w:szCs w:val="21"/>
          <w:highlight w:val="none"/>
          <w:u w:val="single"/>
        </w:rPr>
        <w:t>除提供纸质文件外，还应提供相关信息电子文件及影像文件</w:t>
      </w:r>
      <w:r>
        <w:rPr>
          <w:rFonts w:hint="eastAsia" w:ascii="宋体" w:hAnsi="宋体" w:eastAsia="宋体" w:cs="宋体"/>
          <w:color w:val="auto"/>
          <w:highlight w:val="none"/>
        </w:rPr>
        <w:t>。</w:t>
      </w:r>
    </w:p>
    <w:p w14:paraId="7B362627">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（10）承包人应履行的其他义务：</w:t>
      </w:r>
    </w:p>
    <w:p w14:paraId="369C01A6">
      <w:pPr>
        <w:spacing w:line="360" w:lineRule="auto"/>
        <w:ind w:firstLine="420" w:firstLineChars="200"/>
        <w:rPr>
          <w:rFonts w:hint="eastAsia" w:ascii="宋体" w:hAnsi="宋体" w:eastAsia="宋体" w:cs="宋体"/>
          <w:color w:val="auto"/>
          <w:kern w:val="0"/>
          <w:highlight w:val="none"/>
          <w:u w:val="single"/>
          <w:lang w:val="en-US" w:eastAsia="zh-CN"/>
        </w:rPr>
      </w:pPr>
      <w:r>
        <w:rPr>
          <w:rFonts w:hint="eastAsia" w:ascii="宋体" w:hAnsi="宋体" w:eastAsia="宋体" w:cs="宋体"/>
          <w:color w:val="auto"/>
          <w:kern w:val="0"/>
          <w:highlight w:val="none"/>
          <w:u w:val="single"/>
          <w:lang w:val="en-US" w:eastAsia="zh-CN"/>
        </w:rPr>
        <w:t>1.1、鼓励承包人根据工程建设实际，吸纳建档立卡贫困劳动力参加工程建设。</w:t>
      </w:r>
    </w:p>
    <w:p w14:paraId="0BB07BCE">
      <w:pPr>
        <w:spacing w:line="360" w:lineRule="auto"/>
        <w:ind w:firstLine="420" w:firstLineChars="200"/>
        <w:rPr>
          <w:rFonts w:hint="eastAsia" w:ascii="宋体" w:hAnsi="宋体" w:eastAsia="宋体" w:cs="宋体"/>
          <w:color w:val="auto"/>
          <w:kern w:val="0"/>
          <w:highlight w:val="none"/>
          <w:u w:val="single"/>
          <w:lang w:val="en-US" w:eastAsia="zh-CN"/>
        </w:rPr>
      </w:pPr>
      <w:r>
        <w:rPr>
          <w:rFonts w:hint="eastAsia" w:ascii="宋体" w:hAnsi="宋体" w:eastAsia="宋体" w:cs="宋体"/>
          <w:color w:val="auto"/>
          <w:kern w:val="0"/>
          <w:highlight w:val="none"/>
          <w:u w:val="single"/>
          <w:lang w:val="en-US" w:eastAsia="zh-CN"/>
        </w:rPr>
        <w:t>1.2、执行自治区关于松材线虫病防控工作的有关规定，工程建设采用的模板、支撑及脚手架以钢模板、钢支</w:t>
      </w:r>
    </w:p>
    <w:p w14:paraId="29312C61">
      <w:pPr>
        <w:spacing w:line="360" w:lineRule="auto"/>
        <w:ind w:firstLine="420" w:firstLineChars="200"/>
        <w:rPr>
          <w:rFonts w:hint="eastAsia" w:ascii="宋体" w:hAnsi="宋体" w:eastAsia="宋体" w:cs="宋体"/>
          <w:color w:val="auto"/>
          <w:kern w:val="0"/>
          <w:highlight w:val="none"/>
          <w:u w:val="single"/>
          <w:lang w:val="en-US" w:eastAsia="zh-CN"/>
        </w:rPr>
      </w:pPr>
      <w:r>
        <w:rPr>
          <w:rFonts w:hint="eastAsia" w:ascii="宋体" w:hAnsi="宋体" w:eastAsia="宋体" w:cs="宋体"/>
          <w:color w:val="auto"/>
          <w:kern w:val="0"/>
          <w:highlight w:val="none"/>
          <w:u w:val="single"/>
          <w:lang w:val="en-US" w:eastAsia="zh-CN"/>
        </w:rPr>
        <w:t>撑为主，不使用松木及其包装材料。木质模板及仿材尽量就地采购，避免长途转运。</w:t>
      </w:r>
    </w:p>
    <w:p w14:paraId="62E58204">
      <w:pPr>
        <w:spacing w:line="360" w:lineRule="auto"/>
        <w:ind w:firstLine="420" w:firstLineChars="200"/>
        <w:rPr>
          <w:rFonts w:hint="eastAsia" w:ascii="宋体" w:hAnsi="宋体" w:eastAsia="宋体" w:cs="宋体"/>
          <w:color w:val="auto"/>
          <w:kern w:val="0"/>
          <w:highlight w:val="none"/>
          <w:u w:val="single"/>
          <w:lang w:val="en-US" w:eastAsia="zh-CN"/>
        </w:rPr>
      </w:pPr>
      <w:r>
        <w:rPr>
          <w:rFonts w:hint="eastAsia" w:ascii="宋体" w:hAnsi="宋体" w:eastAsia="宋体" w:cs="宋体"/>
          <w:color w:val="auto"/>
          <w:kern w:val="0"/>
          <w:highlight w:val="none"/>
          <w:u w:val="single"/>
          <w:lang w:val="en-US" w:eastAsia="zh-CN"/>
        </w:rPr>
        <w:t>1.3、以工代赈政策要求：严格按照《国家以工代赈管理办法》《广西壮族自治区发展和改革委员会关于印发以工代赈中央专项投资项目实施指南及相关配套文件的通知》等相关规定，按照“能用人工的尽量不用机械、能用当地群众的尽量不用专业队伍”的要求，加强当地群众务工组织，及时足额发放劳务报酬。本项目参照当地农民工平均收入水平，主要工种劳务报酬参照下列标准：普工190元/工日、砼工220元/工日、模板工240元/工日、钢筋工230元/工日。本项目计划组织287名当地劳动力参与建设，主要由企业失业人员20人、返乡农民工239人、家庭经济困难高校毕业1人、退役军人11人、脱贫人口及防返贫监测对象16人等重点群体组成。项目计划发放劳务报酬374.89万元，占中央预算内投资的52.28%。本项目采用务工组织与劳务报酬发放:“村委会+村级劳务合作社+当地群众”</w:t>
      </w:r>
    </w:p>
    <w:p w14:paraId="680DDAF1">
      <w:pPr>
        <w:spacing w:line="360" w:lineRule="auto"/>
        <w:ind w:firstLine="420" w:firstLineChars="200"/>
        <w:rPr>
          <w:rFonts w:hint="default" w:ascii="宋体" w:hAnsi="宋体" w:eastAsia="宋体" w:cs="宋体"/>
          <w:color w:val="auto"/>
          <w:kern w:val="0"/>
          <w:highlight w:val="none"/>
          <w:u w:val="single"/>
          <w:lang w:val="en-US" w:eastAsia="zh-CN"/>
        </w:rPr>
      </w:pPr>
      <w:r>
        <w:rPr>
          <w:rFonts w:hint="eastAsia" w:ascii="宋体" w:hAnsi="宋体" w:eastAsia="宋体" w:cs="宋体"/>
          <w:color w:val="auto"/>
          <w:kern w:val="0"/>
          <w:highlight w:val="none"/>
          <w:u w:val="single"/>
          <w:lang w:val="en-US" w:eastAsia="zh-CN"/>
        </w:rPr>
        <w:t>1.4、必须执行并落实组织当地群众务工和及时足额发放劳务报酬等以工代赈政策。</w:t>
      </w:r>
    </w:p>
    <w:p w14:paraId="431F1211">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u w:val="single"/>
          <w:lang w:val="en-US" w:eastAsia="zh-CN"/>
        </w:rPr>
        <w:t>2.</w:t>
      </w:r>
      <w:r>
        <w:rPr>
          <w:rFonts w:hint="eastAsia" w:ascii="宋体" w:hAnsi="宋体" w:eastAsia="宋体" w:cs="宋体"/>
          <w:color w:val="auto"/>
          <w:kern w:val="0"/>
          <w:highlight w:val="none"/>
          <w:u w:val="single"/>
        </w:rPr>
        <w:t>施工现场建筑工人持证率应达到</w:t>
      </w:r>
      <w:r>
        <w:rPr>
          <w:rFonts w:hint="eastAsia" w:ascii="宋体" w:hAnsi="宋体" w:eastAsia="宋体" w:cs="宋体"/>
          <w:color w:val="auto"/>
          <w:kern w:val="0"/>
          <w:highlight w:val="none"/>
          <w:u w:val="single"/>
          <w:lang w:val="en-US" w:eastAsia="zh-CN"/>
        </w:rPr>
        <w:t>15</w:t>
      </w:r>
      <w:r>
        <w:rPr>
          <w:rFonts w:hint="eastAsia" w:ascii="宋体" w:hAnsi="宋体" w:eastAsia="宋体" w:cs="宋体"/>
          <w:color w:val="auto"/>
          <w:kern w:val="0"/>
          <w:highlight w:val="none"/>
          <w:u w:val="single"/>
        </w:rPr>
        <w:t>%。</w:t>
      </w:r>
      <w:r>
        <w:rPr>
          <w:rFonts w:hint="eastAsia" w:ascii="宋体" w:hAnsi="宋体" w:eastAsia="宋体" w:cs="宋体"/>
          <w:color w:val="auto"/>
          <w:kern w:val="0"/>
          <w:highlight w:val="none"/>
          <w:u w:val="single"/>
          <w:lang w:val="en-US" w:eastAsia="zh-CN"/>
        </w:rPr>
        <w:t>持证人员是指持有</w:t>
      </w:r>
      <w:r>
        <w:rPr>
          <w:rFonts w:hint="eastAsia" w:ascii="宋体" w:hAnsi="宋体" w:eastAsia="宋体" w:cs="宋体"/>
          <w:color w:val="auto"/>
          <w:kern w:val="0"/>
          <w:highlight w:val="none"/>
          <w:u w:val="single"/>
        </w:rPr>
        <w:t>国家、行业或地方主管部门颁发或认可的职业资格证书或技能等级证书的作业人员。建筑工人持证率=有考勤记录的工人中持有技能证书的人数÷有考勤记录的工人总人数×100%</w:t>
      </w:r>
      <w:r>
        <w:rPr>
          <w:rFonts w:hint="eastAsia" w:ascii="宋体" w:hAnsi="宋体" w:eastAsia="宋体" w:cs="宋体"/>
          <w:color w:val="auto"/>
          <w:kern w:val="0"/>
          <w:highlight w:val="none"/>
        </w:rPr>
        <w:t>。</w:t>
      </w:r>
    </w:p>
    <w:p w14:paraId="404C4F76">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a、安全生产，文明施工必须符合当地或军队规定及采购人监督部门规定。b、按当地相关主管部门及采购人监督部门有关规定配合发包人其他工程的施工。c、根据现场场地条件，负责施工场地围场施工，所发生的费用由承包人自行负责。d、迎接主管部门及发包人监督部门相关检查并按有关要求进行资料和现场准备。e、施工期间和施工完毕后，均应及时对施工场地和为其施工提供的公共道路进行保洁、维护以及维修，产生的垃圾和被破坏的场地，必须遵照发包人或监理工程师和发包人的指示进行清理、修复，并根据实际情况将场地恢复到原有状态，费用自理</w:t>
      </w:r>
      <w:r>
        <w:rPr>
          <w:rFonts w:hint="eastAsia" w:ascii="宋体" w:hAnsi="宋体" w:eastAsia="宋体" w:cs="宋体"/>
          <w:color w:val="auto"/>
          <w:kern w:val="0"/>
          <w:highlight w:val="none"/>
          <w:lang w:eastAsia="zh-CN"/>
        </w:rPr>
        <w:t>。</w:t>
      </w:r>
    </w:p>
    <w:p w14:paraId="6549E35A">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1）图纸核查、补遗和深化工作：开工前承包人应对施工图纸进行认真核查，积极配合发包人组织的施工图纸交底及会审工作，指出图纸上任何不符合施工常规、惯例或规范之处，以及设计图纸中错、漏、碰问题，并做好各系统管线的综合平衡工作，如因承包人未能在施工该道工序前7天协调解决好此类矛盾、问题而造成工程费用增加和工期损失，承包人承担相关责任。施工过程中，若发现施工图中出现错误或明显不合理的情况，承包人应在该分项工程开工前7日通知发包人，并提出相应的处理方案，经发包人同意后实施，如：施工图纸未标明，但明显属于使用功能需要的、施工（相关）规范有要求的或明显影响美观效果的，承包人有责任和义务自行完善。</w:t>
      </w:r>
    </w:p>
    <w:p w14:paraId="79083A49">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如果任何明显属于本工程的承包范围，且未以文字形式明确约定为属于任何专业分包人的工作范围，也未在本合同中以文字形式明确约定为属于承包人自行完成的工作范围，此类工作也应由承包人自行完成。</w:t>
      </w:r>
    </w:p>
    <w:p w14:paraId="07C42240">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发包人就施工场地情况、各类隐蔽管线和设施提供资料后，承包人应当独立尽职调查，包括向有关的管理部门、管线监管部门进行调查或对现场详细勘查等，以获得全部真实资料。</w:t>
      </w:r>
    </w:p>
    <w:p w14:paraId="3B96AB2A">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由承包人负责完成的二次深化设计文件属于合同条款第1.6.4项约定的承包人提供的文件，承包人应按照专用合同条款第1.6.4项约定的期限和数量提交，由此发生的设计、施工等相关费用被认为已经包括在承包人的签约合同价（成交价）中。</w:t>
      </w:r>
    </w:p>
    <w:p w14:paraId="184FF72F">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 2）编制切实可行的施工组织设计：签订工程承包合同1日内，承包人应提供细化后的施工组织设计，报发包人及监理单位审批，施工组织设计应包括全部设备、材料、成品、半成品等需求供应进场计划，人员安排、质保体系、安全文明施工措施、保密措施、施工机械设备配置情况，以及施工现场优化布置等内容。发包人接到监理报来的施工组织设计（各工期接点不得迟于合同工期接点规定）之日起3日内组织审核批准或提出修改意见，因施工组织设计变化引起的经费增减，结算时该部分价款不再调整。承包人不按时送审符合要求的施工组织设计，造成发包人无法判断工程进展顺利与否，发包人可拒付相应部分工程进度款，责任由承包人承担。</w:t>
      </w:r>
    </w:p>
    <w:p w14:paraId="16EED9D1">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根据项目质量目标和质量保证体系，协助、要求和督促各专业承包人建立起完善的专业工程质量目标和质量保证体系，将各专业承包人纳入统一的质量管理和保证体系，确保质量体系的有效运行，并定期检查质量保证体系的运行情况。</w:t>
      </w:r>
    </w:p>
    <w:p w14:paraId="7FC36373">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制订质量通病预防及纠正措施，实现对通病的预控，进行有针对性的质量会诊、质量讲评；质量的控制包括对深化设计和施工详图设计图纸的质量控制，以及施工方案、材料设备、现场施工、工程资料的质量控制等各个方面。</w:t>
      </w:r>
    </w:p>
    <w:p w14:paraId="46CD3B70">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  3）工程现场管理方面：承包人须对本合同下的整个工程负责，对整个现场的施工组织和施工方案的适用性、稳定性和安全性负全面责任，包括专业分包人、其他承包人工作或工程；并对在施工现场或者附近实施与合同工程有关的其他工作的独立承包人履行管理、协调、配合、照管和服务义务。</w:t>
      </w:r>
    </w:p>
    <w:p w14:paraId="3A8EE3F5">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应参加本工程相关各类施工协调、配合会，对交叉施工引起的问题，有义务进行配合协商解决，服从发包人及现场总监的决定；应制定相应的管理办法保证承包人、专业分包人和其他承包人都能遵照执行，以确保现场始终处于整洁状态；承包人制定的管理办法须经过监理人的审批。</w:t>
      </w:r>
    </w:p>
    <w:p w14:paraId="289B8E2B">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承包人须做好施工记录，隐蔽工程记录，汇集施工技术资料，包括摄影、录像资料。负责做好施工现场安全保卫和施工现场的组织管理工作，创建文明施工工地及标准化管理。</w:t>
      </w:r>
    </w:p>
    <w:p w14:paraId="0D0F5145">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必须配备专职的造价人员，向发包人书面报送《施工计划》和《完成工程量月报表》，施工计划必须具体、详细，包括人力安排、增加人力的来源、工程量等。如不按时、按要求报送，发包人有权不予支付本期进度款或支付时间顺延。</w:t>
      </w:r>
    </w:p>
    <w:p w14:paraId="355622B9">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4）协调配合方面：承包人在施工中的问题应本着“文来文去”的原则。承包人发文应有标准固定格式，规范的文件编号，由项目经理签署并报监理单位审核后，报发包人代表签署方为有效。所有由监理人发给承包人的指示，如涉及专业分包人和其他承包人的工作或工程，承包人需及时转发，以确保监理人的指示能及时得到落实。</w:t>
      </w:r>
    </w:p>
    <w:p w14:paraId="32E2F836">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全面负责工程施工质量，并对区域内分包单位施工质量实行全过程、全方位的监督管理；全面负责工程的整体进度，并积极主动的了解指定分包人和其他投标人的工程细则，尤其是影响合同文件履行的有关项目，主动地要求各分包人提供施工程序及时间表，对不同单位施工矛盾的地方做出协调，主动地找出解决办法。严格程序控制和过程控制，使工程质量实现“过程精品”；对各专业承包人严格质量管理，严格实行样板制、三检制和“一案三工序”，严格实行工序交接制度；最大限度地协调好各专业承包人的立体交叉作业和正确的工作衔接。</w:t>
      </w:r>
    </w:p>
    <w:p w14:paraId="7B1BCB18">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积极主动对各专业承包人进行服务与支持，协助其解决施工过程中的困难，支持其与工程相关的工作。根据各专业承包人的作业内容主次不同，合理分配现场各项资源（包括场地）和机械设备，合理安排施工顺序，确保关键施工线路得以保障。当不同专业之间交叉施工发生矛盾时，优先保证关键线路，并处理好各承包人的利益，保证总体施工时正常进行。如果承包人与分包人在施工配合的工序、优先使用设备权等方面发生争议，则该等争议由发包人负责全权解释和解决，承包人应当服从发包人的指令。协助、检查、督促各专业承包人做好工程资料管理和竣工图、竣工资料的工作，要求竣工图、竣工资料与工程竣工同步。</w:t>
      </w:r>
    </w:p>
    <w:p w14:paraId="3E2355AC">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对竣工资料进行统一整理汇总，协调各分包单位的施工试验及监督有见证取样送检工作；对本工程工地范围内作全面的看管、防盗窃及破坏，包括在工地内专业分包人、供应商和其他承包人的设备、材料和工程等。</w:t>
      </w:r>
      <w:bookmarkStart w:id="301" w:name="_Toc26059"/>
      <w:bookmarkStart w:id="302" w:name="_Toc596"/>
    </w:p>
    <w:p w14:paraId="72B781D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3.2 项目经理</w:t>
      </w:r>
      <w:bookmarkEnd w:id="301"/>
      <w:bookmarkEnd w:id="302"/>
    </w:p>
    <w:p w14:paraId="09A01FD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kern w:val="0"/>
          <w:highlight w:val="none"/>
        </w:rPr>
        <w:t xml:space="preserve">3.2.1 </w:t>
      </w:r>
      <w:r>
        <w:rPr>
          <w:rFonts w:hint="eastAsia" w:ascii="宋体" w:hAnsi="宋体" w:eastAsia="宋体" w:cs="宋体"/>
          <w:color w:val="auto"/>
          <w:highlight w:val="none"/>
        </w:rPr>
        <w:t>项目经理：</w:t>
      </w:r>
    </w:p>
    <w:p w14:paraId="75B9A86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姓    名：</w:t>
      </w:r>
      <w:r>
        <w:rPr>
          <w:rFonts w:hint="eastAsia" w:ascii="宋体" w:hAnsi="宋体" w:eastAsia="宋体" w:cs="宋体"/>
          <w:color w:val="auto"/>
          <w:highlight w:val="none"/>
          <w:u w:val="single"/>
          <w:lang w:eastAsia="zh-CN"/>
        </w:rPr>
        <w:t xml:space="preserve">   </w:t>
      </w:r>
      <w:r>
        <w:rPr>
          <w:color w:val="auto"/>
          <w:szCs w:val="21"/>
          <w:highlight w:val="none"/>
          <w:u w:val="single"/>
        </w:rPr>
        <w:t>（成交后填写）</w:t>
      </w:r>
      <w:r>
        <w:rPr>
          <w:rFonts w:hint="eastAsia" w:ascii="宋体" w:hAnsi="宋体" w:eastAsia="宋体" w:cs="宋体"/>
          <w:color w:val="auto"/>
          <w:highlight w:val="none"/>
        </w:rPr>
        <w:t>；</w:t>
      </w:r>
    </w:p>
    <w:p w14:paraId="6082E7B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身份证号：</w:t>
      </w:r>
      <w:r>
        <w:rPr>
          <w:rFonts w:hint="eastAsia" w:ascii="宋体" w:hAnsi="宋体" w:eastAsia="宋体" w:cs="宋体"/>
          <w:color w:val="auto"/>
          <w:highlight w:val="none"/>
          <w:u w:val="single"/>
          <w:lang w:eastAsia="zh-CN"/>
        </w:rPr>
        <w:t xml:space="preserve">   </w:t>
      </w:r>
      <w:r>
        <w:rPr>
          <w:color w:val="auto"/>
          <w:szCs w:val="21"/>
          <w:highlight w:val="none"/>
          <w:u w:val="single"/>
        </w:rPr>
        <w:t>（成交后填写）</w:t>
      </w:r>
      <w:r>
        <w:rPr>
          <w:rFonts w:hint="eastAsia" w:ascii="宋体" w:hAnsi="宋体" w:eastAsia="宋体" w:cs="宋体"/>
          <w:color w:val="auto"/>
          <w:highlight w:val="none"/>
        </w:rPr>
        <w:t>；</w:t>
      </w:r>
    </w:p>
    <w:p w14:paraId="78B336E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建造师执业资格等级：</w:t>
      </w:r>
      <w:r>
        <w:rPr>
          <w:rFonts w:hint="eastAsia" w:ascii="宋体" w:hAnsi="宋体" w:eastAsia="宋体" w:cs="宋体"/>
          <w:color w:val="auto"/>
          <w:highlight w:val="none"/>
          <w:u w:val="single"/>
          <w:lang w:eastAsia="zh-CN"/>
        </w:rPr>
        <w:t xml:space="preserve">  </w:t>
      </w:r>
      <w:r>
        <w:rPr>
          <w:color w:val="auto"/>
          <w:szCs w:val="21"/>
          <w:highlight w:val="none"/>
          <w:u w:val="single"/>
        </w:rPr>
        <w:t>（成交后填写）</w:t>
      </w:r>
      <w:r>
        <w:rPr>
          <w:rFonts w:hint="eastAsia" w:ascii="宋体" w:hAnsi="宋体" w:eastAsia="宋体" w:cs="宋体"/>
          <w:color w:val="auto"/>
          <w:highlight w:val="none"/>
        </w:rPr>
        <w:t>；</w:t>
      </w:r>
    </w:p>
    <w:p w14:paraId="3E0370E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建造师注册证书号：</w:t>
      </w:r>
      <w:r>
        <w:rPr>
          <w:rFonts w:hint="eastAsia" w:ascii="宋体" w:hAnsi="宋体" w:eastAsia="宋体" w:cs="宋体"/>
          <w:color w:val="auto"/>
          <w:highlight w:val="none"/>
          <w:u w:val="single"/>
          <w:lang w:eastAsia="zh-CN"/>
        </w:rPr>
        <w:t xml:space="preserve"> </w:t>
      </w:r>
      <w:r>
        <w:rPr>
          <w:color w:val="auto"/>
          <w:szCs w:val="21"/>
          <w:highlight w:val="none"/>
          <w:u w:val="single"/>
        </w:rPr>
        <w:t>（成交后填写）</w:t>
      </w:r>
      <w:r>
        <w:rPr>
          <w:rFonts w:hint="eastAsia" w:ascii="宋体" w:hAnsi="宋体" w:eastAsia="宋体" w:cs="宋体"/>
          <w:color w:val="auto"/>
          <w:highlight w:val="none"/>
        </w:rPr>
        <w:t>；</w:t>
      </w:r>
    </w:p>
    <w:p w14:paraId="566AFF3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安全生产考核合格证书号：</w:t>
      </w:r>
      <w:r>
        <w:rPr>
          <w:rFonts w:hint="eastAsia" w:ascii="宋体" w:hAnsi="宋体" w:eastAsia="宋体" w:cs="宋体"/>
          <w:color w:val="auto"/>
          <w:highlight w:val="none"/>
          <w:u w:val="single"/>
          <w:lang w:eastAsia="zh-CN"/>
        </w:rPr>
        <w:t xml:space="preserve"> </w:t>
      </w:r>
      <w:r>
        <w:rPr>
          <w:color w:val="auto"/>
          <w:szCs w:val="21"/>
          <w:highlight w:val="none"/>
          <w:u w:val="single"/>
        </w:rPr>
        <w:t>（成交后填写）</w:t>
      </w:r>
      <w:r>
        <w:rPr>
          <w:rFonts w:hint="eastAsia" w:ascii="宋体" w:hAnsi="宋体" w:eastAsia="宋体" w:cs="宋体"/>
          <w:color w:val="auto"/>
          <w:highlight w:val="none"/>
        </w:rPr>
        <w:t>；</w:t>
      </w:r>
    </w:p>
    <w:p w14:paraId="50AA011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lang w:eastAsia="zh-CN"/>
        </w:rPr>
        <w:t xml:space="preserve">    </w:t>
      </w:r>
      <w:r>
        <w:rPr>
          <w:color w:val="auto"/>
          <w:szCs w:val="21"/>
          <w:highlight w:val="none"/>
          <w:u w:val="single"/>
        </w:rPr>
        <w:t>（成交后填写）</w:t>
      </w:r>
      <w:r>
        <w:rPr>
          <w:rFonts w:hint="eastAsia" w:ascii="宋体" w:hAnsi="宋体" w:eastAsia="宋体" w:cs="宋体"/>
          <w:color w:val="auto"/>
          <w:highlight w:val="none"/>
        </w:rPr>
        <w:t>；</w:t>
      </w:r>
    </w:p>
    <w:p w14:paraId="2D05668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lang w:eastAsia="zh-CN"/>
        </w:rPr>
        <w:t xml:space="preserve">  </w:t>
      </w:r>
      <w:r>
        <w:rPr>
          <w:color w:val="auto"/>
          <w:szCs w:val="21"/>
          <w:highlight w:val="none"/>
          <w:u w:val="single"/>
        </w:rPr>
        <w:t>（成交后填写）</w:t>
      </w:r>
      <w:r>
        <w:rPr>
          <w:rFonts w:hint="eastAsia" w:ascii="宋体" w:hAnsi="宋体" w:eastAsia="宋体" w:cs="宋体"/>
          <w:color w:val="auto"/>
          <w:highlight w:val="none"/>
        </w:rPr>
        <w:t>；</w:t>
      </w:r>
    </w:p>
    <w:p w14:paraId="391DEAE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通信地址：</w:t>
      </w:r>
      <w:r>
        <w:rPr>
          <w:rFonts w:hint="eastAsia" w:ascii="宋体" w:hAnsi="宋体" w:eastAsia="宋体" w:cs="宋体"/>
          <w:color w:val="auto"/>
          <w:highlight w:val="none"/>
          <w:u w:val="single"/>
          <w:lang w:eastAsia="zh-CN"/>
        </w:rPr>
        <w:t xml:space="preserve">   </w:t>
      </w:r>
      <w:r>
        <w:rPr>
          <w:color w:val="auto"/>
          <w:szCs w:val="21"/>
          <w:highlight w:val="none"/>
          <w:u w:val="single"/>
        </w:rPr>
        <w:t>（成交后填写）</w:t>
      </w:r>
      <w:r>
        <w:rPr>
          <w:rFonts w:hint="eastAsia" w:ascii="宋体" w:hAnsi="宋体" w:eastAsia="宋体" w:cs="宋体"/>
          <w:color w:val="auto"/>
          <w:highlight w:val="none"/>
        </w:rPr>
        <w:t>；</w:t>
      </w:r>
    </w:p>
    <w:p w14:paraId="4D723BB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承包人对项目经理的授权范围如下：</w:t>
      </w:r>
      <w:r>
        <w:rPr>
          <w:color w:val="auto"/>
          <w:szCs w:val="21"/>
          <w:highlight w:val="none"/>
          <w:u w:val="single"/>
        </w:rPr>
        <w:t>（1）对本工程的施工进行全面管理，包括对工程质量、进度、安全、成本等进行管理，行使施工合同约定的权利，履行施工合同约定的义务；（2）经发包人同意分包的专业工程，项目经理参与选择并使用具有相应资质的分包人（由发包人指定分包的除外）；（3）施工合同约定由承包人采购的材料、工程设备，项目经理参与选择物资供应单位；（4）代表承包人对工程施工中的相关事务（本授权第一项约定的事务）进行协商，代表承包人参加发包人组织的与本工程有关的会议；（5）负责与发包人、监理人办理设计变更、现场签证等手续，及时办理本工程相关索赔；（6）负责签收发包人、监理人往来函件，承包人的要求、通知均应以书面形式由承包人项目经理签字并加盖承包人公司公章后递交发包人；（7）代表承包人接受监理工程师或发包人现场代表发出的指示和指令</w:t>
      </w:r>
      <w:r>
        <w:rPr>
          <w:rFonts w:hint="eastAsia" w:ascii="宋体" w:hAnsi="宋体" w:eastAsia="宋体" w:cs="宋体"/>
          <w:color w:val="auto"/>
          <w:highlight w:val="none"/>
        </w:rPr>
        <w:t>。</w:t>
      </w:r>
    </w:p>
    <w:p w14:paraId="0DA7BA2F">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关于项目经理每月在施工现场的时间要求：</w:t>
      </w:r>
      <w:r>
        <w:rPr>
          <w:rFonts w:hint="eastAsia" w:ascii="宋体" w:hAnsi="宋体" w:eastAsia="宋体" w:cs="宋体"/>
          <w:color w:val="auto"/>
          <w:highlight w:val="none"/>
          <w:u w:val="single"/>
        </w:rPr>
        <w:t>项目经理应常驻施工现场，且每月在岗带班时间不得少于当月施工时间的</w:t>
      </w:r>
      <w:r>
        <w:rPr>
          <w:rFonts w:hint="eastAsia" w:ascii="宋体" w:hAnsi="宋体" w:eastAsia="宋体" w:cs="宋体"/>
          <w:color w:val="auto"/>
          <w:highlight w:val="none"/>
          <w:u w:val="single"/>
          <w:lang w:val="en-US" w:eastAsia="zh-CN"/>
        </w:rPr>
        <w:t>80</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住房和城乡建设部</w:t>
      </w:r>
      <w:r>
        <w:rPr>
          <w:rFonts w:hint="eastAsia" w:ascii="宋体" w:hAnsi="宋体" w:eastAsia="宋体" w:cs="宋体"/>
          <w:color w:val="auto"/>
          <w:highlight w:val="none"/>
          <w:u w:val="single"/>
        </w:rPr>
        <w:t>《建筑施工企业负责人及项目负责人施工现场带班暂行办法》（建质〔2011〕111号）规定：项目负责人每月带班生产时间不得少于本月施工时间的80%）</w:t>
      </w:r>
    </w:p>
    <w:p w14:paraId="526B8B9B">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 xml:space="preserve">项目经理未达到到岗时间要求违约责任：项目经理每月到岗时间达不到合同约定时，每少1天，承包人须承担违约金 </w:t>
      </w:r>
      <w:r>
        <w:rPr>
          <w:rFonts w:hint="eastAsia"/>
          <w:color w:val="auto"/>
          <w:highlight w:val="none"/>
        </w:rPr>
        <w:t>1000</w:t>
      </w:r>
      <w:r>
        <w:rPr>
          <w:rFonts w:hint="eastAsia" w:ascii="宋体" w:hAnsi="宋体" w:eastAsia="宋体" w:cs="宋体"/>
          <w:color w:val="auto"/>
          <w:highlight w:val="none"/>
          <w:u w:val="single"/>
        </w:rPr>
        <w:t>元/天（人民币）。</w:t>
      </w:r>
      <w:r>
        <w:rPr>
          <w:rFonts w:hint="eastAsia"/>
          <w:color w:val="auto"/>
          <w:highlight w:val="none"/>
        </w:rPr>
        <w:t>项目经理考勤方法为发包人书面统计考勤。</w:t>
      </w:r>
    </w:p>
    <w:p w14:paraId="75B5740A">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highlight w:val="none"/>
          <w:u w:val="single"/>
        </w:rPr>
        <w:t xml:space="preserve">项目经理未经批准，擅自离开施工现场的违约责任：承包人须承担违约金 </w:t>
      </w:r>
      <w:r>
        <w:rPr>
          <w:rFonts w:hint="eastAsia" w:eastAsia="宋体"/>
          <w:color w:val="auto"/>
          <w:highlight w:val="none"/>
          <w:lang w:eastAsia="zh-CN"/>
        </w:rPr>
        <w:t>2000</w:t>
      </w:r>
      <w:r>
        <w:rPr>
          <w:rFonts w:hint="eastAsia" w:ascii="宋体" w:hAnsi="宋体" w:eastAsia="宋体" w:cs="宋体"/>
          <w:color w:val="auto"/>
          <w:highlight w:val="none"/>
          <w:u w:val="single"/>
        </w:rPr>
        <w:t>元/天（人民币），并由承包人承担因上述违约行为给发包人造成的一切损失</w:t>
      </w:r>
      <w:r>
        <w:rPr>
          <w:rFonts w:hint="eastAsia" w:ascii="宋体" w:hAnsi="宋体" w:eastAsia="宋体" w:cs="宋体"/>
          <w:color w:val="auto"/>
          <w:highlight w:val="none"/>
          <w:u w:val="single"/>
          <w:lang w:eastAsia="zh-CN"/>
        </w:rPr>
        <w:t>。</w:t>
      </w:r>
    </w:p>
    <w:p w14:paraId="23901739">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承包人未提交劳动合同，以及没有为项目经理缴纳社会保险证明的违约责任：</w:t>
      </w:r>
      <w:r>
        <w:rPr>
          <w:rFonts w:hint="eastAsia" w:ascii="宋体" w:hAnsi="宋体" w:eastAsia="宋体" w:cs="宋体"/>
          <w:color w:val="auto"/>
          <w:highlight w:val="none"/>
          <w:u w:val="single"/>
        </w:rPr>
        <w:t xml:space="preserve">   </w:t>
      </w:r>
      <w:r>
        <w:rPr>
          <w:color w:val="auto"/>
          <w:szCs w:val="21"/>
          <w:highlight w:val="none"/>
          <w:u w:val="single"/>
        </w:rPr>
        <w:t>承包人须向发包人支付2000元违约金，并限期提交劳动合同并补缴社会保险</w:t>
      </w:r>
      <w:r>
        <w:rPr>
          <w:rFonts w:hint="eastAsia" w:ascii="宋体" w:hAnsi="宋体" w:eastAsia="宋体" w:cs="宋体"/>
          <w:color w:val="auto"/>
          <w:highlight w:val="none"/>
        </w:rPr>
        <w:t>。</w:t>
      </w:r>
    </w:p>
    <w:p w14:paraId="56F1B603">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3.2.3 承包人擅自更换项目经理的违约责任：</w:t>
      </w:r>
      <w:r>
        <w:rPr>
          <w:rFonts w:hint="eastAsia" w:ascii="宋体" w:hAnsi="宋体" w:eastAsia="宋体" w:cs="宋体"/>
          <w:color w:val="auto"/>
          <w:highlight w:val="none"/>
          <w:u w:val="none"/>
        </w:rPr>
        <w:t>承包人项目经理必须与承包人</w:t>
      </w:r>
      <w:r>
        <w:rPr>
          <w:rFonts w:hint="eastAsia" w:ascii="宋体" w:hAnsi="宋体" w:eastAsia="宋体" w:cs="宋体"/>
          <w:color w:val="auto"/>
          <w:highlight w:val="none"/>
          <w:u w:val="none"/>
          <w:lang w:eastAsia="zh-CN"/>
        </w:rPr>
        <w:t>投标（响应）</w:t>
      </w:r>
      <w:r>
        <w:rPr>
          <w:rFonts w:hint="eastAsia" w:ascii="宋体" w:hAnsi="宋体" w:eastAsia="宋体" w:cs="宋体"/>
          <w:color w:val="auto"/>
          <w:highlight w:val="none"/>
          <w:u w:val="none"/>
        </w:rPr>
        <w:t>时所承诺的人员一致，并在</w:t>
      </w:r>
      <w:r>
        <w:rPr>
          <w:rFonts w:hint="eastAsia" w:ascii="宋体" w:hAnsi="宋体" w:eastAsia="宋体" w:cs="宋体"/>
          <w:color w:val="auto"/>
          <w:highlight w:val="none"/>
          <w:u w:val="single"/>
        </w:rPr>
        <w:t xml:space="preserve">  （开工日期）  </w:t>
      </w:r>
      <w:r>
        <w:rPr>
          <w:rFonts w:hint="eastAsia" w:ascii="宋体" w:hAnsi="宋体" w:eastAsia="宋体" w:cs="宋体"/>
          <w:color w:val="auto"/>
          <w:highlight w:val="none"/>
          <w:u w:val="none"/>
        </w:rPr>
        <w:t xml:space="preserve">前到任。在监理人向承包人颁发 </w:t>
      </w:r>
      <w:r>
        <w:rPr>
          <w:rFonts w:hint="eastAsia" w:ascii="宋体" w:hAnsi="宋体" w:eastAsia="宋体" w:cs="宋体"/>
          <w:color w:val="auto"/>
          <w:highlight w:val="none"/>
          <w:u w:val="single"/>
        </w:rPr>
        <w:t xml:space="preserve">   （竣工证明材料名称）   </w:t>
      </w:r>
      <w:r>
        <w:rPr>
          <w:rFonts w:hint="eastAsia" w:ascii="宋体" w:hAnsi="宋体" w:eastAsia="宋体" w:cs="宋体"/>
          <w:color w:val="auto"/>
          <w:highlight w:val="none"/>
          <w:u w:val="none"/>
        </w:rPr>
        <w:t xml:space="preserve"> 前，项目经理不得同时兼任其他任何项目的项目经理</w:t>
      </w:r>
      <w:r>
        <w:rPr>
          <w:rFonts w:hint="eastAsia" w:ascii="宋体" w:hAnsi="宋体" w:eastAsia="宋体" w:cs="宋体"/>
          <w:color w:val="auto"/>
          <w:kern w:val="2"/>
          <w:highlight w:val="none"/>
          <w:u w:val="none"/>
        </w:rPr>
        <w:t>（</w:t>
      </w:r>
      <w:r>
        <w:rPr>
          <w:rFonts w:hint="eastAsia" w:ascii="宋体" w:hAnsi="宋体" w:eastAsia="宋体" w:cs="宋体"/>
          <w:color w:val="auto"/>
          <w:kern w:val="2"/>
          <w:highlight w:val="none"/>
          <w:u w:val="none"/>
          <w:lang w:eastAsia="zh-CN"/>
        </w:rPr>
        <w:t>符合</w:t>
      </w:r>
      <w:r>
        <w:rPr>
          <w:rFonts w:hint="eastAsia" w:ascii="宋体" w:hAnsi="宋体" w:eastAsia="宋体" w:cs="宋体"/>
          <w:color w:val="auto"/>
          <w:highlight w:val="none"/>
        </w:rPr>
        <w:t>《广西壮族自治区建筑市场诚信卡管理暂行办法》第十六条第一款及桂建管﹝</w:t>
      </w:r>
      <w:r>
        <w:rPr>
          <w:rFonts w:hint="eastAsia" w:ascii="宋体" w:hAnsi="宋体" w:eastAsia="宋体" w:cs="宋体"/>
          <w:color w:val="auto"/>
          <w:kern w:val="2"/>
          <w:highlight w:val="none"/>
        </w:rPr>
        <w:t>2016</w:t>
      </w:r>
      <w:r>
        <w:rPr>
          <w:rFonts w:hint="eastAsia" w:ascii="宋体" w:hAnsi="宋体" w:eastAsia="宋体" w:cs="宋体"/>
          <w:color w:val="auto"/>
          <w:highlight w:val="none"/>
        </w:rPr>
        <w:t>﹞70号</w:t>
      </w:r>
      <w:r>
        <w:rPr>
          <w:rFonts w:hint="eastAsia" w:ascii="宋体" w:hAnsi="宋体" w:eastAsia="宋体" w:cs="宋体"/>
          <w:color w:val="auto"/>
          <w:highlight w:val="none"/>
          <w:u w:val="none"/>
          <w:lang w:eastAsia="zh-CN"/>
        </w:rPr>
        <w:t>、</w:t>
      </w:r>
      <w:r>
        <w:rPr>
          <w:rFonts w:hint="eastAsia" w:ascii="宋体" w:hAnsi="宋体" w:eastAsia="宋体" w:cs="宋体"/>
          <w:color w:val="auto"/>
          <w:sz w:val="21"/>
          <w:szCs w:val="21"/>
          <w:highlight w:val="none"/>
          <w:u w:val="none"/>
        </w:rPr>
        <w:t>桂建管〔2020〕11号</w:t>
      </w:r>
      <w:r>
        <w:rPr>
          <w:rFonts w:hint="eastAsia" w:ascii="宋体" w:hAnsi="宋体" w:eastAsia="宋体" w:cs="宋体"/>
          <w:color w:val="auto"/>
          <w:kern w:val="2"/>
          <w:highlight w:val="none"/>
          <w:u w:val="none"/>
        </w:rPr>
        <w:t>文除外）</w:t>
      </w:r>
      <w:r>
        <w:rPr>
          <w:rFonts w:hint="eastAsia" w:ascii="宋体" w:hAnsi="宋体" w:eastAsia="宋体" w:cs="宋体"/>
          <w:color w:val="auto"/>
          <w:highlight w:val="none"/>
          <w:u w:val="none"/>
        </w:rPr>
        <w:t>。未经发包人书面同意，承包人擅自更换项目经理的视为违约，违约金处</w:t>
      </w:r>
      <w:r>
        <w:rPr>
          <w:rFonts w:hint="eastAsia" w:ascii="宋体" w:hAnsi="宋体" w:eastAsia="宋体" w:cs="宋体"/>
          <w:color w:val="auto"/>
          <w:highlight w:val="none"/>
          <w:u w:val="single"/>
        </w:rPr>
        <w:t xml:space="preserve"> </w:t>
      </w:r>
      <w:r>
        <w:rPr>
          <w:color w:val="auto"/>
          <w:szCs w:val="21"/>
          <w:highlight w:val="none"/>
          <w:u w:val="single"/>
        </w:rPr>
        <w:t>5000</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none"/>
        </w:rPr>
        <w:t>元/人•次（人民币）</w:t>
      </w:r>
      <w:r>
        <w:rPr>
          <w:rFonts w:hint="eastAsia" w:ascii="宋体" w:hAnsi="宋体" w:eastAsia="宋体" w:cs="宋体"/>
          <w:color w:val="auto"/>
          <w:highlight w:val="none"/>
        </w:rPr>
        <w:t>。</w:t>
      </w:r>
    </w:p>
    <w:p w14:paraId="0C2B931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3.2.4 承包人无正当理由拒绝更换项目经理的违约责任：</w:t>
      </w:r>
      <w:r>
        <w:rPr>
          <w:rFonts w:hint="eastAsia" w:ascii="宋体" w:hAnsi="宋体" w:eastAsia="宋体" w:cs="宋体"/>
          <w:color w:val="auto"/>
          <w:highlight w:val="none"/>
          <w:u w:val="single"/>
        </w:rPr>
        <w:t>因承包人项目经理不称职，发包人要求调换而未及时调换的，视为承包人违约，必须向发包人交纳</w:t>
      </w:r>
      <w:r>
        <w:rPr>
          <w:rFonts w:hint="eastAsia" w:ascii="宋体" w:hAnsi="宋体" w:eastAsia="宋体" w:cs="宋体"/>
          <w:color w:val="auto"/>
          <w:highlight w:val="none"/>
          <w:u w:val="single"/>
          <w:lang w:val="en-US" w:eastAsia="zh-CN"/>
        </w:rPr>
        <w:t>违约</w:t>
      </w:r>
      <w:r>
        <w:rPr>
          <w:rFonts w:hint="eastAsia" w:ascii="宋体" w:hAnsi="宋体" w:eastAsia="宋体" w:cs="宋体"/>
          <w:color w:val="auto"/>
          <w:highlight w:val="none"/>
          <w:u w:val="single"/>
        </w:rPr>
        <w:t>金</w:t>
      </w:r>
      <w:r>
        <w:rPr>
          <w:color w:val="auto"/>
          <w:szCs w:val="21"/>
          <w:highlight w:val="none"/>
          <w:u w:val="single"/>
        </w:rPr>
        <w:t>5000</w:t>
      </w:r>
      <w:r>
        <w:rPr>
          <w:rFonts w:hint="eastAsia" w:ascii="宋体" w:hAnsi="宋体" w:eastAsia="宋体" w:cs="宋体"/>
          <w:color w:val="auto"/>
          <w:highlight w:val="none"/>
          <w:u w:val="single"/>
        </w:rPr>
        <w:t xml:space="preserve"> 元/人•次（人民币）</w:t>
      </w:r>
      <w:r>
        <w:rPr>
          <w:rFonts w:hint="eastAsia" w:ascii="宋体" w:hAnsi="宋体" w:eastAsia="宋体" w:cs="宋体"/>
          <w:color w:val="auto"/>
          <w:highlight w:val="none"/>
        </w:rPr>
        <w:t>。</w:t>
      </w:r>
    </w:p>
    <w:p w14:paraId="7A9A60D8">
      <w:pPr>
        <w:pStyle w:val="4"/>
        <w:rPr>
          <w:rFonts w:hint="eastAsia" w:ascii="宋体" w:hAnsi="宋体" w:eastAsia="宋体" w:cs="宋体"/>
          <w:color w:val="auto"/>
          <w:highlight w:val="none"/>
        </w:rPr>
      </w:pPr>
      <w:bookmarkStart w:id="303" w:name="_Toc24414"/>
      <w:bookmarkStart w:id="304" w:name="_Toc15147"/>
      <w:r>
        <w:rPr>
          <w:rFonts w:hint="eastAsia" w:ascii="宋体" w:hAnsi="宋体" w:eastAsia="宋体" w:cs="宋体"/>
          <w:color w:val="auto"/>
          <w:highlight w:val="none"/>
        </w:rPr>
        <w:t>3.3 承包人人员</w:t>
      </w:r>
      <w:bookmarkEnd w:id="303"/>
      <w:bookmarkEnd w:id="304"/>
    </w:p>
    <w:p w14:paraId="5D2CD38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3.3.1 承包人提交项目管理机构及施工现场管理人员安排报告（格式见合同附件5）的期限：</w:t>
      </w:r>
    </w:p>
    <w:p w14:paraId="3F747075">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ascii="Times New Roman" w:hAnsi="Times New Roman"/>
          <w:color w:val="auto"/>
          <w:sz w:val="21"/>
          <w:szCs w:val="21"/>
          <w:highlight w:val="none"/>
          <w:u w:val="single"/>
        </w:rPr>
        <w:t>开工前5天内</w:t>
      </w:r>
      <w:r>
        <w:rPr>
          <w:rFonts w:hint="eastAsia" w:ascii="宋体" w:hAnsi="宋体" w:eastAsia="宋体" w:cs="宋体"/>
          <w:color w:val="auto"/>
          <w:highlight w:val="none"/>
        </w:rPr>
        <w:t>。</w:t>
      </w:r>
    </w:p>
    <w:p w14:paraId="49E4EB1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3.3.3 承包人无正当理由拒绝撤换主要施工管理人员的违约责任：</w:t>
      </w:r>
      <w:r>
        <w:rPr>
          <w:rFonts w:hint="eastAsia" w:ascii="宋体" w:hAnsi="宋体" w:eastAsia="宋体" w:cs="宋体"/>
          <w:color w:val="auto"/>
          <w:highlight w:val="none"/>
          <w:u w:val="single"/>
        </w:rPr>
        <w:t>因承包人主要施工管理人员不称职，发包人要求调换而无正当理由拒绝撤换或未及时调换的，视为承包人违约，必须向发包人交纳</w:t>
      </w:r>
      <w:r>
        <w:rPr>
          <w:rFonts w:hint="eastAsia" w:ascii="宋体" w:hAnsi="宋体" w:eastAsia="宋体" w:cs="宋体"/>
          <w:color w:val="auto"/>
          <w:highlight w:val="none"/>
          <w:u w:val="single"/>
          <w:lang w:val="en-US" w:eastAsia="zh-CN"/>
        </w:rPr>
        <w:t>违约金</w:t>
      </w:r>
      <w:r>
        <w:rPr>
          <w:rFonts w:hint="eastAsia" w:ascii="宋体" w:hAnsi="宋体" w:eastAsia="宋体" w:cs="宋体"/>
          <w:color w:val="auto"/>
          <w:highlight w:val="none"/>
          <w:u w:val="single"/>
        </w:rPr>
        <w:t>，</w:t>
      </w:r>
      <w:r>
        <w:rPr>
          <w:rFonts w:hint="eastAsia" w:ascii="宋体" w:hAnsi="宋体" w:eastAsia="宋体" w:cs="宋体"/>
          <w:color w:val="auto"/>
          <w:highlight w:val="none"/>
          <w:u w:val="single"/>
          <w:lang w:val="en-US" w:eastAsia="zh-CN"/>
        </w:rPr>
        <w:t>交纳</w:t>
      </w:r>
      <w:r>
        <w:rPr>
          <w:rFonts w:hint="eastAsia" w:ascii="宋体" w:hAnsi="宋体" w:eastAsia="宋体" w:cs="宋体"/>
          <w:color w:val="auto"/>
          <w:highlight w:val="none"/>
          <w:u w:val="single"/>
        </w:rPr>
        <w:t>标准：技术负责人</w:t>
      </w:r>
      <w:r>
        <w:rPr>
          <w:rFonts w:ascii="Times New Roman" w:hAnsi="Times New Roman"/>
          <w:color w:val="auto"/>
          <w:kern w:val="2"/>
          <w:sz w:val="21"/>
          <w:szCs w:val="21"/>
          <w:highlight w:val="none"/>
          <w:u w:val="single"/>
        </w:rPr>
        <w:t>8000</w:t>
      </w:r>
      <w:r>
        <w:rPr>
          <w:rFonts w:hint="eastAsia" w:ascii="宋体" w:hAnsi="宋体" w:eastAsia="宋体" w:cs="宋体"/>
          <w:color w:val="auto"/>
          <w:highlight w:val="none"/>
          <w:u w:val="single"/>
        </w:rPr>
        <w:t>元/人•次（人民币）；专业工程师</w:t>
      </w:r>
      <w:r>
        <w:rPr>
          <w:rFonts w:ascii="Times New Roman" w:hAnsi="Times New Roman"/>
          <w:color w:val="auto"/>
          <w:kern w:val="2"/>
          <w:sz w:val="21"/>
          <w:szCs w:val="21"/>
          <w:highlight w:val="none"/>
          <w:u w:val="single"/>
        </w:rPr>
        <w:t>6000</w:t>
      </w:r>
      <w:r>
        <w:rPr>
          <w:rFonts w:hint="eastAsia" w:ascii="宋体" w:hAnsi="宋体" w:eastAsia="宋体" w:cs="宋体"/>
          <w:color w:val="auto"/>
          <w:highlight w:val="none"/>
          <w:u w:val="single"/>
        </w:rPr>
        <w:t>元/人•次（人民币）</w:t>
      </w:r>
      <w:r>
        <w:rPr>
          <w:rFonts w:hint="eastAsia" w:ascii="宋体" w:hAnsi="宋体" w:eastAsia="宋体" w:cs="宋体"/>
          <w:color w:val="auto"/>
          <w:highlight w:val="none"/>
        </w:rPr>
        <w:t>。</w:t>
      </w:r>
    </w:p>
    <w:p w14:paraId="755CB81A">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3.3.4 承包人主要施工管理人员离开施工现场的批准要求：</w:t>
      </w:r>
      <w:r>
        <w:rPr>
          <w:rFonts w:hint="eastAsia" w:ascii="宋体" w:hAnsi="宋体" w:eastAsia="宋体" w:cs="宋体"/>
          <w:color w:val="auto"/>
          <w:highlight w:val="none"/>
          <w:u w:val="single"/>
        </w:rPr>
        <w:t xml:space="preserve"> </w:t>
      </w:r>
      <w:r>
        <w:rPr>
          <w:color w:val="auto"/>
          <w:szCs w:val="21"/>
          <w:highlight w:val="none"/>
          <w:u w:val="single"/>
        </w:rPr>
        <w:t>由总监理工程师批准，发包人书面认可后方可离开</w:t>
      </w:r>
      <w:r>
        <w:rPr>
          <w:rFonts w:hint="eastAsia" w:ascii="宋体" w:hAnsi="宋体" w:eastAsia="宋体" w:cs="宋体"/>
          <w:color w:val="auto"/>
          <w:highlight w:val="none"/>
        </w:rPr>
        <w:t>。</w:t>
      </w:r>
    </w:p>
    <w:p w14:paraId="7BCE120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3.3.5 承包人擅自更换主要施工管理人员的违约责任：</w:t>
      </w:r>
      <w:r>
        <w:rPr>
          <w:rFonts w:hint="eastAsia" w:ascii="宋体" w:hAnsi="宋体" w:eastAsia="宋体" w:cs="宋体"/>
          <w:color w:val="auto"/>
          <w:highlight w:val="none"/>
          <w:u w:val="single"/>
        </w:rPr>
        <w:t>项目技术负责人、专职安全生产管理人员及其承诺的</w:t>
      </w:r>
      <w:r>
        <w:rPr>
          <w:rFonts w:hint="eastAsia" w:ascii="宋体" w:hAnsi="宋体" w:eastAsia="宋体" w:cs="宋体"/>
          <w:color w:val="auto"/>
          <w:highlight w:val="none"/>
          <w:u w:val="single"/>
          <w:lang w:eastAsia="zh-CN"/>
        </w:rPr>
        <w:t>其他</w:t>
      </w:r>
      <w:r>
        <w:rPr>
          <w:rFonts w:hint="eastAsia" w:ascii="宋体" w:hAnsi="宋体" w:eastAsia="宋体" w:cs="宋体"/>
          <w:color w:val="auto"/>
          <w:highlight w:val="none"/>
          <w:u w:val="single"/>
        </w:rPr>
        <w:t xml:space="preserve">在场管理人员未经发包人书面同意不准擅自更换，擅自更换项目技术负责人处    </w:t>
      </w:r>
      <w:r>
        <w:rPr>
          <w:rFonts w:ascii="Times New Roman" w:hAnsi="Times New Roman"/>
          <w:color w:val="auto"/>
          <w:kern w:val="2"/>
          <w:sz w:val="21"/>
          <w:szCs w:val="21"/>
          <w:highlight w:val="none"/>
          <w:u w:val="single"/>
        </w:rPr>
        <w:t>6000</w:t>
      </w:r>
      <w:r>
        <w:rPr>
          <w:rFonts w:hint="eastAsia" w:ascii="宋体" w:hAnsi="宋体" w:eastAsia="宋体" w:cs="宋体"/>
          <w:color w:val="auto"/>
          <w:highlight w:val="none"/>
          <w:u w:val="single"/>
        </w:rPr>
        <w:t xml:space="preserve">元/人•次（人民币）违约金；擅自更换专职安全生产管理人员处 </w:t>
      </w:r>
      <w:r>
        <w:rPr>
          <w:rFonts w:hint="eastAsia" w:ascii="宋体" w:hAnsi="宋体" w:eastAsia="宋体" w:cs="宋体"/>
          <w:color w:val="auto"/>
          <w:highlight w:val="none"/>
          <w:u w:val="single"/>
          <w:lang w:val="en-US" w:eastAsia="zh-CN"/>
        </w:rPr>
        <w:t>3000</w:t>
      </w:r>
      <w:r>
        <w:rPr>
          <w:rFonts w:hint="eastAsia" w:ascii="宋体" w:hAnsi="宋体" w:eastAsia="宋体" w:cs="宋体"/>
          <w:color w:val="auto"/>
          <w:highlight w:val="none"/>
          <w:u w:val="single"/>
        </w:rPr>
        <w:t xml:space="preserve"> 元/人•次（人民币）违约金；擅自更换</w:t>
      </w:r>
      <w:r>
        <w:rPr>
          <w:rFonts w:hint="eastAsia" w:ascii="宋体" w:hAnsi="宋体" w:eastAsia="宋体" w:cs="宋体"/>
          <w:color w:val="auto"/>
          <w:highlight w:val="none"/>
          <w:u w:val="single"/>
          <w:lang w:eastAsia="zh-CN"/>
        </w:rPr>
        <w:t>其他</w:t>
      </w:r>
      <w:r>
        <w:rPr>
          <w:rFonts w:hint="eastAsia" w:ascii="宋体" w:hAnsi="宋体" w:eastAsia="宋体" w:cs="宋体"/>
          <w:color w:val="auto"/>
          <w:highlight w:val="none"/>
          <w:u w:val="single"/>
        </w:rPr>
        <w:t xml:space="preserve">在场管理人员处 </w:t>
      </w:r>
      <w:r>
        <w:rPr>
          <w:rFonts w:hint="eastAsia" w:ascii="宋体" w:hAnsi="宋体" w:eastAsia="宋体" w:cs="宋体"/>
          <w:color w:val="auto"/>
          <w:highlight w:val="none"/>
          <w:u w:val="single"/>
          <w:lang w:val="en-US" w:eastAsia="zh-CN"/>
        </w:rPr>
        <w:t>2000</w:t>
      </w:r>
      <w:r>
        <w:rPr>
          <w:rFonts w:hint="eastAsia" w:ascii="宋体" w:hAnsi="宋体" w:eastAsia="宋体" w:cs="宋体"/>
          <w:color w:val="auto"/>
          <w:highlight w:val="none"/>
          <w:u w:val="single"/>
        </w:rPr>
        <w:t xml:space="preserve"> 元/人•次（人民币）违约金</w:t>
      </w:r>
      <w:r>
        <w:rPr>
          <w:rFonts w:hint="eastAsia" w:ascii="宋体" w:hAnsi="宋体" w:eastAsia="宋体" w:cs="宋体"/>
          <w:color w:val="auto"/>
          <w:highlight w:val="none"/>
        </w:rPr>
        <w:t>。</w:t>
      </w:r>
    </w:p>
    <w:p w14:paraId="4B7D659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承包人主要施工管理人员擅自离开施工现场的违约责任：</w:t>
      </w:r>
      <w:r>
        <w:rPr>
          <w:rFonts w:hint="eastAsia" w:ascii="宋体" w:hAnsi="宋体" w:eastAsia="宋体" w:cs="宋体"/>
          <w:color w:val="auto"/>
          <w:highlight w:val="none"/>
          <w:u w:val="single"/>
        </w:rPr>
        <w:t>未经发包人同意，项目技术负责人擅自离岗的，视为承包人违约，发包人有权处违约金</w:t>
      </w:r>
      <w:r>
        <w:rPr>
          <w:color w:val="auto"/>
          <w:highlight w:val="none"/>
          <w:u w:val="single"/>
        </w:rPr>
        <w:t>5000</w:t>
      </w:r>
      <w:r>
        <w:rPr>
          <w:rFonts w:hint="eastAsia" w:ascii="宋体" w:hAnsi="宋体" w:eastAsia="宋体" w:cs="宋体"/>
          <w:color w:val="auto"/>
          <w:highlight w:val="none"/>
          <w:u w:val="single"/>
        </w:rPr>
        <w:t xml:space="preserve">元/人•次（人民币）；未经发包人同意，专职安全生产管理人员擅自离岗的，视为承包人违约，发包人有权处违约金 </w:t>
      </w:r>
      <w:r>
        <w:rPr>
          <w:rFonts w:hint="eastAsia" w:ascii="宋体" w:hAnsi="宋体" w:eastAsia="宋体" w:cs="宋体"/>
          <w:color w:val="auto"/>
          <w:highlight w:val="none"/>
          <w:u w:val="single"/>
          <w:lang w:val="en-US" w:eastAsia="zh-CN"/>
        </w:rPr>
        <w:t>2000</w:t>
      </w:r>
      <w:r>
        <w:rPr>
          <w:rFonts w:hint="eastAsia" w:ascii="宋体" w:hAnsi="宋体" w:eastAsia="宋体" w:cs="宋体"/>
          <w:color w:val="auto"/>
          <w:highlight w:val="none"/>
          <w:u w:val="single"/>
        </w:rPr>
        <w:t xml:space="preserve"> 元/人•次（人民币）；</w:t>
      </w:r>
      <w:r>
        <w:rPr>
          <w:rFonts w:hint="eastAsia" w:ascii="宋体" w:hAnsi="宋体" w:eastAsia="宋体" w:cs="宋体"/>
          <w:color w:val="auto"/>
          <w:highlight w:val="none"/>
          <w:u w:val="single"/>
          <w:lang w:eastAsia="zh-CN"/>
        </w:rPr>
        <w:t>其他</w:t>
      </w:r>
      <w:r>
        <w:rPr>
          <w:rFonts w:hint="eastAsia" w:ascii="宋体" w:hAnsi="宋体" w:eastAsia="宋体" w:cs="宋体"/>
          <w:color w:val="auto"/>
          <w:highlight w:val="none"/>
          <w:u w:val="single"/>
        </w:rPr>
        <w:t xml:space="preserve">在场管理人员擅自离岗的，视为承包人违约，发包人有权处违约金 </w:t>
      </w:r>
      <w:r>
        <w:rPr>
          <w:rFonts w:hint="eastAsia" w:ascii="宋体" w:hAnsi="宋体" w:eastAsia="宋体" w:cs="宋体"/>
          <w:color w:val="auto"/>
          <w:highlight w:val="none"/>
          <w:u w:val="single"/>
          <w:lang w:val="en-US" w:eastAsia="zh-CN"/>
        </w:rPr>
        <w:t>1000</w:t>
      </w:r>
      <w:r>
        <w:rPr>
          <w:rFonts w:hint="eastAsia" w:ascii="宋体" w:hAnsi="宋体" w:eastAsia="宋体" w:cs="宋体"/>
          <w:color w:val="auto"/>
          <w:highlight w:val="none"/>
          <w:u w:val="single"/>
        </w:rPr>
        <w:t>元/人•次（人民币）</w:t>
      </w:r>
      <w:r>
        <w:rPr>
          <w:rFonts w:hint="eastAsia" w:ascii="宋体" w:hAnsi="宋体" w:eastAsia="宋体" w:cs="宋体"/>
          <w:color w:val="auto"/>
          <w:highlight w:val="none"/>
        </w:rPr>
        <w:t>。</w:t>
      </w:r>
    </w:p>
    <w:p w14:paraId="4CFF3CD8">
      <w:pPr>
        <w:pStyle w:val="4"/>
        <w:rPr>
          <w:rFonts w:hint="eastAsia" w:ascii="宋体" w:hAnsi="宋体" w:eastAsia="宋体" w:cs="宋体"/>
          <w:color w:val="auto"/>
          <w:highlight w:val="none"/>
        </w:rPr>
      </w:pPr>
      <w:bookmarkStart w:id="305" w:name="_Toc21361"/>
      <w:bookmarkStart w:id="306" w:name="_Toc10076"/>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 xml:space="preserve"> 分包</w:t>
      </w:r>
      <w:bookmarkEnd w:id="305"/>
      <w:bookmarkEnd w:id="306"/>
    </w:p>
    <w:p w14:paraId="2C970C6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.1 分包的一般约定</w:t>
      </w:r>
    </w:p>
    <w:p w14:paraId="202AB428">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禁止分包的工程包括：</w:t>
      </w:r>
      <w:r>
        <w:rPr>
          <w:rFonts w:hint="eastAsia" w:ascii="宋体" w:hAnsi="宋体" w:eastAsia="宋体" w:cs="宋体"/>
          <w:color w:val="auto"/>
          <w:highlight w:val="none"/>
          <w:u w:val="single"/>
        </w:rPr>
        <w:t xml:space="preserve"> </w:t>
      </w:r>
      <w:r>
        <w:rPr>
          <w:color w:val="auto"/>
          <w:highlight w:val="none"/>
          <w:u w:val="single"/>
        </w:rPr>
        <w:t>本项目不允许分包</w:t>
      </w:r>
      <w:r>
        <w:rPr>
          <w:rFonts w:hint="eastAsia" w:ascii="宋体" w:hAnsi="宋体" w:eastAsia="宋体" w:cs="宋体"/>
          <w:color w:val="auto"/>
          <w:highlight w:val="none"/>
        </w:rPr>
        <w:t>。</w:t>
      </w:r>
    </w:p>
    <w:p w14:paraId="14898607">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主体结构、关键性工作的范围：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rPr>
        <w:t>。</w:t>
      </w:r>
    </w:p>
    <w:p w14:paraId="347F1CC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.2 分包的确定</w:t>
      </w:r>
    </w:p>
    <w:p w14:paraId="21785D90">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允许分包的专业工程包括：</w:t>
      </w:r>
      <w:r>
        <w:rPr>
          <w:rFonts w:hint="eastAsia" w:ascii="宋体" w:hAnsi="宋体" w:eastAsia="宋体" w:cs="宋体"/>
          <w:color w:val="auto"/>
          <w:highlight w:val="none"/>
          <w:u w:val="single"/>
        </w:rPr>
        <w:t xml:space="preserve"> </w:t>
      </w:r>
      <w:r>
        <w:rPr>
          <w:color w:val="auto"/>
          <w:szCs w:val="21"/>
          <w:highlight w:val="none"/>
          <w:u w:val="single"/>
        </w:rPr>
        <w:t>本工程不允许分包（除劳务分包以外）</w:t>
      </w:r>
      <w:r>
        <w:rPr>
          <w:rFonts w:hint="eastAsia" w:ascii="宋体" w:hAnsi="宋体" w:eastAsia="宋体" w:cs="宋体"/>
          <w:color w:val="auto"/>
          <w:highlight w:val="none"/>
        </w:rPr>
        <w:t>。</w:t>
      </w:r>
    </w:p>
    <w:p w14:paraId="72FFEE5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其他关于分包的约定：</w:t>
      </w:r>
    </w:p>
    <w:p w14:paraId="30E1862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6。</w:t>
      </w:r>
    </w:p>
    <w:p w14:paraId="3BB7AFC3">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（2）在相关分包合同签订并报送有关建设行政主管部门备案后7天内，承包人应当将一份副本提交给监理人，承包人应保障分包工作不得再次分包。</w:t>
      </w:r>
    </w:p>
    <w:p w14:paraId="25028DF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（3）未经承包人和监理人审批同意的分包工程和分包人，承包人有权拒绝验收分包工程和支付相应款项，由此引起的发包人费用增加和</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或</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延误的工期由发包人承担。</w:t>
      </w:r>
    </w:p>
    <w:p w14:paraId="6D3114D5">
      <w:pPr>
        <w:pStyle w:val="22"/>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（4）承包人有以下情况之一者，发包人有权解除合同，并视情况扣除其履约保证金：</w:t>
      </w:r>
    </w:p>
    <w:p w14:paraId="02198576">
      <w:pPr>
        <w:pStyle w:val="22"/>
        <w:spacing w:line="360" w:lineRule="auto"/>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①个人承包工程，包括本人单位及外单位人员承包，发包人不承认其个人拥有任何资质等级及营业许可资格。没收全部履约保证金。</w:t>
      </w:r>
    </w:p>
    <w:p w14:paraId="01BF9242">
      <w:pPr>
        <w:pStyle w:val="22"/>
        <w:spacing w:line="360" w:lineRule="auto"/>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②几个人联合承包工程，就地组织暗分包队伍，不具备完成本工程的技术、机械能力，被发包人判定为没有能力履行的承包人。没收全部履约保证金。</w:t>
      </w:r>
    </w:p>
    <w:p w14:paraId="711BB7EA">
      <w:pPr>
        <w:pStyle w:val="22"/>
        <w:spacing w:line="360" w:lineRule="auto"/>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③就地转包全部的工程，以谋取高额转让费、管理费的承包人。没收全部履约保证金。</w:t>
      </w:r>
    </w:p>
    <w:p w14:paraId="35B85BC2">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④承包人有部分分包现象（其中包括冒充承包人下属单位的</w:t>
      </w:r>
      <w:r>
        <w:rPr>
          <w:rFonts w:hint="eastAsia" w:ascii="宋体" w:hAnsi="宋体" w:eastAsia="宋体" w:cs="宋体"/>
          <w:color w:val="auto"/>
          <w:highlight w:val="none"/>
          <w:lang w:eastAsia="zh-CN"/>
        </w:rPr>
        <w:t>挂钩</w:t>
      </w:r>
      <w:r>
        <w:rPr>
          <w:rFonts w:hint="eastAsia" w:ascii="宋体" w:hAnsi="宋体" w:eastAsia="宋体" w:cs="宋体"/>
          <w:color w:val="auto"/>
          <w:highlight w:val="none"/>
        </w:rPr>
        <w:t>单位，凭口头协议参与施工的分包人及其他暗分包个体户），一经发现核实，发包人将采取驱逐该暗分包人措施。没收全部履约保证金。</w:t>
      </w:r>
    </w:p>
    <w:p w14:paraId="2E16052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 xml:space="preserve"> 分包合同价款</w:t>
      </w:r>
    </w:p>
    <w:p w14:paraId="0074AD7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关于分包合同价款支付的约定：</w:t>
      </w:r>
      <w:r>
        <w:rPr>
          <w:rFonts w:hint="eastAsia" w:ascii="宋体" w:hAnsi="宋体" w:eastAsia="宋体" w:cs="宋体"/>
          <w:color w:val="auto"/>
          <w:highlight w:val="none"/>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294A856F">
      <w:pPr>
        <w:pStyle w:val="4"/>
        <w:rPr>
          <w:rFonts w:hint="eastAsia" w:ascii="宋体" w:hAnsi="宋体" w:eastAsia="宋体" w:cs="宋体"/>
          <w:color w:val="auto"/>
          <w:highlight w:val="none"/>
        </w:rPr>
      </w:pPr>
      <w:bookmarkStart w:id="307" w:name="_Toc11266"/>
      <w:bookmarkStart w:id="308" w:name="_Toc18329"/>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 xml:space="preserve"> 工程照管与成品、半成品保护</w:t>
      </w:r>
      <w:bookmarkEnd w:id="307"/>
      <w:bookmarkEnd w:id="308"/>
    </w:p>
    <w:p w14:paraId="7ADE60EB">
      <w:pPr>
        <w:spacing w:line="360" w:lineRule="auto"/>
        <w:ind w:firstLine="420" w:firstLineChars="200"/>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rPr>
        <w:t>承包人负责照管工程及工程相关的材料、工程设备的起始时间：</w:t>
      </w:r>
      <w:r>
        <w:rPr>
          <w:rFonts w:hint="eastAsia" w:ascii="宋体" w:hAnsi="宋体" w:eastAsia="宋体" w:cs="宋体"/>
          <w:color w:val="auto"/>
          <w:kern w:val="0"/>
          <w:highlight w:val="none"/>
          <w:u w:val="single"/>
        </w:rPr>
        <w:t xml:space="preserve"> </w:t>
      </w:r>
      <w:r>
        <w:rPr>
          <w:color w:val="auto"/>
          <w:szCs w:val="21"/>
          <w:highlight w:val="none"/>
          <w:u w:val="single"/>
        </w:rPr>
        <w:t>从</w:t>
      </w:r>
      <w:r>
        <w:rPr>
          <w:rFonts w:hint="eastAsia"/>
          <w:color w:val="auto"/>
          <w:szCs w:val="21"/>
          <w:highlight w:val="none"/>
          <w:u w:val="single"/>
        </w:rPr>
        <w:t>发包人</w:t>
      </w:r>
      <w:r>
        <w:rPr>
          <w:color w:val="auto"/>
          <w:szCs w:val="21"/>
          <w:highlight w:val="none"/>
          <w:u w:val="single"/>
        </w:rPr>
        <w:t>发出开工通知中载明的开工日期之日起由承包人承担照管责任</w:t>
      </w:r>
      <w:r>
        <w:rPr>
          <w:rFonts w:hint="eastAsia" w:ascii="宋体" w:hAnsi="宋体" w:eastAsia="宋体" w:cs="宋体"/>
          <w:color w:val="auto"/>
          <w:kern w:val="0"/>
          <w:highlight w:val="none"/>
        </w:rPr>
        <w:t>。</w:t>
      </w:r>
    </w:p>
    <w:p w14:paraId="2D6F5AB5">
      <w:pPr>
        <w:pStyle w:val="4"/>
        <w:rPr>
          <w:rFonts w:hint="eastAsia" w:ascii="宋体" w:hAnsi="宋体" w:eastAsia="宋体" w:cs="宋体"/>
          <w:color w:val="auto"/>
          <w:highlight w:val="none"/>
        </w:rPr>
      </w:pPr>
      <w:bookmarkStart w:id="309" w:name="_Toc32164"/>
      <w:bookmarkStart w:id="310" w:name="_Toc15964"/>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 xml:space="preserve"> 履约保证金</w:t>
      </w:r>
      <w:bookmarkEnd w:id="309"/>
      <w:bookmarkEnd w:id="310"/>
    </w:p>
    <w:p w14:paraId="1214E371">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承包人提供履约担保的形式、金额及</w:t>
      </w:r>
      <w:r>
        <w:rPr>
          <w:rFonts w:hint="eastAsia" w:ascii="宋体" w:hAnsi="宋体" w:eastAsia="宋体" w:cs="宋体"/>
          <w:color w:val="auto"/>
          <w:highlight w:val="none"/>
          <w:lang w:eastAsia="zh-CN"/>
        </w:rPr>
        <w:t>期限</w:t>
      </w:r>
      <w:r>
        <w:rPr>
          <w:rFonts w:hint="eastAsia" w:ascii="宋体" w:hAnsi="宋体" w:eastAsia="宋体" w:cs="宋体"/>
          <w:color w:val="auto"/>
          <w:highlight w:val="none"/>
        </w:rPr>
        <w:t>：</w:t>
      </w:r>
      <w:r>
        <w:rPr>
          <w:rFonts w:hint="eastAsia" w:ascii="宋体" w:hAnsi="宋体" w:eastAsia="宋体" w:cs="宋体"/>
          <w:color w:val="auto"/>
          <w:highlight w:val="none"/>
          <w:u w:val="single"/>
          <w:lang w:eastAsia="zh-CN"/>
        </w:rPr>
        <w:t>本项目不收取履约保证金</w:t>
      </w:r>
      <w:r>
        <w:rPr>
          <w:rFonts w:hint="eastAsia" w:ascii="宋体" w:hAnsi="宋体" w:eastAsia="宋体" w:cs="宋体"/>
          <w:color w:val="auto"/>
          <w:highlight w:val="none"/>
          <w:u w:val="single"/>
        </w:rPr>
        <w:t>。</w:t>
      </w:r>
    </w:p>
    <w:p w14:paraId="0F216913">
      <w:pPr>
        <w:spacing w:line="360" w:lineRule="auto"/>
        <w:ind w:firstLine="420" w:firstLineChars="200"/>
        <w:jc w:val="left"/>
        <w:rPr>
          <w:rFonts w:hint="eastAsia" w:ascii="宋体" w:hAnsi="宋体" w:eastAsia="宋体" w:cs="宋体"/>
          <w:color w:val="auto"/>
          <w:highlight w:val="none"/>
          <w:u w:val="single"/>
          <w:lang w:eastAsia="zh-CN"/>
        </w:rPr>
      </w:pPr>
      <w:r>
        <w:rPr>
          <w:rFonts w:hint="eastAsia" w:ascii="宋体" w:hAnsi="宋体" w:eastAsia="宋体" w:cs="宋体"/>
          <w:color w:val="auto"/>
          <w:highlight w:val="none"/>
          <w:lang w:eastAsia="zh-CN"/>
        </w:rPr>
        <w:t>承包人</w:t>
      </w:r>
      <w:r>
        <w:rPr>
          <w:rFonts w:hint="eastAsia" w:ascii="宋体" w:hAnsi="宋体" w:eastAsia="宋体" w:cs="宋体"/>
          <w:color w:val="auto"/>
          <w:highlight w:val="none"/>
        </w:rPr>
        <w:t>提供</w:t>
      </w:r>
      <w:r>
        <w:rPr>
          <w:rFonts w:hint="eastAsia" w:ascii="宋体" w:hAnsi="宋体" w:eastAsia="宋体" w:cs="宋体"/>
          <w:color w:val="auto"/>
          <w:highlight w:val="none"/>
          <w:lang w:eastAsia="zh-CN"/>
        </w:rPr>
        <w:t>履约</w:t>
      </w:r>
      <w:r>
        <w:rPr>
          <w:rFonts w:hint="eastAsia" w:ascii="宋体" w:hAnsi="宋体" w:eastAsia="宋体" w:cs="宋体"/>
          <w:color w:val="auto"/>
          <w:highlight w:val="none"/>
        </w:rPr>
        <w:t>担保的形式：</w:t>
      </w:r>
      <w:r>
        <w:rPr>
          <w:rFonts w:hint="eastAsia" w:ascii="宋体" w:hAnsi="宋体" w:eastAsia="宋体" w:cs="宋体"/>
          <w:color w:val="auto"/>
          <w:highlight w:val="none"/>
          <w:u w:val="single"/>
          <w:lang w:eastAsia="zh-CN"/>
        </w:rPr>
        <w:t>可以是</w:t>
      </w:r>
      <w:r>
        <w:rPr>
          <w:rFonts w:hint="eastAsia" w:ascii="宋体" w:hAnsi="宋体" w:eastAsia="宋体" w:cs="宋体"/>
          <w:color w:val="auto"/>
          <w:highlight w:val="none"/>
        </w:rPr>
        <w:t>现金、银行保函、工程担保、电子保函或保证保险等形式。</w:t>
      </w:r>
    </w:p>
    <w:p w14:paraId="74280927">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工程竣工验收合格并对验收发现的问题完成整改后的7个日历天内，发包人支付履约保证金的50%；承包人向发包人完成（施工）竣工资料移交手续后，可向发包人申请退还剩余履约保证金，发包人应在收到申请之日起28个日历天内扣减承包人赔偿金和其他应从承包人扣回的款项后，将履约保证金的余额退还给承包人。</w:t>
      </w:r>
    </w:p>
    <w:p w14:paraId="0C1565F5">
      <w:pPr>
        <w:pStyle w:val="3"/>
        <w:rPr>
          <w:rFonts w:hint="eastAsia" w:ascii="宋体" w:hAnsi="宋体" w:eastAsia="宋体" w:cs="宋体"/>
          <w:color w:val="auto"/>
          <w:highlight w:val="none"/>
        </w:rPr>
      </w:pPr>
      <w:r>
        <w:rPr>
          <w:rFonts w:hint="eastAsia" w:ascii="宋体" w:hAnsi="宋体" w:eastAsia="宋体" w:cs="宋体"/>
          <w:color w:val="auto"/>
          <w:highlight w:val="none"/>
        </w:rPr>
        <w:t>4. 监理人</w:t>
      </w:r>
    </w:p>
    <w:p w14:paraId="0A1990AF">
      <w:pPr>
        <w:pStyle w:val="4"/>
        <w:rPr>
          <w:rFonts w:hint="eastAsia" w:ascii="宋体" w:hAnsi="宋体" w:eastAsia="宋体" w:cs="宋体"/>
          <w:color w:val="auto"/>
          <w:highlight w:val="none"/>
        </w:rPr>
      </w:pPr>
      <w:bookmarkStart w:id="311" w:name="_Toc21437"/>
      <w:bookmarkStart w:id="312" w:name="_Toc2993"/>
      <w:r>
        <w:rPr>
          <w:rFonts w:hint="eastAsia" w:ascii="宋体" w:hAnsi="宋体" w:eastAsia="宋体" w:cs="宋体"/>
          <w:color w:val="auto"/>
          <w:highlight w:val="none"/>
        </w:rPr>
        <w:t>4.1 监理人的一般规定</w:t>
      </w:r>
      <w:bookmarkEnd w:id="311"/>
      <w:bookmarkEnd w:id="312"/>
    </w:p>
    <w:p w14:paraId="32062B79">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关于监理人的监理内容：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（成交后填写）</w:t>
      </w:r>
      <w:r>
        <w:rPr>
          <w:rFonts w:hint="eastAsia" w:ascii="宋体" w:hAnsi="宋体" w:eastAsia="宋体" w:cs="宋体"/>
          <w:color w:val="auto"/>
          <w:highlight w:val="none"/>
        </w:rPr>
        <w:t>。</w:t>
      </w:r>
    </w:p>
    <w:p w14:paraId="78CFCF4E">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关于监理人的监理权限：</w:t>
      </w:r>
      <w:r>
        <w:rPr>
          <w:rFonts w:hint="eastAsia" w:ascii="宋体" w:hAnsi="宋体" w:eastAsia="宋体" w:cs="宋体"/>
          <w:color w:val="auto"/>
          <w:highlight w:val="none"/>
          <w:u w:val="single"/>
        </w:rPr>
        <w:t xml:space="preserve">  </w:t>
      </w:r>
      <w:r>
        <w:rPr>
          <w:color w:val="auto"/>
          <w:szCs w:val="21"/>
          <w:highlight w:val="none"/>
          <w:u w:val="single"/>
        </w:rPr>
        <w:t>1</w:t>
      </w:r>
      <w:r>
        <w:rPr>
          <w:rFonts w:hint="eastAsia"/>
          <w:color w:val="auto"/>
          <w:szCs w:val="21"/>
          <w:highlight w:val="none"/>
          <w:u w:val="single"/>
          <w:lang w:val="en-US" w:eastAsia="zh-CN"/>
        </w:rPr>
        <w:t>.</w:t>
      </w:r>
      <w:r>
        <w:rPr>
          <w:color w:val="auto"/>
          <w:szCs w:val="21"/>
          <w:highlight w:val="none"/>
          <w:u w:val="single"/>
        </w:rPr>
        <w:t>在发出有关能引起工程费用实际增加（减少）或延长工期的指令前，应得到发包人的书面批准。2</w:t>
      </w:r>
      <w:r>
        <w:rPr>
          <w:rFonts w:hint="eastAsia"/>
          <w:color w:val="auto"/>
          <w:szCs w:val="21"/>
          <w:highlight w:val="none"/>
          <w:u w:val="single"/>
          <w:lang w:val="en-US" w:eastAsia="zh-CN"/>
        </w:rPr>
        <w:t>.</w:t>
      </w:r>
      <w:r>
        <w:rPr>
          <w:color w:val="auto"/>
          <w:szCs w:val="21"/>
          <w:highlight w:val="none"/>
          <w:u w:val="single"/>
        </w:rPr>
        <w:t>监理工程师在向承包人发出有关技术规范的重大变更或有关变更合同条款的任何指令前均应获得发包人书面批准。3</w:t>
      </w:r>
      <w:r>
        <w:rPr>
          <w:rFonts w:hint="eastAsia"/>
          <w:color w:val="auto"/>
          <w:szCs w:val="21"/>
          <w:highlight w:val="none"/>
          <w:u w:val="single"/>
          <w:lang w:val="en-US" w:eastAsia="zh-CN"/>
        </w:rPr>
        <w:t>.</w:t>
      </w:r>
      <w:r>
        <w:rPr>
          <w:color w:val="auto"/>
          <w:szCs w:val="21"/>
          <w:highlight w:val="none"/>
          <w:u w:val="single"/>
        </w:rPr>
        <w:t>工程实际竣工日期提前或超过工程承包合同规定的竣工期限的签证之前应得到发包人的书面批准。4</w:t>
      </w:r>
      <w:r>
        <w:rPr>
          <w:rFonts w:hint="eastAsia"/>
          <w:color w:val="auto"/>
          <w:szCs w:val="21"/>
          <w:highlight w:val="none"/>
          <w:u w:val="single"/>
          <w:lang w:val="en-US" w:eastAsia="zh-CN"/>
        </w:rPr>
        <w:t>.</w:t>
      </w:r>
      <w:r>
        <w:rPr>
          <w:color w:val="auto"/>
          <w:szCs w:val="21"/>
          <w:highlight w:val="none"/>
          <w:u w:val="single"/>
        </w:rPr>
        <w:t>签证单监理只有证明权，无确认权。（详见发包人与监理单位签订的监理合同）。5</w:t>
      </w:r>
      <w:r>
        <w:rPr>
          <w:rFonts w:hint="eastAsia"/>
          <w:color w:val="auto"/>
          <w:szCs w:val="21"/>
          <w:highlight w:val="none"/>
          <w:u w:val="single"/>
          <w:lang w:val="en-US" w:eastAsia="zh-CN"/>
        </w:rPr>
        <w:t>.</w:t>
      </w:r>
      <w:r>
        <w:rPr>
          <w:color w:val="auto"/>
          <w:szCs w:val="21"/>
          <w:highlight w:val="none"/>
          <w:u w:val="single"/>
        </w:rPr>
        <w:t>工程内容和材料变更确认应得到发包人的书面批准</w:t>
      </w:r>
      <w:r>
        <w:rPr>
          <w:rFonts w:hint="eastAsia" w:ascii="宋体" w:hAnsi="宋体" w:eastAsia="宋体" w:cs="宋体"/>
          <w:color w:val="auto"/>
          <w:highlight w:val="none"/>
        </w:rPr>
        <w:t xml:space="preserve">。 </w:t>
      </w:r>
    </w:p>
    <w:p w14:paraId="2757DE27">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关于监理人在施工现场的办公场所、生活场所的提供和费用承担的约定：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rPr>
        <w:t>。</w:t>
      </w:r>
    </w:p>
    <w:p w14:paraId="77E3847B">
      <w:pPr>
        <w:pStyle w:val="4"/>
        <w:rPr>
          <w:rFonts w:hint="eastAsia" w:ascii="宋体" w:hAnsi="宋体" w:eastAsia="宋体" w:cs="宋体"/>
          <w:color w:val="auto"/>
          <w:highlight w:val="none"/>
        </w:rPr>
      </w:pPr>
      <w:bookmarkStart w:id="313" w:name="_Toc16747"/>
      <w:bookmarkStart w:id="314" w:name="_Toc9467"/>
      <w:r>
        <w:rPr>
          <w:rFonts w:hint="eastAsia" w:ascii="宋体" w:hAnsi="宋体" w:eastAsia="宋体" w:cs="宋体"/>
          <w:color w:val="auto"/>
          <w:highlight w:val="none"/>
        </w:rPr>
        <w:t>4.2 监理人员</w:t>
      </w:r>
      <w:bookmarkEnd w:id="313"/>
      <w:bookmarkEnd w:id="314"/>
    </w:p>
    <w:p w14:paraId="13F098C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总监理工程师：</w:t>
      </w:r>
    </w:p>
    <w:p w14:paraId="2F0E6F0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姓    名：</w:t>
      </w:r>
      <w:r>
        <w:rPr>
          <w:rFonts w:hint="eastAsia" w:ascii="宋体" w:hAnsi="宋体" w:eastAsia="宋体" w:cs="宋体"/>
          <w:color w:val="auto"/>
          <w:highlight w:val="none"/>
          <w:u w:val="single"/>
          <w:lang w:eastAsia="zh-CN"/>
        </w:rPr>
        <w:t xml:space="preserve">  （成交后填写）</w:t>
      </w:r>
      <w:r>
        <w:rPr>
          <w:rFonts w:hint="eastAsia" w:ascii="宋体" w:hAnsi="宋体" w:eastAsia="宋体" w:cs="宋体"/>
          <w:color w:val="auto"/>
          <w:highlight w:val="none"/>
        </w:rPr>
        <w:t>；</w:t>
      </w:r>
    </w:p>
    <w:p w14:paraId="1BFC088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职    务：</w:t>
      </w:r>
      <w:r>
        <w:rPr>
          <w:rFonts w:hint="eastAsia" w:ascii="宋体" w:hAnsi="宋体" w:eastAsia="宋体" w:cs="宋体"/>
          <w:color w:val="auto"/>
          <w:highlight w:val="none"/>
          <w:u w:val="single"/>
          <w:lang w:eastAsia="zh-CN"/>
        </w:rPr>
        <w:t xml:space="preserve">   （成交后填写）</w:t>
      </w:r>
      <w:r>
        <w:rPr>
          <w:rFonts w:hint="eastAsia" w:ascii="宋体" w:hAnsi="宋体" w:eastAsia="宋体" w:cs="宋体"/>
          <w:color w:val="auto"/>
          <w:highlight w:val="none"/>
        </w:rPr>
        <w:t>；</w:t>
      </w:r>
    </w:p>
    <w:p w14:paraId="0657C2F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监理工程师注册证书号：</w:t>
      </w:r>
      <w:r>
        <w:rPr>
          <w:rFonts w:hint="eastAsia" w:ascii="宋体" w:hAnsi="宋体" w:eastAsia="宋体" w:cs="宋体"/>
          <w:color w:val="auto"/>
          <w:highlight w:val="none"/>
          <w:u w:val="single"/>
          <w:lang w:eastAsia="zh-CN"/>
        </w:rPr>
        <w:t xml:space="preserve">  （成交后填写）</w:t>
      </w:r>
      <w:r>
        <w:rPr>
          <w:rFonts w:hint="eastAsia" w:ascii="宋体" w:hAnsi="宋体" w:eastAsia="宋体" w:cs="宋体"/>
          <w:color w:val="auto"/>
          <w:highlight w:val="none"/>
        </w:rPr>
        <w:t>；</w:t>
      </w:r>
    </w:p>
    <w:p w14:paraId="2B69207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lang w:eastAsia="zh-CN"/>
        </w:rPr>
        <w:t xml:space="preserve">  （成交后填写）</w:t>
      </w:r>
      <w:r>
        <w:rPr>
          <w:rFonts w:hint="eastAsia" w:ascii="宋体" w:hAnsi="宋体" w:eastAsia="宋体" w:cs="宋体"/>
          <w:color w:val="auto"/>
          <w:highlight w:val="none"/>
        </w:rPr>
        <w:t>；</w:t>
      </w:r>
    </w:p>
    <w:p w14:paraId="33990D1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lang w:eastAsia="zh-CN"/>
        </w:rPr>
        <w:t xml:space="preserve">  （成交后填写）</w:t>
      </w:r>
      <w:r>
        <w:rPr>
          <w:rFonts w:hint="eastAsia" w:ascii="宋体" w:hAnsi="宋体" w:eastAsia="宋体" w:cs="宋体"/>
          <w:color w:val="auto"/>
          <w:highlight w:val="none"/>
        </w:rPr>
        <w:t>；</w:t>
      </w:r>
    </w:p>
    <w:p w14:paraId="43570F4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通信地址：</w:t>
      </w:r>
      <w:r>
        <w:rPr>
          <w:rFonts w:hint="eastAsia" w:ascii="宋体" w:hAnsi="宋体" w:eastAsia="宋体" w:cs="宋体"/>
          <w:color w:val="auto"/>
          <w:highlight w:val="none"/>
          <w:u w:val="single"/>
          <w:lang w:eastAsia="zh-CN"/>
        </w:rPr>
        <w:t xml:space="preserve">   （成交后填写） </w:t>
      </w:r>
      <w:r>
        <w:rPr>
          <w:rFonts w:hint="eastAsia" w:ascii="宋体" w:hAnsi="宋体" w:eastAsia="宋体" w:cs="宋体"/>
          <w:color w:val="auto"/>
          <w:highlight w:val="none"/>
        </w:rPr>
        <w:t>；</w:t>
      </w:r>
    </w:p>
    <w:p w14:paraId="4A08801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关于监理人的其他约定：</w:t>
      </w:r>
      <w:r>
        <w:rPr>
          <w:rFonts w:hint="eastAsia" w:ascii="宋体" w:hAnsi="宋体" w:eastAsia="宋体" w:cs="宋体"/>
          <w:color w:val="auto"/>
          <w:highlight w:val="none"/>
          <w:u w:val="single"/>
          <w:lang w:eastAsia="zh-CN"/>
        </w:rPr>
        <w:t xml:space="preserve">   （成交后填写）</w:t>
      </w:r>
      <w:r>
        <w:rPr>
          <w:rFonts w:hint="eastAsia" w:ascii="宋体" w:hAnsi="宋体" w:eastAsia="宋体" w:cs="宋体"/>
          <w:color w:val="auto"/>
          <w:highlight w:val="none"/>
        </w:rPr>
        <w:t>。</w:t>
      </w:r>
    </w:p>
    <w:p w14:paraId="3FA15139">
      <w:pPr>
        <w:pStyle w:val="4"/>
        <w:rPr>
          <w:rFonts w:hint="eastAsia" w:ascii="宋体" w:hAnsi="宋体" w:eastAsia="宋体" w:cs="宋体"/>
          <w:color w:val="auto"/>
          <w:highlight w:val="none"/>
        </w:rPr>
      </w:pPr>
      <w:bookmarkStart w:id="315" w:name="_Toc29998"/>
      <w:bookmarkStart w:id="316" w:name="_Toc30189"/>
      <w:r>
        <w:rPr>
          <w:rFonts w:hint="eastAsia" w:ascii="宋体" w:hAnsi="宋体" w:eastAsia="宋体" w:cs="宋体"/>
          <w:color w:val="auto"/>
          <w:highlight w:val="none"/>
        </w:rPr>
        <w:t>4.4 商定或确定</w:t>
      </w:r>
      <w:bookmarkEnd w:id="315"/>
      <w:bookmarkEnd w:id="316"/>
    </w:p>
    <w:p w14:paraId="2EECB7D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在发包人和承包人不能通过协商达成一致意见时，发包人授权监理人对以下事项进行确定：</w:t>
      </w:r>
    </w:p>
    <w:p w14:paraId="0D805944">
      <w:pPr>
        <w:autoSpaceDE w:val="0"/>
        <w:autoSpaceDN w:val="0"/>
        <w:adjustRightIn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lang w:eastAsia="zh-CN"/>
        </w:rPr>
        <w:t>(</w:t>
      </w:r>
      <w:r>
        <w:rPr>
          <w:rFonts w:hint="eastAsia" w:ascii="宋体" w:hAnsi="宋体" w:eastAsia="宋体" w:cs="宋体"/>
          <w:color w:val="auto"/>
          <w:kern w:val="0"/>
          <w:highlight w:val="none"/>
        </w:rPr>
        <w:t>1</w:t>
      </w:r>
      <w:r>
        <w:rPr>
          <w:rFonts w:hint="eastAsia" w:ascii="宋体" w:hAnsi="宋体" w:eastAsia="宋体" w:cs="宋体"/>
          <w:color w:val="auto"/>
          <w:kern w:val="0"/>
          <w:highlight w:val="none"/>
          <w:lang w:eastAsia="zh-CN"/>
        </w:rPr>
        <w:t>)</w:t>
      </w:r>
      <w:r>
        <w:rPr>
          <w:rFonts w:hint="eastAsia" w:ascii="宋体" w:hAnsi="宋体" w:eastAsia="宋体" w:cs="宋体"/>
          <w:color w:val="auto"/>
          <w:highlight w:val="none"/>
          <w:u w:val="single"/>
        </w:rPr>
        <w:t xml:space="preserve">     按通用条款执行；</w:t>
      </w:r>
    </w:p>
    <w:p w14:paraId="1C184756">
      <w:pPr>
        <w:autoSpaceDE w:val="0"/>
        <w:autoSpaceDN w:val="0"/>
        <w:adjustRightIn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(2)    /             ；</w:t>
      </w:r>
    </w:p>
    <w:p w14:paraId="35164697">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highlight w:val="none"/>
          <w:u w:val="single"/>
        </w:rPr>
        <w:t>(3)    /             。</w:t>
      </w:r>
    </w:p>
    <w:p w14:paraId="3AEEAC34">
      <w:pPr>
        <w:pStyle w:val="3"/>
        <w:rPr>
          <w:rFonts w:hint="eastAsia" w:ascii="宋体" w:hAnsi="宋体" w:eastAsia="宋体" w:cs="宋体"/>
          <w:color w:val="auto"/>
          <w:highlight w:val="none"/>
        </w:rPr>
      </w:pPr>
      <w:bookmarkStart w:id="317" w:name="_Toc7948"/>
      <w:r>
        <w:rPr>
          <w:rFonts w:hint="eastAsia" w:ascii="宋体" w:hAnsi="宋体" w:eastAsia="宋体" w:cs="宋体"/>
          <w:color w:val="auto"/>
          <w:highlight w:val="none"/>
        </w:rPr>
        <w:t>5. 工程质量</w:t>
      </w:r>
      <w:bookmarkEnd w:id="317"/>
    </w:p>
    <w:p w14:paraId="53C6C793">
      <w:pPr>
        <w:pStyle w:val="4"/>
        <w:rPr>
          <w:rFonts w:hint="eastAsia" w:ascii="宋体" w:hAnsi="宋体" w:eastAsia="宋体" w:cs="宋体"/>
          <w:color w:val="auto"/>
          <w:highlight w:val="none"/>
        </w:rPr>
      </w:pPr>
      <w:bookmarkStart w:id="318" w:name="_Toc30160"/>
      <w:bookmarkStart w:id="319" w:name="_Toc14510"/>
      <w:r>
        <w:rPr>
          <w:rFonts w:hint="eastAsia" w:ascii="宋体" w:hAnsi="宋体" w:eastAsia="宋体" w:cs="宋体"/>
          <w:color w:val="auto"/>
          <w:highlight w:val="none"/>
        </w:rPr>
        <w:t>5.1 质量要求</w:t>
      </w:r>
      <w:bookmarkEnd w:id="318"/>
      <w:bookmarkEnd w:id="319"/>
    </w:p>
    <w:p w14:paraId="36886EB9">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5.1.1 特殊质量标准和要求：</w:t>
      </w:r>
      <w:r>
        <w:rPr>
          <w:rFonts w:hint="eastAsia" w:ascii="宋体" w:hAnsi="宋体" w:eastAsia="宋体" w:cs="宋体"/>
          <w:color w:val="auto"/>
          <w:highlight w:val="none"/>
          <w:u w:val="single"/>
        </w:rPr>
        <w:t xml:space="preserve">  满足国家现行与本项目相应的施工竣工验收规范之“合格”标准</w:t>
      </w:r>
      <w:r>
        <w:rPr>
          <w:rFonts w:hint="eastAsia" w:ascii="宋体" w:hAnsi="宋体" w:eastAsia="宋体" w:cs="宋体"/>
          <w:color w:val="auto"/>
          <w:highlight w:val="none"/>
        </w:rPr>
        <w:t>。</w:t>
      </w:r>
    </w:p>
    <w:p w14:paraId="7FE95ECD">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关于工程奖项的约定： </w:t>
      </w:r>
      <w:r>
        <w:rPr>
          <w:rFonts w:hint="eastAsia" w:ascii="宋体" w:hAnsi="宋体" w:eastAsia="宋体" w:cs="宋体"/>
          <w:color w:val="auto"/>
          <w:highlight w:val="none"/>
          <w:lang w:eastAsia="zh-CN"/>
        </w:rPr>
        <w:t>无</w:t>
      </w:r>
      <w:r>
        <w:rPr>
          <w:rFonts w:hint="eastAsia" w:ascii="宋体" w:hAnsi="宋体" w:eastAsia="宋体" w:cs="宋体"/>
          <w:color w:val="auto"/>
          <w:highlight w:val="none"/>
        </w:rPr>
        <w:t>。</w:t>
      </w:r>
    </w:p>
    <w:p w14:paraId="63687F77">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5.3 隐蔽工程检查</w:t>
      </w:r>
    </w:p>
    <w:p w14:paraId="11F29F67">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5.3.2承包人提前通知监理人隐蔽工程检查的期限的约定：工程隐蔽或中间验收前12小时以书面形式通知发包人和监理工程师验收的内容、时间、地点，承包人准备验收记录单（最好是印制的表格）由双方签证。验收合</w:t>
      </w:r>
      <w:r>
        <w:rPr>
          <w:rFonts w:hint="eastAsia" w:ascii="宋体" w:hAnsi="宋体" w:eastAsia="宋体" w:cs="宋体"/>
          <w:color w:val="auto"/>
          <w:highlight w:val="none"/>
          <w:lang w:eastAsia="zh-CN"/>
        </w:rPr>
        <w:t>格后</w:t>
      </w:r>
      <w:r>
        <w:rPr>
          <w:rFonts w:hint="eastAsia" w:ascii="宋体" w:hAnsi="宋体" w:eastAsia="宋体" w:cs="宋体"/>
          <w:color w:val="auto"/>
          <w:highlight w:val="none"/>
        </w:rPr>
        <w:t>，承包人可进行隐蔽和继续施工；验收不合格</w:t>
      </w:r>
      <w:r>
        <w:rPr>
          <w:rFonts w:hint="eastAsia" w:ascii="宋体" w:hAnsi="宋体" w:eastAsia="宋体" w:cs="宋体"/>
          <w:color w:val="auto"/>
          <w:highlight w:val="none"/>
          <w:lang w:eastAsia="zh-CN"/>
        </w:rPr>
        <w:t>，在</w:t>
      </w:r>
      <w:r>
        <w:rPr>
          <w:rFonts w:hint="eastAsia" w:ascii="宋体" w:hAnsi="宋体" w:eastAsia="宋体" w:cs="宋体"/>
          <w:color w:val="auto"/>
          <w:highlight w:val="none"/>
        </w:rPr>
        <w:t>双方</w:t>
      </w:r>
      <w:r>
        <w:rPr>
          <w:rFonts w:hint="eastAsia" w:ascii="宋体" w:hAnsi="宋体" w:eastAsia="宋体" w:cs="宋体"/>
          <w:color w:val="auto"/>
          <w:highlight w:val="none"/>
          <w:lang w:eastAsia="zh-CN"/>
        </w:rPr>
        <w:t>商定</w:t>
      </w:r>
      <w:r>
        <w:rPr>
          <w:rFonts w:hint="eastAsia" w:ascii="宋体" w:hAnsi="宋体" w:eastAsia="宋体" w:cs="宋体"/>
          <w:color w:val="auto"/>
          <w:highlight w:val="none"/>
        </w:rPr>
        <w:t>时限内修改后按上述</w:t>
      </w:r>
      <w:r>
        <w:rPr>
          <w:rFonts w:hint="eastAsia" w:ascii="宋体" w:hAnsi="宋体" w:eastAsia="宋体" w:cs="宋体"/>
          <w:color w:val="auto"/>
          <w:highlight w:val="none"/>
          <w:lang w:eastAsia="zh-CN"/>
        </w:rPr>
        <w:t>顺序</w:t>
      </w:r>
      <w:r>
        <w:rPr>
          <w:rFonts w:hint="eastAsia" w:ascii="宋体" w:hAnsi="宋体" w:eastAsia="宋体" w:cs="宋体"/>
          <w:color w:val="auto"/>
          <w:highlight w:val="none"/>
        </w:rPr>
        <w:t>重新验收。</w:t>
      </w:r>
    </w:p>
    <w:p w14:paraId="1970432B">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监理人不能按时进行检查时，应提前</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24</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小时提交书面延期要求。</w:t>
      </w:r>
    </w:p>
    <w:p w14:paraId="131FCF1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关于延期最长不得超过：</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48</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小时。</w:t>
      </w:r>
    </w:p>
    <w:p w14:paraId="0C30758B">
      <w:pPr>
        <w:pStyle w:val="3"/>
        <w:rPr>
          <w:rFonts w:hint="eastAsia" w:ascii="宋体" w:hAnsi="宋体" w:eastAsia="宋体" w:cs="宋体"/>
          <w:color w:val="auto"/>
          <w:highlight w:val="none"/>
        </w:rPr>
      </w:pPr>
      <w:bookmarkStart w:id="320" w:name="_Toc12794"/>
      <w:r>
        <w:rPr>
          <w:rFonts w:hint="eastAsia" w:ascii="宋体" w:hAnsi="宋体" w:eastAsia="宋体" w:cs="宋体"/>
          <w:color w:val="auto"/>
          <w:highlight w:val="none"/>
        </w:rPr>
        <w:t>6. 安全文明施工与环境保护</w:t>
      </w:r>
      <w:bookmarkEnd w:id="320"/>
    </w:p>
    <w:p w14:paraId="18E94E0C">
      <w:pPr>
        <w:pStyle w:val="4"/>
        <w:rPr>
          <w:rFonts w:hint="eastAsia" w:ascii="宋体" w:hAnsi="宋体" w:eastAsia="宋体" w:cs="宋体"/>
          <w:color w:val="auto"/>
          <w:highlight w:val="none"/>
        </w:rPr>
      </w:pPr>
      <w:bookmarkStart w:id="321" w:name="_Toc9202"/>
      <w:r>
        <w:rPr>
          <w:rFonts w:hint="eastAsia" w:ascii="宋体" w:hAnsi="宋体" w:eastAsia="宋体" w:cs="宋体"/>
          <w:color w:val="auto"/>
          <w:highlight w:val="none"/>
        </w:rPr>
        <w:t>6.1 安全文明施工</w:t>
      </w:r>
      <w:bookmarkEnd w:id="321"/>
    </w:p>
    <w:p w14:paraId="6831133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6.1.1 项目安全生产的达标目标及相应事项的约定：</w:t>
      </w:r>
      <w:r>
        <w:rPr>
          <w:rFonts w:hint="eastAsia" w:ascii="宋体" w:hAnsi="宋体" w:eastAsia="宋体" w:cs="宋体"/>
          <w:color w:val="auto"/>
          <w:highlight w:val="none"/>
          <w:u w:val="single"/>
        </w:rPr>
        <w:t xml:space="preserve">   </w:t>
      </w:r>
      <w:r>
        <w:rPr>
          <w:color w:val="auto"/>
          <w:szCs w:val="21"/>
          <w:highlight w:val="none"/>
          <w:u w:val="single"/>
        </w:rPr>
        <w:t>承包人应遵守工程建设安全生产有关管理规定、规范，严格按《建筑施工安全检查标准》（JGJ59-2011）安全标准组织施工，</w:t>
      </w:r>
      <w:r>
        <w:rPr>
          <w:rFonts w:hint="eastAsia"/>
          <w:color w:val="auto"/>
          <w:szCs w:val="21"/>
          <w:highlight w:val="none"/>
          <w:u w:val="single"/>
        </w:rPr>
        <w:t>符合《广西壮族自治区建设工程安全文明施工费使用管理细则》（桂建质（2015）16号文）的要求，</w:t>
      </w:r>
      <w:r>
        <w:rPr>
          <w:color w:val="auto"/>
          <w:szCs w:val="21"/>
          <w:highlight w:val="none"/>
          <w:u w:val="single"/>
        </w:rPr>
        <w:t>并随时接受发包人或行业安全检查人员依法实施的监督检查，采取可靠的安全防护措施，杜绝重大伤亡事故，重伤事故；达到安全文明工地合格要求；机电设备漏电保护装置安全有效率达到100%；塔吊等起重设备、限位装置安全有效率达到100%；施工现场安全达标合格率达到100%，优良率达到90%以上；安全管理人员及特种作业人员要全部经过专业培训，持证上岗要达到100%；工人入场三级安全教育要达到100%等</w:t>
      </w:r>
      <w:r>
        <w:rPr>
          <w:rFonts w:hint="eastAsia" w:ascii="宋体" w:hAnsi="宋体" w:eastAsia="宋体" w:cs="宋体"/>
          <w:color w:val="auto"/>
          <w:highlight w:val="none"/>
        </w:rPr>
        <w:t>。</w:t>
      </w:r>
    </w:p>
    <w:p w14:paraId="08AC0D4E">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关于安全文明施工奖项的约定：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rPr>
        <w:t>。</w:t>
      </w:r>
    </w:p>
    <w:p w14:paraId="565193FB">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6.1.4 关于治安保卫的特别约定：</w:t>
      </w:r>
      <w:r>
        <w:rPr>
          <w:rFonts w:hint="eastAsia" w:ascii="宋体" w:hAnsi="宋体" w:eastAsia="宋体" w:cs="宋体"/>
          <w:color w:val="auto"/>
          <w:highlight w:val="none"/>
          <w:u w:val="single"/>
        </w:rPr>
        <w:t>承包人应承担施工安全保卫工作及非夜间施工照明的责任，承包人应采取一切合理的预防措施，防止人员伤亡、财产损失事故，费用由承包人承担。承包人生活设施及施</w:t>
      </w:r>
      <w:r>
        <w:rPr>
          <w:rFonts w:hint="eastAsia" w:ascii="宋体" w:hAnsi="宋体" w:eastAsia="宋体" w:cs="宋体"/>
          <w:color w:val="auto"/>
          <w:highlight w:val="none"/>
          <w:u w:val="single"/>
          <w:lang w:eastAsia="zh-CN"/>
        </w:rPr>
        <w:t>工现</w:t>
      </w:r>
      <w:r>
        <w:rPr>
          <w:rFonts w:hint="eastAsia" w:ascii="宋体" w:hAnsi="宋体" w:eastAsia="宋体" w:cs="宋体"/>
          <w:color w:val="auto"/>
          <w:highlight w:val="none"/>
          <w:u w:val="single"/>
        </w:rPr>
        <w:t>场应自费配备消防设备，防止火灾发生。</w:t>
      </w:r>
    </w:p>
    <w:p w14:paraId="1B44CF9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关于编制施工场地治安管理计划的约定：</w:t>
      </w:r>
      <w:r>
        <w:rPr>
          <w:rFonts w:hint="eastAsia" w:ascii="宋体" w:hAnsi="宋体" w:eastAsia="宋体" w:cs="宋体"/>
          <w:color w:val="auto"/>
          <w:highlight w:val="none"/>
          <w:u w:val="single"/>
        </w:rPr>
        <w:t xml:space="preserve">   </w:t>
      </w:r>
      <w:r>
        <w:rPr>
          <w:color w:val="auto"/>
          <w:highlight w:val="none"/>
          <w:u w:val="single"/>
        </w:rPr>
        <w:t>承包人应在工程开工后5天内编制施工场地治安管理计划，并制定应对突发治安事件的紧急预案，上报发包人审核。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r>
        <w:rPr>
          <w:rFonts w:hint="eastAsia" w:ascii="宋体" w:hAnsi="宋体" w:eastAsia="宋体" w:cs="宋体"/>
          <w:color w:val="auto"/>
          <w:highlight w:val="none"/>
        </w:rPr>
        <w:t>。</w:t>
      </w:r>
    </w:p>
    <w:p w14:paraId="24E1BF4A">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6.1.5 文明施工</w:t>
      </w:r>
    </w:p>
    <w:p w14:paraId="4D28C5BE">
      <w:pPr>
        <w:spacing w:line="360" w:lineRule="auto"/>
        <w:ind w:firstLine="420" w:firstLineChars="200"/>
        <w:jc w:val="left"/>
        <w:rPr>
          <w:color w:val="auto"/>
          <w:highlight w:val="none"/>
        </w:rPr>
      </w:pPr>
      <w:r>
        <w:rPr>
          <w:rFonts w:hint="eastAsia" w:ascii="宋体" w:hAnsi="宋体" w:eastAsia="宋体" w:cs="宋体"/>
          <w:color w:val="auto"/>
          <w:highlight w:val="none"/>
        </w:rPr>
        <w:t>合同当事人对文明施工的要求：</w:t>
      </w:r>
      <w:r>
        <w:rPr>
          <w:rFonts w:hint="eastAsia" w:ascii="宋体" w:hAnsi="宋体" w:eastAsia="宋体" w:cs="宋体"/>
          <w:color w:val="auto"/>
          <w:highlight w:val="none"/>
          <w:u w:val="single"/>
        </w:rPr>
        <w:t xml:space="preserve"> 建筑垃圾排放量达到行政区域内要求</w:t>
      </w:r>
      <w:r>
        <w:rPr>
          <w:rFonts w:hint="eastAsia" w:ascii="宋体" w:hAnsi="宋体" w:eastAsia="宋体" w:cs="宋体"/>
          <w:color w:val="auto"/>
          <w:highlight w:val="none"/>
          <w:u w:val="single"/>
          <w:lang w:eastAsia="zh-CN"/>
        </w:rPr>
        <w:t>，</w:t>
      </w:r>
      <w:r>
        <w:rPr>
          <w:b/>
          <w:color w:val="auto"/>
          <w:szCs w:val="22"/>
          <w:highlight w:val="none"/>
          <w:u w:val="single"/>
        </w:rPr>
        <w:t>严格</w:t>
      </w:r>
      <w:r>
        <w:rPr>
          <w:b/>
          <w:bCs/>
          <w:color w:val="auto"/>
          <w:szCs w:val="22"/>
          <w:highlight w:val="none"/>
          <w:u w:val="single"/>
        </w:rPr>
        <w:t>执行《</w:t>
      </w:r>
      <w:r>
        <w:rPr>
          <w:rFonts w:hint="eastAsia"/>
          <w:b/>
          <w:bCs/>
          <w:color w:val="auto"/>
          <w:szCs w:val="22"/>
          <w:highlight w:val="none"/>
          <w:u w:val="single"/>
        </w:rPr>
        <w:t>中华人民共和国大气污染防治法</w:t>
      </w:r>
      <w:r>
        <w:rPr>
          <w:b/>
          <w:bCs/>
          <w:color w:val="auto"/>
          <w:szCs w:val="22"/>
          <w:highlight w:val="none"/>
          <w:u w:val="single"/>
        </w:rPr>
        <w:t>》（主席令第三十一号）、《广西壮族自治区建设工程安全文明施工费使用管理细则》（桂建质【2015】16号）、的有关规定，必须与合法运输企业签订运输合同使用符合密闭规定的合法车辆进行散体物料（建筑渣土、垃圾、砂石等）的运输，同时与辖区卫生防疫、环卫管理部门或有合法资质资格的企业签订病媒生物消杀协议、生活垃圾清运协议、在线远程监控扬尘监测协议，采取道路硬化、裸土履盖、洗车出门、保洁路口、在线监测、抑尘喷淋等有效措施，确保建设工程各项安全防护、文明施工措施及其费用在工地一线按标准落实到位</w:t>
      </w:r>
      <w:r>
        <w:rPr>
          <w:color w:val="auto"/>
          <w:highlight w:val="none"/>
        </w:rPr>
        <w:t>。</w:t>
      </w:r>
    </w:p>
    <w:p w14:paraId="55A9ABC6">
      <w:pPr>
        <w:spacing w:line="440" w:lineRule="exact"/>
        <w:ind w:firstLine="420" w:firstLineChars="200"/>
        <w:rPr>
          <w:color w:val="auto"/>
          <w:szCs w:val="21"/>
          <w:highlight w:val="none"/>
          <w:u w:val="single"/>
        </w:rPr>
      </w:pPr>
      <w:r>
        <w:rPr>
          <w:color w:val="auto"/>
          <w:szCs w:val="21"/>
          <w:highlight w:val="none"/>
          <w:u w:val="single"/>
        </w:rPr>
        <w:t>1）施工现场须符合有关文明卫生要求；承包人须在施工过程中严格按施工方案和有关规定做好安全文明工作，如本工程承包人因工程质量、安全文明等问题受到发包人、军队质监机构通报或简报批评，发包人将视情节严重程度对承包人每次处以罚金2000元（在工程款中扣除）；情节严重的，将追究刑事责任 。</w:t>
      </w:r>
    </w:p>
    <w:p w14:paraId="18B8B714">
      <w:pPr>
        <w:spacing w:line="440" w:lineRule="exact"/>
        <w:ind w:firstLine="420" w:firstLineChars="200"/>
        <w:rPr>
          <w:color w:val="auto"/>
          <w:szCs w:val="21"/>
          <w:highlight w:val="none"/>
          <w:u w:val="single"/>
        </w:rPr>
      </w:pPr>
      <w:r>
        <w:rPr>
          <w:color w:val="auto"/>
          <w:szCs w:val="21"/>
          <w:highlight w:val="none"/>
          <w:u w:val="single"/>
        </w:rPr>
        <w:t>2）凡进入施工工地现场均须戴安全帽，高空作业必须佩</w:t>
      </w:r>
      <w:r>
        <w:rPr>
          <w:rFonts w:hint="eastAsia"/>
          <w:color w:val="auto"/>
          <w:highlight w:val="none"/>
          <w:u w:val="single"/>
          <w:lang w:val="en-US" w:eastAsia="zh-CN"/>
        </w:rPr>
        <w:t>戴</w:t>
      </w:r>
      <w:r>
        <w:rPr>
          <w:color w:val="auto"/>
          <w:szCs w:val="21"/>
          <w:highlight w:val="none"/>
          <w:u w:val="single"/>
        </w:rPr>
        <w:t>安全带，不戴安全帽、带，每发现一人次向承包人罚款人民币500元；屡教不改将其个人清理出场，主管人员处500元罚款；</w:t>
      </w:r>
    </w:p>
    <w:p w14:paraId="007997F7">
      <w:pPr>
        <w:spacing w:line="440" w:lineRule="exact"/>
        <w:ind w:firstLine="420" w:firstLineChars="200"/>
        <w:rPr>
          <w:color w:val="auto"/>
          <w:szCs w:val="21"/>
          <w:highlight w:val="none"/>
          <w:u w:val="single"/>
        </w:rPr>
      </w:pPr>
      <w:r>
        <w:rPr>
          <w:color w:val="auto"/>
          <w:szCs w:val="21"/>
          <w:highlight w:val="none"/>
          <w:u w:val="single"/>
        </w:rPr>
        <w:t>3）凡进入施工工地现场均不得喝酒，每发现一人次向承包人罚款人民币500元；</w:t>
      </w:r>
    </w:p>
    <w:p w14:paraId="49C90E6D">
      <w:pPr>
        <w:spacing w:line="440" w:lineRule="exact"/>
        <w:ind w:firstLine="420" w:firstLineChars="200"/>
        <w:rPr>
          <w:color w:val="auto"/>
          <w:szCs w:val="21"/>
          <w:highlight w:val="none"/>
          <w:u w:val="single"/>
        </w:rPr>
      </w:pPr>
      <w:r>
        <w:rPr>
          <w:color w:val="auto"/>
          <w:szCs w:val="21"/>
          <w:highlight w:val="none"/>
          <w:u w:val="single"/>
        </w:rPr>
        <w:t>4）承包人应加强对劳务人员安全文明卫生教育和管理，工地现场不得随地乱倒脏物、脏水和大小便，每发现一人次向承包人罚款人民币500元；</w:t>
      </w:r>
    </w:p>
    <w:p w14:paraId="13795D49">
      <w:pPr>
        <w:spacing w:line="440" w:lineRule="exact"/>
        <w:ind w:firstLine="420" w:firstLineChars="200"/>
        <w:rPr>
          <w:color w:val="auto"/>
          <w:szCs w:val="21"/>
          <w:highlight w:val="none"/>
          <w:u w:val="single"/>
        </w:rPr>
      </w:pPr>
      <w:r>
        <w:rPr>
          <w:color w:val="auto"/>
          <w:szCs w:val="21"/>
          <w:highlight w:val="none"/>
          <w:u w:val="single"/>
        </w:rPr>
        <w:t>5）工地现场材料、设备堆放应根据现场布局要求，整洁、整齐、规范堆放和保存；工地现场不得乱堆乱放，每发现一次向承包人罚款人民币500元；</w:t>
      </w:r>
    </w:p>
    <w:p w14:paraId="2EEEE5B0">
      <w:pPr>
        <w:spacing w:line="440" w:lineRule="exact"/>
        <w:ind w:firstLine="420" w:firstLineChars="200"/>
        <w:rPr>
          <w:color w:val="auto"/>
          <w:szCs w:val="21"/>
          <w:highlight w:val="none"/>
          <w:u w:val="single"/>
        </w:rPr>
      </w:pPr>
      <w:r>
        <w:rPr>
          <w:color w:val="auto"/>
          <w:szCs w:val="21"/>
          <w:highlight w:val="none"/>
          <w:u w:val="single"/>
        </w:rPr>
        <w:t>6）承包人须加强对劳务人员经常性法律法规教育和正常化正规化管理，防止劳务人员之间纠纷、矛盾、打架斗殴等现象发生，每发现一次向承包人罚款人民币1000元；</w:t>
      </w:r>
    </w:p>
    <w:p w14:paraId="6A427053">
      <w:pPr>
        <w:spacing w:line="440" w:lineRule="exact"/>
        <w:ind w:firstLine="420" w:firstLineChars="200"/>
        <w:rPr>
          <w:color w:val="auto"/>
          <w:szCs w:val="21"/>
          <w:highlight w:val="none"/>
          <w:u w:val="single"/>
        </w:rPr>
      </w:pPr>
      <w:r>
        <w:rPr>
          <w:color w:val="auto"/>
          <w:szCs w:val="21"/>
          <w:highlight w:val="none"/>
          <w:u w:val="single"/>
        </w:rPr>
        <w:t>7）建筑垃圾应指定区域集中堆放并及时清理外运，不得乱堆乱放或久不清理，每发现一次向承包人罚款人民币500元；</w:t>
      </w:r>
    </w:p>
    <w:p w14:paraId="5272C995">
      <w:pPr>
        <w:spacing w:line="440" w:lineRule="exact"/>
        <w:ind w:firstLine="420" w:firstLineChars="200"/>
        <w:rPr>
          <w:color w:val="auto"/>
          <w:szCs w:val="21"/>
          <w:highlight w:val="none"/>
          <w:u w:val="single"/>
        </w:rPr>
      </w:pPr>
      <w:r>
        <w:rPr>
          <w:color w:val="auto"/>
          <w:szCs w:val="21"/>
          <w:highlight w:val="none"/>
          <w:u w:val="single"/>
        </w:rPr>
        <w:t>8）安全员、电工、机械等技术组人员须持证上岗，且先报监理及发包人审核，通过后方可进场施工，如发现有违规人员进行施工，处以1000元/人每次罚款。</w:t>
      </w:r>
    </w:p>
    <w:p w14:paraId="5B8F6EE4">
      <w:pPr>
        <w:spacing w:line="360" w:lineRule="auto"/>
        <w:jc w:val="left"/>
        <w:rPr>
          <w:rFonts w:hint="eastAsia" w:ascii="宋体" w:hAnsi="宋体" w:eastAsia="宋体" w:cs="宋体"/>
          <w:color w:val="auto"/>
          <w:highlight w:val="none"/>
        </w:rPr>
      </w:pPr>
      <w:r>
        <w:rPr>
          <w:color w:val="auto"/>
          <w:szCs w:val="21"/>
          <w:highlight w:val="none"/>
          <w:u w:val="single"/>
        </w:rPr>
        <w:t>9）承包人并教育劳务人员应服从和配合监理人员和发包人现场管理等人员的管理，不得顶撞、辱骂、抵制监理人员和发包人现场管理等人员的管理，不得与监理人员和发包人现场管理等人员发生矛盾、纠纷或更恶劣的行为，每发现一次向承包人罚款人民币1000元</w:t>
      </w:r>
      <w:r>
        <w:rPr>
          <w:rFonts w:hint="eastAsia" w:ascii="宋体" w:hAnsi="宋体" w:eastAsia="宋体" w:cs="宋体"/>
          <w:color w:val="auto"/>
          <w:highlight w:val="none"/>
        </w:rPr>
        <w:t>。</w:t>
      </w:r>
    </w:p>
    <w:p w14:paraId="0DAC651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6.1.6</w:t>
      </w:r>
      <w:r>
        <w:rPr>
          <w:rFonts w:hint="eastAsia" w:ascii="宋体" w:hAnsi="宋体" w:eastAsia="宋体" w:cs="宋体"/>
          <w:color w:val="auto"/>
          <w:kern w:val="0"/>
          <w:highlight w:val="none"/>
        </w:rPr>
        <w:t>关于安全生产费总额、支付比例、支付期限、转入和结余收回的约定：</w:t>
      </w:r>
    </w:p>
    <w:p w14:paraId="23A4F445">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（1）本合同价款已包含</w:t>
      </w:r>
      <w:r>
        <w:rPr>
          <w:rFonts w:hint="eastAsia" w:ascii="宋体" w:hAnsi="宋体" w:eastAsia="宋体" w:cs="宋体"/>
          <w:color w:val="auto"/>
          <w:kern w:val="0"/>
          <w:highlight w:val="none"/>
          <w:lang w:eastAsia="zh-CN"/>
        </w:rPr>
        <w:t>安全生产费</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元。</w:t>
      </w:r>
    </w:p>
    <w:p w14:paraId="2A40612E">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（2）使用要求：专款专用。具体按</w:t>
      </w:r>
      <w:r>
        <w:rPr>
          <w:rFonts w:hint="eastAsia" w:ascii="宋体" w:hAnsi="宋体" w:eastAsia="宋体" w:cs="宋体"/>
          <w:color w:val="auto"/>
          <w:kern w:val="0"/>
          <w:highlight w:val="none"/>
          <w:u w:val="single"/>
        </w:rPr>
        <w:t>《广西壮族自治区建设工程安全文明施工费使用管理细则》（桂建质〔2015〕16号）</w:t>
      </w:r>
      <w:r>
        <w:rPr>
          <w:rFonts w:hint="eastAsia" w:ascii="宋体" w:hAnsi="宋体" w:eastAsia="宋体" w:cs="宋体"/>
          <w:color w:val="auto"/>
          <w:kern w:val="0"/>
          <w:highlight w:val="none"/>
        </w:rPr>
        <w:t>和</w:t>
      </w:r>
      <w:r>
        <w:rPr>
          <w:rFonts w:hint="eastAsia" w:ascii="宋体" w:hAnsi="宋体" w:eastAsia="宋体" w:cs="宋体"/>
          <w:color w:val="auto"/>
          <w:kern w:val="0"/>
          <w:highlight w:val="none"/>
          <w:u w:val="single"/>
        </w:rPr>
        <w:t xml:space="preserve">  </w:t>
      </w:r>
      <w:r>
        <w:rPr>
          <w:rFonts w:hint="eastAsia"/>
          <w:color w:val="auto"/>
          <w:kern w:val="0"/>
          <w:highlight w:val="none"/>
          <w:u w:val="single"/>
          <w:lang w:eastAsia="zh-CN"/>
        </w:rPr>
        <w:t>桂林</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市相关规定执行。</w:t>
      </w:r>
    </w:p>
    <w:p w14:paraId="523437C9">
      <w:pPr>
        <w:autoSpaceDE/>
        <w:autoSpaceDN/>
        <w:adjustRightInd/>
        <w:spacing w:line="400" w:lineRule="exact"/>
        <w:ind w:firstLine="420" w:firstLineChars="200"/>
        <w:jc w:val="left"/>
        <w:outlineLvl w:val="9"/>
        <w:rPr>
          <w:rFonts w:hint="eastAsia" w:ascii="宋体" w:hAnsi="宋体" w:eastAsia="宋体" w:cs="宋体"/>
          <w:color w:val="auto"/>
          <w:kern w:val="0"/>
          <w:highlight w:val="none"/>
        </w:rPr>
      </w:pPr>
      <w:r>
        <w:rPr>
          <w:rFonts w:hint="eastAsia" w:ascii="宋体" w:hAnsi="宋体" w:eastAsia="宋体" w:cs="宋体"/>
          <w:color w:val="auto"/>
          <w:kern w:val="0"/>
          <w:highlight w:val="none"/>
        </w:rPr>
        <w:t>（3）支付约定：在本合同签订后</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u w:val="single"/>
          <w:lang w:val="en-US" w:eastAsia="zh-CN"/>
        </w:rPr>
        <w:t>10</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个工作日内，预付安全</w:t>
      </w:r>
      <w:r>
        <w:rPr>
          <w:rFonts w:hint="eastAsia" w:ascii="宋体" w:hAnsi="宋体" w:eastAsia="宋体" w:cs="宋体"/>
          <w:color w:val="auto"/>
          <w:kern w:val="0"/>
          <w:highlight w:val="none"/>
          <w:lang w:val="en"/>
        </w:rPr>
        <w:t>生产费</w:t>
      </w:r>
      <w:r>
        <w:rPr>
          <w:rFonts w:hint="eastAsia" w:ascii="宋体" w:hAnsi="宋体" w:eastAsia="宋体" w:cs="宋体"/>
          <w:color w:val="auto"/>
          <w:kern w:val="0"/>
          <w:highlight w:val="none"/>
        </w:rPr>
        <w:t>总额的</w:t>
      </w:r>
      <w:r>
        <w:rPr>
          <w:rFonts w:hint="eastAsia" w:ascii="宋体" w:hAnsi="宋体" w:eastAsia="宋体" w:cs="宋体"/>
          <w:color w:val="auto"/>
          <w:kern w:val="0"/>
          <w:highlight w:val="none"/>
          <w:u w:val="single"/>
        </w:rPr>
        <w:t xml:space="preserve">  </w:t>
      </w:r>
      <w:r>
        <w:rPr>
          <w:rFonts w:hint="default" w:ascii="宋体" w:hAnsi="宋体" w:eastAsia="宋体" w:cs="宋体"/>
          <w:color w:val="auto"/>
          <w:kern w:val="0"/>
          <w:highlight w:val="none"/>
          <w:u w:val="single"/>
          <w:lang w:val="en-US" w:eastAsia="zh-CN"/>
        </w:rPr>
        <w:t>30</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eastAsia="zh-CN"/>
        </w:rPr>
        <w:t>。实际投入安全生产费超过安全生产</w:t>
      </w:r>
      <w:r>
        <w:rPr>
          <w:rFonts w:hint="eastAsia" w:ascii="宋体" w:hAnsi="宋体" w:eastAsia="宋体" w:cs="宋体"/>
          <w:color w:val="auto"/>
          <w:kern w:val="0"/>
          <w:highlight w:val="none"/>
        </w:rPr>
        <w:t>费预付款</w:t>
      </w:r>
      <w:r>
        <w:rPr>
          <w:rFonts w:hint="eastAsia" w:ascii="宋体" w:hAnsi="宋体" w:eastAsia="宋体" w:cs="宋体"/>
          <w:color w:val="auto"/>
          <w:kern w:val="0"/>
          <w:highlight w:val="none"/>
          <w:lang w:eastAsia="zh-CN"/>
        </w:rPr>
        <w:t>后</w:t>
      </w:r>
      <w:r>
        <w:rPr>
          <w:rFonts w:hint="eastAsia" w:ascii="宋体" w:hAnsi="宋体" w:eastAsia="宋体" w:cs="宋体"/>
          <w:color w:val="auto"/>
          <w:kern w:val="0"/>
          <w:highlight w:val="none"/>
          <w:lang w:val="en" w:eastAsia="zh-CN"/>
        </w:rPr>
        <w:t>，</w:t>
      </w:r>
      <w:r>
        <w:rPr>
          <w:rFonts w:hint="eastAsia" w:ascii="宋体" w:hAnsi="宋体" w:eastAsia="宋体" w:cs="宋体"/>
          <w:color w:val="auto"/>
          <w:kern w:val="0"/>
          <w:highlight w:val="none"/>
          <w:lang w:eastAsia="zh-CN"/>
        </w:rPr>
        <w:t>承包人把实际发生的安全生产费（附相关凭证）报发包人和监理人审核，安全生产费与工程进度款同期支付。</w:t>
      </w:r>
      <w:r>
        <w:rPr>
          <w:rFonts w:hint="eastAsia" w:ascii="宋体" w:hAnsi="宋体" w:eastAsia="宋体" w:cs="宋体"/>
          <w:color w:val="auto"/>
          <w:kern w:val="0"/>
          <w:szCs w:val="21"/>
          <w:highlight w:val="none"/>
          <w:shd w:val="clear" w:color="auto" w:fill="FFFFFF"/>
        </w:rPr>
        <w:t>工程施工完成后安全生产费尚有结余的，结余部分</w:t>
      </w:r>
      <w:r>
        <w:rPr>
          <w:rFonts w:hint="eastAsia" w:ascii="宋体" w:hAnsi="宋体" w:eastAsia="宋体" w:cs="宋体"/>
          <w:color w:val="auto"/>
          <w:kern w:val="0"/>
          <w:szCs w:val="24"/>
          <w:highlight w:val="none"/>
          <w:shd w:val="clear" w:color="auto" w:fill="auto"/>
        </w:rPr>
        <w:t>由建设单位收回。施工单位将安全生产费用使用情况定期报告建设单位和监理单位，并提供相应的材料接受建设行政主管部门对此事项监管。</w:t>
      </w:r>
      <w:r>
        <w:rPr>
          <w:rFonts w:hint="eastAsia" w:ascii="宋体" w:hAnsi="宋体" w:eastAsia="宋体" w:cs="宋体"/>
          <w:color w:val="auto"/>
          <w:kern w:val="0"/>
          <w:highlight w:val="none"/>
          <w:lang w:eastAsia="zh-CN"/>
        </w:rPr>
        <w:t>《安全生产费支付申请（核准）表》详见附件</w:t>
      </w:r>
      <w:r>
        <w:rPr>
          <w:rFonts w:hint="eastAsia" w:ascii="宋体" w:hAnsi="宋体" w:eastAsia="宋体" w:cs="宋体"/>
          <w:color w:val="auto"/>
          <w:kern w:val="0"/>
          <w:highlight w:val="none"/>
          <w:lang w:val="en-US" w:eastAsia="zh-CN"/>
        </w:rPr>
        <w:t>18</w:t>
      </w:r>
      <w:r>
        <w:rPr>
          <w:rFonts w:hint="eastAsia" w:ascii="宋体" w:hAnsi="宋体" w:eastAsia="宋体" w:cs="宋体"/>
          <w:color w:val="auto"/>
          <w:kern w:val="0"/>
          <w:highlight w:val="none"/>
        </w:rPr>
        <w:t>。</w:t>
      </w:r>
    </w:p>
    <w:p w14:paraId="2A4CD4CF">
      <w:pPr>
        <w:autoSpaceDE/>
        <w:autoSpaceDN/>
        <w:adjustRightInd/>
        <w:spacing w:line="400" w:lineRule="exact"/>
        <w:ind w:firstLine="420" w:firstLineChars="200"/>
        <w:jc w:val="left"/>
        <w:outlineLvl w:val="9"/>
        <w:rPr>
          <w:rFonts w:hint="eastAsia" w:ascii="宋体" w:hAnsi="宋体" w:eastAsia="宋体" w:cs="宋体"/>
          <w:color w:val="auto"/>
          <w:kern w:val="0"/>
          <w:highlight w:val="none"/>
        </w:rPr>
      </w:pPr>
      <w:r>
        <w:rPr>
          <w:rFonts w:hint="eastAsia" w:ascii="宋体" w:hAnsi="宋体" w:eastAsia="宋体" w:cs="宋体"/>
          <w:color w:val="auto"/>
          <w:kern w:val="0"/>
          <w:highlight w:val="none"/>
        </w:rPr>
        <w:t>（4）建设单位按规定将安全生产费转入施工单位设立的安全生产费用</w:t>
      </w:r>
      <w:r>
        <w:rPr>
          <w:rFonts w:hint="eastAsia" w:ascii="宋体" w:hAnsi="宋体" w:eastAsia="宋体" w:cs="宋体"/>
          <w:color w:val="auto"/>
          <w:kern w:val="0"/>
          <w:highlight w:val="none"/>
          <w:lang w:eastAsia="zh-CN"/>
        </w:rPr>
        <w:t>账户</w:t>
      </w:r>
      <w:r>
        <w:rPr>
          <w:rFonts w:hint="eastAsia" w:ascii="宋体" w:hAnsi="宋体" w:eastAsia="宋体" w:cs="宋体"/>
          <w:color w:val="auto"/>
          <w:kern w:val="0"/>
          <w:highlight w:val="none"/>
        </w:rPr>
        <w:t>。</w:t>
      </w:r>
    </w:p>
    <w:p w14:paraId="12188482">
      <w:pPr>
        <w:autoSpaceDE/>
        <w:autoSpaceDN/>
        <w:adjustRightInd/>
        <w:spacing w:line="400" w:lineRule="exact"/>
        <w:ind w:firstLine="420" w:firstLineChars="200"/>
        <w:jc w:val="left"/>
        <w:outlineLvl w:val="9"/>
        <w:rPr>
          <w:rFonts w:hint="eastAsia" w:ascii="宋体" w:hAnsi="宋体" w:eastAsia="宋体" w:cs="宋体"/>
          <w:color w:val="auto"/>
          <w:kern w:val="0"/>
          <w:highlight w:val="none"/>
        </w:rPr>
      </w:pPr>
      <w:r>
        <w:rPr>
          <w:rFonts w:hint="eastAsia" w:ascii="宋体" w:hAnsi="宋体" w:eastAsia="宋体" w:cs="宋体"/>
          <w:color w:val="auto"/>
          <w:kern w:val="0"/>
          <w:highlight w:val="none"/>
        </w:rPr>
        <w:t>（5）工程施工完成后安全生产费尚有结余的，结余部分由建设单位收回。</w:t>
      </w:r>
    </w:p>
    <w:p w14:paraId="33D0A9E3">
      <w:pPr>
        <w:autoSpaceDE w:val="0"/>
        <w:autoSpaceDN w:val="0"/>
        <w:adjustRightInd w:val="0"/>
        <w:spacing w:line="40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（6）安全生产费用</w:t>
      </w:r>
      <w:r>
        <w:rPr>
          <w:rFonts w:hint="eastAsia" w:ascii="宋体" w:hAnsi="宋体" w:eastAsia="宋体" w:cs="宋体"/>
          <w:color w:val="auto"/>
          <w:kern w:val="0"/>
          <w:highlight w:val="none"/>
          <w:lang w:eastAsia="zh-CN"/>
        </w:rPr>
        <w:t>账户</w:t>
      </w:r>
      <w:r>
        <w:rPr>
          <w:rFonts w:hint="eastAsia" w:ascii="宋体" w:hAnsi="宋体" w:eastAsia="宋体" w:cs="宋体"/>
          <w:color w:val="auto"/>
          <w:kern w:val="0"/>
          <w:highlight w:val="none"/>
        </w:rPr>
        <w:t>：</w:t>
      </w:r>
      <w:r>
        <w:rPr>
          <w:rFonts w:hint="eastAsia" w:ascii="宋体" w:hAnsi="宋体" w:eastAsia="宋体" w:cs="宋体"/>
          <w:color w:val="auto"/>
          <w:kern w:val="0"/>
          <w:highlight w:val="none"/>
          <w:u w:val="single"/>
          <w:lang w:eastAsia="zh-CN"/>
        </w:rPr>
        <w:t xml:space="preserve"> </w:t>
      </w:r>
      <w:r>
        <w:rPr>
          <w:rFonts w:hint="eastAsia" w:ascii="宋体" w:hAnsi="宋体" w:eastAsia="宋体" w:cs="宋体"/>
          <w:color w:val="auto"/>
          <w:kern w:val="0"/>
          <w:highlight w:val="none"/>
          <w:u w:val="single"/>
          <w:lang w:val="en-US" w:eastAsia="zh-CN"/>
        </w:rPr>
        <w:t xml:space="preserve">             </w:t>
      </w:r>
      <w:r>
        <w:rPr>
          <w:rFonts w:hint="eastAsia" w:ascii="宋体" w:hAnsi="宋体" w:eastAsia="宋体" w:cs="宋体"/>
          <w:color w:val="auto"/>
          <w:kern w:val="0"/>
          <w:highlight w:val="none"/>
        </w:rPr>
        <w:t>。账号：</w:t>
      </w:r>
      <w:r>
        <w:rPr>
          <w:rFonts w:hint="eastAsia" w:ascii="宋体" w:hAnsi="宋体" w:eastAsia="宋体" w:cs="宋体"/>
          <w:color w:val="auto"/>
          <w:kern w:val="0"/>
          <w:highlight w:val="none"/>
          <w:u w:val="single"/>
          <w:lang w:eastAsia="zh-CN"/>
        </w:rPr>
        <w:t xml:space="preserve"> </w:t>
      </w:r>
      <w:r>
        <w:rPr>
          <w:rFonts w:hint="eastAsia" w:ascii="宋体" w:hAnsi="宋体" w:eastAsia="宋体" w:cs="宋体"/>
          <w:color w:val="auto"/>
          <w:kern w:val="0"/>
          <w:highlight w:val="none"/>
          <w:u w:val="single"/>
          <w:lang w:val="en-US" w:eastAsia="zh-CN"/>
        </w:rPr>
        <w:t xml:space="preserve">             </w:t>
      </w:r>
      <w:r>
        <w:rPr>
          <w:rFonts w:hint="eastAsia" w:ascii="宋体" w:hAnsi="宋体" w:eastAsia="宋体" w:cs="宋体"/>
          <w:color w:val="auto"/>
          <w:kern w:val="0"/>
          <w:highlight w:val="none"/>
        </w:rPr>
        <w:t>。</w:t>
      </w:r>
    </w:p>
    <w:p w14:paraId="673A720A">
      <w:pPr>
        <w:pStyle w:val="4"/>
        <w:rPr>
          <w:rFonts w:hint="eastAsia" w:ascii="宋体" w:hAnsi="宋体" w:eastAsia="宋体" w:cs="宋体"/>
          <w:color w:val="auto"/>
          <w:highlight w:val="none"/>
        </w:rPr>
      </w:pPr>
      <w:bookmarkStart w:id="322" w:name="_Toc11917"/>
      <w:bookmarkStart w:id="323" w:name="_Toc25382"/>
      <w:r>
        <w:rPr>
          <w:rFonts w:hint="eastAsia" w:ascii="宋体" w:hAnsi="宋体" w:eastAsia="宋体" w:cs="宋体"/>
          <w:color w:val="auto"/>
          <w:highlight w:val="none"/>
        </w:rPr>
        <w:t>6.3 环境保护</w:t>
      </w:r>
      <w:bookmarkEnd w:id="322"/>
      <w:bookmarkEnd w:id="323"/>
    </w:p>
    <w:p w14:paraId="1A500F60">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因施工需要，经发包人批准，由承包人办理有关施工场地交通、环卫和施工噪音管理等手续，费用由承包人负责。</w:t>
      </w:r>
    </w:p>
    <w:p w14:paraId="29479B4F">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经过城市道路的施工车辆，必须按交警、城管、运输等部门相关规定执行。由于施工车辆造成的道路、环境等污染，其责任和费用均由承包人承担。</w:t>
      </w:r>
    </w:p>
    <w:p w14:paraId="63B84662">
      <w:pPr>
        <w:pStyle w:val="3"/>
        <w:rPr>
          <w:rFonts w:hint="eastAsia" w:ascii="宋体" w:hAnsi="宋体" w:eastAsia="宋体" w:cs="宋体"/>
          <w:color w:val="auto"/>
          <w:highlight w:val="none"/>
        </w:rPr>
      </w:pPr>
      <w:bookmarkStart w:id="324" w:name="_Toc6691"/>
      <w:r>
        <w:rPr>
          <w:rFonts w:hint="eastAsia" w:ascii="宋体" w:hAnsi="宋体" w:eastAsia="宋体" w:cs="宋体"/>
          <w:color w:val="auto"/>
          <w:highlight w:val="none"/>
        </w:rPr>
        <w:t>7. 工期和进度</w:t>
      </w:r>
      <w:bookmarkEnd w:id="324"/>
    </w:p>
    <w:p w14:paraId="2185D797">
      <w:pPr>
        <w:pStyle w:val="4"/>
        <w:rPr>
          <w:rFonts w:hint="eastAsia" w:ascii="宋体" w:hAnsi="宋体" w:eastAsia="宋体" w:cs="宋体"/>
          <w:color w:val="auto"/>
          <w:highlight w:val="none"/>
        </w:rPr>
      </w:pPr>
      <w:bookmarkStart w:id="325" w:name="_Toc15244"/>
      <w:bookmarkStart w:id="326" w:name="_Toc28686"/>
      <w:r>
        <w:rPr>
          <w:rFonts w:hint="eastAsia" w:ascii="宋体" w:hAnsi="宋体" w:eastAsia="宋体" w:cs="宋体"/>
          <w:color w:val="auto"/>
          <w:highlight w:val="none"/>
        </w:rPr>
        <w:t>7.1 施工组织设计</w:t>
      </w:r>
      <w:bookmarkEnd w:id="325"/>
      <w:bookmarkEnd w:id="326"/>
    </w:p>
    <w:p w14:paraId="622428A9">
      <w:pPr>
        <w:autoSpaceDE w:val="0"/>
        <w:autoSpaceDN w:val="0"/>
        <w:adjustRightIn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7.1.1 合</w:t>
      </w:r>
      <w:r>
        <w:rPr>
          <w:rFonts w:hint="eastAsia" w:ascii="宋体" w:hAnsi="宋体" w:eastAsia="宋体" w:cs="宋体"/>
          <w:color w:val="auto"/>
          <w:kern w:val="0"/>
          <w:highlight w:val="none"/>
        </w:rPr>
        <w:t>同当事人约定的施工组织设计应包括的其他内容：</w:t>
      </w:r>
      <w:r>
        <w:rPr>
          <w:rFonts w:hint="eastAsia" w:ascii="宋体" w:hAnsi="宋体" w:eastAsia="宋体" w:cs="宋体"/>
          <w:color w:val="auto"/>
          <w:highlight w:val="none"/>
          <w:u w:val="single"/>
        </w:rPr>
        <w:t xml:space="preserve"> </w:t>
      </w:r>
      <w:r>
        <w:rPr>
          <w:color w:val="auto"/>
          <w:kern w:val="0"/>
          <w:highlight w:val="none"/>
        </w:rPr>
        <w:t>（</w:t>
      </w:r>
      <w:r>
        <w:rPr>
          <w:color w:val="auto"/>
          <w:highlight w:val="none"/>
          <w:u w:val="single"/>
        </w:rPr>
        <w:t>1）施工组织设计还应包括全部设备、材料、成品、半成品等需求供应进场计划，施工管理机构及劳动力组织，以及施工现场优化布置，危险性较大的分部分项工程的专项施工方案等</w:t>
      </w:r>
      <w:r>
        <w:rPr>
          <w:rFonts w:hint="eastAsia"/>
          <w:color w:val="auto"/>
          <w:highlight w:val="none"/>
          <w:u w:val="single"/>
          <w:lang w:eastAsia="zh-CN"/>
        </w:rPr>
        <w:t>。（2）遇有特殊工艺或施工规范要求需要编制专项施工方案的，承包人还需编制专项施工方案并提交发包人及监理人审核书面确认后方能实施。施工组织设计仅作为施工指导文件，不作为工程款结算依据</w:t>
      </w:r>
      <w:r>
        <w:rPr>
          <w:rFonts w:hint="eastAsia" w:ascii="宋体" w:hAnsi="宋体" w:eastAsia="宋体" w:cs="宋体"/>
          <w:color w:val="auto"/>
          <w:highlight w:val="none"/>
        </w:rPr>
        <w:t>。</w:t>
      </w:r>
    </w:p>
    <w:p w14:paraId="6E602613">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highlight w:val="none"/>
        </w:rPr>
        <w:t xml:space="preserve">7.1.2 </w:t>
      </w:r>
      <w:r>
        <w:rPr>
          <w:rFonts w:hint="eastAsia" w:ascii="宋体" w:hAnsi="宋体" w:eastAsia="宋体" w:cs="宋体"/>
          <w:color w:val="auto"/>
          <w:kern w:val="0"/>
          <w:highlight w:val="none"/>
        </w:rPr>
        <w:t>施工组织设计的提交和修改</w:t>
      </w:r>
    </w:p>
    <w:p w14:paraId="1BA2CCE8">
      <w:pPr>
        <w:autoSpaceDE w:val="0"/>
        <w:autoSpaceDN w:val="0"/>
        <w:adjustRightIn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承包人提交详细施工组织设计的期限的约定：</w:t>
      </w:r>
      <w:r>
        <w:rPr>
          <w:rFonts w:hint="eastAsia" w:ascii="宋体" w:hAnsi="宋体" w:eastAsia="宋体" w:cs="宋体"/>
          <w:color w:val="auto"/>
          <w:highlight w:val="none"/>
          <w:u w:val="single"/>
        </w:rPr>
        <w:t xml:space="preserve"> </w:t>
      </w:r>
      <w:r>
        <w:rPr>
          <w:color w:val="auto"/>
          <w:szCs w:val="21"/>
          <w:highlight w:val="none"/>
          <w:u w:val="single"/>
        </w:rPr>
        <w:t>合同签订后1日内，但不得晚于监理人发出开工通知中载明的开工日期前3日，承包人应提交详细的施工组织设计，报发包人及监理人审批；承包人不按时送审符合要求的施工组织设计，造成发包人无法判断工程进展顺利与否，发包人可拒付相应部分工程进度款，责任由承包人承担</w:t>
      </w:r>
      <w:r>
        <w:rPr>
          <w:rFonts w:hint="eastAsia" w:ascii="宋体" w:hAnsi="宋体" w:eastAsia="宋体" w:cs="宋体"/>
          <w:color w:val="auto"/>
          <w:highlight w:val="none"/>
        </w:rPr>
        <w:t>。</w:t>
      </w:r>
    </w:p>
    <w:p w14:paraId="590BBE51">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发包人和监理人在收到详细的施工组织设计后确认或提出修改意见的期限：</w:t>
      </w:r>
      <w:r>
        <w:rPr>
          <w:rFonts w:hint="eastAsia" w:ascii="宋体" w:hAnsi="宋体" w:eastAsia="宋体" w:cs="宋体"/>
          <w:color w:val="auto"/>
          <w:highlight w:val="none"/>
          <w:u w:val="single"/>
        </w:rPr>
        <w:t xml:space="preserve"> </w:t>
      </w:r>
      <w:r>
        <w:rPr>
          <w:color w:val="auto"/>
          <w:szCs w:val="21"/>
          <w:highlight w:val="none"/>
          <w:u w:val="single"/>
        </w:rPr>
        <w:t>发包人接到监理</w:t>
      </w:r>
      <w:r>
        <w:rPr>
          <w:rFonts w:hint="eastAsia"/>
          <w:color w:val="auto"/>
          <w:szCs w:val="21"/>
          <w:highlight w:val="none"/>
          <w:u w:val="single"/>
        </w:rPr>
        <w:t>人</w:t>
      </w:r>
      <w:r>
        <w:rPr>
          <w:color w:val="auto"/>
          <w:szCs w:val="21"/>
          <w:highlight w:val="none"/>
          <w:u w:val="single"/>
        </w:rPr>
        <w:t>报来的详细施工组织设计（各</w:t>
      </w:r>
      <w:bookmarkStart w:id="327" w:name="OLE_LINK7"/>
      <w:r>
        <w:rPr>
          <w:color w:val="auto"/>
          <w:szCs w:val="21"/>
          <w:highlight w:val="none"/>
          <w:u w:val="single"/>
        </w:rPr>
        <w:t>工期接</w:t>
      </w:r>
      <w:bookmarkEnd w:id="327"/>
      <w:r>
        <w:rPr>
          <w:color w:val="auto"/>
          <w:szCs w:val="21"/>
          <w:highlight w:val="none"/>
          <w:u w:val="single"/>
        </w:rPr>
        <w:t>点不得迟于合同工期接点规定）后3日内组织审核批准或提出修改意见</w:t>
      </w:r>
      <w:r>
        <w:rPr>
          <w:rFonts w:hint="eastAsia" w:ascii="宋体" w:hAnsi="宋体" w:eastAsia="宋体" w:cs="宋体"/>
          <w:color w:val="auto"/>
          <w:highlight w:val="none"/>
        </w:rPr>
        <w:t>。</w:t>
      </w:r>
    </w:p>
    <w:p w14:paraId="48EDF634">
      <w:pPr>
        <w:pStyle w:val="4"/>
        <w:rPr>
          <w:rFonts w:hint="eastAsia" w:ascii="宋体" w:hAnsi="宋体" w:eastAsia="宋体" w:cs="宋体"/>
          <w:color w:val="auto"/>
          <w:highlight w:val="none"/>
        </w:rPr>
      </w:pPr>
      <w:bookmarkStart w:id="328" w:name="_Toc10208"/>
      <w:bookmarkStart w:id="329" w:name="_Toc22439"/>
      <w:r>
        <w:rPr>
          <w:rFonts w:hint="eastAsia" w:ascii="宋体" w:hAnsi="宋体" w:eastAsia="宋体" w:cs="宋体"/>
          <w:color w:val="auto"/>
          <w:highlight w:val="none"/>
        </w:rPr>
        <w:t>7.2 施工进度计划</w:t>
      </w:r>
      <w:bookmarkEnd w:id="328"/>
      <w:bookmarkEnd w:id="329"/>
    </w:p>
    <w:p w14:paraId="33C9E3B0">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7.2.2 施工进度计划的修订</w:t>
      </w:r>
    </w:p>
    <w:p w14:paraId="53F1E87E">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发包人和监理人在收到修订的施工进度计划后确认或提出修改意见的期限：</w:t>
      </w:r>
      <w:r>
        <w:rPr>
          <w:rFonts w:hint="eastAsia" w:ascii="宋体" w:hAnsi="宋体" w:eastAsia="宋体" w:cs="宋体"/>
          <w:color w:val="auto"/>
          <w:highlight w:val="none"/>
          <w:u w:val="single"/>
        </w:rPr>
        <w:t xml:space="preserve">   </w:t>
      </w:r>
      <w:r>
        <w:rPr>
          <w:color w:val="auto"/>
          <w:szCs w:val="21"/>
          <w:highlight w:val="none"/>
          <w:u w:val="single"/>
        </w:rPr>
        <w:t>收到承包人报送的相关进度计划和施工方案说明之日起3日内</w:t>
      </w:r>
      <w:r>
        <w:rPr>
          <w:rFonts w:hint="eastAsia" w:ascii="宋体" w:hAnsi="宋体" w:eastAsia="宋体" w:cs="宋体"/>
          <w:color w:val="auto"/>
          <w:highlight w:val="none"/>
        </w:rPr>
        <w:t>。</w:t>
      </w:r>
    </w:p>
    <w:p w14:paraId="3B9E258B">
      <w:pPr>
        <w:pStyle w:val="4"/>
        <w:rPr>
          <w:rFonts w:hint="eastAsia" w:ascii="宋体" w:hAnsi="宋体" w:eastAsia="宋体" w:cs="宋体"/>
          <w:color w:val="auto"/>
          <w:highlight w:val="none"/>
        </w:rPr>
      </w:pPr>
      <w:bookmarkStart w:id="330" w:name="_Toc2280"/>
      <w:bookmarkStart w:id="331" w:name="_Toc18437"/>
      <w:r>
        <w:rPr>
          <w:rFonts w:hint="eastAsia" w:ascii="宋体" w:hAnsi="宋体" w:eastAsia="宋体" w:cs="宋体"/>
          <w:color w:val="auto"/>
          <w:highlight w:val="none"/>
        </w:rPr>
        <w:t>7.3 开工</w:t>
      </w:r>
      <w:bookmarkEnd w:id="330"/>
      <w:bookmarkEnd w:id="331"/>
    </w:p>
    <w:p w14:paraId="7F815C0D">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7.3.1 开工准备</w:t>
      </w:r>
    </w:p>
    <w:p w14:paraId="65C8C149">
      <w:pPr>
        <w:spacing w:line="360" w:lineRule="auto"/>
        <w:ind w:firstLine="426"/>
        <w:jc w:val="left"/>
        <w:rPr>
          <w:rFonts w:hint="eastAsia" w:ascii="宋体" w:hAnsi="宋体" w:eastAsia="宋体" w:cs="宋体"/>
          <w:color w:val="auto"/>
          <w:highlight w:val="none"/>
          <w:u w:val="single"/>
        </w:rPr>
      </w:pPr>
      <w:r>
        <w:rPr>
          <w:rFonts w:hint="eastAsia" w:ascii="宋体" w:hAnsi="宋体" w:eastAsia="宋体" w:cs="宋体"/>
          <w:color w:val="auto"/>
          <w:highlight w:val="none"/>
        </w:rPr>
        <w:t>关于承包人提交</w:t>
      </w:r>
      <w:r>
        <w:rPr>
          <w:rFonts w:hint="eastAsia" w:ascii="宋体" w:hAnsi="宋体" w:eastAsia="宋体" w:cs="宋体"/>
          <w:color w:val="auto"/>
          <w:kern w:val="0"/>
          <w:highlight w:val="none"/>
        </w:rPr>
        <w:t>工程开工报审表的期限：</w:t>
      </w:r>
      <w:r>
        <w:rPr>
          <w:rFonts w:hint="eastAsia" w:ascii="宋体" w:hAnsi="宋体" w:eastAsia="宋体" w:cs="宋体"/>
          <w:color w:val="auto"/>
          <w:highlight w:val="none"/>
          <w:u w:val="single"/>
        </w:rPr>
        <w:t xml:space="preserve"> </w:t>
      </w:r>
      <w:r>
        <w:rPr>
          <w:color w:val="auto"/>
          <w:highlight w:val="none"/>
          <w:u w:val="single"/>
        </w:rPr>
        <w:t>开工前3天</w:t>
      </w:r>
      <w:r>
        <w:rPr>
          <w:rFonts w:hint="eastAsia" w:ascii="宋体" w:hAnsi="宋体" w:eastAsia="宋体" w:cs="宋体"/>
          <w:color w:val="auto"/>
          <w:highlight w:val="none"/>
        </w:rPr>
        <w:t>。</w:t>
      </w:r>
    </w:p>
    <w:p w14:paraId="6F368129">
      <w:pPr>
        <w:spacing w:line="360" w:lineRule="auto"/>
        <w:ind w:firstLine="426"/>
        <w:jc w:val="left"/>
        <w:rPr>
          <w:rFonts w:hint="eastAsia" w:ascii="宋体" w:hAnsi="宋体" w:eastAsia="宋体" w:cs="宋体"/>
          <w:color w:val="auto"/>
          <w:highlight w:val="none"/>
          <w:u w:val="single"/>
        </w:rPr>
      </w:pPr>
      <w:r>
        <w:rPr>
          <w:rFonts w:hint="eastAsia" w:ascii="宋体" w:hAnsi="宋体" w:eastAsia="宋体" w:cs="宋体"/>
          <w:color w:val="auto"/>
          <w:highlight w:val="none"/>
        </w:rPr>
        <w:t>关于发包人应完成的其他开工准备工作及期限：</w:t>
      </w:r>
      <w:r>
        <w:rPr>
          <w:rFonts w:hint="eastAsia" w:ascii="宋体" w:hAnsi="宋体" w:eastAsia="宋体" w:cs="宋体"/>
          <w:color w:val="auto"/>
          <w:highlight w:val="none"/>
          <w:u w:val="single"/>
        </w:rPr>
        <w:t xml:space="preserve"> </w:t>
      </w:r>
      <w:r>
        <w:rPr>
          <w:color w:val="auto"/>
          <w:highlight w:val="none"/>
          <w:u w:val="single"/>
        </w:rPr>
        <w:t>①开工前14天完成施工现场 “三通一平”工作，并满足施工要求；②开工前7天内发包人确定施工用水、用电接入点； ③按监理核批的施工组织设计，开工前7天内由承包方完成施工临时道路的修建，并承担修建费用④开工前7天内将工程管线的资料提供给承包人并确保图纸的准确性、有效性及完整性，如因图纸有误造成的损失由发包人承担及由此产生的相关费用；⑤开工前7天内由发包人办理的施工所需证件、批件，因发包人证件资料不齐全，无法办理导致工程无法顺利进行，工期相应顺延；⑥开工前组织承包人和设计单位进行图纸会审，并由设计单位向承包人进行设计交底</w:t>
      </w:r>
      <w:r>
        <w:rPr>
          <w:rFonts w:hint="eastAsia" w:ascii="宋体" w:hAnsi="宋体" w:eastAsia="宋体" w:cs="宋体"/>
          <w:color w:val="auto"/>
          <w:highlight w:val="none"/>
        </w:rPr>
        <w:t>。</w:t>
      </w:r>
    </w:p>
    <w:p w14:paraId="2F6CDEFB">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关于承包人应完成的其他开工准备工作及期限：</w:t>
      </w:r>
      <w:r>
        <w:rPr>
          <w:rFonts w:hint="eastAsia" w:ascii="宋体" w:hAnsi="宋体" w:eastAsia="宋体" w:cs="宋体"/>
          <w:color w:val="auto"/>
          <w:highlight w:val="none"/>
          <w:u w:val="single"/>
        </w:rPr>
        <w:t xml:space="preserve"> </w:t>
      </w:r>
      <w:r>
        <w:rPr>
          <w:color w:val="auto"/>
          <w:highlight w:val="none"/>
          <w:u w:val="single"/>
        </w:rPr>
        <w:t>①按监理核批的施工组织设计，开工前7天内由承包方完成施工临时道路的修建，并承担修建费用；②施工机械设备、材料进场、人员配备、测量定点放线等工作在开工前7天完成</w:t>
      </w:r>
      <w:r>
        <w:rPr>
          <w:rFonts w:hint="eastAsia" w:ascii="宋体" w:hAnsi="宋体" w:eastAsia="宋体" w:cs="宋体"/>
          <w:color w:val="auto"/>
          <w:highlight w:val="none"/>
        </w:rPr>
        <w:t>。</w:t>
      </w:r>
    </w:p>
    <w:p w14:paraId="550384A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7.3.2 开工通知</w:t>
      </w:r>
    </w:p>
    <w:p w14:paraId="21367245">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因发包人原因造成监理人未能在计划开工日期之日起</w:t>
      </w:r>
      <w:r>
        <w:rPr>
          <w:rFonts w:hint="eastAsia" w:ascii="宋体" w:hAnsi="宋体" w:eastAsia="宋体" w:cs="宋体"/>
          <w:color w:val="auto"/>
          <w:highlight w:val="none"/>
          <w:u w:val="single"/>
        </w:rPr>
        <w:t xml:space="preserve"> </w:t>
      </w:r>
      <w:r>
        <w:rPr>
          <w:rFonts w:hint="eastAsia"/>
          <w:color w:val="auto"/>
          <w:highlight w:val="none"/>
          <w:u w:val="single"/>
        </w:rPr>
        <w:t>120</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天内发出开工通知的，承包人有权提出价格调整要求，或者解除合同。</w:t>
      </w:r>
    </w:p>
    <w:p w14:paraId="45ED6FD2">
      <w:pPr>
        <w:pStyle w:val="4"/>
        <w:rPr>
          <w:rFonts w:hint="eastAsia" w:ascii="宋体" w:hAnsi="宋体" w:eastAsia="宋体" w:cs="宋体"/>
          <w:color w:val="auto"/>
          <w:highlight w:val="none"/>
        </w:rPr>
      </w:pPr>
      <w:bookmarkStart w:id="332" w:name="_Toc4105"/>
      <w:bookmarkStart w:id="333" w:name="_Toc6094"/>
      <w:r>
        <w:rPr>
          <w:rFonts w:hint="eastAsia" w:ascii="宋体" w:hAnsi="宋体" w:eastAsia="宋体" w:cs="宋体"/>
          <w:color w:val="auto"/>
          <w:highlight w:val="none"/>
        </w:rPr>
        <w:t>7.4 测量放线</w:t>
      </w:r>
      <w:bookmarkEnd w:id="332"/>
      <w:bookmarkEnd w:id="333"/>
    </w:p>
    <w:p w14:paraId="0521735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7.4.1发包人通过监理人向承包人提供测量基准点、基准线和水准点及其书面资料的期限：</w:t>
      </w:r>
    </w:p>
    <w:p w14:paraId="69570D5C">
      <w:pPr>
        <w:spacing w:line="360" w:lineRule="auto"/>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 xml:space="preserve"> </w:t>
      </w:r>
      <w:bookmarkStart w:id="334" w:name="OLE_LINK12"/>
      <w:r>
        <w:rPr>
          <w:color w:val="auto"/>
          <w:highlight w:val="none"/>
          <w:u w:val="single"/>
        </w:rPr>
        <w:t>开工前7天，以书面形式交给承包人，双方现场进行交验</w:t>
      </w:r>
      <w:bookmarkEnd w:id="334"/>
      <w:r>
        <w:rPr>
          <w:rFonts w:hint="eastAsia" w:ascii="宋体" w:hAnsi="宋体" w:eastAsia="宋体" w:cs="宋体"/>
          <w:color w:val="auto"/>
          <w:highlight w:val="none"/>
        </w:rPr>
        <w:t>。</w:t>
      </w:r>
    </w:p>
    <w:p w14:paraId="0F34A098">
      <w:pPr>
        <w:pStyle w:val="4"/>
        <w:rPr>
          <w:rFonts w:hint="eastAsia" w:ascii="宋体" w:hAnsi="宋体" w:eastAsia="宋体" w:cs="宋体"/>
          <w:color w:val="auto"/>
          <w:highlight w:val="none"/>
        </w:rPr>
      </w:pPr>
      <w:bookmarkStart w:id="335" w:name="_Toc14585"/>
      <w:bookmarkStart w:id="336" w:name="_Toc28909"/>
      <w:r>
        <w:rPr>
          <w:rFonts w:hint="eastAsia" w:ascii="宋体" w:hAnsi="宋体" w:eastAsia="宋体" w:cs="宋体"/>
          <w:color w:val="auto"/>
          <w:highlight w:val="none"/>
        </w:rPr>
        <w:t>7.5 工期延误</w:t>
      </w:r>
      <w:bookmarkEnd w:id="335"/>
      <w:bookmarkEnd w:id="336"/>
    </w:p>
    <w:p w14:paraId="752F21AB">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7.5.1 因发包人原因导致工期延误</w:t>
      </w:r>
    </w:p>
    <w:p w14:paraId="2A9686E7">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（7）因发包人原因导致工期延误的其他情形：</w:t>
      </w:r>
      <w:r>
        <w:rPr>
          <w:rFonts w:hint="eastAsia" w:ascii="宋体" w:hAnsi="宋体" w:eastAsia="宋体" w:cs="宋体"/>
          <w:color w:val="auto"/>
          <w:highlight w:val="none"/>
          <w:u w:val="single"/>
          <w:lang w:eastAsia="zh-CN"/>
        </w:rPr>
        <w:t>见专用条款</w:t>
      </w:r>
      <w:r>
        <w:rPr>
          <w:rFonts w:hint="eastAsia" w:ascii="宋体" w:hAnsi="宋体" w:eastAsia="宋体" w:cs="宋体"/>
          <w:color w:val="auto"/>
          <w:highlight w:val="none"/>
          <w:u w:val="single"/>
          <w:lang w:val="en-US" w:eastAsia="zh-CN"/>
        </w:rPr>
        <w:t>19.6条</w:t>
      </w:r>
      <w:r>
        <w:rPr>
          <w:rFonts w:hint="eastAsia" w:ascii="宋体" w:hAnsi="宋体" w:eastAsia="宋体" w:cs="宋体"/>
          <w:color w:val="auto"/>
          <w:highlight w:val="none"/>
        </w:rPr>
        <w:t xml:space="preserve"> 。</w:t>
      </w:r>
    </w:p>
    <w:p w14:paraId="3872389B">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7.5.2 因承包人原因导致工期延误</w:t>
      </w:r>
    </w:p>
    <w:p w14:paraId="0F040AC3">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因承包人原因造成工期延误，逾期竣工违约金的计算方法为：</w:t>
      </w:r>
      <w:r>
        <w:rPr>
          <w:rFonts w:hint="eastAsia" w:ascii="宋体" w:hAnsi="宋体" w:eastAsia="宋体" w:cs="宋体"/>
          <w:color w:val="auto"/>
          <w:highlight w:val="none"/>
          <w:u w:val="single"/>
        </w:rPr>
        <w:t>按逾期竣工的单项工程</w:t>
      </w:r>
      <w:r>
        <w:rPr>
          <w:rFonts w:hint="eastAsia" w:ascii="宋体" w:hAnsi="宋体" w:eastAsia="宋体" w:cs="宋体"/>
          <w:color w:val="auto"/>
          <w:highlight w:val="none"/>
          <w:u w:val="single"/>
          <w:lang w:val="en-US" w:eastAsia="zh-CN"/>
        </w:rPr>
        <w:t>处违约金</w:t>
      </w:r>
      <w:r>
        <w:rPr>
          <w:rFonts w:hint="eastAsia" w:ascii="宋体" w:hAnsi="宋体" w:eastAsia="宋体" w:cs="宋体"/>
          <w:color w:val="auto"/>
          <w:highlight w:val="none"/>
          <w:u w:val="single"/>
        </w:rPr>
        <w:t>，每延误一天</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 xml:space="preserve">按单项工程应支付给承包人的结算造价的万分之 </w:t>
      </w:r>
      <w:r>
        <w:rPr>
          <w:rFonts w:hint="eastAsia" w:ascii="宋体" w:hAnsi="宋体" w:eastAsia="宋体" w:cs="宋体"/>
          <w:color w:val="auto"/>
          <w:highlight w:val="none"/>
          <w:u w:val="single"/>
          <w:lang w:val="en-US" w:eastAsia="zh-CN"/>
        </w:rPr>
        <w:t>三</w:t>
      </w:r>
      <w:r>
        <w:rPr>
          <w:rFonts w:hint="eastAsia" w:ascii="宋体" w:hAnsi="宋体" w:eastAsia="宋体" w:cs="宋体"/>
          <w:color w:val="auto"/>
          <w:highlight w:val="none"/>
          <w:u w:val="single"/>
        </w:rPr>
        <w:t xml:space="preserve"> 处</w:t>
      </w:r>
      <w:r>
        <w:rPr>
          <w:rFonts w:hint="eastAsia" w:ascii="宋体" w:hAnsi="宋体" w:eastAsia="宋体" w:cs="宋体"/>
          <w:color w:val="auto"/>
          <w:highlight w:val="none"/>
          <w:u w:val="single"/>
          <w:lang w:val="en-US" w:eastAsia="zh-CN"/>
        </w:rPr>
        <w:t>以违约金</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lang w:val="en-US" w:eastAsia="zh-CN"/>
        </w:rPr>
        <w:t>违约金</w:t>
      </w:r>
      <w:r>
        <w:rPr>
          <w:rFonts w:hint="eastAsia" w:ascii="宋体" w:hAnsi="宋体" w:eastAsia="宋体" w:cs="宋体"/>
          <w:color w:val="auto"/>
          <w:highlight w:val="none"/>
          <w:u w:val="single"/>
        </w:rPr>
        <w:t>直接从结算款中扣除。误期时间</w:t>
      </w:r>
      <w:r>
        <w:rPr>
          <w:rFonts w:hint="eastAsia" w:ascii="宋体" w:hAnsi="宋体" w:eastAsia="宋体" w:cs="宋体"/>
          <w:color w:val="auto"/>
          <w:highlight w:val="none"/>
          <w:u w:val="single"/>
          <w:lang w:val="en-US" w:eastAsia="zh-CN"/>
        </w:rPr>
        <w:t>指</w:t>
      </w:r>
      <w:r>
        <w:rPr>
          <w:rFonts w:hint="eastAsia" w:ascii="宋体" w:hAnsi="宋体" w:eastAsia="宋体" w:cs="宋体"/>
          <w:color w:val="auto"/>
          <w:highlight w:val="none"/>
          <w:u w:val="single"/>
        </w:rPr>
        <w:t>从规定竣工日期起直到实际竣工日期</w:t>
      </w:r>
      <w:r>
        <w:rPr>
          <w:rFonts w:hint="eastAsia" w:ascii="宋体" w:hAnsi="宋体" w:eastAsia="宋体" w:cs="宋体"/>
          <w:color w:val="auto"/>
          <w:highlight w:val="none"/>
          <w:u w:val="single"/>
          <w:lang w:val="en-US" w:eastAsia="zh-CN"/>
        </w:rPr>
        <w:t>止</w:t>
      </w:r>
      <w:r>
        <w:rPr>
          <w:rFonts w:hint="eastAsia" w:ascii="宋体" w:hAnsi="宋体" w:eastAsia="宋体" w:cs="宋体"/>
          <w:color w:val="auto"/>
          <w:highlight w:val="none"/>
          <w:u w:val="single"/>
        </w:rPr>
        <w:t>的天数（扣除发包人批准顺延的工期）。</w:t>
      </w:r>
    </w:p>
    <w:p w14:paraId="55E4CDCE">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因承包人原因造成工期延误，逾期竣工违约金的上限：</w:t>
      </w:r>
      <w:r>
        <w:rPr>
          <w:rFonts w:hint="eastAsia" w:ascii="宋体" w:hAnsi="宋体" w:eastAsia="宋体" w:cs="宋体"/>
          <w:color w:val="auto"/>
          <w:highlight w:val="none"/>
          <w:u w:val="single"/>
        </w:rPr>
        <w:t xml:space="preserve">逾期竣工的单项工程结算造价扣除发包人材料价款、暂估专业工程、暂列金额后的 </w:t>
      </w:r>
      <w:r>
        <w:rPr>
          <w:rFonts w:hint="eastAsia" w:ascii="宋体" w:hAnsi="宋体" w:eastAsia="宋体" w:cs="宋体"/>
          <w:color w:val="auto"/>
          <w:highlight w:val="none"/>
          <w:u w:val="single"/>
          <w:lang w:val="en-US" w:eastAsia="zh-CN"/>
        </w:rPr>
        <w:t>5</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0DBF8A06">
      <w:pPr>
        <w:pStyle w:val="4"/>
        <w:rPr>
          <w:rFonts w:hint="eastAsia" w:ascii="宋体" w:hAnsi="宋体" w:eastAsia="宋体" w:cs="宋体"/>
          <w:color w:val="auto"/>
          <w:highlight w:val="none"/>
        </w:rPr>
      </w:pPr>
      <w:bookmarkStart w:id="337" w:name="_Toc2644"/>
      <w:bookmarkStart w:id="338" w:name="_Toc19613"/>
      <w:r>
        <w:rPr>
          <w:rFonts w:hint="eastAsia" w:ascii="宋体" w:hAnsi="宋体" w:eastAsia="宋体" w:cs="宋体"/>
          <w:color w:val="auto"/>
          <w:highlight w:val="none"/>
        </w:rPr>
        <w:t>7.6 不利物质条件</w:t>
      </w:r>
      <w:bookmarkEnd w:id="337"/>
      <w:bookmarkEnd w:id="338"/>
    </w:p>
    <w:p w14:paraId="353B5CB4">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不利物质条件的其他情形和有关约定：</w:t>
      </w:r>
      <w:r>
        <w:rPr>
          <w:rFonts w:hint="eastAsia" w:ascii="宋体" w:hAnsi="宋体" w:eastAsia="宋体" w:cs="宋体"/>
          <w:color w:val="auto"/>
          <w:highlight w:val="none"/>
          <w:u w:val="single"/>
        </w:rPr>
        <w:t xml:space="preserve">  </w:t>
      </w:r>
      <w:r>
        <w:rPr>
          <w:color w:val="auto"/>
          <w:highlight w:val="none"/>
          <w:u w:val="single"/>
        </w:rPr>
        <w:t>1.战争、动乱、空中飞行物体坠落；2.台风；3.其余按本合同通用相关条款执行</w:t>
      </w:r>
      <w:r>
        <w:rPr>
          <w:rFonts w:hint="eastAsia" w:ascii="宋体" w:hAnsi="宋体" w:eastAsia="宋体" w:cs="宋体"/>
          <w:color w:val="auto"/>
          <w:highlight w:val="none"/>
        </w:rPr>
        <w:t>。</w:t>
      </w:r>
    </w:p>
    <w:p w14:paraId="4FBE981A">
      <w:pPr>
        <w:pStyle w:val="4"/>
        <w:rPr>
          <w:rFonts w:hint="eastAsia" w:ascii="宋体" w:hAnsi="宋体" w:eastAsia="宋体" w:cs="宋体"/>
          <w:color w:val="auto"/>
          <w:highlight w:val="none"/>
        </w:rPr>
      </w:pPr>
      <w:bookmarkStart w:id="339" w:name="_Toc23270"/>
      <w:bookmarkStart w:id="340" w:name="_Toc1120"/>
      <w:r>
        <w:rPr>
          <w:rFonts w:hint="eastAsia" w:ascii="宋体" w:hAnsi="宋体" w:eastAsia="宋体" w:cs="宋体"/>
          <w:color w:val="auto"/>
          <w:highlight w:val="none"/>
        </w:rPr>
        <w:t>7.7 异常恶劣的气候条件</w:t>
      </w:r>
      <w:bookmarkEnd w:id="339"/>
      <w:bookmarkEnd w:id="340"/>
    </w:p>
    <w:p w14:paraId="5FB0ACD0">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发包人和承包人同意以下情形视为异常恶劣的气候条件：</w:t>
      </w:r>
    </w:p>
    <w:p w14:paraId="3AE7A2AF">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rPr>
        <w:t>1</w:t>
      </w:r>
      <w:r>
        <w:rPr>
          <w:rFonts w:hint="eastAsia" w:ascii="宋体" w:hAnsi="宋体" w:eastAsia="宋体" w:cs="宋体"/>
          <w:color w:val="auto"/>
          <w:highlight w:val="none"/>
          <w:lang w:eastAsia="zh-CN"/>
        </w:rPr>
        <w:t>)</w:t>
      </w:r>
      <w:r>
        <w:rPr>
          <w:rFonts w:hint="eastAsia" w:ascii="宋体" w:hAnsi="宋体" w:eastAsia="宋体" w:cs="宋体"/>
          <w:color w:val="auto"/>
          <w:highlight w:val="none"/>
          <w:u w:val="single"/>
        </w:rPr>
        <w:t xml:space="preserve"> </w:t>
      </w:r>
      <w:r>
        <w:rPr>
          <w:rFonts w:hint="eastAsia"/>
          <w:color w:val="auto"/>
          <w:szCs w:val="21"/>
          <w:highlight w:val="none"/>
          <w:u w:val="single"/>
        </w:rPr>
        <w:t>8级以上的持续3天的大风；</w:t>
      </w:r>
    </w:p>
    <w:p w14:paraId="53D8A94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u w:val="single"/>
        </w:rPr>
        <w:t xml:space="preserve"> </w:t>
      </w:r>
      <w:r>
        <w:rPr>
          <w:rFonts w:hint="eastAsia"/>
          <w:color w:val="auto"/>
          <w:szCs w:val="21"/>
          <w:highlight w:val="none"/>
          <w:u w:val="single"/>
        </w:rPr>
        <w:t>暴雨级以上的持续3天的大雨；50年以上未发生过的洪水；</w:t>
      </w:r>
    </w:p>
    <w:p w14:paraId="7513ECCE">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u w:val="single"/>
        </w:rPr>
        <w:t xml:space="preserve"> </w:t>
      </w:r>
      <w:r>
        <w:rPr>
          <w:rFonts w:hint="eastAsia"/>
          <w:color w:val="auto"/>
          <w:szCs w:val="21"/>
          <w:highlight w:val="none"/>
          <w:u w:val="single"/>
        </w:rPr>
        <w:t>50年以上未发生过，持续3天的高温天气；50年以上未发生过，持续3天的严寒天气。以上异常恶劣的气候的认定以承包人提交给发包人的证明（并附有当地气象部门出具的材料）为准</w:t>
      </w:r>
      <w:r>
        <w:rPr>
          <w:rFonts w:hint="eastAsia" w:ascii="宋体" w:hAnsi="宋体" w:eastAsia="宋体" w:cs="宋体"/>
          <w:color w:val="auto"/>
          <w:highlight w:val="none"/>
          <w:u w:val="single"/>
          <w:lang w:eastAsia="zh-CN"/>
        </w:rPr>
        <w:t>。</w:t>
      </w:r>
    </w:p>
    <w:p w14:paraId="22FD0D1F">
      <w:pPr>
        <w:pStyle w:val="4"/>
        <w:rPr>
          <w:rFonts w:hint="eastAsia" w:ascii="宋体" w:hAnsi="宋体" w:eastAsia="宋体" w:cs="宋体"/>
          <w:color w:val="auto"/>
          <w:highlight w:val="none"/>
          <w:lang w:val="en-US"/>
        </w:rPr>
      </w:pPr>
      <w:bookmarkStart w:id="341" w:name="_Toc26066"/>
      <w:bookmarkStart w:id="342" w:name="_Toc13996"/>
      <w:r>
        <w:rPr>
          <w:rFonts w:hint="eastAsia" w:ascii="宋体" w:hAnsi="宋体" w:eastAsia="宋体" w:cs="宋体"/>
          <w:color w:val="auto"/>
          <w:highlight w:val="none"/>
          <w:lang w:val="en-US"/>
        </w:rPr>
        <w:t xml:space="preserve">7.9 </w:t>
      </w:r>
      <w:r>
        <w:rPr>
          <w:rFonts w:hint="eastAsia" w:ascii="宋体" w:hAnsi="宋体" w:eastAsia="宋体" w:cs="宋体"/>
          <w:color w:val="auto"/>
          <w:highlight w:val="none"/>
        </w:rPr>
        <w:t>提前竣工</w:t>
      </w:r>
      <w:bookmarkEnd w:id="341"/>
      <w:bookmarkEnd w:id="342"/>
    </w:p>
    <w:p w14:paraId="2970AAB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7.9.2提前竣工（赶工）增加费的计算方法：</w:t>
      </w:r>
      <w:r>
        <w:rPr>
          <w:rFonts w:hint="eastAsia" w:ascii="宋体" w:hAnsi="宋体" w:eastAsia="宋体" w:cs="宋体"/>
          <w:color w:val="auto"/>
          <w:highlight w:val="none"/>
          <w:u w:val="single"/>
        </w:rPr>
        <w:t xml:space="preserve"> </w:t>
      </w:r>
      <w:r>
        <w:rPr>
          <w:color w:val="auto"/>
          <w:highlight w:val="none"/>
          <w:u w:val="single"/>
        </w:rPr>
        <w:t>无</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03A9D2B6">
      <w:pPr>
        <w:pStyle w:val="3"/>
        <w:rPr>
          <w:rFonts w:hint="eastAsia" w:ascii="宋体" w:hAnsi="宋体" w:eastAsia="宋体" w:cs="宋体"/>
          <w:color w:val="auto"/>
          <w:highlight w:val="none"/>
        </w:rPr>
      </w:pPr>
      <w:bookmarkStart w:id="343" w:name="_Toc17641"/>
      <w:r>
        <w:rPr>
          <w:rFonts w:hint="eastAsia" w:ascii="宋体" w:hAnsi="宋体" w:eastAsia="宋体" w:cs="宋体"/>
          <w:color w:val="auto"/>
          <w:highlight w:val="none"/>
        </w:rPr>
        <w:t>8. 材料与设备</w:t>
      </w:r>
      <w:bookmarkEnd w:id="343"/>
    </w:p>
    <w:p w14:paraId="28A41719">
      <w:pPr>
        <w:pStyle w:val="4"/>
        <w:rPr>
          <w:rFonts w:hint="eastAsia" w:ascii="宋体" w:hAnsi="宋体" w:eastAsia="宋体" w:cs="宋体"/>
          <w:color w:val="auto"/>
          <w:highlight w:val="none"/>
        </w:rPr>
      </w:pPr>
      <w:bookmarkStart w:id="344" w:name="_Toc295"/>
      <w:bookmarkStart w:id="345" w:name="_Toc1743"/>
      <w:r>
        <w:rPr>
          <w:rFonts w:hint="eastAsia" w:ascii="宋体" w:hAnsi="宋体" w:eastAsia="宋体" w:cs="宋体"/>
          <w:color w:val="auto"/>
          <w:highlight w:val="none"/>
        </w:rPr>
        <w:t>8.2 承包人采购材料与工程设备</w:t>
      </w:r>
      <w:bookmarkEnd w:id="344"/>
      <w:bookmarkEnd w:id="345"/>
    </w:p>
    <w:p w14:paraId="0236F6FC">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highlight w:val="none"/>
        </w:rPr>
        <w:t>除已标价工程量清单《发包人提供主要材料和工程设备一览表》（表-</w:t>
      </w:r>
      <w:r>
        <w:rPr>
          <w:rFonts w:hint="eastAsia" w:ascii="宋体" w:hAnsi="宋体" w:eastAsia="宋体" w:cs="宋体"/>
          <w:color w:val="auto"/>
          <w:kern w:val="0"/>
          <w:highlight w:val="none"/>
          <w:lang w:val="en-US" w:eastAsia="zh-CN"/>
        </w:rPr>
        <w:t>15</w:t>
      </w:r>
      <w:r>
        <w:rPr>
          <w:rFonts w:hint="eastAsia" w:ascii="宋体" w:hAnsi="宋体" w:eastAsia="宋体" w:cs="宋体"/>
          <w:color w:val="auto"/>
          <w:kern w:val="0"/>
          <w:highlight w:val="none"/>
        </w:rPr>
        <w:t>）中明确的材料、工程设备外，由承包人负责材料和工程设备的采购、运输和保管。</w:t>
      </w:r>
    </w:p>
    <w:p w14:paraId="08C5C5BD">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对发包人在</w:t>
      </w:r>
      <w:r>
        <w:rPr>
          <w:rFonts w:hint="eastAsia" w:ascii="宋体" w:hAnsi="宋体" w:eastAsia="宋体" w:cs="宋体"/>
          <w:color w:val="auto"/>
          <w:highlight w:val="none"/>
          <w:lang w:eastAsia="zh-CN"/>
        </w:rPr>
        <w:t>招标（采购）</w:t>
      </w:r>
      <w:r>
        <w:rPr>
          <w:rFonts w:hint="eastAsia" w:ascii="宋体" w:hAnsi="宋体" w:eastAsia="宋体" w:cs="宋体"/>
          <w:color w:val="auto"/>
          <w:highlight w:val="none"/>
        </w:rPr>
        <w:t>时有</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参照或相当于**品牌、级别</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约定的材料或设备，承包人采购时必须按类似于或优于所约定品牌、等级进行采购，施工期间该部分材料或设备如未超过</w:t>
      </w:r>
      <w:r>
        <w:rPr>
          <w:rFonts w:hint="eastAsia" w:ascii="宋体" w:hAnsi="宋体" w:eastAsia="宋体" w:cs="宋体"/>
          <w:color w:val="auto"/>
          <w:highlight w:val="none"/>
          <w:lang w:eastAsia="zh-CN"/>
        </w:rPr>
        <w:t>招标（采购）</w:t>
      </w:r>
      <w:r>
        <w:rPr>
          <w:rFonts w:hint="eastAsia" w:ascii="宋体" w:hAnsi="宋体" w:eastAsia="宋体" w:cs="宋体"/>
          <w:color w:val="auto"/>
          <w:highlight w:val="none"/>
        </w:rPr>
        <w:t>约定的风险幅度的，结算时按</w:t>
      </w:r>
      <w:r>
        <w:rPr>
          <w:rFonts w:hint="eastAsia" w:ascii="宋体" w:hAnsi="宋体" w:eastAsia="宋体" w:cs="宋体"/>
          <w:color w:val="auto"/>
          <w:highlight w:val="none"/>
          <w:lang w:eastAsia="zh-CN"/>
        </w:rPr>
        <w:t>投标（响应）</w:t>
      </w:r>
      <w:r>
        <w:rPr>
          <w:rFonts w:hint="eastAsia" w:ascii="宋体" w:hAnsi="宋体" w:eastAsia="宋体" w:cs="宋体"/>
          <w:color w:val="auto"/>
          <w:highlight w:val="none"/>
        </w:rPr>
        <w:t>单价支付，不得调整。</w:t>
      </w:r>
    </w:p>
    <w:p w14:paraId="7F16B2C2">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禁止使用松木、松木包装材料设备、种子、苗木、花卉及繁殖材料。</w:t>
      </w:r>
    </w:p>
    <w:p w14:paraId="3BE0BB7D">
      <w:pPr>
        <w:pStyle w:val="4"/>
        <w:rPr>
          <w:rFonts w:hint="eastAsia" w:ascii="宋体" w:hAnsi="宋体" w:eastAsia="宋体" w:cs="宋体"/>
          <w:color w:val="auto"/>
          <w:highlight w:val="none"/>
        </w:rPr>
      </w:pPr>
      <w:bookmarkStart w:id="346" w:name="_Toc10054"/>
      <w:bookmarkStart w:id="347" w:name="_Toc14200"/>
      <w:r>
        <w:rPr>
          <w:rFonts w:hint="eastAsia" w:ascii="宋体" w:hAnsi="宋体" w:eastAsia="宋体" w:cs="宋体"/>
          <w:color w:val="auto"/>
          <w:highlight w:val="none"/>
        </w:rPr>
        <w:t>8.4 材料与工程设备的保管与使用</w:t>
      </w:r>
      <w:bookmarkEnd w:id="346"/>
      <w:bookmarkEnd w:id="347"/>
    </w:p>
    <w:p w14:paraId="34815770">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8.4.1发包人供应的材料设备的保管费用的承担：</w:t>
      </w:r>
      <w:r>
        <w:rPr>
          <w:rFonts w:hint="eastAsia" w:ascii="宋体" w:hAnsi="宋体" w:eastAsia="宋体" w:cs="宋体"/>
          <w:color w:val="auto"/>
          <w:highlight w:val="none"/>
          <w:u w:val="single"/>
        </w:rPr>
        <w:t xml:space="preserve"> </w:t>
      </w:r>
      <w:r>
        <w:rPr>
          <w:color w:val="auto"/>
          <w:szCs w:val="32"/>
          <w:highlight w:val="none"/>
          <w:u w:val="single"/>
        </w:rPr>
        <w:t>由承包人承担</w:t>
      </w:r>
      <w:r>
        <w:rPr>
          <w:rFonts w:hint="eastAsia" w:ascii="宋体" w:hAnsi="宋体" w:eastAsia="宋体" w:cs="宋体"/>
          <w:color w:val="auto"/>
          <w:highlight w:val="none"/>
        </w:rPr>
        <w:t>。</w:t>
      </w:r>
    </w:p>
    <w:p w14:paraId="774F48B5">
      <w:pPr>
        <w:pStyle w:val="4"/>
        <w:rPr>
          <w:rFonts w:hint="eastAsia" w:ascii="宋体" w:hAnsi="宋体" w:eastAsia="宋体" w:cs="宋体"/>
          <w:color w:val="auto"/>
          <w:highlight w:val="none"/>
        </w:rPr>
      </w:pPr>
      <w:bookmarkStart w:id="348" w:name="_Toc18522"/>
      <w:bookmarkStart w:id="349" w:name="_Toc13223"/>
      <w:r>
        <w:rPr>
          <w:rFonts w:hint="eastAsia" w:ascii="宋体" w:hAnsi="宋体" w:eastAsia="宋体" w:cs="宋体"/>
          <w:color w:val="auto"/>
          <w:highlight w:val="none"/>
        </w:rPr>
        <w:t>8.6 样品</w:t>
      </w:r>
      <w:bookmarkEnd w:id="348"/>
      <w:bookmarkEnd w:id="349"/>
    </w:p>
    <w:p w14:paraId="478807AD">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8.6.1 样品的报送与封存</w:t>
      </w:r>
    </w:p>
    <w:p w14:paraId="2C593A68">
      <w:pPr>
        <w:autoSpaceDE w:val="0"/>
        <w:autoSpaceDN w:val="0"/>
        <w:adjustRightIn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需要承包人报送样品的材料或工程设备，样品的种类、名称、规格、数量要求：</w:t>
      </w:r>
      <w:r>
        <w:rPr>
          <w:rFonts w:hint="eastAsia" w:ascii="宋体" w:hAnsi="宋体" w:eastAsia="宋体" w:cs="宋体"/>
          <w:color w:val="auto"/>
          <w:highlight w:val="none"/>
          <w:u w:val="single"/>
        </w:rPr>
        <w:t>主要材料涉及品种、款式、颜色等方面内容的，承包人应提交准备合格的材料样品送发包人选定。未经发包人书面同意的材料、设备等均不能用于工程上。</w:t>
      </w:r>
    </w:p>
    <w:p w14:paraId="38353A71">
      <w:pPr>
        <w:pStyle w:val="4"/>
        <w:rPr>
          <w:rFonts w:hint="eastAsia" w:ascii="宋体" w:hAnsi="宋体" w:eastAsia="宋体" w:cs="宋体"/>
          <w:color w:val="auto"/>
          <w:highlight w:val="none"/>
        </w:rPr>
      </w:pPr>
      <w:bookmarkStart w:id="350" w:name="_Toc23716"/>
      <w:bookmarkStart w:id="351" w:name="_Toc32490"/>
      <w:r>
        <w:rPr>
          <w:rFonts w:hint="eastAsia" w:ascii="宋体" w:hAnsi="宋体" w:eastAsia="宋体" w:cs="宋体"/>
          <w:color w:val="auto"/>
          <w:highlight w:val="none"/>
        </w:rPr>
        <w:t>8.8 施工设备和临时设施</w:t>
      </w:r>
      <w:bookmarkEnd w:id="350"/>
      <w:bookmarkEnd w:id="351"/>
    </w:p>
    <w:p w14:paraId="6E89B28E">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8.8.1 承包人提供的施工设备和临时设施</w:t>
      </w:r>
    </w:p>
    <w:p w14:paraId="4AA65F7E">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4。</w:t>
      </w:r>
    </w:p>
    <w:p w14:paraId="70B4367C">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关于修建临时设施费用承担的约定：</w:t>
      </w:r>
    </w:p>
    <w:p w14:paraId="4028A322">
      <w:pPr>
        <w:autoSpaceDE w:val="0"/>
        <w:autoSpaceDN w:val="0"/>
        <w:adjustRightIn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 xml:space="preserve">  </w:t>
      </w:r>
      <w:r>
        <w:rPr>
          <w:rFonts w:ascii="Times New Roman" w:hAnsi="Times New Roman"/>
          <w:color w:val="auto"/>
          <w:sz w:val="21"/>
          <w:szCs w:val="21"/>
          <w:highlight w:val="none"/>
          <w:u w:val="single"/>
        </w:rPr>
        <w:t>由承包人承担</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 xml:space="preserve"> </w:t>
      </w:r>
    </w:p>
    <w:p w14:paraId="6499A0B9">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8.8.2 发包人提供的施工设备和临时设施</w:t>
      </w:r>
    </w:p>
    <w:p w14:paraId="28556648">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发包人提供的施工设备和临时设施：</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rPr>
        <w:t>。</w:t>
      </w:r>
    </w:p>
    <w:p w14:paraId="6161DC8D">
      <w:pPr>
        <w:autoSpaceDE w:val="0"/>
        <w:autoSpaceDN w:val="0"/>
        <w:adjustRightIn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发包人提供的施工设备和临时设施的运行、维护、拆除、清运费用的承担人：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rPr>
        <w:t>。</w:t>
      </w:r>
    </w:p>
    <w:p w14:paraId="34F8A11E">
      <w:pPr>
        <w:pStyle w:val="3"/>
        <w:rPr>
          <w:rFonts w:hint="eastAsia" w:ascii="宋体" w:hAnsi="宋体" w:eastAsia="宋体" w:cs="宋体"/>
          <w:color w:val="auto"/>
          <w:highlight w:val="none"/>
        </w:rPr>
      </w:pPr>
      <w:bookmarkStart w:id="352" w:name="_Toc27203"/>
      <w:r>
        <w:rPr>
          <w:rFonts w:hint="eastAsia" w:ascii="宋体" w:hAnsi="宋体" w:eastAsia="宋体" w:cs="宋体"/>
          <w:color w:val="auto"/>
          <w:highlight w:val="none"/>
        </w:rPr>
        <w:t>9. 试验与检验</w:t>
      </w:r>
      <w:bookmarkEnd w:id="352"/>
    </w:p>
    <w:p w14:paraId="78D3F526">
      <w:pPr>
        <w:pStyle w:val="4"/>
        <w:rPr>
          <w:rFonts w:hint="eastAsia" w:ascii="宋体" w:hAnsi="宋体" w:eastAsia="宋体" w:cs="宋体"/>
          <w:color w:val="auto"/>
          <w:highlight w:val="none"/>
        </w:rPr>
      </w:pPr>
      <w:bookmarkStart w:id="353" w:name="_Toc21547"/>
      <w:bookmarkStart w:id="354" w:name="_Toc9671"/>
      <w:r>
        <w:rPr>
          <w:rFonts w:hint="eastAsia" w:ascii="宋体" w:hAnsi="宋体" w:eastAsia="宋体" w:cs="宋体"/>
          <w:color w:val="auto"/>
          <w:highlight w:val="none"/>
        </w:rPr>
        <w:t>9.1 试验设备与试验人员</w:t>
      </w:r>
      <w:bookmarkEnd w:id="353"/>
      <w:bookmarkEnd w:id="354"/>
    </w:p>
    <w:p w14:paraId="1906601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9.1.2 试验设备</w:t>
      </w:r>
    </w:p>
    <w:p w14:paraId="1CD2AD04">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施工现场需要配置的试验场所：</w:t>
      </w:r>
      <w:r>
        <w:rPr>
          <w:rFonts w:hint="eastAsia" w:ascii="宋体" w:hAnsi="宋体" w:eastAsia="宋体" w:cs="宋体"/>
          <w:color w:val="auto"/>
          <w:highlight w:val="none"/>
          <w:u w:val="single"/>
        </w:rPr>
        <w:t xml:space="preserve">  </w:t>
      </w:r>
      <w:r>
        <w:rPr>
          <w:rFonts w:ascii="Times New Roman" w:hAnsi="Times New Roman"/>
          <w:color w:val="auto"/>
          <w:sz w:val="21"/>
          <w:szCs w:val="21"/>
          <w:highlight w:val="none"/>
          <w:u w:val="single"/>
        </w:rPr>
        <w:t>根据国家及地方有关规定和现场实际情况配置</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7BAEACC2">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施工现场需要配备的试验设备：</w:t>
      </w:r>
      <w:r>
        <w:rPr>
          <w:rFonts w:hint="eastAsia" w:ascii="宋体" w:hAnsi="宋体" w:eastAsia="宋体" w:cs="宋体"/>
          <w:color w:val="auto"/>
          <w:highlight w:val="none"/>
          <w:u w:val="single"/>
        </w:rPr>
        <w:t xml:space="preserve">  </w:t>
      </w:r>
      <w:r>
        <w:rPr>
          <w:rFonts w:ascii="Times New Roman" w:hAnsi="Times New Roman"/>
          <w:color w:val="auto"/>
          <w:sz w:val="21"/>
          <w:szCs w:val="21"/>
          <w:highlight w:val="none"/>
          <w:u w:val="single"/>
        </w:rPr>
        <w:t>根据国家及地方有关规定和现场实际情况配置</w:t>
      </w:r>
      <w:r>
        <w:rPr>
          <w:rFonts w:hint="eastAsia" w:ascii="宋体" w:hAnsi="宋体" w:eastAsia="宋体" w:cs="宋体"/>
          <w:color w:val="auto"/>
          <w:highlight w:val="none"/>
        </w:rPr>
        <w:t>。</w:t>
      </w:r>
    </w:p>
    <w:p w14:paraId="5A6A6042">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施工现场需要具备的其他试验条件：</w:t>
      </w:r>
      <w:r>
        <w:rPr>
          <w:rFonts w:hint="eastAsia" w:ascii="宋体" w:hAnsi="宋体" w:eastAsia="宋体" w:cs="宋体"/>
          <w:color w:val="auto"/>
          <w:highlight w:val="none"/>
          <w:u w:val="single"/>
        </w:rPr>
        <w:t xml:space="preserve">  </w:t>
      </w:r>
      <w:r>
        <w:rPr>
          <w:rFonts w:ascii="Times New Roman" w:hAnsi="Times New Roman"/>
          <w:color w:val="auto"/>
          <w:sz w:val="21"/>
          <w:szCs w:val="21"/>
          <w:highlight w:val="none"/>
          <w:u w:val="single"/>
        </w:rPr>
        <w:t>根据国家及地方有关规定和现场实际情况配置</w:t>
      </w:r>
      <w:r>
        <w:rPr>
          <w:rFonts w:hint="eastAsia" w:ascii="宋体" w:hAnsi="宋体" w:eastAsia="宋体" w:cs="宋体"/>
          <w:color w:val="auto"/>
          <w:highlight w:val="none"/>
        </w:rPr>
        <w:t>。</w:t>
      </w:r>
    </w:p>
    <w:p w14:paraId="6F9C245E">
      <w:pPr>
        <w:pStyle w:val="4"/>
        <w:rPr>
          <w:rFonts w:hint="eastAsia" w:ascii="宋体" w:hAnsi="宋体" w:eastAsia="宋体" w:cs="宋体"/>
          <w:color w:val="auto"/>
          <w:highlight w:val="none"/>
        </w:rPr>
      </w:pPr>
      <w:bookmarkStart w:id="355" w:name="_Toc23780"/>
      <w:bookmarkStart w:id="356" w:name="_Toc14975"/>
      <w:r>
        <w:rPr>
          <w:rFonts w:hint="eastAsia" w:ascii="宋体" w:hAnsi="宋体" w:eastAsia="宋体" w:cs="宋体"/>
          <w:color w:val="auto"/>
          <w:highlight w:val="none"/>
        </w:rPr>
        <w:t>9.4 现场工艺试验</w:t>
      </w:r>
      <w:bookmarkEnd w:id="355"/>
      <w:bookmarkEnd w:id="356"/>
      <w:r>
        <w:rPr>
          <w:rFonts w:hint="eastAsia" w:ascii="宋体" w:hAnsi="宋体" w:eastAsia="宋体" w:cs="宋体"/>
          <w:color w:val="auto"/>
          <w:highlight w:val="none"/>
        </w:rPr>
        <w:t xml:space="preserve"> </w:t>
      </w:r>
    </w:p>
    <w:p w14:paraId="3F6A5D79">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现场工艺试验的有关约定：</w:t>
      </w:r>
      <w:r>
        <w:rPr>
          <w:rFonts w:hint="eastAsia" w:ascii="宋体" w:hAnsi="宋体" w:eastAsia="宋体" w:cs="宋体"/>
          <w:color w:val="auto"/>
          <w:highlight w:val="none"/>
          <w:u w:val="single"/>
        </w:rPr>
        <w:t xml:space="preserve">  </w:t>
      </w:r>
      <w:r>
        <w:rPr>
          <w:color w:val="auto"/>
          <w:highlight w:val="none"/>
          <w:u w:val="single"/>
        </w:rPr>
        <w:t>需要时双方协商</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6C997EC2">
      <w:pPr>
        <w:pStyle w:val="4"/>
        <w:rPr>
          <w:rFonts w:hint="eastAsia" w:ascii="宋体" w:hAnsi="宋体" w:eastAsia="宋体" w:cs="宋体"/>
          <w:color w:val="auto"/>
          <w:highlight w:val="none"/>
        </w:rPr>
      </w:pPr>
      <w:bookmarkStart w:id="357" w:name="_Toc13096"/>
      <w:bookmarkStart w:id="358" w:name="_Toc9920"/>
      <w:r>
        <w:rPr>
          <w:rFonts w:hint="eastAsia" w:ascii="宋体" w:hAnsi="宋体" w:eastAsia="宋体" w:cs="宋体"/>
          <w:color w:val="auto"/>
          <w:highlight w:val="none"/>
        </w:rPr>
        <w:t>9.5 检验费用</w:t>
      </w:r>
      <w:bookmarkEnd w:id="357"/>
      <w:bookmarkEnd w:id="358"/>
    </w:p>
    <w:p w14:paraId="71AA2FDB">
      <w:pPr>
        <w:spacing w:line="360" w:lineRule="auto"/>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rPr>
        <w:t>根据《建设工程质量检测管理办法》（住房和城乡建设部令第57号）以及《广西壮族自治区建设工程质量检测管理实施细则》</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桂建发〔2025〕5号</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规定，工程质量检测业务由发包人委托有相应资质的检测机构检测。费用从发包人的项目建设经费中支出并直接支付给检测机构，不计入合同价款内。</w:t>
      </w:r>
    </w:p>
    <w:p w14:paraId="4EF493A9">
      <w:pPr>
        <w:pStyle w:val="3"/>
        <w:rPr>
          <w:rFonts w:hint="eastAsia" w:ascii="宋体" w:hAnsi="宋体" w:eastAsia="宋体" w:cs="宋体"/>
          <w:color w:val="auto"/>
          <w:highlight w:val="none"/>
        </w:rPr>
      </w:pPr>
      <w:bookmarkStart w:id="359" w:name="_Toc8753"/>
      <w:r>
        <w:rPr>
          <w:rFonts w:hint="eastAsia" w:ascii="宋体" w:hAnsi="宋体" w:eastAsia="宋体" w:cs="宋体"/>
          <w:color w:val="auto"/>
          <w:highlight w:val="none"/>
        </w:rPr>
        <w:t>10. 变更</w:t>
      </w:r>
      <w:bookmarkEnd w:id="359"/>
    </w:p>
    <w:p w14:paraId="653015E3">
      <w:pPr>
        <w:pStyle w:val="4"/>
        <w:rPr>
          <w:rFonts w:hint="eastAsia" w:ascii="宋体" w:hAnsi="宋体" w:eastAsia="宋体" w:cs="宋体"/>
          <w:color w:val="auto"/>
          <w:highlight w:val="none"/>
        </w:rPr>
      </w:pPr>
      <w:bookmarkStart w:id="360" w:name="_Toc28913"/>
      <w:r>
        <w:rPr>
          <w:rFonts w:hint="eastAsia" w:ascii="宋体" w:hAnsi="宋体" w:eastAsia="宋体" w:cs="宋体"/>
          <w:color w:val="auto"/>
          <w:highlight w:val="none"/>
        </w:rPr>
        <w:t>10.1 变更的范围</w:t>
      </w:r>
      <w:bookmarkEnd w:id="360"/>
    </w:p>
    <w:p w14:paraId="4286BC75">
      <w:pPr>
        <w:spacing w:line="360" w:lineRule="auto"/>
        <w:ind w:firstLine="426"/>
        <w:jc w:val="left"/>
        <w:rPr>
          <w:rFonts w:hint="eastAsia" w:ascii="宋体" w:hAnsi="宋体" w:eastAsia="宋体" w:cs="宋体"/>
          <w:color w:val="auto"/>
          <w:highlight w:val="none"/>
        </w:rPr>
      </w:pPr>
      <w:r>
        <w:rPr>
          <w:rFonts w:hint="eastAsia" w:ascii="宋体" w:hAnsi="宋体" w:eastAsia="宋体" w:cs="宋体"/>
          <w:color w:val="auto"/>
          <w:highlight w:val="none"/>
        </w:rPr>
        <w:t>关于变更的范围的约定：</w:t>
      </w:r>
      <w:r>
        <w:rPr>
          <w:rFonts w:hint="eastAsia" w:ascii="宋体" w:hAnsi="宋体" w:eastAsia="宋体" w:cs="宋体"/>
          <w:color w:val="auto"/>
          <w:highlight w:val="none"/>
          <w:lang w:val="zh-TW" w:eastAsia="zh-TW"/>
        </w:rPr>
        <w:t>经发包人批准的对合同工程工作内容、合同图纸、合同规范、位置与尺寸、施工顺序与时间、施工条件、合同条款或其他特征等的改变。包括对合同工程的增加、减少、取消、替代和使用材料等的改变。</w:t>
      </w:r>
    </w:p>
    <w:p w14:paraId="6F4CB446">
      <w:pPr>
        <w:pStyle w:val="4"/>
        <w:rPr>
          <w:rFonts w:hint="eastAsia" w:ascii="宋体" w:hAnsi="宋体" w:eastAsia="宋体" w:cs="宋体"/>
          <w:color w:val="auto"/>
          <w:highlight w:val="none"/>
        </w:rPr>
      </w:pPr>
      <w:bookmarkStart w:id="361" w:name="_Toc31852"/>
      <w:bookmarkStart w:id="362" w:name="_Toc28657"/>
      <w:r>
        <w:rPr>
          <w:rFonts w:hint="eastAsia" w:ascii="宋体" w:hAnsi="宋体" w:eastAsia="宋体" w:cs="宋体"/>
          <w:color w:val="auto"/>
          <w:highlight w:val="none"/>
        </w:rPr>
        <w:t>10.3 变更程序</w:t>
      </w:r>
      <w:bookmarkEnd w:id="361"/>
      <w:bookmarkEnd w:id="362"/>
    </w:p>
    <w:p w14:paraId="1E9F63A5">
      <w:pPr>
        <w:pStyle w:val="22"/>
        <w:spacing w:line="360" w:lineRule="auto"/>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10.3.1国有</w:t>
      </w:r>
      <w:r>
        <w:rPr>
          <w:rFonts w:hint="eastAsia" w:ascii="宋体" w:hAnsi="宋体" w:eastAsia="宋体" w:cs="宋体"/>
          <w:color w:val="auto"/>
          <w:sz w:val="21"/>
          <w:szCs w:val="21"/>
          <w:highlight w:val="none"/>
          <w:lang w:val="en-US" w:eastAsia="zh-CN"/>
        </w:rPr>
        <w:t>资金</w:t>
      </w:r>
      <w:r>
        <w:rPr>
          <w:rFonts w:hint="eastAsia" w:ascii="宋体" w:hAnsi="宋体" w:eastAsia="宋体" w:cs="宋体"/>
          <w:color w:val="auto"/>
          <w:sz w:val="21"/>
          <w:szCs w:val="21"/>
          <w:highlight w:val="none"/>
        </w:rPr>
        <w:t>投资项目：</w:t>
      </w:r>
    </w:p>
    <w:p w14:paraId="086B81C5">
      <w:pPr>
        <w:pStyle w:val="22"/>
        <w:spacing w:line="360" w:lineRule="auto"/>
        <w:ind w:firstLine="441" w:firstLineChars="21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⑴</w:t>
      </w:r>
      <w:r>
        <w:rPr>
          <w:rFonts w:hint="eastAsia" w:ascii="宋体" w:hAnsi="宋体" w:eastAsia="宋体" w:cs="宋体"/>
          <w:bCs/>
          <w:color w:val="auto"/>
          <w:sz w:val="21"/>
          <w:szCs w:val="21"/>
          <w:highlight w:val="none"/>
          <w:lang w:eastAsia="zh-CN"/>
        </w:rPr>
        <w:t>工程变更</w:t>
      </w:r>
      <w:r>
        <w:rPr>
          <w:rFonts w:hint="eastAsia" w:ascii="宋体" w:hAnsi="宋体" w:eastAsia="宋体" w:cs="宋体"/>
          <w:bCs/>
          <w:color w:val="auto"/>
          <w:sz w:val="21"/>
          <w:szCs w:val="21"/>
          <w:highlight w:val="none"/>
        </w:rPr>
        <w:t>按各市政府或相关部门的规定办理。属不可抗力（自然灾害、突发事件等）造成变更的，按特事特办原则予以办理。</w:t>
      </w:r>
    </w:p>
    <w:p w14:paraId="288F4083">
      <w:pPr>
        <w:pStyle w:val="22"/>
        <w:spacing w:line="360" w:lineRule="auto"/>
        <w:ind w:firstLine="441" w:firstLineChars="21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⑵建设单位在实施项目过程中，若发生单价变动，由发包人、承包人、监理或（和）造价咨询等单位共同商定并签字确认。</w:t>
      </w:r>
    </w:p>
    <w:p w14:paraId="7F3F2DAA">
      <w:pPr>
        <w:pStyle w:val="22"/>
        <w:spacing w:line="360" w:lineRule="auto"/>
        <w:ind w:firstLine="441" w:firstLineChars="21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⑶ 当合同规定的合同价款调整情况发生后，承包人未在规定时间内通知发包人，或者未在规定时间内提出调整报告，发包人可以根据有关资料，决定是否调整和调整的金额，并书面通知承包人。</w:t>
      </w:r>
    </w:p>
    <w:p w14:paraId="01FC79A7">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10.3.2 非国有</w:t>
      </w:r>
      <w:r>
        <w:rPr>
          <w:rFonts w:hint="eastAsia" w:ascii="宋体" w:hAnsi="宋体" w:eastAsia="宋体" w:cs="宋体"/>
          <w:color w:val="auto"/>
          <w:highlight w:val="none"/>
          <w:lang w:val="en-US" w:eastAsia="zh-CN"/>
        </w:rPr>
        <w:t>资金</w:t>
      </w:r>
      <w:r>
        <w:rPr>
          <w:rFonts w:hint="eastAsia" w:ascii="宋体" w:hAnsi="宋体" w:eastAsia="宋体" w:cs="宋体"/>
          <w:color w:val="auto"/>
          <w:highlight w:val="none"/>
        </w:rPr>
        <w:t xml:space="preserve">投资项目： </w:t>
      </w:r>
    </w:p>
    <w:p w14:paraId="42ECFCB0">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DFD8E2D">
      <w:pPr>
        <w:pStyle w:val="4"/>
        <w:rPr>
          <w:rFonts w:hint="eastAsia" w:ascii="宋体" w:hAnsi="宋体" w:eastAsia="宋体" w:cs="宋体"/>
          <w:color w:val="auto"/>
          <w:highlight w:val="none"/>
        </w:rPr>
      </w:pPr>
      <w:bookmarkStart w:id="363" w:name="_Toc508"/>
      <w:bookmarkStart w:id="364" w:name="_Toc3998"/>
      <w:r>
        <w:rPr>
          <w:rFonts w:hint="eastAsia" w:ascii="宋体" w:hAnsi="宋体" w:eastAsia="宋体" w:cs="宋体"/>
          <w:color w:val="auto"/>
          <w:highlight w:val="none"/>
        </w:rPr>
        <w:t>10.4 变更估价</w:t>
      </w:r>
      <w:bookmarkEnd w:id="363"/>
      <w:bookmarkEnd w:id="364"/>
    </w:p>
    <w:p w14:paraId="076D2A80">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 1</w:t>
      </w:r>
      <w:r>
        <w:rPr>
          <w:rFonts w:hint="eastAsia" w:ascii="宋体" w:hAnsi="宋体" w:eastAsia="宋体" w:cs="宋体"/>
          <w:color w:val="auto"/>
          <w:kern w:val="0"/>
          <w:highlight w:val="none"/>
          <w:lang w:val="en-US" w:eastAsia="zh-CN"/>
        </w:rPr>
        <w:t>0</w:t>
      </w: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4</w:t>
      </w:r>
      <w:r>
        <w:rPr>
          <w:rFonts w:hint="eastAsia" w:ascii="宋体" w:hAnsi="宋体" w:eastAsia="宋体" w:cs="宋体"/>
          <w:color w:val="auto"/>
          <w:kern w:val="0"/>
          <w:highlight w:val="none"/>
        </w:rPr>
        <w:t>.1 因工程变更引起分部分项工程项目清单的清单项目增加或减少的，</w:t>
      </w:r>
      <w:r>
        <w:rPr>
          <w:rFonts w:hint="eastAsia" w:ascii="宋体" w:hAnsi="宋体" w:eastAsia="宋体" w:cs="宋体"/>
          <w:color w:val="auto"/>
          <w:kern w:val="0"/>
          <w:highlight w:val="none"/>
          <w:lang w:val="en-US" w:eastAsia="zh-CN"/>
        </w:rPr>
        <w:t>应</w:t>
      </w:r>
      <w:r>
        <w:rPr>
          <w:rFonts w:hint="eastAsia" w:ascii="宋体" w:hAnsi="宋体" w:eastAsia="宋体" w:cs="宋体"/>
          <w:color w:val="auto"/>
          <w:kern w:val="0"/>
          <w:highlight w:val="none"/>
        </w:rPr>
        <w:t>按以下确定综合单价，调整合同价格：</w:t>
      </w:r>
    </w:p>
    <w:p w14:paraId="1BDFF13B">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（1）相同施工条件下实施相同项目特征的清单项目</w:t>
      </w:r>
      <w:r>
        <w:rPr>
          <w:rFonts w:hint="eastAsia" w:ascii="宋体" w:hAnsi="宋体" w:eastAsia="宋体" w:cs="宋体"/>
          <w:color w:val="auto"/>
          <w:kern w:val="0"/>
          <w:highlight w:val="none"/>
          <w:lang w:eastAsia="zh-CN"/>
        </w:rPr>
        <w:t>，应采用相应的合同单价</w:t>
      </w:r>
      <w:r>
        <w:rPr>
          <w:rFonts w:hint="eastAsia" w:ascii="宋体" w:hAnsi="宋体" w:eastAsia="宋体" w:cs="宋体"/>
          <w:color w:val="auto"/>
          <w:kern w:val="0"/>
          <w:highlight w:val="none"/>
          <w:lang w:val="en-US" w:eastAsia="zh-CN"/>
        </w:rPr>
        <w:t>。</w:t>
      </w:r>
    </w:p>
    <w:p w14:paraId="00DA5270">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（2）相同施工条件下实施类似项目特征的清单项目或类似施工条件下实施相同项目特征的清单项目，采用类似清单项目的合同单价换算调整后的综合单价；</w:t>
      </w:r>
    </w:p>
    <w:p w14:paraId="13391F29">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（3）相同施工条件下实施不同项目特征的清单项目或不同施工条件下实施相同项目特征的清单项目，依据工程实施情况，结合</w:t>
      </w:r>
      <w:r>
        <w:rPr>
          <w:rFonts w:hint="eastAsia" w:ascii="宋体" w:hAnsi="宋体" w:eastAsia="宋体" w:cs="宋体"/>
          <w:color w:val="auto"/>
          <w:kern w:val="0"/>
          <w:highlight w:val="none"/>
          <w:lang w:eastAsia="zh-CN"/>
        </w:rPr>
        <w:t>自治区建设行政主管部门颁布的综合单价组价表、</w:t>
      </w:r>
      <w:r>
        <w:rPr>
          <w:rFonts w:hint="eastAsia" w:ascii="宋体" w:hAnsi="宋体" w:eastAsia="宋体" w:cs="宋体"/>
          <w:color w:val="auto"/>
          <w:kern w:val="0"/>
          <w:highlight w:val="none"/>
        </w:rPr>
        <w:t>类似</w:t>
      </w:r>
      <w:r>
        <w:rPr>
          <w:rFonts w:hint="eastAsia" w:ascii="宋体" w:hAnsi="宋体" w:eastAsia="宋体" w:cs="宋体"/>
          <w:color w:val="auto"/>
          <w:kern w:val="0"/>
          <w:highlight w:val="none"/>
          <w:lang w:val="en-US" w:eastAsia="zh-CN"/>
        </w:rPr>
        <w:t>清单</w:t>
      </w:r>
      <w:r>
        <w:rPr>
          <w:rFonts w:hint="eastAsia" w:ascii="宋体" w:hAnsi="宋体" w:eastAsia="宋体" w:cs="宋体"/>
          <w:color w:val="auto"/>
          <w:kern w:val="0"/>
          <w:highlight w:val="none"/>
        </w:rPr>
        <w:t>项目的合同单价计价规则及报价水平，由发承包双方协商确定合理的综合单价；</w:t>
      </w:r>
    </w:p>
    <w:p w14:paraId="1909E700">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（4）不同施工条件下实施不同项目特征的清单项目，依据工程实施情况，结合</w:t>
      </w:r>
      <w:r>
        <w:rPr>
          <w:rFonts w:hint="eastAsia" w:ascii="宋体" w:hAnsi="宋体" w:eastAsia="宋体" w:cs="宋体"/>
          <w:color w:val="auto"/>
          <w:kern w:val="0"/>
          <w:highlight w:val="none"/>
          <w:lang w:eastAsia="zh-CN"/>
        </w:rPr>
        <w:t>自治区建设行政主管部门颁布的综合单价组价表、</w:t>
      </w:r>
      <w:r>
        <w:rPr>
          <w:rFonts w:hint="eastAsia" w:ascii="宋体" w:hAnsi="宋体" w:eastAsia="宋体" w:cs="宋体"/>
          <w:color w:val="auto"/>
          <w:kern w:val="0"/>
          <w:highlight w:val="none"/>
        </w:rPr>
        <w:t>同类工程类似清单项目的综合单价，由发承包双方协商确定合理的综合单价；</w:t>
      </w:r>
    </w:p>
    <w:p w14:paraId="781DFB41">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（5）因减少或取消清单项目的工程变更显著改变了实施中的工程施工条件，发承包双方根据实施工程的具体情况、市场价格、合同单价计价规则及报价水平协商确定工程变更的综合单价。</w:t>
      </w:r>
    </w:p>
    <w:p w14:paraId="3B8E2137">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（6）发包人提供的材料变更为承包人负责采购的，相应分部分项工程项目清单变更后的综合单价按下式计算：综合单价=合同单价+已确认材料价格×</w:t>
      </w:r>
      <w:r>
        <w:rPr>
          <w:rFonts w:hint="eastAsia" w:ascii="宋体" w:hAnsi="宋体" w:eastAsia="宋体" w:cs="宋体"/>
          <w:color w:val="auto"/>
          <w:kern w:val="0"/>
          <w:highlight w:val="none"/>
          <w:lang w:eastAsia="zh-CN"/>
        </w:rPr>
        <w:t>（</w:t>
      </w:r>
      <w:r>
        <w:rPr>
          <w:rFonts w:hint="eastAsia" w:ascii="宋体" w:hAnsi="宋体" w:eastAsia="宋体" w:cs="宋体"/>
          <w:color w:val="auto"/>
          <w:kern w:val="0"/>
          <w:highlight w:val="none"/>
        </w:rPr>
        <w:t>1+损耗率</w:t>
      </w:r>
      <w:r>
        <w:rPr>
          <w:rFonts w:hint="eastAsia" w:ascii="宋体" w:hAnsi="宋体" w:eastAsia="宋体" w:cs="宋体"/>
          <w:color w:val="auto"/>
          <w:kern w:val="0"/>
          <w:highlight w:val="none"/>
          <w:lang w:eastAsia="zh-CN"/>
        </w:rPr>
        <w:t>）</w:t>
      </w:r>
      <w:r>
        <w:rPr>
          <w:rFonts w:hint="eastAsia" w:ascii="宋体" w:hAnsi="宋体" w:eastAsia="宋体" w:cs="宋体"/>
          <w:color w:val="auto"/>
          <w:kern w:val="0"/>
          <w:highlight w:val="none"/>
        </w:rPr>
        <w:t>×（1+增值税税率）</w:t>
      </w:r>
    </w:p>
    <w:p w14:paraId="4E0BDBCA">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（7）承包人提供的材料变更为发包人提供的，相关合同清单项目综合单价中包含的材料费、增值税等应予扣除，综合单价中所含的其他费用不作调整，扣除后的清单项目单价为该清单项目的安装综合单价。</w:t>
      </w:r>
    </w:p>
    <w:p w14:paraId="44E4DA74">
      <w:pPr>
        <w:keepNext w:val="0"/>
        <w:keepLines w:val="0"/>
        <w:pageBreakBefore w:val="0"/>
        <w:widowControl/>
        <w:tabs>
          <w:tab w:val="left" w:pos="8647"/>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kern w:val="0"/>
          <w:highlight w:val="none"/>
          <w:lang w:eastAsia="zh-CN"/>
        </w:rPr>
        <w:t>（</w:t>
      </w:r>
      <w:r>
        <w:rPr>
          <w:rFonts w:hint="eastAsia" w:ascii="宋体" w:hAnsi="宋体" w:eastAsia="宋体" w:cs="宋体"/>
          <w:color w:val="auto"/>
          <w:kern w:val="0"/>
          <w:highlight w:val="none"/>
          <w:lang w:val="en-US" w:eastAsia="zh-CN"/>
        </w:rPr>
        <w:t>8</w:t>
      </w:r>
      <w:r>
        <w:rPr>
          <w:rFonts w:hint="eastAsia" w:ascii="宋体" w:hAnsi="宋体" w:eastAsia="宋体" w:cs="宋体"/>
          <w:color w:val="auto"/>
          <w:kern w:val="0"/>
          <w:highlight w:val="none"/>
          <w:lang w:eastAsia="zh-CN"/>
        </w:rPr>
        <w:t>）</w:t>
      </w:r>
      <w:r>
        <w:rPr>
          <w:rFonts w:hint="eastAsia" w:ascii="宋体" w:hAnsi="宋体" w:eastAsia="宋体" w:cs="宋体"/>
          <w:color w:val="auto"/>
          <w:highlight w:val="none"/>
          <w:lang w:eastAsia="zh-CN"/>
        </w:rPr>
        <w:t>如在招标（采购）过程中出现供应商的投标（响应）文件存在算术误差及细微偏差，以招标（采购）文件“澄清、说明或补正”规定</w:t>
      </w:r>
      <w:r>
        <w:rPr>
          <w:rFonts w:hint="eastAsia" w:ascii="宋体" w:hAnsi="宋体" w:eastAsia="宋体" w:cs="宋体"/>
          <w:b w:val="0"/>
          <w:bCs w:val="0"/>
          <w:color w:val="auto"/>
          <w:sz w:val="21"/>
          <w:szCs w:val="21"/>
          <w:highlight w:val="none"/>
          <w:lang w:val="en-US" w:eastAsia="zh-CN"/>
        </w:rPr>
        <w:t>修正后的综合单价作为工程进度款（总价合同除外）、工程变更以及单价合同竣工结算的计价依据。</w:t>
      </w:r>
    </w:p>
    <w:p w14:paraId="2EE6F28F">
      <w:pPr>
        <w:spacing w:line="360" w:lineRule="auto"/>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（9）如在招标（采购）过程中出现综合单价</w:t>
      </w:r>
      <w:r>
        <w:rPr>
          <w:rFonts w:hint="eastAsia" w:ascii="宋体" w:hAnsi="宋体" w:eastAsia="宋体" w:cs="宋体"/>
          <w:color w:val="auto"/>
          <w:spacing w:val="0"/>
          <w:sz w:val="21"/>
          <w:szCs w:val="21"/>
          <w:highlight w:val="none"/>
        </w:rPr>
        <w:t>非合理性偏低或偏高</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highlight w:val="none"/>
          <w:lang w:eastAsia="zh-CN"/>
        </w:rPr>
        <w:t>以招标（采购）文件“澄清、说明或补正”规定供应商</w:t>
      </w:r>
      <w:r>
        <w:rPr>
          <w:rFonts w:hint="eastAsia" w:ascii="宋体" w:hAnsi="宋体" w:eastAsia="宋体" w:cs="宋体"/>
          <w:color w:val="auto"/>
          <w:spacing w:val="0"/>
          <w:sz w:val="21"/>
          <w:szCs w:val="21"/>
          <w:highlight w:val="none"/>
        </w:rPr>
        <w:t>提供的合理修正综合单价</w:t>
      </w:r>
      <w:r>
        <w:rPr>
          <w:rFonts w:hint="eastAsia" w:ascii="宋体" w:hAnsi="宋体" w:eastAsia="宋体" w:cs="宋体"/>
          <w:color w:val="auto"/>
          <w:spacing w:val="0"/>
          <w:sz w:val="21"/>
          <w:szCs w:val="21"/>
          <w:highlight w:val="none"/>
          <w:lang w:eastAsia="zh-CN"/>
        </w:rPr>
        <w:t>作为</w:t>
      </w:r>
      <w:r>
        <w:rPr>
          <w:rFonts w:hint="eastAsia" w:ascii="宋体" w:hAnsi="宋体" w:eastAsia="宋体" w:cs="宋体"/>
          <w:color w:val="auto"/>
          <w:spacing w:val="0"/>
          <w:sz w:val="21"/>
          <w:szCs w:val="21"/>
          <w:highlight w:val="none"/>
        </w:rPr>
        <w:t>已标价工程量清单所列清单项目数量</w:t>
      </w:r>
      <w:r>
        <w:rPr>
          <w:rFonts w:hint="eastAsia" w:ascii="宋体" w:hAnsi="宋体" w:eastAsia="宋体" w:cs="宋体"/>
          <w:color w:val="auto"/>
          <w:spacing w:val="0"/>
          <w:sz w:val="21"/>
          <w:szCs w:val="21"/>
          <w:highlight w:val="none"/>
          <w:lang w:eastAsia="zh-CN"/>
        </w:rPr>
        <w:t>增加（总价合同除外）</w:t>
      </w:r>
      <w:r>
        <w:rPr>
          <w:rFonts w:hint="eastAsia" w:ascii="宋体" w:hAnsi="宋体" w:eastAsia="宋体" w:cs="宋体"/>
          <w:color w:val="auto"/>
          <w:spacing w:val="0"/>
          <w:sz w:val="21"/>
          <w:szCs w:val="21"/>
          <w:highlight w:val="none"/>
        </w:rPr>
        <w:t>和工程变更计价</w:t>
      </w:r>
      <w:r>
        <w:rPr>
          <w:rFonts w:hint="eastAsia" w:ascii="宋体" w:hAnsi="宋体" w:eastAsia="宋体" w:cs="宋体"/>
          <w:color w:val="auto"/>
          <w:spacing w:val="0"/>
          <w:sz w:val="21"/>
          <w:szCs w:val="21"/>
          <w:highlight w:val="none"/>
          <w:lang w:eastAsia="zh-CN"/>
        </w:rPr>
        <w:t>依据</w:t>
      </w:r>
      <w:r>
        <w:rPr>
          <w:rFonts w:hint="eastAsia" w:ascii="宋体" w:hAnsi="宋体" w:eastAsia="宋体" w:cs="宋体"/>
          <w:color w:val="auto"/>
          <w:spacing w:val="0"/>
          <w:sz w:val="21"/>
          <w:szCs w:val="21"/>
          <w:highlight w:val="none"/>
        </w:rPr>
        <w:t>。</w:t>
      </w:r>
    </w:p>
    <w:p w14:paraId="6824258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b w:val="0"/>
          <w:bCs w:val="0"/>
          <w:color w:val="auto"/>
          <w:sz w:val="21"/>
          <w:szCs w:val="21"/>
          <w:highlight w:val="none"/>
          <w:lang w:val="en-US" w:eastAsia="zh-CN"/>
        </w:rPr>
        <w:t>（10）采用单价合同时，工程变更和工程量清单缺陷导致</w:t>
      </w:r>
      <w:r>
        <w:rPr>
          <w:rFonts w:hint="eastAsia" w:ascii="宋体" w:hAnsi="宋体" w:eastAsia="宋体" w:cs="宋体"/>
          <w:color w:val="auto"/>
          <w:highlight w:val="none"/>
        </w:rPr>
        <w:t>工程量清单工程量偏差时，是否调整合同</w:t>
      </w:r>
      <w:r>
        <w:rPr>
          <w:rFonts w:hint="eastAsia" w:ascii="宋体" w:hAnsi="宋体" w:eastAsia="宋体" w:cs="宋体"/>
          <w:color w:val="auto"/>
          <w:highlight w:val="none"/>
          <w:lang w:eastAsia="zh-CN"/>
        </w:rPr>
        <w:t>单价</w:t>
      </w:r>
      <w:r>
        <w:rPr>
          <w:rFonts w:hint="eastAsia" w:ascii="宋体" w:hAnsi="宋体" w:eastAsia="宋体" w:cs="宋体"/>
          <w:color w:val="auto"/>
          <w:highlight w:val="none"/>
        </w:rPr>
        <w:t>：</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 xml:space="preserve">是  </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否</w:t>
      </w:r>
      <w:r>
        <w:rPr>
          <w:rFonts w:hint="eastAsia" w:ascii="宋体" w:hAnsi="宋体" w:eastAsia="宋体" w:cs="宋体"/>
          <w:color w:val="auto"/>
          <w:kern w:val="0"/>
          <w:highlight w:val="none"/>
        </w:rPr>
        <w:t>。</w:t>
      </w:r>
    </w:p>
    <w:p w14:paraId="10701AB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b w:val="0"/>
          <w:bCs w:val="0"/>
          <w:color w:val="auto"/>
          <w:sz w:val="21"/>
          <w:szCs w:val="21"/>
          <w:highlight w:val="none"/>
          <w:lang w:val="en-US" w:eastAsia="zh-CN"/>
        </w:rPr>
        <w:t>除综合单价存在</w:t>
      </w:r>
      <w:r>
        <w:rPr>
          <w:rFonts w:hint="eastAsia" w:ascii="宋体" w:hAnsi="宋体" w:eastAsia="宋体" w:cs="宋体"/>
          <w:color w:val="auto"/>
          <w:spacing w:val="0"/>
          <w:sz w:val="21"/>
          <w:szCs w:val="21"/>
          <w:highlight w:val="none"/>
        </w:rPr>
        <w:t>非合理性偏低或偏高</w:t>
      </w:r>
      <w:r>
        <w:rPr>
          <w:rFonts w:hint="eastAsia" w:ascii="宋体" w:hAnsi="宋体" w:eastAsia="宋体" w:cs="宋体"/>
          <w:color w:val="auto"/>
          <w:spacing w:val="0"/>
          <w:sz w:val="21"/>
          <w:szCs w:val="21"/>
          <w:highlight w:val="none"/>
          <w:lang w:eastAsia="zh-CN"/>
        </w:rPr>
        <w:t>按合理修正综合单价计价外，</w:t>
      </w:r>
      <w:r>
        <w:rPr>
          <w:rFonts w:hint="eastAsia" w:ascii="宋体" w:hAnsi="宋体" w:eastAsia="宋体" w:cs="宋体"/>
          <w:color w:val="auto"/>
          <w:highlight w:val="none"/>
        </w:rPr>
        <w:t>允许调整合同价格的工程量偏差范围及其调整办法：</w:t>
      </w:r>
    </w:p>
    <w:p w14:paraId="399067BD">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u w:val="single"/>
        </w:rPr>
        <w:t xml:space="preserve"> 无论分部分项工程量清单项目中的工程量变化多少均不调整</w:t>
      </w:r>
      <w:r>
        <w:rPr>
          <w:rFonts w:hint="eastAsia" w:ascii="宋体" w:hAnsi="宋体" w:eastAsia="宋体" w:cs="宋体"/>
          <w:color w:val="auto"/>
          <w:kern w:val="0"/>
          <w:highlight w:val="none"/>
        </w:rPr>
        <w:t>。</w:t>
      </w:r>
    </w:p>
    <w:p w14:paraId="0E4B7736">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u w:val="single"/>
        </w:rPr>
        <w:t>承包人实际完成的某单项清单项目工程量与招标工程量清单工程量偏差超过</w:t>
      </w:r>
      <w:r>
        <w:rPr>
          <w:rFonts w:hint="eastAsia" w:ascii="宋体" w:hAnsi="宋体" w:eastAsia="宋体" w:cs="宋体"/>
          <w:color w:val="auto"/>
          <w:highlight w:val="none"/>
          <w:u w:val="single"/>
          <w:lang w:val="en-US" w:eastAsia="zh-CN"/>
        </w:rPr>
        <w:t>15</w:t>
      </w:r>
      <w:r>
        <w:rPr>
          <w:rFonts w:hint="eastAsia" w:ascii="宋体" w:hAnsi="宋体" w:eastAsia="宋体" w:cs="宋体"/>
          <w:color w:val="auto"/>
          <w:highlight w:val="none"/>
          <w:u w:val="single"/>
        </w:rPr>
        <w:t>%</w:t>
      </w:r>
      <w:r>
        <w:rPr>
          <w:rFonts w:hint="eastAsia" w:ascii="宋体" w:hAnsi="宋体" w:eastAsia="宋体" w:cs="宋体"/>
          <w:color w:val="auto"/>
          <w:highlight w:val="none"/>
          <w:u w:val="single"/>
          <w:lang w:eastAsia="zh-CN"/>
        </w:rPr>
        <w:t>（取值不低于</w:t>
      </w:r>
      <w:r>
        <w:rPr>
          <w:rFonts w:hint="eastAsia" w:ascii="宋体" w:hAnsi="宋体" w:eastAsia="宋体" w:cs="宋体"/>
          <w:color w:val="auto"/>
          <w:highlight w:val="none"/>
          <w:u w:val="single"/>
          <w:lang w:val="en-US" w:eastAsia="zh-CN"/>
        </w:rPr>
        <w:t>15%</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且该单项清单</w:t>
      </w:r>
      <w:r>
        <w:rPr>
          <w:rFonts w:hint="eastAsia" w:ascii="宋体" w:hAnsi="宋体" w:eastAsia="宋体" w:cs="宋体"/>
          <w:color w:val="auto"/>
          <w:highlight w:val="none"/>
          <w:u w:val="single"/>
          <w:lang w:eastAsia="zh-CN"/>
        </w:rPr>
        <w:t>总价</w:t>
      </w:r>
      <w:r>
        <w:rPr>
          <w:rFonts w:hint="eastAsia" w:ascii="宋体" w:hAnsi="宋体" w:eastAsia="宋体" w:cs="宋体"/>
          <w:color w:val="auto"/>
          <w:highlight w:val="none"/>
          <w:u w:val="single"/>
        </w:rPr>
        <w:t>超过清单项目所对应单位工程合同总价</w:t>
      </w:r>
      <w:r>
        <w:rPr>
          <w:rFonts w:hint="eastAsia" w:ascii="宋体" w:hAnsi="宋体" w:eastAsia="宋体" w:cs="宋体"/>
          <w:color w:val="auto"/>
          <w:highlight w:val="none"/>
          <w:u w:val="single"/>
          <w:lang w:val="en-US" w:eastAsia="zh-CN"/>
        </w:rPr>
        <w:t>1</w:t>
      </w:r>
      <w:r>
        <w:rPr>
          <w:rFonts w:hint="eastAsia" w:ascii="宋体" w:hAnsi="宋体" w:eastAsia="宋体" w:cs="宋体"/>
          <w:color w:val="auto"/>
          <w:highlight w:val="none"/>
          <w:u w:val="single"/>
        </w:rPr>
        <w:t>%</w:t>
      </w:r>
      <w:r>
        <w:rPr>
          <w:rFonts w:hint="eastAsia" w:ascii="宋体" w:hAnsi="宋体" w:eastAsia="宋体" w:cs="宋体"/>
          <w:color w:val="auto"/>
          <w:highlight w:val="none"/>
          <w:u w:val="single"/>
          <w:lang w:eastAsia="zh-CN"/>
        </w:rPr>
        <w:t>（取值不低于</w:t>
      </w:r>
      <w:r>
        <w:rPr>
          <w:rFonts w:hint="eastAsia" w:ascii="宋体" w:hAnsi="宋体" w:eastAsia="宋体" w:cs="宋体"/>
          <w:color w:val="auto"/>
          <w:highlight w:val="none"/>
          <w:u w:val="single"/>
          <w:lang w:val="en-US" w:eastAsia="zh-CN"/>
        </w:rPr>
        <w:t>1%</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以上的，超过后增加部分工程量或减少后剩余部分工程量的综合单价按以下方法调整：</w:t>
      </w:r>
      <w:r>
        <w:rPr>
          <w:rFonts w:hint="eastAsia" w:ascii="宋体" w:hAnsi="宋体"/>
          <w:b/>
          <w:bCs/>
          <w:color w:val="auto"/>
          <w:szCs w:val="21"/>
          <w:highlight w:val="none"/>
        </w:rPr>
        <w:t>有定额的套定额计算，执行本采购文件工程计价参考依据，</w:t>
      </w:r>
      <w:r>
        <w:rPr>
          <w:rFonts w:hint="eastAsia" w:hAnsi="宋体" w:cs="宋体"/>
          <w:b/>
          <w:bCs/>
          <w:color w:val="auto"/>
          <w:szCs w:val="21"/>
          <w:highlight w:val="none"/>
          <w:u w:val="single"/>
        </w:rPr>
        <w:t>并乘以下浮系数（成交价/经审定的工程招标控制价）结算，</w:t>
      </w:r>
      <w:r>
        <w:rPr>
          <w:rFonts w:hint="eastAsia" w:ascii="宋体" w:hAnsi="宋体"/>
          <w:b/>
          <w:bCs/>
          <w:color w:val="auto"/>
          <w:szCs w:val="21"/>
          <w:highlight w:val="none"/>
        </w:rPr>
        <w:t>其中材料价格有信息价的按施工期间信息价的算术平均价计取，无信息价的由发包人、监理单位及承包人根据市场价格协商议定</w:t>
      </w:r>
      <w:r>
        <w:rPr>
          <w:rFonts w:hint="eastAsia" w:ascii="宋体" w:hAnsi="宋体" w:eastAsia="宋体" w:cs="宋体"/>
          <w:color w:val="auto"/>
          <w:highlight w:val="none"/>
          <w:u w:val="single"/>
        </w:rPr>
        <w:t xml:space="preserve"> 。</w:t>
      </w:r>
    </w:p>
    <w:p w14:paraId="1937C146">
      <w:pPr>
        <w:spacing w:line="360" w:lineRule="auto"/>
        <w:ind w:firstLine="0" w:firstLineChars="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    1</w:t>
      </w:r>
      <w:r>
        <w:rPr>
          <w:rFonts w:hint="eastAsia" w:ascii="宋体" w:hAnsi="宋体" w:eastAsia="宋体" w:cs="宋体"/>
          <w:color w:val="auto"/>
          <w:kern w:val="0"/>
          <w:highlight w:val="none"/>
          <w:lang w:val="en-US" w:eastAsia="zh-CN"/>
        </w:rPr>
        <w:t>0</w:t>
      </w: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4</w:t>
      </w: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2</w:t>
      </w:r>
      <w:r>
        <w:rPr>
          <w:rFonts w:hint="eastAsia" w:ascii="宋体" w:hAnsi="宋体" w:eastAsia="宋体" w:cs="宋体"/>
          <w:color w:val="auto"/>
          <w:kern w:val="0"/>
          <w:highlight w:val="none"/>
        </w:rPr>
        <w:t xml:space="preserve"> </w:t>
      </w:r>
      <w:r>
        <w:rPr>
          <w:rFonts w:hint="eastAsia" w:ascii="宋体" w:hAnsi="宋体" w:eastAsia="宋体" w:cs="宋体"/>
          <w:color w:val="auto"/>
          <w:kern w:val="0"/>
          <w:highlight w:val="none"/>
          <w:lang w:eastAsia="zh-CN"/>
        </w:rPr>
        <w:t>因</w:t>
      </w:r>
      <w:r>
        <w:rPr>
          <w:rFonts w:hint="eastAsia" w:ascii="宋体" w:hAnsi="宋体" w:eastAsia="宋体" w:cs="宋体"/>
          <w:color w:val="auto"/>
          <w:kern w:val="0"/>
          <w:highlight w:val="none"/>
        </w:rPr>
        <w:t>工程变更或发包人责任事件引起合同工期实质性延长或缩短的，按以下公式计算合同工期影响的措施项目调增（减）价格：</w:t>
      </w:r>
    </w:p>
    <w:p w14:paraId="524008A6">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措施项目调增（减）价格＝延长（缩短）工期×措施项目中期运行费用</w:t>
      </w:r>
      <w:r>
        <w:rPr>
          <w:rFonts w:hint="eastAsia" w:ascii="宋体" w:hAnsi="宋体" w:eastAsia="宋体" w:cs="宋体"/>
          <w:color w:val="auto"/>
          <w:kern w:val="0"/>
          <w:highlight w:val="none"/>
          <w:lang w:val="en-US" w:eastAsia="zh-CN"/>
        </w:rPr>
        <w:t>÷</w:t>
      </w:r>
      <w:r>
        <w:rPr>
          <w:rFonts w:hint="eastAsia" w:ascii="宋体" w:hAnsi="宋体" w:eastAsia="宋体" w:cs="宋体"/>
          <w:color w:val="auto"/>
          <w:kern w:val="0"/>
          <w:highlight w:val="none"/>
        </w:rPr>
        <w:t>合同工期</w:t>
      </w:r>
    </w:p>
    <w:p w14:paraId="2CCCBD78">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措施项目中期运行费用——按本合同</w:t>
      </w:r>
      <w:r>
        <w:rPr>
          <w:rFonts w:hint="eastAsia" w:ascii="宋体" w:hAnsi="宋体" w:eastAsia="宋体" w:cs="宋体"/>
          <w:color w:val="auto"/>
          <w:kern w:val="0"/>
          <w:highlight w:val="none"/>
          <w:lang w:eastAsia="zh-CN"/>
        </w:rPr>
        <w:t>附件</w:t>
      </w:r>
      <w:r>
        <w:rPr>
          <w:rFonts w:hint="eastAsia" w:ascii="宋体" w:hAnsi="宋体" w:eastAsia="宋体" w:cs="宋体"/>
          <w:color w:val="auto"/>
          <w:kern w:val="0"/>
          <w:highlight w:val="none"/>
          <w:lang w:val="en-US" w:eastAsia="zh-CN"/>
        </w:rPr>
        <w:t>15</w:t>
      </w:r>
      <w:r>
        <w:rPr>
          <w:rFonts w:hint="eastAsia" w:ascii="宋体" w:hAnsi="宋体" w:eastAsia="宋体" w:cs="宋体"/>
          <w:color w:val="auto"/>
          <w:kern w:val="0"/>
          <w:highlight w:val="none"/>
        </w:rPr>
        <w:t>《措施项目费用分拆表》计算合同清单中所有受影响措施项目的中期运行费用。</w:t>
      </w:r>
    </w:p>
    <w:p w14:paraId="1D516AB5">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w:t>
      </w:r>
      <w:r>
        <w:rPr>
          <w:rFonts w:hint="eastAsia" w:ascii="宋体" w:hAnsi="宋体" w:eastAsia="宋体" w:cs="宋体"/>
          <w:color w:val="auto"/>
          <w:kern w:val="0"/>
          <w:highlight w:val="none"/>
          <w:lang w:val="en-US" w:eastAsia="zh-CN"/>
        </w:rPr>
        <w:t>0</w:t>
      </w: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4</w:t>
      </w: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3</w:t>
      </w:r>
      <w:r>
        <w:rPr>
          <w:rFonts w:hint="eastAsia" w:ascii="宋体" w:hAnsi="宋体" w:eastAsia="宋体" w:cs="宋体"/>
          <w:color w:val="auto"/>
          <w:kern w:val="0"/>
          <w:highlight w:val="none"/>
        </w:rPr>
        <w:t xml:space="preserve"> 为完成工程变更而需增加的额外措施项目费用应按以下约定计算：</w:t>
      </w:r>
    </w:p>
    <w:p w14:paraId="2BCB8848">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完成工程变更所需增加设置的临时设施，按实际发生临时设施的类型、数量及使用时间进行计量，由发承包双方协商确定的合理价格进行计价。</w:t>
      </w:r>
    </w:p>
    <w:p w14:paraId="42D8A061">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w:t>
      </w:r>
      <w:r>
        <w:rPr>
          <w:rFonts w:hint="eastAsia" w:ascii="宋体" w:hAnsi="宋体" w:eastAsia="宋体" w:cs="宋体"/>
          <w:color w:val="auto"/>
          <w:kern w:val="0"/>
          <w:highlight w:val="none"/>
          <w:lang w:val="en-US" w:eastAsia="zh-CN"/>
        </w:rPr>
        <w:t>0</w:t>
      </w: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4</w:t>
      </w: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4</w:t>
      </w:r>
      <w:r>
        <w:rPr>
          <w:rFonts w:hint="eastAsia" w:ascii="宋体" w:hAnsi="宋体" w:eastAsia="宋体" w:cs="宋体"/>
          <w:color w:val="auto"/>
          <w:kern w:val="0"/>
          <w:highlight w:val="none"/>
        </w:rPr>
        <w:t>工程变更涉及合同工程范围、工期、质量、合同规范等实质性内容变化并引起措施项目发生改变时，发承包双方的不利一方提出调整措施项目费的，应事先将拟实施的方案提交另一方审核，</w:t>
      </w:r>
      <w:r>
        <w:rPr>
          <w:rFonts w:hint="eastAsia" w:ascii="宋体" w:hAnsi="宋体" w:eastAsia="宋体" w:cs="宋体"/>
          <w:color w:val="auto"/>
          <w:kern w:val="0"/>
          <w:highlight w:val="none"/>
          <w:lang w:eastAsia="zh-CN"/>
        </w:rPr>
        <w:t>并</w:t>
      </w:r>
      <w:r>
        <w:rPr>
          <w:rFonts w:hint="eastAsia" w:ascii="宋体" w:hAnsi="宋体" w:eastAsia="宋体" w:cs="宋体"/>
          <w:color w:val="auto"/>
          <w:kern w:val="0"/>
          <w:highlight w:val="none"/>
        </w:rPr>
        <w:t>详细说明与原方案措施项目对比的变化情况</w:t>
      </w:r>
      <w:r>
        <w:rPr>
          <w:rFonts w:hint="eastAsia" w:ascii="宋体" w:hAnsi="宋体" w:eastAsia="宋体" w:cs="宋体"/>
          <w:color w:val="auto"/>
          <w:kern w:val="0"/>
          <w:highlight w:val="none"/>
          <w:lang w:eastAsia="zh-CN"/>
        </w:rPr>
        <w:t>，</w:t>
      </w:r>
      <w:r>
        <w:rPr>
          <w:rFonts w:hint="eastAsia" w:ascii="宋体" w:hAnsi="宋体" w:eastAsia="宋体" w:cs="宋体"/>
          <w:color w:val="auto"/>
          <w:kern w:val="0"/>
          <w:highlight w:val="none"/>
        </w:rPr>
        <w:t xml:space="preserve">拟实施的方案经发承包双方确认后执行的，应按本合同第 </w:t>
      </w:r>
      <w:r>
        <w:rPr>
          <w:rFonts w:hint="eastAsia" w:ascii="宋体" w:hAnsi="宋体" w:eastAsia="宋体" w:cs="宋体"/>
          <w:color w:val="auto"/>
          <w:kern w:val="0"/>
          <w:highlight w:val="none"/>
          <w:lang w:val="en-US" w:eastAsia="zh-CN"/>
        </w:rPr>
        <w:t>10.4.2</w:t>
      </w:r>
      <w:r>
        <w:rPr>
          <w:rFonts w:hint="eastAsia" w:ascii="宋体" w:hAnsi="宋体" w:eastAsia="宋体" w:cs="宋体"/>
          <w:color w:val="auto"/>
          <w:kern w:val="0"/>
          <w:highlight w:val="none"/>
        </w:rPr>
        <w:t>条、第</w:t>
      </w:r>
      <w:r>
        <w:rPr>
          <w:rFonts w:hint="eastAsia" w:ascii="宋体" w:hAnsi="宋体" w:eastAsia="宋体" w:cs="宋体"/>
          <w:color w:val="auto"/>
          <w:kern w:val="0"/>
          <w:highlight w:val="none"/>
          <w:lang w:val="en-US" w:eastAsia="zh-CN"/>
        </w:rPr>
        <w:t>10.4.3</w:t>
      </w:r>
      <w:r>
        <w:rPr>
          <w:rFonts w:hint="eastAsia" w:ascii="宋体" w:hAnsi="宋体" w:eastAsia="宋体" w:cs="宋体"/>
          <w:color w:val="auto"/>
          <w:kern w:val="0"/>
          <w:highlight w:val="none"/>
        </w:rPr>
        <w:t>条的约定调整措施项目费。</w:t>
      </w:r>
    </w:p>
    <w:p w14:paraId="21ED4194">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w:t>
      </w:r>
      <w:r>
        <w:rPr>
          <w:rFonts w:hint="eastAsia" w:ascii="宋体" w:hAnsi="宋体" w:eastAsia="宋体" w:cs="宋体"/>
          <w:color w:val="auto"/>
          <w:kern w:val="0"/>
          <w:highlight w:val="none"/>
          <w:lang w:val="en-US" w:eastAsia="zh-CN"/>
        </w:rPr>
        <w:t>0</w:t>
      </w: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4</w:t>
      </w: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5</w:t>
      </w:r>
      <w:r>
        <w:rPr>
          <w:rFonts w:hint="eastAsia" w:ascii="宋体" w:hAnsi="宋体" w:eastAsia="宋体" w:cs="宋体"/>
          <w:color w:val="auto"/>
          <w:kern w:val="0"/>
          <w:highlight w:val="none"/>
        </w:rPr>
        <w:t xml:space="preserve"> 发包人提出的工程变更取消了合同中的某项原定工作或工程，且承包人发生的费用或（和）应得的收益没有包括在其他已支付或应支付的项目中或在任何替代的工作或工程中，发包人应补偿承包人的损失费用及合理的预期收益。 </w:t>
      </w:r>
    </w:p>
    <w:p w14:paraId="3477FA40">
      <w:pPr>
        <w:pStyle w:val="4"/>
        <w:rPr>
          <w:rFonts w:hint="eastAsia" w:ascii="宋体" w:hAnsi="宋体" w:eastAsia="宋体" w:cs="宋体"/>
          <w:color w:val="auto"/>
          <w:highlight w:val="none"/>
        </w:rPr>
      </w:pPr>
      <w:bookmarkStart w:id="365" w:name="_Toc27214"/>
      <w:bookmarkStart w:id="366" w:name="_Toc2996"/>
      <w:r>
        <w:rPr>
          <w:rFonts w:hint="eastAsia" w:ascii="宋体" w:hAnsi="宋体" w:eastAsia="宋体" w:cs="宋体"/>
          <w:color w:val="auto"/>
          <w:highlight w:val="none"/>
        </w:rPr>
        <w:t>10.5 承包人的合理化建议</w:t>
      </w:r>
      <w:bookmarkEnd w:id="365"/>
      <w:bookmarkEnd w:id="366"/>
    </w:p>
    <w:p w14:paraId="70821A1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监理人审查承包人合理化建议的期限：</w:t>
      </w:r>
      <w:r>
        <w:rPr>
          <w:rFonts w:hint="eastAsia" w:ascii="宋体" w:hAnsi="宋体" w:eastAsia="宋体" w:cs="宋体"/>
          <w:color w:val="auto"/>
          <w:highlight w:val="none"/>
          <w:u w:val="single"/>
        </w:rPr>
        <w:t xml:space="preserve"> </w:t>
      </w:r>
      <w:r>
        <w:rPr>
          <w:rFonts w:ascii="Times New Roman" w:hAnsi="Times New Roman"/>
          <w:color w:val="auto"/>
          <w:sz w:val="21"/>
          <w:szCs w:val="21"/>
          <w:highlight w:val="none"/>
          <w:u w:val="single"/>
        </w:rPr>
        <w:t>无</w:t>
      </w:r>
      <w:r>
        <w:rPr>
          <w:rFonts w:hint="eastAsia" w:ascii="宋体" w:hAnsi="宋体" w:eastAsia="宋体" w:cs="宋体"/>
          <w:color w:val="auto"/>
          <w:highlight w:val="none"/>
        </w:rPr>
        <w:t>。</w:t>
      </w:r>
    </w:p>
    <w:p w14:paraId="626D6658">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发包人审批承包人合理化建议的期限：</w:t>
      </w:r>
      <w:r>
        <w:rPr>
          <w:rFonts w:hint="eastAsia" w:ascii="宋体" w:hAnsi="宋体" w:eastAsia="宋体" w:cs="宋体"/>
          <w:color w:val="auto"/>
          <w:highlight w:val="none"/>
          <w:u w:val="single"/>
        </w:rPr>
        <w:t xml:space="preserve"> </w:t>
      </w:r>
      <w:r>
        <w:rPr>
          <w:rFonts w:ascii="Times New Roman" w:hAnsi="Times New Roman"/>
          <w:color w:val="auto"/>
          <w:sz w:val="21"/>
          <w:szCs w:val="21"/>
          <w:highlight w:val="none"/>
          <w:u w:val="single"/>
        </w:rPr>
        <w:t>无</w:t>
      </w:r>
      <w:r>
        <w:rPr>
          <w:rFonts w:hint="eastAsia" w:ascii="宋体" w:hAnsi="宋体" w:eastAsia="宋体" w:cs="宋体"/>
          <w:color w:val="auto"/>
          <w:highlight w:val="none"/>
        </w:rPr>
        <w:t>。</w:t>
      </w:r>
    </w:p>
    <w:p w14:paraId="5C31CDE6">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承包人提出的合理化建议降低了合同价格或者提高了工程经济效益的奖励的方法和金额为：</w:t>
      </w:r>
      <w:r>
        <w:rPr>
          <w:rFonts w:hint="eastAsia" w:ascii="宋体" w:hAnsi="宋体" w:eastAsia="宋体" w:cs="宋体"/>
          <w:color w:val="auto"/>
          <w:highlight w:val="none"/>
          <w:u w:val="single"/>
        </w:rPr>
        <w:t xml:space="preserve"> </w:t>
      </w:r>
      <w:r>
        <w:rPr>
          <w:rFonts w:ascii="Times New Roman" w:hAnsi="Times New Roman"/>
          <w:color w:val="auto"/>
          <w:sz w:val="21"/>
          <w:szCs w:val="21"/>
          <w:highlight w:val="none"/>
          <w:u w:val="single"/>
        </w:rPr>
        <w:t>无</w:t>
      </w:r>
      <w:r>
        <w:rPr>
          <w:rFonts w:hint="eastAsia" w:ascii="宋体" w:hAnsi="宋体" w:eastAsia="宋体" w:cs="宋体"/>
          <w:color w:val="auto"/>
          <w:highlight w:val="none"/>
        </w:rPr>
        <w:t>。</w:t>
      </w:r>
    </w:p>
    <w:p w14:paraId="608EE81C">
      <w:pPr>
        <w:pStyle w:val="4"/>
        <w:rPr>
          <w:rFonts w:hint="eastAsia" w:ascii="宋体" w:hAnsi="宋体" w:eastAsia="宋体" w:cs="宋体"/>
          <w:color w:val="auto"/>
          <w:highlight w:val="none"/>
        </w:rPr>
      </w:pPr>
      <w:bookmarkStart w:id="367" w:name="_Toc30086"/>
      <w:bookmarkStart w:id="368" w:name="_Toc10238"/>
      <w:r>
        <w:rPr>
          <w:rFonts w:hint="eastAsia" w:ascii="宋体" w:hAnsi="宋体" w:eastAsia="宋体" w:cs="宋体"/>
          <w:color w:val="auto"/>
          <w:highlight w:val="none"/>
        </w:rPr>
        <w:t>10.7 暂估价</w:t>
      </w:r>
      <w:bookmarkEnd w:id="367"/>
      <w:bookmarkEnd w:id="368"/>
    </w:p>
    <w:p w14:paraId="364D550E">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highlight w:val="none"/>
        </w:rPr>
        <w:t>暂估价材料和工程设备的明细详见已标价工程量清单《</w:t>
      </w:r>
      <w:r>
        <w:rPr>
          <w:rFonts w:hint="eastAsia" w:ascii="宋体" w:hAnsi="宋体" w:eastAsia="宋体" w:cs="宋体"/>
          <w:color w:val="auto"/>
          <w:highlight w:val="none"/>
        </w:rPr>
        <w:t>材料暂估</w:t>
      </w:r>
      <w:r>
        <w:rPr>
          <w:rFonts w:hint="eastAsia" w:ascii="宋体" w:hAnsi="宋体" w:eastAsia="宋体" w:cs="宋体"/>
          <w:color w:val="auto"/>
          <w:highlight w:val="none"/>
          <w:lang w:eastAsia="zh-CN"/>
        </w:rPr>
        <w:t>价</w:t>
      </w:r>
      <w:r>
        <w:rPr>
          <w:rFonts w:hint="eastAsia" w:ascii="宋体" w:hAnsi="宋体" w:eastAsia="宋体" w:cs="宋体"/>
          <w:color w:val="auto"/>
          <w:highlight w:val="none"/>
          <w:lang w:val="en-US" w:eastAsia="zh-CN"/>
        </w:rPr>
        <w:t>明细</w:t>
      </w:r>
      <w:r>
        <w:rPr>
          <w:rFonts w:hint="eastAsia" w:ascii="宋体" w:hAnsi="宋体" w:eastAsia="宋体" w:cs="宋体"/>
          <w:color w:val="auto"/>
          <w:highlight w:val="none"/>
        </w:rPr>
        <w:t>表》</w:t>
      </w:r>
      <w:r>
        <w:rPr>
          <w:rFonts w:hint="eastAsia" w:ascii="宋体" w:hAnsi="宋体" w:eastAsia="宋体" w:cs="宋体"/>
          <w:color w:val="auto"/>
          <w:kern w:val="0"/>
          <w:highlight w:val="none"/>
        </w:rPr>
        <w:t>和《</w:t>
      </w:r>
      <w:r>
        <w:rPr>
          <w:rFonts w:hint="eastAsia" w:ascii="宋体" w:hAnsi="宋体" w:eastAsia="宋体" w:cs="宋体"/>
          <w:color w:val="auto"/>
          <w:highlight w:val="none"/>
        </w:rPr>
        <w:t>专业工程暂估价</w:t>
      </w:r>
      <w:r>
        <w:rPr>
          <w:rFonts w:hint="eastAsia" w:ascii="宋体" w:hAnsi="宋体" w:eastAsia="宋体" w:cs="宋体"/>
          <w:color w:val="auto"/>
          <w:highlight w:val="none"/>
          <w:lang w:val="en-US" w:eastAsia="zh-CN"/>
        </w:rPr>
        <w:t>明细</w:t>
      </w:r>
      <w:r>
        <w:rPr>
          <w:rFonts w:hint="eastAsia" w:ascii="宋体" w:hAnsi="宋体" w:eastAsia="宋体" w:cs="宋体"/>
          <w:color w:val="auto"/>
          <w:highlight w:val="none"/>
        </w:rPr>
        <w:t>表》</w:t>
      </w:r>
      <w:r>
        <w:rPr>
          <w:rFonts w:hint="eastAsia" w:ascii="宋体" w:hAnsi="宋体" w:eastAsia="宋体" w:cs="宋体"/>
          <w:color w:val="auto"/>
          <w:kern w:val="0"/>
          <w:highlight w:val="none"/>
        </w:rPr>
        <w:t>。</w:t>
      </w:r>
    </w:p>
    <w:p w14:paraId="52995E8E">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w:t>
      </w:r>
      <w:r>
        <w:rPr>
          <w:rFonts w:hint="eastAsia" w:ascii="宋体" w:hAnsi="宋体" w:eastAsia="宋体" w:cs="宋体"/>
          <w:color w:val="auto"/>
          <w:kern w:val="0"/>
          <w:highlight w:val="none"/>
          <w:lang w:val="en-US" w:eastAsia="zh-CN"/>
        </w:rPr>
        <w:t>0</w:t>
      </w: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7</w:t>
      </w:r>
      <w:r>
        <w:rPr>
          <w:rFonts w:hint="eastAsia" w:ascii="宋体" w:hAnsi="宋体" w:eastAsia="宋体" w:cs="宋体"/>
          <w:color w:val="auto"/>
          <w:kern w:val="0"/>
          <w:highlight w:val="none"/>
        </w:rPr>
        <w:t>.1工程量清单中给定暂估价的材料和（或）暂估价的专业工程属于依法必须</w:t>
      </w:r>
      <w:r>
        <w:rPr>
          <w:rFonts w:hint="eastAsia" w:ascii="宋体" w:hAnsi="宋体" w:eastAsia="宋体" w:cs="宋体"/>
          <w:color w:val="auto"/>
          <w:kern w:val="0"/>
          <w:highlight w:val="none"/>
          <w:lang w:eastAsia="zh-CN"/>
        </w:rPr>
        <w:t>招标（采购）</w:t>
      </w:r>
      <w:r>
        <w:rPr>
          <w:rFonts w:hint="eastAsia" w:ascii="宋体" w:hAnsi="宋体" w:eastAsia="宋体" w:cs="宋体"/>
          <w:color w:val="auto"/>
          <w:kern w:val="0"/>
          <w:highlight w:val="none"/>
        </w:rPr>
        <w:t>的，应以</w:t>
      </w:r>
      <w:r>
        <w:rPr>
          <w:rFonts w:hint="eastAsia" w:ascii="宋体" w:hAnsi="宋体" w:eastAsia="宋体" w:cs="宋体"/>
          <w:color w:val="auto"/>
          <w:kern w:val="0"/>
          <w:highlight w:val="none"/>
          <w:lang w:eastAsia="zh-CN"/>
        </w:rPr>
        <w:t>招标（采购）</w:t>
      </w:r>
      <w:r>
        <w:rPr>
          <w:rFonts w:hint="eastAsia" w:ascii="宋体" w:hAnsi="宋体" w:eastAsia="宋体" w:cs="宋体"/>
          <w:color w:val="auto"/>
          <w:kern w:val="0"/>
          <w:highlight w:val="none"/>
        </w:rPr>
        <w:t>确定材料及</w:t>
      </w:r>
      <w:r>
        <w:rPr>
          <w:rFonts w:hint="eastAsia" w:ascii="宋体" w:hAnsi="宋体" w:eastAsia="宋体" w:cs="宋体"/>
          <w:color w:val="auto"/>
          <w:kern w:val="0"/>
          <w:highlight w:val="none"/>
          <w:lang w:eastAsia="zh-CN"/>
        </w:rPr>
        <w:t>专业工程</w:t>
      </w:r>
      <w:r>
        <w:rPr>
          <w:rFonts w:hint="eastAsia" w:ascii="宋体" w:hAnsi="宋体" w:eastAsia="宋体" w:cs="宋体"/>
          <w:color w:val="auto"/>
          <w:kern w:val="0"/>
          <w:highlight w:val="none"/>
        </w:rPr>
        <w:t>价格，发承包双方采用以下第</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u w:val="single"/>
          <w:lang w:eastAsia="zh-CN"/>
        </w:rPr>
        <w:t>二</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种方式进行</w:t>
      </w:r>
      <w:r>
        <w:rPr>
          <w:rFonts w:hint="eastAsia" w:ascii="宋体" w:hAnsi="宋体" w:eastAsia="宋体" w:cs="宋体"/>
          <w:color w:val="auto"/>
          <w:kern w:val="0"/>
          <w:highlight w:val="none"/>
          <w:lang w:eastAsia="zh-CN"/>
        </w:rPr>
        <w:t>招标（采购）</w:t>
      </w:r>
      <w:r>
        <w:rPr>
          <w:rFonts w:hint="eastAsia" w:ascii="宋体" w:hAnsi="宋体" w:eastAsia="宋体" w:cs="宋体"/>
          <w:color w:val="auto"/>
          <w:kern w:val="0"/>
          <w:highlight w:val="none"/>
        </w:rPr>
        <w:t>：</w:t>
      </w:r>
    </w:p>
    <w:p w14:paraId="382A2A48">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第一种方式：由发包人作为</w:t>
      </w:r>
      <w:r>
        <w:rPr>
          <w:rFonts w:hint="eastAsia" w:ascii="宋体" w:hAnsi="宋体" w:eastAsia="宋体" w:cs="宋体"/>
          <w:color w:val="auto"/>
          <w:kern w:val="0"/>
          <w:highlight w:val="none"/>
          <w:lang w:eastAsia="zh-CN"/>
        </w:rPr>
        <w:t>招标（采购）</w:t>
      </w:r>
      <w:r>
        <w:rPr>
          <w:rFonts w:hint="eastAsia" w:ascii="宋体" w:hAnsi="宋体" w:eastAsia="宋体" w:cs="宋体"/>
          <w:color w:val="auto"/>
          <w:kern w:val="0"/>
          <w:highlight w:val="none"/>
        </w:rPr>
        <w:t>人进行暂估价材料、暂估价专业工程</w:t>
      </w:r>
      <w:r>
        <w:rPr>
          <w:rFonts w:hint="eastAsia" w:ascii="宋体" w:hAnsi="宋体" w:eastAsia="宋体" w:cs="宋体"/>
          <w:color w:val="auto"/>
          <w:kern w:val="0"/>
          <w:highlight w:val="none"/>
          <w:lang w:eastAsia="zh-CN"/>
        </w:rPr>
        <w:t>招标（采购）</w:t>
      </w:r>
      <w:r>
        <w:rPr>
          <w:rFonts w:hint="eastAsia" w:ascii="宋体" w:hAnsi="宋体" w:eastAsia="宋体" w:cs="宋体"/>
          <w:color w:val="auto"/>
          <w:kern w:val="0"/>
          <w:highlight w:val="none"/>
        </w:rPr>
        <w:t>，组织</w:t>
      </w:r>
      <w:r>
        <w:rPr>
          <w:rFonts w:hint="eastAsia" w:ascii="宋体" w:hAnsi="宋体" w:eastAsia="宋体" w:cs="宋体"/>
          <w:color w:val="auto"/>
          <w:kern w:val="0"/>
          <w:highlight w:val="none"/>
          <w:lang w:eastAsia="zh-CN"/>
        </w:rPr>
        <w:t>招标（采购）</w:t>
      </w:r>
      <w:r>
        <w:rPr>
          <w:rFonts w:hint="eastAsia" w:ascii="宋体" w:hAnsi="宋体" w:eastAsia="宋体" w:cs="宋体"/>
          <w:color w:val="auto"/>
          <w:kern w:val="0"/>
          <w:highlight w:val="none"/>
        </w:rPr>
        <w:t>工作有关的费用由发包人承担。需要承包人配合的，其配合费用由承包人自行承担。</w:t>
      </w:r>
    </w:p>
    <w:p w14:paraId="4C1C0FA0">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第二种方式：由承包人作为</w:t>
      </w:r>
      <w:r>
        <w:rPr>
          <w:rFonts w:hint="eastAsia" w:ascii="宋体" w:hAnsi="宋体" w:eastAsia="宋体" w:cs="宋体"/>
          <w:color w:val="auto"/>
          <w:kern w:val="0"/>
          <w:highlight w:val="none"/>
          <w:lang w:eastAsia="zh-CN"/>
        </w:rPr>
        <w:t>招标（采购）</w:t>
      </w:r>
      <w:r>
        <w:rPr>
          <w:rFonts w:hint="eastAsia" w:ascii="宋体" w:hAnsi="宋体" w:eastAsia="宋体" w:cs="宋体"/>
          <w:color w:val="auto"/>
          <w:kern w:val="0"/>
          <w:highlight w:val="none"/>
        </w:rPr>
        <w:t>人进行暂估价材料、暂估价专业工程</w:t>
      </w:r>
      <w:r>
        <w:rPr>
          <w:rFonts w:hint="eastAsia" w:ascii="宋体" w:hAnsi="宋体" w:eastAsia="宋体" w:cs="宋体"/>
          <w:color w:val="auto"/>
          <w:kern w:val="0"/>
          <w:highlight w:val="none"/>
          <w:lang w:eastAsia="zh-CN"/>
        </w:rPr>
        <w:t>招标（采购）</w:t>
      </w:r>
      <w:r>
        <w:rPr>
          <w:rFonts w:hint="eastAsia" w:ascii="宋体" w:hAnsi="宋体" w:eastAsia="宋体" w:cs="宋体"/>
          <w:color w:val="auto"/>
          <w:kern w:val="0"/>
          <w:highlight w:val="none"/>
        </w:rPr>
        <w:t>，其组织</w:t>
      </w:r>
      <w:r>
        <w:rPr>
          <w:rFonts w:hint="eastAsia" w:ascii="宋体" w:hAnsi="宋体" w:eastAsia="宋体" w:cs="宋体"/>
          <w:color w:val="auto"/>
          <w:kern w:val="0"/>
          <w:highlight w:val="none"/>
          <w:lang w:eastAsia="zh-CN"/>
        </w:rPr>
        <w:t>招标（采购）</w:t>
      </w:r>
      <w:r>
        <w:rPr>
          <w:rFonts w:hint="eastAsia" w:ascii="宋体" w:hAnsi="宋体" w:eastAsia="宋体" w:cs="宋体"/>
          <w:color w:val="auto"/>
          <w:kern w:val="0"/>
          <w:highlight w:val="none"/>
        </w:rPr>
        <w:t>工作有关的费用已经包括在承包人的</w:t>
      </w:r>
      <w:r>
        <w:rPr>
          <w:rFonts w:hint="eastAsia" w:ascii="宋体" w:hAnsi="宋体" w:eastAsia="宋体" w:cs="宋体"/>
          <w:color w:val="auto"/>
          <w:kern w:val="0"/>
          <w:highlight w:val="none"/>
          <w:lang w:eastAsia="zh-CN"/>
        </w:rPr>
        <w:t>投标（响应）</w:t>
      </w:r>
      <w:r>
        <w:rPr>
          <w:rFonts w:hint="eastAsia" w:ascii="宋体" w:hAnsi="宋体" w:eastAsia="宋体" w:cs="宋体"/>
          <w:color w:val="auto"/>
          <w:kern w:val="0"/>
          <w:highlight w:val="none"/>
        </w:rPr>
        <w:t>总价（</w:t>
      </w:r>
      <w:r>
        <w:rPr>
          <w:rFonts w:hint="eastAsia" w:ascii="宋体" w:hAnsi="宋体" w:eastAsia="宋体" w:cs="宋体"/>
          <w:color w:val="auto"/>
          <w:kern w:val="0"/>
          <w:highlight w:val="none"/>
          <w:lang w:eastAsia="zh-CN"/>
        </w:rPr>
        <w:t>合同签订价格</w:t>
      </w:r>
      <w:r>
        <w:rPr>
          <w:rFonts w:hint="eastAsia" w:ascii="宋体" w:hAnsi="宋体" w:eastAsia="宋体" w:cs="宋体"/>
          <w:color w:val="auto"/>
          <w:kern w:val="0"/>
          <w:highlight w:val="none"/>
        </w:rPr>
        <w:t>）中。需要发包人配合的，其配合费用由发包人自行承担。</w:t>
      </w:r>
    </w:p>
    <w:p w14:paraId="4F020E81">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第三种方式：由发包人和承包人共同作为</w:t>
      </w:r>
      <w:r>
        <w:rPr>
          <w:rFonts w:hint="eastAsia" w:ascii="宋体" w:hAnsi="宋体" w:eastAsia="宋体" w:cs="宋体"/>
          <w:color w:val="auto"/>
          <w:kern w:val="0"/>
          <w:highlight w:val="none"/>
          <w:lang w:eastAsia="zh-CN"/>
        </w:rPr>
        <w:t>招标（采购）</w:t>
      </w:r>
      <w:r>
        <w:rPr>
          <w:rFonts w:hint="eastAsia" w:ascii="宋体" w:hAnsi="宋体" w:eastAsia="宋体" w:cs="宋体"/>
          <w:color w:val="auto"/>
          <w:kern w:val="0"/>
          <w:highlight w:val="none"/>
        </w:rPr>
        <w:t>人进行暂估价材料、暂估价专业工程</w:t>
      </w:r>
      <w:r>
        <w:rPr>
          <w:rFonts w:hint="eastAsia" w:ascii="宋体" w:hAnsi="宋体" w:eastAsia="宋体" w:cs="宋体"/>
          <w:color w:val="auto"/>
          <w:kern w:val="0"/>
          <w:highlight w:val="none"/>
          <w:lang w:eastAsia="zh-CN"/>
        </w:rPr>
        <w:t>招标（采购）</w:t>
      </w:r>
      <w:r>
        <w:rPr>
          <w:rFonts w:hint="eastAsia" w:ascii="宋体" w:hAnsi="宋体" w:eastAsia="宋体" w:cs="宋体"/>
          <w:color w:val="auto"/>
          <w:kern w:val="0"/>
          <w:highlight w:val="none"/>
        </w:rPr>
        <w:t>，发承包双方各自承担相应的费用。</w:t>
      </w:r>
    </w:p>
    <w:p w14:paraId="25DA39F0">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w:t>
      </w:r>
      <w:r>
        <w:rPr>
          <w:rFonts w:hint="eastAsia" w:ascii="宋体" w:hAnsi="宋体" w:eastAsia="宋体" w:cs="宋体"/>
          <w:color w:val="auto"/>
          <w:kern w:val="0"/>
          <w:highlight w:val="none"/>
          <w:lang w:val="en-US" w:eastAsia="zh-CN"/>
        </w:rPr>
        <w:t>0</w:t>
      </w: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7</w:t>
      </w:r>
      <w:r>
        <w:rPr>
          <w:rFonts w:hint="eastAsia" w:ascii="宋体" w:hAnsi="宋体" w:eastAsia="宋体" w:cs="宋体"/>
          <w:color w:val="auto"/>
          <w:kern w:val="0"/>
          <w:highlight w:val="none"/>
        </w:rPr>
        <w:t>.2工程量清单中给定暂估价的材料不属于依法必须</w:t>
      </w:r>
      <w:r>
        <w:rPr>
          <w:rFonts w:hint="eastAsia" w:ascii="宋体" w:hAnsi="宋体" w:eastAsia="宋体" w:cs="宋体"/>
          <w:color w:val="auto"/>
          <w:kern w:val="0"/>
          <w:highlight w:val="none"/>
          <w:lang w:eastAsia="zh-CN"/>
        </w:rPr>
        <w:t>招标（采购）</w:t>
      </w:r>
      <w:r>
        <w:rPr>
          <w:rFonts w:hint="eastAsia" w:ascii="宋体" w:hAnsi="宋体" w:eastAsia="宋体" w:cs="宋体"/>
          <w:color w:val="auto"/>
          <w:kern w:val="0"/>
          <w:highlight w:val="none"/>
        </w:rPr>
        <w:t>的，采用以下第</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u w:val="single"/>
          <w:lang w:val="en-US" w:eastAsia="zh-CN"/>
        </w:rPr>
        <w:t xml:space="preserve">一 </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种方式确认材料价格：</w:t>
      </w:r>
    </w:p>
    <w:p w14:paraId="654F4098">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第一种方式：承包人进行自主报价，经发包人确认的材料价格取代暂估价。</w:t>
      </w:r>
    </w:p>
    <w:p w14:paraId="59288A16">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第二种方式：由</w:t>
      </w:r>
      <w:r>
        <w:rPr>
          <w:rFonts w:hint="eastAsia" w:ascii="宋体" w:hAnsi="宋体" w:eastAsia="宋体" w:cs="宋体"/>
          <w:bCs/>
          <w:color w:val="auto"/>
          <w:sz w:val="21"/>
          <w:szCs w:val="21"/>
          <w:highlight w:val="none"/>
        </w:rPr>
        <w:t>发承包</w:t>
      </w:r>
      <w:r>
        <w:rPr>
          <w:rFonts w:hint="eastAsia" w:ascii="宋体" w:hAnsi="宋体" w:eastAsia="宋体" w:cs="宋体"/>
          <w:bCs/>
          <w:color w:val="auto"/>
          <w:sz w:val="21"/>
          <w:szCs w:val="21"/>
          <w:highlight w:val="none"/>
          <w:lang w:val="en-US" w:eastAsia="zh-CN"/>
        </w:rPr>
        <w:t>双方</w:t>
      </w:r>
      <w:r>
        <w:rPr>
          <w:rFonts w:hint="eastAsia" w:ascii="宋体" w:hAnsi="宋体" w:eastAsia="宋体" w:cs="宋体"/>
          <w:color w:val="auto"/>
          <w:kern w:val="0"/>
          <w:highlight w:val="none"/>
        </w:rPr>
        <w:t>共同询价确认的材料价格取代暂估价。</w:t>
      </w:r>
    </w:p>
    <w:p w14:paraId="72B03BF4">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w:t>
      </w:r>
      <w:r>
        <w:rPr>
          <w:rFonts w:hint="eastAsia" w:ascii="宋体" w:hAnsi="宋体" w:eastAsia="宋体" w:cs="宋体"/>
          <w:color w:val="auto"/>
          <w:kern w:val="0"/>
          <w:highlight w:val="none"/>
          <w:lang w:val="en-US" w:eastAsia="zh-CN"/>
        </w:rPr>
        <w:t>0</w:t>
      </w: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7</w:t>
      </w:r>
      <w:r>
        <w:rPr>
          <w:rFonts w:hint="eastAsia" w:ascii="宋体" w:hAnsi="宋体" w:eastAsia="宋体" w:cs="宋体"/>
          <w:color w:val="auto"/>
          <w:kern w:val="0"/>
          <w:highlight w:val="none"/>
        </w:rPr>
        <w:t>.3 工程量清单中给定暂估价的专业工程不属于依法必须</w:t>
      </w:r>
      <w:r>
        <w:rPr>
          <w:rFonts w:hint="eastAsia" w:ascii="宋体" w:hAnsi="宋体" w:eastAsia="宋体" w:cs="宋体"/>
          <w:color w:val="auto"/>
          <w:kern w:val="0"/>
          <w:highlight w:val="none"/>
          <w:lang w:eastAsia="zh-CN"/>
        </w:rPr>
        <w:t>招标（采购）</w:t>
      </w:r>
      <w:r>
        <w:rPr>
          <w:rFonts w:hint="eastAsia" w:ascii="宋体" w:hAnsi="宋体" w:eastAsia="宋体" w:cs="宋体"/>
          <w:color w:val="auto"/>
          <w:kern w:val="0"/>
          <w:highlight w:val="none"/>
        </w:rPr>
        <w:t xml:space="preserve">的，采用以下第 </w:t>
      </w:r>
      <w:r>
        <w:rPr>
          <w:rFonts w:hint="eastAsia" w:ascii="宋体" w:hAnsi="宋体" w:eastAsia="宋体" w:cs="宋体"/>
          <w:color w:val="auto"/>
          <w:kern w:val="0"/>
          <w:highlight w:val="none"/>
          <w:lang w:val="en-US" w:eastAsia="zh-CN"/>
        </w:rPr>
        <w:t>一</w:t>
      </w:r>
      <w:r>
        <w:rPr>
          <w:rFonts w:hint="eastAsia" w:ascii="宋体" w:hAnsi="宋体" w:eastAsia="宋体" w:cs="宋体"/>
          <w:color w:val="auto"/>
          <w:kern w:val="0"/>
          <w:highlight w:val="none"/>
        </w:rPr>
        <w:t>种方式确认暂估价：</w:t>
      </w:r>
    </w:p>
    <w:p w14:paraId="3D4CDAB4">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第一种方式：发承包双方按合同约定的自治区建设行政主管部门颁布的计算规范所规定的工程量计算规则以及合同</w:t>
      </w:r>
      <w:r>
        <w:rPr>
          <w:rFonts w:hint="eastAsia" w:ascii="宋体" w:hAnsi="宋体" w:eastAsia="宋体" w:cs="宋体"/>
          <w:color w:val="auto"/>
          <w:kern w:val="0"/>
          <w:highlight w:val="none"/>
          <w:lang w:val="en-US" w:eastAsia="zh-CN"/>
        </w:rPr>
        <w:t>单价</w:t>
      </w: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eastAsia="zh-CN"/>
        </w:rPr>
        <w:t>投标（响应）</w:t>
      </w:r>
      <w:r>
        <w:rPr>
          <w:rFonts w:hint="eastAsia" w:ascii="宋体" w:hAnsi="宋体" w:eastAsia="宋体" w:cs="宋体"/>
          <w:color w:val="auto"/>
          <w:kern w:val="0"/>
          <w:highlight w:val="none"/>
        </w:rPr>
        <w:t>报价水平计算暂估专业工程价格，并以此取代专业工程暂估价。</w:t>
      </w:r>
    </w:p>
    <w:p w14:paraId="47AC4764">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第二种方式：通过</w:t>
      </w:r>
      <w:r>
        <w:rPr>
          <w:rFonts w:hint="eastAsia" w:ascii="宋体" w:hAnsi="宋体" w:eastAsia="宋体" w:cs="宋体"/>
          <w:color w:val="auto"/>
          <w:kern w:val="0"/>
          <w:highlight w:val="none"/>
          <w:lang w:eastAsia="zh-CN"/>
        </w:rPr>
        <w:t>招标（采购）</w:t>
      </w:r>
      <w:r>
        <w:rPr>
          <w:rFonts w:hint="eastAsia" w:ascii="宋体" w:hAnsi="宋体" w:eastAsia="宋体" w:cs="宋体"/>
          <w:color w:val="auto"/>
          <w:kern w:val="0"/>
          <w:highlight w:val="none"/>
        </w:rPr>
        <w:t>确定暂估专业工程价格。</w:t>
      </w:r>
    </w:p>
    <w:p w14:paraId="00D212B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highlight w:val="none"/>
        </w:rPr>
        <w:t>1</w:t>
      </w:r>
      <w:r>
        <w:rPr>
          <w:rFonts w:hint="eastAsia" w:ascii="宋体" w:hAnsi="宋体" w:eastAsia="宋体" w:cs="宋体"/>
          <w:color w:val="auto"/>
          <w:kern w:val="0"/>
          <w:highlight w:val="none"/>
          <w:lang w:val="en-US" w:eastAsia="zh-CN"/>
        </w:rPr>
        <w:t>0</w:t>
      </w: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7</w:t>
      </w:r>
      <w:r>
        <w:rPr>
          <w:rFonts w:hint="eastAsia" w:ascii="宋体" w:hAnsi="宋体" w:eastAsia="宋体" w:cs="宋体"/>
          <w:color w:val="auto"/>
          <w:kern w:val="0"/>
          <w:highlight w:val="none"/>
        </w:rPr>
        <w:t>.4承包人参加由发包人作为</w:t>
      </w:r>
      <w:r>
        <w:rPr>
          <w:rFonts w:hint="eastAsia" w:ascii="宋体" w:hAnsi="宋体" w:eastAsia="宋体" w:cs="宋体"/>
          <w:color w:val="auto"/>
          <w:kern w:val="0"/>
          <w:highlight w:val="none"/>
          <w:lang w:eastAsia="zh-CN"/>
        </w:rPr>
        <w:t>招标（采购）</w:t>
      </w:r>
      <w:r>
        <w:rPr>
          <w:rFonts w:hint="eastAsia" w:ascii="宋体" w:hAnsi="宋体" w:eastAsia="宋体" w:cs="宋体"/>
          <w:color w:val="auto"/>
          <w:kern w:val="0"/>
          <w:highlight w:val="none"/>
        </w:rPr>
        <w:t>人的暂估价专业工程</w:t>
      </w:r>
      <w:r>
        <w:rPr>
          <w:rFonts w:hint="eastAsia" w:ascii="宋体" w:hAnsi="宋体" w:eastAsia="宋体" w:cs="宋体"/>
          <w:color w:val="auto"/>
          <w:kern w:val="0"/>
          <w:highlight w:val="none"/>
          <w:lang w:eastAsia="zh-CN"/>
        </w:rPr>
        <w:t>投标（响应）</w:t>
      </w:r>
      <w:r>
        <w:rPr>
          <w:rFonts w:hint="eastAsia" w:ascii="宋体" w:hAnsi="宋体" w:eastAsia="宋体" w:cs="宋体"/>
          <w:color w:val="auto"/>
          <w:kern w:val="0"/>
          <w:highlight w:val="none"/>
        </w:rPr>
        <w:t>并</w:t>
      </w:r>
      <w:r>
        <w:rPr>
          <w:rFonts w:hint="eastAsia" w:ascii="宋体" w:hAnsi="宋体" w:eastAsia="宋体" w:cs="宋体"/>
          <w:color w:val="auto"/>
          <w:kern w:val="0"/>
          <w:highlight w:val="none"/>
          <w:lang w:eastAsia="zh-CN"/>
        </w:rPr>
        <w:t>成交</w:t>
      </w:r>
      <w:r>
        <w:rPr>
          <w:rFonts w:hint="eastAsia" w:ascii="宋体" w:hAnsi="宋体" w:eastAsia="宋体" w:cs="宋体"/>
          <w:color w:val="auto"/>
          <w:kern w:val="0"/>
          <w:highlight w:val="none"/>
        </w:rPr>
        <w:t>的，扣减已计算的该专业工程的总承包服务费。</w:t>
      </w:r>
    </w:p>
    <w:p w14:paraId="0BFF6805">
      <w:pPr>
        <w:pStyle w:val="4"/>
        <w:rPr>
          <w:rFonts w:hint="eastAsia" w:ascii="宋体" w:hAnsi="宋体" w:eastAsia="宋体" w:cs="宋体"/>
          <w:color w:val="auto"/>
          <w:highlight w:val="none"/>
        </w:rPr>
      </w:pPr>
      <w:bookmarkStart w:id="369" w:name="_Toc19647"/>
      <w:bookmarkStart w:id="370" w:name="_Toc26800"/>
      <w:r>
        <w:rPr>
          <w:rFonts w:hint="eastAsia" w:ascii="宋体" w:hAnsi="宋体" w:eastAsia="宋体" w:cs="宋体"/>
          <w:color w:val="auto"/>
          <w:highlight w:val="none"/>
        </w:rPr>
        <w:t>10.8 暂列金额</w:t>
      </w:r>
      <w:bookmarkEnd w:id="369"/>
      <w:bookmarkEnd w:id="370"/>
    </w:p>
    <w:p w14:paraId="48CB4BC9">
      <w:pPr>
        <w:autoSpaceDE w:val="0"/>
        <w:autoSpaceDN w:val="0"/>
        <w:adjustRightIn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合同当事人关于暂列金额使用的约定：</w:t>
      </w:r>
      <w:r>
        <w:rPr>
          <w:rFonts w:hint="eastAsia" w:ascii="宋体" w:hAnsi="宋体" w:eastAsia="宋体" w:cs="宋体"/>
          <w:color w:val="auto"/>
          <w:highlight w:val="none"/>
          <w:u w:val="single"/>
        </w:rPr>
        <w:t xml:space="preserve"> </w:t>
      </w:r>
      <w:r>
        <w:rPr>
          <w:color w:val="auto"/>
          <w:szCs w:val="32"/>
          <w:highlight w:val="none"/>
          <w:u w:val="single"/>
        </w:rPr>
        <w:t>暂列金额是指发包人为可能发生工程变更而暂列的金额，包括因发包人提供的工程量清单漏项、清单有误引起的工程数量增加和施工过程中设计变更引起新的清单项目或工程数量增加等需要增加的金额，发包人委托</w:t>
      </w:r>
      <w:r>
        <w:rPr>
          <w:rFonts w:hint="eastAsia"/>
          <w:color w:val="auto"/>
          <w:szCs w:val="32"/>
          <w:highlight w:val="none"/>
          <w:u w:val="single"/>
          <w:lang w:eastAsia="zh-CN"/>
        </w:rPr>
        <w:t>全</w:t>
      </w:r>
      <w:r>
        <w:rPr>
          <w:color w:val="auto"/>
          <w:szCs w:val="32"/>
          <w:highlight w:val="none"/>
          <w:u w:val="single"/>
        </w:rPr>
        <w:t>过程审计单位审定后，按照审定造价支付部分暂列金。暂列金额是发包人自行确定设立的，承包人无权使用此笔费用。此费用按实际发生经发包人签证后确定全部使用、部分使用或不使用。暂列金额不计入工程款付款的基数。发包人按照规定所作支付后，暂列金额如有余额归发包人</w:t>
      </w:r>
      <w:r>
        <w:rPr>
          <w:rFonts w:hint="eastAsia" w:ascii="宋体" w:hAnsi="宋体" w:eastAsia="宋体" w:cs="宋体"/>
          <w:color w:val="auto"/>
          <w:kern w:val="0"/>
          <w:highlight w:val="none"/>
        </w:rPr>
        <w:t>。</w:t>
      </w:r>
    </w:p>
    <w:p w14:paraId="6F159092">
      <w:pPr>
        <w:pStyle w:val="3"/>
        <w:numPr>
          <w:ilvl w:val="0"/>
          <w:numId w:val="2"/>
        </w:numPr>
        <w:rPr>
          <w:rFonts w:hint="eastAsia" w:ascii="宋体" w:hAnsi="宋体" w:eastAsia="宋体" w:cs="宋体"/>
          <w:color w:val="auto"/>
          <w:highlight w:val="none"/>
        </w:rPr>
      </w:pPr>
      <w:bookmarkStart w:id="371" w:name="_Toc16337"/>
      <w:r>
        <w:rPr>
          <w:rFonts w:hint="eastAsia" w:ascii="宋体" w:hAnsi="宋体" w:eastAsia="宋体" w:cs="宋体"/>
          <w:color w:val="auto"/>
          <w:highlight w:val="none"/>
        </w:rPr>
        <w:t>价格调整</w:t>
      </w:r>
      <w:bookmarkEnd w:id="371"/>
    </w:p>
    <w:p w14:paraId="5508610B">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lang w:val="en-US" w:eastAsia="zh-CN"/>
        </w:rPr>
        <w:t xml:space="preserve">11.1 市场价格波动引起的调整 </w:t>
      </w:r>
    </w:p>
    <w:p w14:paraId="41AC23A8">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lang w:val="en-US" w:eastAsia="zh-CN"/>
        </w:rPr>
        <w:t>市场价格波动是否调整合同价格的约定：</w:t>
      </w:r>
      <w:r>
        <w:rPr>
          <w:rFonts w:hint="eastAsia" w:ascii="宋体" w:hAnsi="宋体" w:eastAsia="宋体" w:cs="宋体"/>
          <w:color w:val="auto"/>
          <w:kern w:val="0"/>
          <w:highlight w:val="none"/>
          <w:u w:val="single"/>
          <w:lang w:val="en-US" w:eastAsia="zh-CN"/>
        </w:rPr>
        <w:t xml:space="preserve"> 是 </w:t>
      </w:r>
      <w:r>
        <w:rPr>
          <w:rFonts w:hint="eastAsia" w:ascii="宋体" w:hAnsi="宋体" w:eastAsia="宋体" w:cs="宋体"/>
          <w:color w:val="auto"/>
          <w:kern w:val="0"/>
          <w:highlight w:val="none"/>
          <w:lang w:val="en-US" w:eastAsia="zh-CN"/>
        </w:rPr>
        <w:t xml:space="preserve">。 </w:t>
      </w:r>
    </w:p>
    <w:p w14:paraId="1CB2FB66">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lang w:val="en-US" w:eastAsia="zh-CN"/>
        </w:rPr>
        <w:t xml:space="preserve">因市场价格波动调整合同价格，采用以下第 3 种方式对合同价格进行调整： </w:t>
      </w:r>
    </w:p>
    <w:p w14:paraId="57E11912">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lang w:val="en-US" w:eastAsia="zh-CN"/>
        </w:rPr>
        <w:t xml:space="preserve">第 1 种方式：采用价格指数进行价格调整。 </w:t>
      </w:r>
    </w:p>
    <w:p w14:paraId="23301BB1">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lang w:val="en-US" w:eastAsia="zh-CN"/>
        </w:rPr>
        <w:t>关于各可调因子、定值和变值权重，以及基本价格指数及其来源的约定：</w:t>
      </w:r>
      <w:r>
        <w:rPr>
          <w:rFonts w:hint="eastAsia" w:ascii="宋体" w:hAnsi="宋体" w:eastAsia="宋体" w:cs="宋体"/>
          <w:color w:val="auto"/>
          <w:kern w:val="0"/>
          <w:highlight w:val="none"/>
          <w:u w:val="single"/>
          <w:lang w:val="en-US" w:eastAsia="zh-CN"/>
        </w:rPr>
        <w:t xml:space="preserve"> / </w:t>
      </w:r>
      <w:r>
        <w:rPr>
          <w:rFonts w:hint="eastAsia" w:ascii="宋体" w:hAnsi="宋体" w:eastAsia="宋体" w:cs="宋体"/>
          <w:color w:val="auto"/>
          <w:kern w:val="0"/>
          <w:highlight w:val="none"/>
          <w:lang w:val="en-US" w:eastAsia="zh-CN"/>
        </w:rPr>
        <w:t xml:space="preserve">； </w:t>
      </w:r>
    </w:p>
    <w:p w14:paraId="6D81FCBE">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lang w:val="en-US" w:eastAsia="zh-CN"/>
        </w:rPr>
        <w:t xml:space="preserve">第 2 种方式：采用造价信息进行价格调整。 </w:t>
      </w:r>
    </w:p>
    <w:p w14:paraId="72DE7A56">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lang w:val="en-US" w:eastAsia="zh-CN"/>
        </w:rPr>
        <w:t>（2）关于基准价格的约定：</w:t>
      </w:r>
      <w:r>
        <w:rPr>
          <w:rFonts w:hint="eastAsia" w:ascii="宋体" w:hAnsi="宋体" w:eastAsia="宋体" w:cs="宋体"/>
          <w:color w:val="auto"/>
          <w:kern w:val="0"/>
          <w:highlight w:val="none"/>
          <w:u w:val="single"/>
          <w:lang w:val="en-US" w:eastAsia="zh-CN"/>
        </w:rPr>
        <w:t xml:space="preserve"> / </w:t>
      </w:r>
      <w:r>
        <w:rPr>
          <w:rFonts w:hint="eastAsia" w:ascii="宋体" w:hAnsi="宋体" w:eastAsia="宋体" w:cs="宋体"/>
          <w:color w:val="auto"/>
          <w:kern w:val="0"/>
          <w:highlight w:val="none"/>
          <w:lang w:val="en-US" w:eastAsia="zh-CN"/>
        </w:rPr>
        <w:t xml:space="preserve">。 </w:t>
      </w:r>
    </w:p>
    <w:p w14:paraId="58DCD6F1">
      <w:pPr>
        <w:spacing w:line="360" w:lineRule="auto"/>
        <w:ind w:firstLine="420" w:firstLineChars="200"/>
        <w:jc w:val="left"/>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专用合同条款①承包人在已标价工程量清单或预算书中载明的材料单价低于基准价格的：专用合同条款合同履行期间材料单价涨幅以基准价格为基础超过 5 %时，或材料单价跌幅以已标价工程量清单或预算书中载明材料单价为基础超过 5 %时，其超过部分据实调整。</w:t>
      </w:r>
    </w:p>
    <w:p w14:paraId="0A3642AB">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lang w:val="en-US" w:eastAsia="zh-CN"/>
        </w:rPr>
        <w:t xml:space="preserve">②承包人在已标价工程量清单或预算书中载明的材料单价高于基准价格的：专用合同条款合同履行期间材料单价跌幅以基准价格为基础超过 5 %时，材料单价涨幅以已标价工程量清单或预算书中载明材料单价为基础超过 5%时，其超过部分据实调整。 </w:t>
      </w:r>
    </w:p>
    <w:p w14:paraId="7C510E62">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lang w:val="en-US" w:eastAsia="zh-CN"/>
        </w:rPr>
        <w:t xml:space="preserve">③承包人在已标价工程量清单或预算书中载明的材料单价等于基准单价的：专用合同条款合同履行期间材料单价涨跌幅以基准单价为基础超过±5%时，其超过部分据实调整。 </w:t>
      </w:r>
    </w:p>
    <w:p w14:paraId="5BFD7D40">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lang w:val="en-US" w:eastAsia="zh-CN"/>
        </w:rPr>
        <w:t>第 3 种方式： 承包人应根据施工期间主要材料可能由于市场价格上涨（或下跌）因素自行考虑由此引起的风险并计入投标报价中。承包人应对自己的报价承担风险。但是若本工程施工期间由于市场价格上涨（或下跌）比 2026 年第 5 期《桂林市建设工程造价信息》公布临桂区价格相差±5%（含 5%）以上时，材料价格可以进行调整。调整方法：材料价格（材料价格以该材料施工使用期间《桂林市建设工程造价信息》临桂区平均价格为准）高（低）出±5%（含 5%）以上部分×(中标的投标报价÷招标预算控制价)，调增或调减合同价。</w:t>
      </w:r>
    </w:p>
    <w:p w14:paraId="1643F9FB">
      <w:pPr>
        <w:rPr>
          <w:rFonts w:hint="eastAsia"/>
        </w:rPr>
      </w:pPr>
    </w:p>
    <w:p w14:paraId="6FA4A31F">
      <w:pPr>
        <w:pStyle w:val="3"/>
        <w:rPr>
          <w:rFonts w:hint="eastAsia" w:ascii="宋体" w:hAnsi="宋体" w:eastAsia="宋体" w:cs="宋体"/>
          <w:color w:val="auto"/>
          <w:highlight w:val="none"/>
        </w:rPr>
      </w:pPr>
      <w:bookmarkStart w:id="372" w:name="_Toc15051"/>
      <w:r>
        <w:rPr>
          <w:rFonts w:hint="eastAsia" w:ascii="宋体" w:hAnsi="宋体" w:eastAsia="宋体" w:cs="宋体"/>
          <w:color w:val="auto"/>
          <w:highlight w:val="none"/>
        </w:rPr>
        <w:t>12. 合同价格、计量与支付</w:t>
      </w:r>
      <w:bookmarkEnd w:id="372"/>
    </w:p>
    <w:p w14:paraId="5A4F22F1">
      <w:pPr>
        <w:pStyle w:val="4"/>
        <w:rPr>
          <w:rFonts w:hint="eastAsia" w:ascii="宋体" w:hAnsi="宋体" w:eastAsia="宋体" w:cs="宋体"/>
          <w:color w:val="auto"/>
          <w:highlight w:val="none"/>
        </w:rPr>
      </w:pPr>
      <w:bookmarkStart w:id="373" w:name="_Toc12368"/>
      <w:bookmarkStart w:id="374" w:name="_Toc20787"/>
      <w:r>
        <w:rPr>
          <w:rFonts w:hint="eastAsia" w:ascii="宋体" w:hAnsi="宋体" w:eastAsia="宋体" w:cs="宋体"/>
          <w:color w:val="auto"/>
          <w:highlight w:val="none"/>
        </w:rPr>
        <w:t>12.1 合同价格形式</w:t>
      </w:r>
      <w:bookmarkEnd w:id="373"/>
      <w:bookmarkEnd w:id="374"/>
    </w:p>
    <w:p w14:paraId="77B187DA">
      <w:pPr>
        <w:rPr>
          <w:rFonts w:hint="eastAsia"/>
        </w:rPr>
      </w:pPr>
    </w:p>
    <w:p w14:paraId="7F58DCA5">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12.1.1本工程采用第</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一</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种合同价格形式，合同价格包含增值税。</w:t>
      </w:r>
    </w:p>
    <w:p w14:paraId="3242382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第一种方式：单价合同。</w:t>
      </w:r>
    </w:p>
    <w:p w14:paraId="0AC36F9F">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第二种方式：总价合同。</w:t>
      </w:r>
    </w:p>
    <w:p w14:paraId="56BB0E2D">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第三种方式：其他价格方式：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lang w:eastAsia="zh-CN"/>
        </w:rPr>
        <w:t>（如果约定采用单价合同及总价合同以外的合同价格形式，应详细约定合同价格确定方法及合同价格调整法</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w:t>
      </w:r>
    </w:p>
    <w:p w14:paraId="0752DA7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12.1.2 合同价格调整事项</w:t>
      </w:r>
    </w:p>
    <w:p w14:paraId="22486A35">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合同履行过</w:t>
      </w:r>
      <w:r>
        <w:rPr>
          <w:rFonts w:hint="eastAsia" w:ascii="宋体" w:hAnsi="宋体" w:eastAsia="宋体" w:cs="宋体"/>
          <w:color w:val="auto"/>
          <w:highlight w:val="none"/>
          <w:lang w:eastAsia="zh-CN"/>
        </w:rPr>
        <w:t>程中</w:t>
      </w:r>
      <w:r>
        <w:rPr>
          <w:rFonts w:hint="eastAsia" w:ascii="宋体" w:hAnsi="宋体" w:eastAsia="宋体" w:cs="宋体"/>
          <w:color w:val="auto"/>
          <w:highlight w:val="none"/>
        </w:rPr>
        <w:t>发生下列事项，发承包双方应按本合同相关条款约定调整合同价格：</w:t>
      </w:r>
    </w:p>
    <w:p w14:paraId="22E484EB">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（1）工程量清单缺陷；（2）暂列金额；（3）暂估价；（4）总承包服务费；（5）零星签证；（6）物价变化；（7）法律法规及政策性变化；（8）工程变更；</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9</w:t>
      </w:r>
      <w:r>
        <w:rPr>
          <w:rFonts w:hint="eastAsia" w:ascii="宋体" w:hAnsi="宋体" w:eastAsia="宋体" w:cs="宋体"/>
          <w:color w:val="auto"/>
          <w:highlight w:val="none"/>
          <w:lang w:eastAsia="zh-CN"/>
        </w:rPr>
        <w:t>）新增工程；</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10</w:t>
      </w:r>
      <w:r>
        <w:rPr>
          <w:rFonts w:hint="eastAsia" w:ascii="宋体" w:hAnsi="宋体" w:eastAsia="宋体" w:cs="宋体"/>
          <w:color w:val="auto"/>
          <w:highlight w:val="none"/>
        </w:rPr>
        <w:t>）工程索赔；（1</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 发承包双方约定的其他调整事项：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10D1AF08">
      <w:pPr>
        <w:pStyle w:val="4"/>
        <w:rPr>
          <w:rFonts w:hint="eastAsia" w:ascii="宋体" w:hAnsi="宋体" w:eastAsia="宋体" w:cs="宋体"/>
          <w:color w:val="auto"/>
          <w:highlight w:val="none"/>
        </w:rPr>
      </w:pPr>
      <w:bookmarkStart w:id="375" w:name="_Toc20258"/>
      <w:bookmarkStart w:id="376" w:name="_Toc13852"/>
      <w:r>
        <w:rPr>
          <w:rFonts w:hint="eastAsia" w:ascii="宋体" w:hAnsi="宋体" w:eastAsia="宋体" w:cs="宋体"/>
          <w:color w:val="auto"/>
          <w:highlight w:val="none"/>
        </w:rPr>
        <w:t>12.2 预付款</w:t>
      </w:r>
      <w:bookmarkEnd w:id="375"/>
      <w:bookmarkEnd w:id="376"/>
    </w:p>
    <w:p w14:paraId="397D8439">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12.2.1 预付款的支付</w:t>
      </w:r>
    </w:p>
    <w:p w14:paraId="6F82B2D5">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预付款支付比例或金额：</w:t>
      </w:r>
      <w:r>
        <w:rPr>
          <w:rFonts w:hint="eastAsia" w:ascii="宋体" w:hAnsi="宋体" w:eastAsia="宋体" w:cs="宋体"/>
          <w:color w:val="auto"/>
          <w:highlight w:val="none"/>
          <w:lang w:eastAsia="zh-CN"/>
        </w:rPr>
        <w:t>预付款为签约合同价格（扣暂列金额、暂估价及甲供材）的30%</w:t>
      </w:r>
      <w:r>
        <w:rPr>
          <w:rFonts w:hint="eastAsia" w:ascii="宋体" w:hAnsi="宋体" w:eastAsia="宋体" w:cs="宋体"/>
          <w:color w:val="auto"/>
          <w:szCs w:val="21"/>
          <w:highlight w:val="none"/>
          <w:u w:val="none"/>
        </w:rPr>
        <w:t>。</w:t>
      </w:r>
    </w:p>
    <w:p w14:paraId="08D19D5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预付款支付期限：</w:t>
      </w:r>
      <w:r>
        <w:rPr>
          <w:rFonts w:hint="eastAsia" w:ascii="宋体" w:hAnsi="宋体" w:eastAsia="宋体" w:cs="宋体"/>
          <w:color w:val="auto"/>
          <w:highlight w:val="none"/>
          <w:u w:val="single"/>
        </w:rPr>
        <w:t>签订合同后，承包人用于主体施工的人员、设备、材料进场满足大规模开工要求，经发包人确认后 1</w:t>
      </w:r>
      <w:r>
        <w:rPr>
          <w:rFonts w:hint="eastAsia" w:ascii="宋体" w:hAnsi="宋体" w:cs="宋体"/>
          <w:color w:val="auto"/>
          <w:highlight w:val="none"/>
          <w:u w:val="single"/>
          <w:lang w:val="en-US" w:eastAsia="zh-CN"/>
        </w:rPr>
        <w:t>0</w:t>
      </w:r>
      <w:r>
        <w:rPr>
          <w:rFonts w:hint="eastAsia" w:ascii="宋体" w:hAnsi="宋体" w:eastAsia="宋体" w:cs="宋体"/>
          <w:color w:val="auto"/>
          <w:highlight w:val="none"/>
          <w:u w:val="single"/>
        </w:rPr>
        <w:t xml:space="preserve"> 日内 </w:t>
      </w:r>
      <w:r>
        <w:rPr>
          <w:rFonts w:hint="eastAsia" w:ascii="宋体" w:hAnsi="宋体" w:eastAsia="宋体" w:cs="宋体"/>
          <w:color w:val="auto"/>
          <w:highlight w:val="none"/>
        </w:rPr>
        <w:t>。</w:t>
      </w:r>
    </w:p>
    <w:p w14:paraId="2AAF6A30">
      <w:pPr>
        <w:spacing w:line="360" w:lineRule="auto"/>
        <w:ind w:firstLine="420" w:firstLineChars="200"/>
        <w:jc w:val="left"/>
        <w:rPr>
          <w:rFonts w:hint="eastAsia" w:ascii="宋体" w:hAnsi="宋体" w:eastAsia="宋体" w:cs="宋体"/>
          <w:color w:val="auto"/>
          <w:highlight w:val="none"/>
          <w:lang w:eastAsia="zh-CN"/>
        </w:rPr>
      </w:pPr>
      <w:r>
        <w:rPr>
          <w:rFonts w:hint="eastAsia" w:ascii="宋体" w:hAnsi="宋体" w:eastAsia="宋体" w:cs="宋体"/>
          <w:color w:val="auto"/>
          <w:highlight w:val="none"/>
        </w:rPr>
        <w:t>预付款扣回的方式：</w:t>
      </w:r>
      <w:r>
        <w:rPr>
          <w:rFonts w:hint="eastAsia" w:ascii="宋体" w:hAnsi="宋体" w:eastAsia="宋体" w:cs="宋体"/>
          <w:color w:val="auto"/>
          <w:highlight w:val="none"/>
          <w:u w:val="single"/>
        </w:rPr>
        <w:t>申请工程进度款开始抵扣预付款，原则上每期按预付款的 30%抵扣，累计计量工程进度款达到签约合同价的 80%前扣完。</w:t>
      </w:r>
    </w:p>
    <w:p w14:paraId="5072862E">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12.2.2 预付款担保</w:t>
      </w:r>
    </w:p>
    <w:p w14:paraId="1EDE7B1F">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承包人提交预付款担保的期限：</w:t>
      </w:r>
      <w:r>
        <w:rPr>
          <w:rFonts w:hint="eastAsia" w:ascii="宋体" w:hAnsi="宋体" w:eastAsia="宋体" w:cs="宋体"/>
          <w:color w:val="auto"/>
          <w:highlight w:val="none"/>
          <w:u w:val="single"/>
        </w:rPr>
        <w:t xml:space="preserve"> </w:t>
      </w:r>
      <w:r>
        <w:rPr>
          <w:color w:val="auto"/>
          <w:highlight w:val="none"/>
          <w:u w:val="single"/>
        </w:rPr>
        <w:t>无</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00437D0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预付款担保的形式为：</w:t>
      </w:r>
      <w:r>
        <w:rPr>
          <w:rFonts w:hint="eastAsia" w:ascii="宋体" w:hAnsi="宋体" w:eastAsia="宋体" w:cs="宋体"/>
          <w:color w:val="auto"/>
          <w:highlight w:val="none"/>
          <w:u w:val="none"/>
          <w:lang w:eastAsia="zh-CN"/>
        </w:rPr>
        <w:t>可以是</w:t>
      </w:r>
      <w:r>
        <w:rPr>
          <w:rFonts w:hint="eastAsia" w:ascii="宋体" w:hAnsi="宋体" w:eastAsia="宋体" w:cs="宋体"/>
          <w:color w:val="auto"/>
          <w:highlight w:val="none"/>
        </w:rPr>
        <w:t>银行转账、电汇或网上支付、保函（银行保函、电子保函、保证保险保函、工程担保保函）等</w:t>
      </w:r>
      <w:r>
        <w:rPr>
          <w:rFonts w:hint="eastAsia" w:ascii="宋体" w:hAnsi="宋体" w:eastAsia="宋体" w:cs="宋体"/>
          <w:color w:val="auto"/>
          <w:highlight w:val="none"/>
          <w:lang w:eastAsia="zh-CN"/>
        </w:rPr>
        <w:t>形</w:t>
      </w:r>
      <w:r>
        <w:rPr>
          <w:rFonts w:hint="eastAsia" w:ascii="宋体" w:hAnsi="宋体" w:eastAsia="宋体" w:cs="宋体"/>
          <w:color w:val="auto"/>
          <w:highlight w:val="none"/>
        </w:rPr>
        <w:t>式。</w:t>
      </w:r>
    </w:p>
    <w:p w14:paraId="29E4F1D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预付款担保格式见合同附件8。预付款支付申请（核准）表见合同附件10</w:t>
      </w:r>
    </w:p>
    <w:p w14:paraId="11FE4E09">
      <w:pPr>
        <w:pStyle w:val="4"/>
        <w:rPr>
          <w:rFonts w:hint="eastAsia" w:ascii="宋体" w:hAnsi="宋体" w:eastAsia="宋体" w:cs="宋体"/>
          <w:color w:val="auto"/>
          <w:highlight w:val="none"/>
        </w:rPr>
      </w:pPr>
      <w:bookmarkStart w:id="377" w:name="_Toc12933"/>
      <w:bookmarkStart w:id="378" w:name="_Toc6734"/>
      <w:r>
        <w:rPr>
          <w:rFonts w:hint="eastAsia" w:ascii="宋体" w:hAnsi="宋体" w:eastAsia="宋体" w:cs="宋体"/>
          <w:color w:val="auto"/>
          <w:highlight w:val="none"/>
        </w:rPr>
        <w:t>12.3 计量</w:t>
      </w:r>
      <w:bookmarkEnd w:id="377"/>
      <w:bookmarkEnd w:id="378"/>
    </w:p>
    <w:p w14:paraId="5CA75D91">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12.3.1 计量原则</w:t>
      </w:r>
    </w:p>
    <w:p w14:paraId="513B7E1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合同工程应以承包人按合同要求已完成且应予计量的工程进行计量。工程量计算规则：工程的计量均以《广西壮族自治区建设工程全过程计价规范》《广西壮族自治区建设工程多层级工程量清单计算规范》及本工程补充项目清单计量规则为准。</w:t>
      </w:r>
    </w:p>
    <w:p w14:paraId="586E6363">
      <w:pPr>
        <w:spacing w:line="360" w:lineRule="auto"/>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12.3.2 计量周期</w:t>
      </w:r>
    </w:p>
    <w:p w14:paraId="406870B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发承包双方按以下第</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一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种方式</w:t>
      </w:r>
      <w:r>
        <w:rPr>
          <w:rFonts w:hint="eastAsia" w:ascii="宋体" w:hAnsi="宋体" w:eastAsia="宋体" w:cs="宋体"/>
          <w:color w:val="auto"/>
          <w:highlight w:val="none"/>
          <w:lang w:eastAsia="zh-CN"/>
        </w:rPr>
        <w:t>（总价合同推荐使用第三种方式）</w:t>
      </w:r>
      <w:r>
        <w:rPr>
          <w:rFonts w:hint="eastAsia" w:ascii="宋体" w:hAnsi="宋体" w:eastAsia="宋体" w:cs="宋体"/>
          <w:color w:val="auto"/>
          <w:highlight w:val="none"/>
        </w:rPr>
        <w:t>确定计量周期：</w:t>
      </w:r>
    </w:p>
    <w:p w14:paraId="01D23FE1">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第一种方式：按月计量。承包人应于每月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25</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日前向发包人书面报送上月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26</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日至当月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25</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日已完成的工程量报告，并附进度付款申请单、已完成工程量报表和有关资料。</w:t>
      </w:r>
    </w:p>
    <w:p w14:paraId="51A6CE1D">
      <w:pPr>
        <w:spacing w:line="360" w:lineRule="auto"/>
        <w:ind w:firstLine="420" w:firstLineChars="200"/>
        <w:jc w:val="left"/>
        <w:rPr>
          <w:rFonts w:hint="eastAsia" w:ascii="宋体" w:hAnsi="宋体" w:eastAsia="宋体" w:cs="宋体"/>
          <w:color w:val="auto"/>
          <w:highlight w:val="none"/>
          <w:lang w:eastAsia="zh-CN"/>
        </w:rPr>
      </w:pPr>
      <w:r>
        <w:rPr>
          <w:rFonts w:hint="eastAsia" w:ascii="宋体" w:hAnsi="宋体" w:eastAsia="宋体" w:cs="宋体"/>
          <w:color w:val="auto"/>
          <w:highlight w:val="none"/>
        </w:rPr>
        <w:t>第二种方式：</w:t>
      </w:r>
      <w:r>
        <w:rPr>
          <w:rFonts w:hint="eastAsia" w:ascii="宋体" w:hAnsi="宋体" w:eastAsia="宋体" w:cs="宋体"/>
          <w:color w:val="auto"/>
          <w:highlight w:val="none"/>
          <w:lang w:eastAsia="zh-CN"/>
        </w:rPr>
        <w:t>按工程形象目标进行工程计量。</w:t>
      </w:r>
      <w:r>
        <w:rPr>
          <w:rFonts w:hint="eastAsia" w:ascii="宋体" w:hAnsi="宋体" w:eastAsia="宋体" w:cs="宋体"/>
          <w:color w:val="auto"/>
          <w:highlight w:val="none"/>
        </w:rPr>
        <w:t>承包人应当</w:t>
      </w:r>
      <w:r>
        <w:rPr>
          <w:rFonts w:hint="eastAsia" w:ascii="宋体" w:hAnsi="宋体" w:eastAsia="宋体" w:cs="宋体"/>
          <w:color w:val="auto"/>
          <w:highlight w:val="none"/>
          <w:lang w:eastAsia="zh-CN"/>
        </w:rPr>
        <w:t>在工程形象目标任务完成后</w:t>
      </w:r>
      <w:r>
        <w:rPr>
          <w:rFonts w:hint="eastAsia" w:ascii="宋体" w:hAnsi="宋体" w:eastAsia="宋体" w:cs="宋体"/>
          <w:color w:val="auto"/>
          <w:highlight w:val="none"/>
        </w:rPr>
        <w:t>向发包人书面报送已完成的工程量报告，并附具进度付款申请单、已完成工程量报表和有关资料。</w:t>
      </w:r>
    </w:p>
    <w:p w14:paraId="7668A83B">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lang w:eastAsia="zh-CN"/>
        </w:rPr>
        <w:t>第三种方式：</w:t>
      </w:r>
      <w:r>
        <w:rPr>
          <w:rFonts w:hint="eastAsia" w:ascii="宋体" w:hAnsi="宋体" w:eastAsia="宋体" w:cs="宋体"/>
          <w:color w:val="auto"/>
          <w:highlight w:val="none"/>
        </w:rPr>
        <w:t>按照</w:t>
      </w:r>
      <w:r>
        <w:rPr>
          <w:rFonts w:hint="eastAsia" w:ascii="宋体" w:hAnsi="宋体" w:eastAsia="宋体" w:cs="宋体"/>
          <w:color w:val="auto"/>
          <w:highlight w:val="none"/>
          <w:lang w:eastAsia="zh-CN"/>
        </w:rPr>
        <w:t>支付分解表支付</w:t>
      </w:r>
      <w:r>
        <w:rPr>
          <w:rFonts w:hint="eastAsia" w:ascii="宋体" w:hAnsi="宋体" w:eastAsia="宋体" w:cs="宋体"/>
          <w:color w:val="auto"/>
          <w:highlight w:val="none"/>
        </w:rPr>
        <w:t>。承包人应</w:t>
      </w:r>
      <w:r>
        <w:rPr>
          <w:rFonts w:hint="eastAsia" w:ascii="宋体" w:hAnsi="宋体" w:eastAsia="宋体" w:cs="宋体"/>
          <w:color w:val="auto"/>
          <w:highlight w:val="none"/>
          <w:lang w:eastAsia="zh-CN"/>
        </w:rPr>
        <w:t>在支付分解表上要求的工程形象进度目标任务完成后</w:t>
      </w:r>
      <w:r>
        <w:rPr>
          <w:rFonts w:hint="eastAsia" w:ascii="宋体" w:hAnsi="宋体" w:eastAsia="宋体" w:cs="宋体"/>
          <w:color w:val="auto"/>
          <w:highlight w:val="none"/>
        </w:rPr>
        <w:t>向发包人书面报送进度付款申请单和有关资料。</w:t>
      </w:r>
    </w:p>
    <w:p w14:paraId="4DEC09D2">
      <w:pPr>
        <w:pStyle w:val="4"/>
        <w:rPr>
          <w:rFonts w:hint="eastAsia" w:ascii="宋体" w:hAnsi="宋体" w:eastAsia="宋体" w:cs="宋体"/>
          <w:color w:val="auto"/>
          <w:highlight w:val="none"/>
        </w:rPr>
      </w:pPr>
      <w:bookmarkStart w:id="379" w:name="_Toc4236"/>
      <w:bookmarkStart w:id="380" w:name="_Toc4691"/>
      <w:r>
        <w:rPr>
          <w:rFonts w:hint="eastAsia" w:ascii="宋体" w:hAnsi="宋体" w:eastAsia="宋体" w:cs="宋体"/>
          <w:color w:val="auto"/>
          <w:highlight w:val="none"/>
        </w:rPr>
        <w:t>12.4 工程进度款支付</w:t>
      </w:r>
      <w:bookmarkEnd w:id="379"/>
      <w:bookmarkEnd w:id="380"/>
    </w:p>
    <w:p w14:paraId="1C13984D">
      <w:pPr>
        <w:spacing w:line="400" w:lineRule="exact"/>
        <w:ind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工程进度款按月支付，支付额为已完成工程量 80%，工程竣工验收合格后，结算经临桂财政评审中心或临桂审计部门审定后，支付至结算总额的 97%；发包人按结算总额的 3%预留工程质量保证金，质保期满后返还质量保证金（无息）。</w:t>
      </w:r>
    </w:p>
    <w:p w14:paraId="38656CD2">
      <w:pPr>
        <w:spacing w:line="400" w:lineRule="exact"/>
        <w:ind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12.4.1 付款周期</w:t>
      </w:r>
    </w:p>
    <w:p w14:paraId="0A79FC07">
      <w:pPr>
        <w:spacing w:line="360" w:lineRule="auto"/>
        <w:ind w:left="10" w:leftChars="0" w:firstLine="409" w:firstLineChars="195"/>
        <w:jc w:val="left"/>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工程款</w:t>
      </w:r>
      <w:r>
        <w:rPr>
          <w:rFonts w:hint="eastAsia" w:ascii="宋体" w:hAnsi="宋体" w:eastAsia="宋体" w:cs="宋体"/>
          <w:color w:val="auto"/>
          <w:sz w:val="21"/>
          <w:szCs w:val="21"/>
          <w:highlight w:val="none"/>
          <w:u w:val="none"/>
          <w:lang w:eastAsia="zh-CN"/>
        </w:rPr>
        <w:t>付款周期同</w:t>
      </w:r>
      <w:r>
        <w:rPr>
          <w:rFonts w:hint="eastAsia" w:ascii="宋体" w:hAnsi="宋体" w:eastAsia="宋体" w:cs="宋体"/>
          <w:color w:val="auto"/>
          <w:sz w:val="21"/>
          <w:szCs w:val="21"/>
          <w:highlight w:val="none"/>
          <w:u w:val="none"/>
          <w:lang w:val="en-US" w:eastAsia="zh-CN"/>
        </w:rPr>
        <w:t>12.3.2计量周期</w:t>
      </w:r>
      <w:r>
        <w:rPr>
          <w:rFonts w:hint="eastAsia" w:ascii="宋体" w:hAnsi="宋体" w:eastAsia="宋体" w:cs="宋体"/>
          <w:color w:val="auto"/>
          <w:sz w:val="21"/>
          <w:szCs w:val="21"/>
          <w:highlight w:val="none"/>
          <w:u w:val="none"/>
        </w:rPr>
        <w:t>，工程进度款按完成工作量支付，合同内工程进度款支付额为当月实际已完成工程量价款的80%；</w:t>
      </w:r>
      <w:r>
        <w:rPr>
          <w:rFonts w:hint="eastAsia" w:ascii="宋体" w:hAnsi="宋体" w:eastAsia="宋体" w:cs="宋体"/>
          <w:color w:val="auto"/>
          <w:sz w:val="21"/>
          <w:szCs w:val="21"/>
          <w:highlight w:val="none"/>
          <w:u w:val="none"/>
          <w:lang w:eastAsia="zh-CN"/>
        </w:rPr>
        <w:t>合同外新增工程量按实际完成工程量价款的80%支付进度款</w:t>
      </w:r>
      <w:r>
        <w:rPr>
          <w:rFonts w:hint="eastAsia" w:ascii="宋体" w:hAnsi="宋体" w:eastAsia="宋体" w:cs="宋体"/>
          <w:color w:val="auto"/>
          <w:sz w:val="21"/>
          <w:szCs w:val="21"/>
          <w:highlight w:val="none"/>
          <w:u w:val="none"/>
        </w:rPr>
        <w:t>。工程竣工验收合格，工程结算经采购人聘任的社会中介机构审定后，成交供应商向采购人提交全额有效发票及工程质量保证金后，15个工作日内支付至结算总价的100%，工程质量保证金的缴纳方式：承包人向发包人提供工程价款结算总额的3%的质量保证金保函，保函有效期覆盖质保期外加60天的索赔期。最后结算金额以采购人聘任的社会中介机构或</w:t>
      </w:r>
      <w:r>
        <w:rPr>
          <w:rFonts w:hint="eastAsia" w:ascii="宋体" w:hAnsi="宋体" w:eastAsia="宋体" w:cs="宋体"/>
          <w:color w:val="auto"/>
          <w:sz w:val="21"/>
          <w:szCs w:val="21"/>
          <w:highlight w:val="none"/>
          <w:u w:val="none"/>
          <w:lang w:val="en-US" w:eastAsia="zh-CN"/>
        </w:rPr>
        <w:t>桂林市临桂区</w:t>
      </w:r>
      <w:r>
        <w:rPr>
          <w:rFonts w:hint="eastAsia" w:ascii="宋体" w:hAnsi="宋体" w:eastAsia="宋体" w:cs="宋体"/>
          <w:color w:val="auto"/>
          <w:sz w:val="21"/>
          <w:szCs w:val="21"/>
          <w:highlight w:val="none"/>
          <w:u w:val="none"/>
        </w:rPr>
        <w:t>财政局审核为准。</w:t>
      </w:r>
    </w:p>
    <w:p w14:paraId="58A5BA63">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12.4.2 进度付款申请单的编制</w:t>
      </w:r>
    </w:p>
    <w:p w14:paraId="42208881">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关于进度付款申请单编制的约定：</w:t>
      </w:r>
      <w:r>
        <w:rPr>
          <w:rFonts w:hint="eastAsia" w:ascii="宋体" w:hAnsi="宋体" w:eastAsia="宋体" w:cs="宋体"/>
          <w:color w:val="auto"/>
          <w:highlight w:val="none"/>
          <w:u w:val="single"/>
        </w:rPr>
        <w:t xml:space="preserve">  </w:t>
      </w:r>
      <w:r>
        <w:rPr>
          <w:color w:val="auto"/>
          <w:szCs w:val="21"/>
          <w:highlight w:val="none"/>
          <w:u w:val="single"/>
        </w:rPr>
        <w:t>按月编制并参照本合同通用条款执行</w:t>
      </w:r>
      <w:r>
        <w:rPr>
          <w:rFonts w:hint="eastAsia" w:ascii="宋体" w:hAnsi="宋体" w:eastAsia="宋体" w:cs="宋体"/>
          <w:color w:val="auto"/>
          <w:highlight w:val="none"/>
        </w:rPr>
        <w:t>。</w:t>
      </w:r>
    </w:p>
    <w:p w14:paraId="7FB20B8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12.4.3 进度付款申请单的提交</w:t>
      </w:r>
    </w:p>
    <w:p w14:paraId="4D74B357">
      <w:pPr>
        <w:spacing w:line="360" w:lineRule="auto"/>
        <w:ind w:firstLine="420" w:firstLineChars="200"/>
        <w:jc w:val="left"/>
        <w:rPr>
          <w:rFonts w:hint="eastAsia" w:ascii="宋体" w:hAnsi="宋体" w:eastAsia="宋体" w:cs="宋体"/>
          <w:b/>
          <w:bCs/>
          <w:color w:val="auto"/>
          <w:highlight w:val="none"/>
          <w:u w:val="single"/>
        </w:rPr>
      </w:pPr>
      <w:r>
        <w:rPr>
          <w:rFonts w:hint="eastAsia" w:ascii="宋体" w:hAnsi="宋体" w:eastAsia="宋体" w:cs="宋体"/>
          <w:color w:val="auto"/>
          <w:highlight w:val="none"/>
        </w:rPr>
        <w:t>（1）单价合同进度付款申请单提交的约定：</w:t>
      </w:r>
    </w:p>
    <w:p w14:paraId="79D7888E">
      <w:pPr>
        <w:spacing w:line="360" w:lineRule="auto"/>
        <w:ind w:firstLine="420" w:firstLineChars="200"/>
        <w:jc w:val="left"/>
        <w:rPr>
          <w:rFonts w:hint="eastAsia" w:ascii="宋体" w:hAnsi="宋体" w:eastAsia="宋体" w:cs="宋体"/>
          <w:color w:val="auto"/>
          <w:szCs w:val="21"/>
          <w:highlight w:val="none"/>
          <w:lang w:val="zh-TW" w:eastAsia="zh-CN"/>
        </w:rPr>
      </w:pPr>
      <w:r>
        <w:rPr>
          <w:rFonts w:hint="eastAsia" w:ascii="宋体" w:hAnsi="宋体" w:eastAsia="宋体" w:cs="宋体"/>
          <w:color w:val="auto"/>
          <w:highlight w:val="none"/>
          <w:u w:val="none"/>
          <w:lang w:val="en-US" w:eastAsia="zh-CN"/>
        </w:rPr>
        <w:t>1）</w:t>
      </w:r>
      <w:r>
        <w:rPr>
          <w:rFonts w:hint="eastAsia" w:ascii="宋体" w:hAnsi="宋体" w:eastAsia="宋体" w:cs="宋体"/>
          <w:color w:val="auto"/>
          <w:szCs w:val="21"/>
          <w:highlight w:val="none"/>
          <w:lang w:val="zh-TW"/>
        </w:rPr>
        <w:t>分部分项工程清单进度款</w:t>
      </w:r>
      <w:r>
        <w:rPr>
          <w:rFonts w:hint="eastAsia" w:ascii="宋体" w:hAnsi="宋体" w:eastAsia="宋体" w:cs="宋体"/>
          <w:color w:val="auto"/>
          <w:szCs w:val="21"/>
          <w:highlight w:val="none"/>
          <w:lang w:val="zh-TW" w:eastAsia="zh-CN"/>
        </w:rPr>
        <w:t>计算：</w:t>
      </w:r>
      <w:r>
        <w:rPr>
          <w:rFonts w:hint="eastAsia" w:ascii="宋体" w:hAnsi="宋体" w:eastAsia="宋体" w:cs="宋体"/>
          <w:color w:val="auto"/>
          <w:szCs w:val="21"/>
          <w:highlight w:val="none"/>
          <w:lang w:val="zh-TW"/>
        </w:rPr>
        <w:t>应按发包人提供的施工图纸、工程变更指令、合同约定</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eastAsia="zh-CN"/>
        </w:rPr>
        <w:t>计算规范</w:t>
      </w:r>
      <w:r>
        <w:rPr>
          <w:rFonts w:hint="eastAsia" w:ascii="宋体" w:hAnsi="宋体" w:eastAsia="宋体" w:cs="宋体"/>
          <w:color w:val="auto"/>
          <w:szCs w:val="21"/>
          <w:highlight w:val="none"/>
          <w:lang w:val="zh-TW"/>
        </w:rPr>
        <w:t>和</w:t>
      </w:r>
      <w:r>
        <w:rPr>
          <w:rFonts w:hint="eastAsia" w:ascii="宋体" w:hAnsi="宋体" w:eastAsia="宋体" w:cs="宋体"/>
          <w:color w:val="auto"/>
          <w:szCs w:val="21"/>
          <w:highlight w:val="none"/>
          <w:lang w:val="zh-TW" w:eastAsia="zh-CN"/>
        </w:rPr>
        <w:t>计价规范</w:t>
      </w:r>
      <w:r>
        <w:rPr>
          <w:rFonts w:hint="eastAsia" w:ascii="宋体" w:hAnsi="宋体" w:eastAsia="宋体" w:cs="宋体"/>
          <w:color w:val="auto"/>
          <w:szCs w:val="21"/>
          <w:highlight w:val="none"/>
          <w:lang w:val="zh-TW"/>
        </w:rPr>
        <w:t>规定，</w:t>
      </w:r>
      <w:r>
        <w:rPr>
          <w:rFonts w:hint="eastAsia" w:ascii="宋体" w:hAnsi="宋体" w:eastAsia="宋体" w:cs="宋体"/>
          <w:color w:val="auto"/>
          <w:szCs w:val="21"/>
          <w:highlight w:val="none"/>
          <w:lang w:val="zh-TW" w:eastAsia="zh-CN"/>
        </w:rPr>
        <w:t>计算</w:t>
      </w:r>
      <w:r>
        <w:rPr>
          <w:rFonts w:hint="eastAsia" w:ascii="宋体" w:hAnsi="宋体" w:eastAsia="宋体" w:cs="宋体"/>
          <w:color w:val="auto"/>
          <w:szCs w:val="21"/>
          <w:highlight w:val="none"/>
          <w:lang w:val="en" w:eastAsia="zh-CN"/>
        </w:rPr>
        <w:t>本</w:t>
      </w:r>
      <w:r>
        <w:rPr>
          <w:rFonts w:hint="eastAsia" w:ascii="宋体" w:hAnsi="宋体" w:eastAsia="宋体" w:cs="宋体"/>
          <w:color w:val="auto"/>
          <w:szCs w:val="21"/>
          <w:highlight w:val="none"/>
          <w:lang w:val="zh-TW" w:eastAsia="zh-CN"/>
        </w:rPr>
        <w:t>期实际</w:t>
      </w:r>
      <w:r>
        <w:rPr>
          <w:rFonts w:hint="eastAsia" w:ascii="宋体" w:hAnsi="宋体" w:eastAsia="宋体" w:cs="宋体"/>
          <w:color w:val="auto"/>
          <w:szCs w:val="21"/>
          <w:highlight w:val="none"/>
          <w:lang w:val="zh-TW"/>
        </w:rPr>
        <w:t>完成的相应清单项目工程量，乘以合同单价（合同单价发生调整的，</w:t>
      </w:r>
      <w:r>
        <w:rPr>
          <w:rFonts w:hint="eastAsia" w:ascii="宋体" w:hAnsi="宋体" w:eastAsia="宋体" w:cs="宋体"/>
          <w:color w:val="auto"/>
          <w:szCs w:val="21"/>
          <w:highlight w:val="none"/>
          <w:lang w:val="zh-TW" w:eastAsia="zh-CN"/>
        </w:rPr>
        <w:t>按调整后的</w:t>
      </w:r>
      <w:r>
        <w:rPr>
          <w:rFonts w:hint="eastAsia" w:ascii="宋体" w:hAnsi="宋体" w:eastAsia="宋体" w:cs="宋体"/>
          <w:color w:val="auto"/>
          <w:szCs w:val="21"/>
          <w:highlight w:val="none"/>
          <w:lang w:val="zh-TW"/>
        </w:rPr>
        <w:t>单价）</w:t>
      </w:r>
      <w:r>
        <w:rPr>
          <w:rFonts w:hint="eastAsia" w:ascii="宋体" w:hAnsi="宋体" w:eastAsia="宋体" w:cs="宋体"/>
          <w:color w:val="auto"/>
          <w:szCs w:val="21"/>
          <w:highlight w:val="none"/>
          <w:lang w:val="zh-TW" w:eastAsia="zh-CN"/>
        </w:rPr>
        <w:t>。</w:t>
      </w:r>
    </w:p>
    <w:p w14:paraId="0CA71F21">
      <w:pPr>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bCs/>
          <w:color w:val="auto"/>
          <w:szCs w:val="21"/>
          <w:highlight w:val="none"/>
        </w:rPr>
        <w:t>措施项目进度款</w:t>
      </w:r>
      <w:r>
        <w:rPr>
          <w:rFonts w:hint="eastAsia" w:ascii="宋体" w:hAnsi="宋体" w:eastAsia="宋体" w:cs="宋体"/>
          <w:bCs/>
          <w:color w:val="auto"/>
          <w:szCs w:val="21"/>
          <w:highlight w:val="none"/>
          <w:lang w:eastAsia="zh-CN"/>
        </w:rPr>
        <w:t>计算：技术措施按照当期完成的技术措施项目工程量乘以承包人《技术措施项目清单综合单价分析表》中各子项技术措施项目综合单价计算，当该项技术措施项目累计进度款达到该项技术措施项目费合计金额时，不再计算该项技术措施项目进度款。综合</w:t>
      </w:r>
      <w:r>
        <w:rPr>
          <w:rFonts w:hint="eastAsia" w:ascii="宋体" w:hAnsi="宋体" w:eastAsia="宋体" w:cs="宋体"/>
          <w:bCs/>
          <w:color w:val="auto"/>
          <w:szCs w:val="21"/>
          <w:highlight w:val="none"/>
        </w:rPr>
        <w:t>措施项目</w:t>
      </w:r>
      <w:r>
        <w:rPr>
          <w:rFonts w:hint="eastAsia" w:ascii="宋体" w:hAnsi="宋体" w:eastAsia="宋体" w:cs="宋体"/>
          <w:bCs/>
          <w:color w:val="auto"/>
          <w:szCs w:val="21"/>
          <w:highlight w:val="none"/>
          <w:lang w:eastAsia="zh-CN"/>
        </w:rPr>
        <w:t>中的</w:t>
      </w:r>
      <w:r>
        <w:rPr>
          <w:rFonts w:hint="eastAsia" w:ascii="宋体" w:hAnsi="宋体" w:eastAsia="宋体" w:cs="宋体"/>
          <w:bCs/>
          <w:color w:val="auto"/>
          <w:szCs w:val="21"/>
          <w:highlight w:val="none"/>
        </w:rPr>
        <w:t>文明临设环保费</w:t>
      </w:r>
      <w:r>
        <w:rPr>
          <w:rFonts w:hint="eastAsia" w:ascii="宋体" w:hAnsi="宋体" w:eastAsia="宋体" w:cs="宋体"/>
          <w:bCs/>
          <w:color w:val="auto"/>
          <w:szCs w:val="21"/>
          <w:highlight w:val="none"/>
          <w:lang w:eastAsia="zh-CN"/>
        </w:rPr>
        <w:t>按合同附件</w:t>
      </w:r>
      <w:r>
        <w:rPr>
          <w:rFonts w:hint="eastAsia" w:ascii="宋体" w:hAnsi="宋体" w:eastAsia="宋体" w:cs="宋体"/>
          <w:bCs/>
          <w:color w:val="auto"/>
          <w:szCs w:val="21"/>
          <w:highlight w:val="none"/>
          <w:lang w:val="en-US" w:eastAsia="zh-CN"/>
        </w:rPr>
        <w:t>15《</w:t>
      </w:r>
      <w:r>
        <w:rPr>
          <w:rFonts w:hint="eastAsia" w:ascii="宋体" w:hAnsi="宋体" w:eastAsia="宋体" w:cs="宋体"/>
          <w:bCs/>
          <w:color w:val="auto"/>
          <w:szCs w:val="21"/>
          <w:highlight w:val="none"/>
          <w:lang w:eastAsia="zh-CN"/>
        </w:rPr>
        <w:t>措施项目分拆表</w:t>
      </w:r>
      <w:r>
        <w:rPr>
          <w:rFonts w:hint="eastAsia" w:ascii="宋体" w:hAnsi="宋体" w:eastAsia="宋体" w:cs="宋体"/>
          <w:bCs/>
          <w:color w:val="auto"/>
          <w:szCs w:val="21"/>
          <w:highlight w:val="none"/>
          <w:lang w:val="en-US" w:eastAsia="zh-CN"/>
        </w:rPr>
        <w:t>》</w:t>
      </w:r>
      <w:r>
        <w:rPr>
          <w:rFonts w:hint="eastAsia" w:ascii="宋体" w:hAnsi="宋体" w:eastAsia="宋体" w:cs="宋体"/>
          <w:bCs/>
          <w:color w:val="auto"/>
          <w:szCs w:val="21"/>
          <w:highlight w:val="none"/>
          <w:lang w:eastAsia="zh-CN"/>
        </w:rPr>
        <w:t>支付该部分进度款，其他综合措施项目按该项措施项目占签约合同价中分部分项及技术措施项目费比例乘以当期完成的分部分项及技术措施项目费计算，该项措施费用支付完毕后不再计取</w:t>
      </w:r>
      <w:r>
        <w:rPr>
          <w:rFonts w:hint="eastAsia" w:ascii="宋体" w:hAnsi="宋体" w:eastAsia="宋体" w:cs="宋体"/>
          <w:bCs/>
          <w:color w:val="auto"/>
          <w:szCs w:val="21"/>
          <w:highlight w:val="none"/>
        </w:rPr>
        <w:t>。</w:t>
      </w:r>
    </w:p>
    <w:p w14:paraId="4B3C33E9">
      <w:pPr>
        <w:spacing w:after="0" w:line="360" w:lineRule="auto"/>
        <w:ind w:firstLine="420" w:firstLineChars="200"/>
        <w:jc w:val="left"/>
        <w:rPr>
          <w:rFonts w:hint="eastAsia" w:ascii="宋体" w:hAnsi="宋体" w:eastAsia="宋体" w:cs="宋体"/>
          <w:bCs w:val="0"/>
          <w:color w:val="auto"/>
          <w:szCs w:val="21"/>
          <w:highlight w:val="none"/>
        </w:rPr>
      </w:pPr>
      <w:r>
        <w:rPr>
          <w:rFonts w:hint="eastAsia" w:ascii="宋体" w:hAnsi="宋体" w:eastAsia="宋体" w:cs="宋体"/>
          <w:bCs w:val="0"/>
          <w:color w:val="auto"/>
          <w:szCs w:val="21"/>
          <w:highlight w:val="none"/>
          <w:lang w:val="en-US" w:eastAsia="zh-CN"/>
        </w:rPr>
        <w:t>3）</w:t>
      </w:r>
      <w:r>
        <w:rPr>
          <w:rFonts w:hint="eastAsia" w:ascii="宋体" w:hAnsi="宋体" w:eastAsia="宋体" w:cs="宋体"/>
          <w:bCs w:val="0"/>
          <w:color w:val="auto"/>
          <w:szCs w:val="21"/>
          <w:highlight w:val="none"/>
        </w:rPr>
        <w:t>其他项目</w:t>
      </w:r>
      <w:r>
        <w:rPr>
          <w:rFonts w:hint="eastAsia" w:ascii="宋体" w:hAnsi="宋体" w:eastAsia="宋体" w:cs="宋体"/>
          <w:bCs w:val="0"/>
          <w:color w:val="auto"/>
          <w:szCs w:val="21"/>
          <w:highlight w:val="none"/>
          <w:lang w:eastAsia="zh-CN"/>
        </w:rPr>
        <w:t>费</w:t>
      </w:r>
      <w:r>
        <w:rPr>
          <w:rFonts w:hint="eastAsia" w:ascii="宋体" w:hAnsi="宋体" w:eastAsia="宋体" w:cs="宋体"/>
          <w:bCs w:val="0"/>
          <w:color w:val="auto"/>
          <w:szCs w:val="21"/>
          <w:highlight w:val="none"/>
        </w:rPr>
        <w:t>进度款计算：总承包服务费</w:t>
      </w:r>
      <w:r>
        <w:rPr>
          <w:rFonts w:hint="eastAsia" w:ascii="宋体" w:hAnsi="宋体" w:eastAsia="宋体" w:cs="宋体"/>
          <w:bCs w:val="0"/>
          <w:color w:val="auto"/>
          <w:szCs w:val="21"/>
          <w:highlight w:val="none"/>
          <w:lang w:eastAsia="zh-CN"/>
        </w:rPr>
        <w:t>中的专业工程配合费</w:t>
      </w:r>
      <w:r>
        <w:rPr>
          <w:rFonts w:hint="eastAsia" w:ascii="宋体" w:hAnsi="宋体" w:eastAsia="宋体" w:cs="宋体"/>
          <w:bCs w:val="0"/>
          <w:color w:val="auto"/>
          <w:szCs w:val="21"/>
          <w:highlight w:val="none"/>
        </w:rPr>
        <w:t>应按当期发包人确认的专业分包工程进度款与专业分包合同价的比例乘以相应的服务费计算各分包工程</w:t>
      </w:r>
      <w:r>
        <w:rPr>
          <w:rFonts w:hint="eastAsia" w:ascii="宋体" w:hAnsi="宋体" w:eastAsia="宋体" w:cs="宋体"/>
          <w:bCs w:val="0"/>
          <w:color w:val="auto"/>
          <w:szCs w:val="21"/>
          <w:highlight w:val="none"/>
          <w:lang w:eastAsia="zh-CN"/>
        </w:rPr>
        <w:t>当期</w:t>
      </w:r>
      <w:r>
        <w:rPr>
          <w:rFonts w:hint="eastAsia" w:ascii="宋体" w:hAnsi="宋体" w:eastAsia="宋体" w:cs="宋体"/>
          <w:bCs w:val="0"/>
          <w:color w:val="auto"/>
          <w:szCs w:val="21"/>
          <w:highlight w:val="none"/>
        </w:rPr>
        <w:t>完成的总承包服务费</w:t>
      </w:r>
      <w:r>
        <w:rPr>
          <w:rFonts w:hint="eastAsia" w:ascii="宋体" w:hAnsi="宋体" w:eastAsia="宋体" w:cs="宋体"/>
          <w:bCs w:val="0"/>
          <w:color w:val="auto"/>
          <w:szCs w:val="21"/>
          <w:highlight w:val="none"/>
          <w:lang w:eastAsia="zh-CN"/>
        </w:rPr>
        <w:t>；</w:t>
      </w:r>
      <w:r>
        <w:rPr>
          <w:rFonts w:hint="eastAsia" w:ascii="宋体" w:hAnsi="宋体" w:eastAsia="宋体" w:cs="宋体"/>
          <w:bCs w:val="0"/>
          <w:color w:val="auto"/>
          <w:szCs w:val="21"/>
          <w:highlight w:val="none"/>
          <w:lang w:val="en-US" w:eastAsia="zh-CN"/>
        </w:rPr>
        <w:t>总承包服务费中的</w:t>
      </w:r>
      <w:r>
        <w:rPr>
          <w:rFonts w:hint="eastAsia" w:ascii="宋体" w:hAnsi="宋体" w:eastAsia="宋体" w:cs="宋体"/>
          <w:bCs w:val="0"/>
          <w:color w:val="auto"/>
          <w:szCs w:val="21"/>
          <w:highlight w:val="none"/>
        </w:rPr>
        <w:t>发包人提供材料</w:t>
      </w:r>
      <w:r>
        <w:rPr>
          <w:rFonts w:hint="eastAsia" w:ascii="宋体" w:hAnsi="宋体" w:eastAsia="宋体" w:cs="宋体"/>
          <w:bCs w:val="0"/>
          <w:color w:val="auto"/>
          <w:szCs w:val="21"/>
          <w:highlight w:val="none"/>
          <w:lang w:eastAsia="zh-CN"/>
        </w:rPr>
        <w:t>的保管费应在最后一期进度款一次性支付；</w:t>
      </w:r>
      <w:r>
        <w:rPr>
          <w:rFonts w:hint="eastAsia" w:ascii="宋体" w:hAnsi="宋体" w:eastAsia="宋体" w:cs="宋体"/>
          <w:bCs w:val="0"/>
          <w:color w:val="auto"/>
          <w:szCs w:val="21"/>
          <w:highlight w:val="none"/>
        </w:rPr>
        <w:t>专业工程暂估价项目应按当期发包人确认的专业工程项目完成的进度款计算</w:t>
      </w:r>
      <w:r>
        <w:rPr>
          <w:rFonts w:hint="eastAsia" w:ascii="宋体" w:hAnsi="宋体" w:eastAsia="宋体" w:cs="宋体"/>
          <w:bCs w:val="0"/>
          <w:color w:val="auto"/>
          <w:szCs w:val="21"/>
          <w:highlight w:val="none"/>
          <w:lang w:eastAsia="zh-CN"/>
        </w:rPr>
        <w:t>；</w:t>
      </w:r>
      <w:r>
        <w:rPr>
          <w:rFonts w:hint="eastAsia" w:ascii="宋体" w:hAnsi="宋体" w:eastAsia="宋体" w:cs="宋体"/>
          <w:bCs w:val="0"/>
          <w:color w:val="auto"/>
          <w:szCs w:val="21"/>
          <w:highlight w:val="none"/>
          <w:lang w:val="en-US"/>
        </w:rPr>
        <w:t>零星签证</w:t>
      </w:r>
      <w:r>
        <w:rPr>
          <w:rFonts w:hint="eastAsia" w:ascii="宋体" w:hAnsi="宋体" w:eastAsia="宋体" w:cs="宋体"/>
          <w:bCs w:val="0"/>
          <w:color w:val="auto"/>
          <w:szCs w:val="21"/>
          <w:highlight w:val="none"/>
        </w:rPr>
        <w:t>应按</w:t>
      </w:r>
      <w:r>
        <w:rPr>
          <w:rFonts w:hint="eastAsia" w:ascii="宋体" w:hAnsi="宋体" w:eastAsia="宋体" w:cs="宋体"/>
          <w:bCs w:val="0"/>
          <w:color w:val="auto"/>
          <w:szCs w:val="21"/>
          <w:highlight w:val="none"/>
          <w:lang w:eastAsia="zh-CN"/>
        </w:rPr>
        <w:t>当</w:t>
      </w:r>
      <w:r>
        <w:rPr>
          <w:rFonts w:hint="eastAsia" w:ascii="宋体" w:hAnsi="宋体" w:eastAsia="宋体" w:cs="宋体"/>
          <w:bCs w:val="0"/>
          <w:color w:val="auto"/>
          <w:szCs w:val="21"/>
          <w:highlight w:val="none"/>
        </w:rPr>
        <w:t>期完成的进度款进行计算</w:t>
      </w:r>
      <w:r>
        <w:rPr>
          <w:rFonts w:hint="eastAsia" w:ascii="宋体" w:hAnsi="宋体" w:eastAsia="宋体" w:cs="宋体"/>
          <w:bCs w:val="0"/>
          <w:color w:val="auto"/>
          <w:szCs w:val="21"/>
          <w:highlight w:val="none"/>
          <w:lang w:eastAsia="zh-CN"/>
        </w:rPr>
        <w:t>；</w:t>
      </w:r>
      <w:r>
        <w:rPr>
          <w:rFonts w:hint="eastAsia" w:ascii="宋体" w:hAnsi="宋体" w:eastAsia="宋体" w:cs="宋体"/>
          <w:color w:val="auto"/>
          <w:szCs w:val="21"/>
          <w:highlight w:val="none"/>
          <w:lang w:eastAsia="zh-CN"/>
        </w:rPr>
        <w:t>安全生产费按照</w:t>
      </w:r>
      <w:r>
        <w:rPr>
          <w:rFonts w:hint="eastAsia" w:ascii="宋体" w:hAnsi="宋体" w:eastAsia="宋体" w:cs="宋体"/>
          <w:color w:val="auto"/>
          <w:szCs w:val="21"/>
          <w:highlight w:val="none"/>
          <w:lang w:val="en" w:eastAsia="zh-CN"/>
        </w:rPr>
        <w:t>本合同6.1.6规定计算。</w:t>
      </w:r>
    </w:p>
    <w:p w14:paraId="3149F59B">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（2）总价合同进度付款申请单提交的约定</w:t>
      </w:r>
      <w:r>
        <w:rPr>
          <w:rFonts w:hint="eastAsia" w:ascii="宋体" w:hAnsi="宋体" w:eastAsia="宋体" w:cs="宋体"/>
          <w:color w:val="auto"/>
          <w:highlight w:val="none"/>
          <w:lang w:eastAsia="zh-CN"/>
        </w:rPr>
        <w:t>：</w:t>
      </w:r>
      <w:r>
        <w:rPr>
          <w:rFonts w:hint="eastAsia" w:ascii="宋体" w:hAnsi="宋体" w:eastAsia="宋体" w:cs="宋体"/>
          <w:strike w:val="0"/>
          <w:color w:val="auto"/>
          <w:kern w:val="2"/>
          <w:sz w:val="21"/>
          <w:szCs w:val="21"/>
          <w:highlight w:val="none"/>
          <w:lang w:val="en-US" w:eastAsia="zh-CN" w:bidi="ar"/>
        </w:rPr>
        <w:t>承包人</w:t>
      </w:r>
      <w:r>
        <w:rPr>
          <w:rFonts w:hint="eastAsia" w:ascii="宋体" w:hAnsi="宋体" w:eastAsia="宋体" w:cs="宋体"/>
          <w:color w:val="auto"/>
          <w:highlight w:val="none"/>
          <w:lang w:eastAsia="zh-CN"/>
        </w:rPr>
        <w:t>按照</w:t>
      </w:r>
      <w:r>
        <w:rPr>
          <w:rFonts w:hint="eastAsia" w:ascii="宋体" w:hAnsi="宋体" w:eastAsia="宋体" w:cs="宋体"/>
          <w:color w:val="auto"/>
          <w:szCs w:val="21"/>
          <w:highlight w:val="none"/>
          <w:lang w:eastAsia="zh-CN"/>
        </w:rPr>
        <w:t>本合同附件</w:t>
      </w:r>
      <w:r>
        <w:rPr>
          <w:rFonts w:hint="eastAsia" w:ascii="宋体" w:hAnsi="宋体" w:eastAsia="宋体" w:cs="宋体"/>
          <w:color w:val="auto"/>
          <w:szCs w:val="21"/>
          <w:highlight w:val="none"/>
          <w:lang w:val="en-US" w:eastAsia="zh-CN"/>
        </w:rPr>
        <w:t>14《进度款</w:t>
      </w:r>
      <w:r>
        <w:rPr>
          <w:rFonts w:hint="eastAsia" w:ascii="宋体" w:hAnsi="宋体" w:eastAsia="宋体" w:cs="宋体"/>
          <w:color w:val="auto"/>
          <w:highlight w:val="none"/>
          <w:lang w:eastAsia="zh-CN"/>
        </w:rPr>
        <w:t>支付分解表》要求的工程形象进度目标任务完成后，</w:t>
      </w:r>
      <w:r>
        <w:rPr>
          <w:rFonts w:hint="eastAsia" w:ascii="宋体" w:hAnsi="宋体" w:eastAsia="宋体" w:cs="宋体"/>
          <w:color w:val="auto"/>
          <w:highlight w:val="none"/>
        </w:rPr>
        <w:t>向发包人书面报送</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进度款支付申请（核准）表</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和有关资料</w:t>
      </w:r>
      <w:r>
        <w:rPr>
          <w:rFonts w:hint="eastAsia" w:ascii="宋体" w:hAnsi="宋体" w:eastAsia="宋体" w:cs="宋体"/>
          <w:color w:val="auto"/>
          <w:szCs w:val="21"/>
          <w:highlight w:val="none"/>
          <w:lang w:eastAsia="zh-CN"/>
        </w:rPr>
        <w:t>。固定部分按照支付分解表金额，暂定工程量、暂估价按照实际完成的工程量计算，安全生产费按照</w:t>
      </w:r>
      <w:r>
        <w:rPr>
          <w:rFonts w:hint="eastAsia" w:ascii="宋体" w:hAnsi="宋体" w:eastAsia="宋体" w:cs="宋体"/>
          <w:color w:val="auto"/>
          <w:szCs w:val="21"/>
          <w:highlight w:val="none"/>
          <w:lang w:val="en" w:eastAsia="zh-CN"/>
        </w:rPr>
        <w:t>本合同6.1.6规定计算。</w:t>
      </w:r>
    </w:p>
    <w:p w14:paraId="2F6A1169">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（3）</w:t>
      </w:r>
      <w:r>
        <w:rPr>
          <w:rFonts w:hint="eastAsia" w:ascii="宋体" w:hAnsi="宋体" w:eastAsia="宋体" w:cs="宋体"/>
          <w:b w:val="0"/>
          <w:bCs w:val="0"/>
          <w:color w:val="auto"/>
          <w:szCs w:val="21"/>
          <w:highlight w:val="none"/>
        </w:rPr>
        <w:t>发承包双方确认的按本规范规定计算的合同价款调整金额应列入</w:t>
      </w:r>
      <w:r>
        <w:rPr>
          <w:rFonts w:hint="eastAsia" w:ascii="宋体" w:hAnsi="宋体" w:eastAsia="宋体" w:cs="宋体"/>
          <w:b w:val="0"/>
          <w:bCs w:val="0"/>
          <w:color w:val="auto"/>
          <w:szCs w:val="21"/>
          <w:highlight w:val="none"/>
          <w:lang w:eastAsia="zh-CN"/>
        </w:rPr>
        <w:t>当</w:t>
      </w:r>
      <w:r>
        <w:rPr>
          <w:rFonts w:hint="eastAsia" w:ascii="宋体" w:hAnsi="宋体" w:eastAsia="宋体" w:cs="宋体"/>
          <w:b w:val="0"/>
          <w:bCs w:val="0"/>
          <w:color w:val="auto"/>
          <w:szCs w:val="21"/>
          <w:highlight w:val="none"/>
        </w:rPr>
        <w:t>期完成的进度款中。</w:t>
      </w:r>
    </w:p>
    <w:p w14:paraId="3C9A9BFD">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12.4.4 进度款审核和支付</w:t>
      </w:r>
    </w:p>
    <w:p w14:paraId="6C576C70">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（1）监理人审查并报送发包人的期限：</w:t>
      </w:r>
      <w:r>
        <w:rPr>
          <w:rFonts w:hint="eastAsia" w:ascii="宋体" w:hAnsi="宋体" w:eastAsia="宋体" w:cs="宋体"/>
          <w:color w:val="auto"/>
          <w:highlight w:val="none"/>
          <w:u w:val="single"/>
        </w:rPr>
        <w:t xml:space="preserve"> </w:t>
      </w:r>
      <w:r>
        <w:rPr>
          <w:rFonts w:hint="eastAsia"/>
          <w:color w:val="auto"/>
          <w:szCs w:val="21"/>
          <w:highlight w:val="none"/>
          <w:u w:val="single"/>
        </w:rPr>
        <w:t>执行通用条款</w:t>
      </w:r>
      <w:r>
        <w:rPr>
          <w:rFonts w:hint="eastAsia" w:ascii="宋体" w:hAnsi="宋体" w:eastAsia="宋体" w:cs="宋体"/>
          <w:color w:val="auto"/>
          <w:highlight w:val="none"/>
        </w:rPr>
        <w:t>。</w:t>
      </w:r>
    </w:p>
    <w:p w14:paraId="5A0D184E">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发包人完成审批并签发进度款支付证书的期限：</w:t>
      </w:r>
      <w:r>
        <w:rPr>
          <w:rFonts w:hint="eastAsia" w:ascii="宋体" w:hAnsi="宋体" w:eastAsia="宋体" w:cs="宋体"/>
          <w:color w:val="auto"/>
          <w:highlight w:val="none"/>
          <w:u w:val="single"/>
        </w:rPr>
        <w:t xml:space="preserve">  </w:t>
      </w:r>
      <w:r>
        <w:rPr>
          <w:rFonts w:hint="eastAsia"/>
          <w:color w:val="auto"/>
          <w:szCs w:val="21"/>
          <w:highlight w:val="none"/>
          <w:u w:val="single"/>
        </w:rPr>
        <w:t>执行通用条款</w:t>
      </w:r>
      <w:r>
        <w:rPr>
          <w:rFonts w:hint="eastAsia" w:ascii="宋体" w:hAnsi="宋体" w:eastAsia="宋体" w:cs="宋体"/>
          <w:color w:val="auto"/>
          <w:highlight w:val="none"/>
        </w:rPr>
        <w:t>。</w:t>
      </w:r>
    </w:p>
    <w:p w14:paraId="06DCD4E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（2）发包人支付进度款的期限：</w:t>
      </w:r>
      <w:r>
        <w:rPr>
          <w:rFonts w:hint="eastAsia" w:ascii="宋体" w:hAnsi="宋体" w:eastAsia="宋体" w:cs="宋体"/>
          <w:color w:val="auto"/>
          <w:highlight w:val="none"/>
          <w:u w:val="single"/>
        </w:rPr>
        <w:t xml:space="preserve"> </w:t>
      </w:r>
      <w:r>
        <w:rPr>
          <w:rFonts w:hint="eastAsia"/>
          <w:color w:val="auto"/>
          <w:szCs w:val="21"/>
          <w:highlight w:val="none"/>
          <w:u w:val="single"/>
        </w:rPr>
        <w:t>执行通用条款</w:t>
      </w:r>
      <w:r>
        <w:rPr>
          <w:rFonts w:hint="eastAsia" w:ascii="宋体" w:hAnsi="宋体" w:eastAsia="宋体" w:cs="宋体"/>
          <w:color w:val="auto"/>
          <w:highlight w:val="none"/>
        </w:rPr>
        <w:t>。</w:t>
      </w:r>
    </w:p>
    <w:p w14:paraId="5D97FF83">
      <w:pPr>
        <w:spacing w:line="360" w:lineRule="auto"/>
        <w:ind w:firstLine="525" w:firstLineChars="250"/>
        <w:jc w:val="left"/>
        <w:rPr>
          <w:rFonts w:hint="eastAsia" w:ascii="宋体" w:hAnsi="宋体" w:eastAsia="宋体" w:cs="宋体"/>
          <w:color w:val="auto"/>
          <w:highlight w:val="none"/>
        </w:rPr>
      </w:pPr>
      <w:r>
        <w:rPr>
          <w:rFonts w:hint="eastAsia" w:ascii="宋体" w:hAnsi="宋体" w:eastAsia="宋体" w:cs="宋体"/>
          <w:color w:val="auto"/>
          <w:highlight w:val="none"/>
        </w:rPr>
        <w:t>发包人逾期支付进度款的违约金的计算方式：</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rPr>
        <w:t>。</w:t>
      </w:r>
    </w:p>
    <w:p w14:paraId="7C35D94F">
      <w:pPr>
        <w:spacing w:line="360" w:lineRule="auto"/>
        <w:ind w:firstLine="630" w:firstLineChars="300"/>
        <w:rPr>
          <w:rFonts w:hint="eastAsia" w:ascii="宋体" w:hAnsi="宋体" w:eastAsia="宋体" w:cs="宋体"/>
          <w:color w:val="auto"/>
          <w:highlight w:val="none"/>
        </w:rPr>
      </w:pPr>
      <w:r>
        <w:rPr>
          <w:rFonts w:hint="eastAsia" w:ascii="宋体" w:hAnsi="宋体" w:eastAsia="宋体" w:cs="宋体"/>
          <w:color w:val="auto"/>
          <w:highlight w:val="none"/>
        </w:rPr>
        <w:t>进度款支付方式：</w:t>
      </w:r>
      <w:r>
        <w:rPr>
          <w:rFonts w:hint="eastAsia" w:ascii="宋体" w:hAnsi="宋体" w:eastAsia="宋体" w:cs="宋体"/>
          <w:color w:val="auto"/>
          <w:highlight w:val="none"/>
          <w:u w:val="single"/>
        </w:rPr>
        <w:t>银行转账</w:t>
      </w:r>
      <w:r>
        <w:rPr>
          <w:rFonts w:hint="eastAsia" w:ascii="宋体" w:hAnsi="宋体" w:eastAsia="宋体" w:cs="宋体"/>
          <w:color w:val="auto"/>
          <w:highlight w:val="none"/>
        </w:rPr>
        <w:t>。进度款支付申请（核准）表见合同附件11。</w:t>
      </w:r>
    </w:p>
    <w:p w14:paraId="68BAE7AA">
      <w:pPr>
        <w:spacing w:line="360" w:lineRule="auto"/>
        <w:ind w:firstLine="525" w:firstLineChars="250"/>
        <w:jc w:val="left"/>
        <w:rPr>
          <w:rFonts w:hint="eastAsia" w:ascii="宋体" w:hAnsi="宋体" w:eastAsia="宋体" w:cs="宋体"/>
          <w:color w:val="auto"/>
          <w:kern w:val="0"/>
          <w:highlight w:val="none"/>
        </w:rPr>
      </w:pPr>
      <w:r>
        <w:rPr>
          <w:rFonts w:hint="eastAsia" w:ascii="宋体" w:hAnsi="宋体" w:eastAsia="宋体" w:cs="宋体"/>
          <w:color w:val="auto"/>
          <w:highlight w:val="none"/>
        </w:rPr>
        <w:t xml:space="preserve">（3） </w:t>
      </w:r>
      <w:r>
        <w:rPr>
          <w:rFonts w:hint="eastAsia" w:ascii="宋体" w:hAnsi="宋体" w:eastAsia="宋体" w:cs="宋体"/>
          <w:color w:val="auto"/>
          <w:highlight w:val="none"/>
          <w:lang w:eastAsia="zh-CN"/>
        </w:rPr>
        <w:t>人工费</w:t>
      </w:r>
      <w:r>
        <w:rPr>
          <w:rFonts w:hint="eastAsia" w:ascii="宋体" w:hAnsi="宋体" w:eastAsia="宋体" w:cs="宋体"/>
          <w:color w:val="auto"/>
          <w:highlight w:val="none"/>
        </w:rPr>
        <w:t>支付</w:t>
      </w:r>
    </w:p>
    <w:p w14:paraId="4A77F8A3">
      <w:pPr>
        <w:spacing w:line="360" w:lineRule="auto"/>
        <w:ind w:firstLine="525" w:firstLineChars="25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lang w:val="en-US" w:eastAsia="zh-CN"/>
        </w:rPr>
        <w:t>1</w:t>
      </w:r>
      <w:r>
        <w:rPr>
          <w:rFonts w:hint="eastAsia" w:ascii="宋体" w:hAnsi="宋体" w:eastAsia="宋体" w:cs="宋体"/>
          <w:color w:val="auto"/>
          <w:kern w:val="0"/>
          <w:highlight w:val="none"/>
        </w:rPr>
        <w:t>）人工费专款专用</w:t>
      </w:r>
      <w:r>
        <w:rPr>
          <w:rFonts w:hint="eastAsia" w:ascii="宋体" w:hAnsi="宋体" w:eastAsia="宋体" w:cs="宋体"/>
          <w:color w:val="auto"/>
          <w:kern w:val="0"/>
          <w:highlight w:val="none"/>
          <w:lang w:eastAsia="zh-CN"/>
        </w:rPr>
        <w:t>，</w:t>
      </w:r>
      <w:r>
        <w:rPr>
          <w:rFonts w:hint="eastAsia" w:ascii="宋体" w:hAnsi="宋体" w:eastAsia="宋体" w:cs="宋体"/>
          <w:color w:val="auto"/>
          <w:kern w:val="0"/>
          <w:highlight w:val="none"/>
        </w:rPr>
        <w:t>用于支付农民工工资</w:t>
      </w:r>
      <w:r>
        <w:rPr>
          <w:rFonts w:hint="eastAsia" w:ascii="宋体" w:hAnsi="宋体" w:eastAsia="宋体" w:cs="宋体"/>
          <w:color w:val="auto"/>
          <w:kern w:val="0"/>
          <w:highlight w:val="none"/>
          <w:lang w:eastAsia="zh-CN"/>
        </w:rPr>
        <w:t>，应</w:t>
      </w:r>
      <w:r>
        <w:rPr>
          <w:rFonts w:hint="eastAsia" w:ascii="宋体" w:hAnsi="宋体" w:eastAsia="宋体" w:cs="宋体"/>
          <w:color w:val="auto"/>
          <w:kern w:val="0"/>
          <w:highlight w:val="none"/>
        </w:rPr>
        <w:t>与工程进度款分</w:t>
      </w:r>
      <w:r>
        <w:rPr>
          <w:rFonts w:hint="eastAsia" w:ascii="宋体" w:hAnsi="宋体" w:eastAsia="宋体" w:cs="宋体"/>
          <w:color w:val="auto"/>
          <w:kern w:val="0"/>
          <w:highlight w:val="none"/>
          <w:lang w:eastAsia="zh-CN"/>
        </w:rPr>
        <w:t>账</w:t>
      </w:r>
      <w:r>
        <w:rPr>
          <w:rFonts w:hint="eastAsia" w:ascii="宋体" w:hAnsi="宋体" w:eastAsia="宋体" w:cs="宋体"/>
          <w:color w:val="auto"/>
          <w:kern w:val="0"/>
          <w:highlight w:val="none"/>
        </w:rPr>
        <w:t>管理。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每月</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u w:val="single"/>
          <w:lang w:val="en-US" w:eastAsia="zh-CN"/>
        </w:rPr>
        <w:t>25</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日前将当月应付人工费转入承包人为本项目开立的农民工工资专用账户。</w:t>
      </w:r>
    </w:p>
    <w:p w14:paraId="794261E1">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lang w:val="en-US" w:eastAsia="zh-CN"/>
        </w:rPr>
        <w:t>2</w:t>
      </w:r>
      <w:r>
        <w:rPr>
          <w:rFonts w:hint="eastAsia" w:ascii="宋体" w:hAnsi="宋体" w:eastAsia="宋体" w:cs="宋体"/>
          <w:color w:val="auto"/>
          <w:kern w:val="0"/>
          <w:highlight w:val="none"/>
        </w:rPr>
        <w:t>）农民工工资专用账户：</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u w:val="single"/>
          <w:lang w:val="en-US" w:eastAsia="zh-CN"/>
        </w:rPr>
        <w:t xml:space="preserve">    </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公司</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u w:val="single"/>
          <w:lang w:val="en-US" w:eastAsia="zh-CN"/>
        </w:rPr>
        <w:t xml:space="preserve">    </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项目农民工工资专用账户。账号：</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u w:val="single"/>
          <w:lang w:val="en-US" w:eastAsia="zh-CN"/>
        </w:rPr>
        <w:t xml:space="preserve">      </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5B1BCE0E">
      <w:pPr>
        <w:spacing w:line="360" w:lineRule="auto"/>
        <w:ind w:firstLine="525" w:firstLineChars="250"/>
        <w:jc w:val="left"/>
        <w:rPr>
          <w:rFonts w:hint="eastAsia" w:ascii="宋体" w:hAnsi="宋体" w:eastAsia="宋体" w:cs="宋体"/>
          <w:color w:val="auto"/>
          <w:highlight w:val="none"/>
        </w:rPr>
      </w:pPr>
      <w:r>
        <w:rPr>
          <w:rFonts w:hint="eastAsia" w:ascii="宋体" w:hAnsi="宋体" w:eastAsia="宋体" w:cs="宋体"/>
          <w:color w:val="auto"/>
          <w:highlight w:val="none"/>
        </w:rPr>
        <w:t>12.4.6 支付分解表的编制</w:t>
      </w:r>
    </w:p>
    <w:p w14:paraId="5FA7FEB5">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（1）总价合同支付分解表的编制与审批：</w:t>
      </w:r>
      <w:r>
        <w:rPr>
          <w:rFonts w:hint="eastAsia" w:ascii="宋体" w:hAnsi="宋体" w:eastAsia="宋体" w:cs="宋体"/>
          <w:color w:val="auto"/>
          <w:highlight w:val="none"/>
          <w:u w:val="none"/>
        </w:rPr>
        <w:t>总价合同支付</w:t>
      </w:r>
      <w:r>
        <w:rPr>
          <w:rFonts w:hint="eastAsia" w:ascii="宋体" w:hAnsi="宋体" w:eastAsia="宋体" w:cs="宋体"/>
          <w:color w:val="auto"/>
          <w:highlight w:val="none"/>
          <w:u w:val="none"/>
          <w:lang w:eastAsia="zh-CN"/>
        </w:rPr>
        <w:t>分</w:t>
      </w:r>
      <w:r>
        <w:rPr>
          <w:rFonts w:hint="eastAsia" w:ascii="宋体" w:hAnsi="宋体" w:eastAsia="宋体" w:cs="宋体"/>
          <w:color w:val="auto"/>
          <w:highlight w:val="none"/>
          <w:u w:val="none"/>
        </w:rPr>
        <w:t>解表在</w:t>
      </w:r>
      <w:r>
        <w:rPr>
          <w:rFonts w:hint="eastAsia" w:ascii="宋体" w:hAnsi="宋体" w:eastAsia="宋体" w:cs="宋体"/>
          <w:color w:val="auto"/>
          <w:highlight w:val="none"/>
          <w:u w:val="none"/>
          <w:lang w:eastAsia="zh-CN"/>
        </w:rPr>
        <w:t>招标（采购）</w:t>
      </w:r>
      <w:r>
        <w:rPr>
          <w:rFonts w:hint="eastAsia" w:ascii="宋体" w:hAnsi="宋体" w:eastAsia="宋体" w:cs="宋体"/>
          <w:color w:val="auto"/>
          <w:highlight w:val="none"/>
          <w:u w:val="none"/>
        </w:rPr>
        <w:t>完成后由发包人和承包人共同编制</w:t>
      </w:r>
      <w:r>
        <w:rPr>
          <w:rFonts w:hint="eastAsia" w:ascii="宋体" w:hAnsi="宋体" w:eastAsia="宋体" w:cs="宋体"/>
          <w:color w:val="auto"/>
          <w:highlight w:val="none"/>
          <w:u w:val="none"/>
          <w:lang w:eastAsia="zh-CN"/>
        </w:rPr>
        <w:t>，由</w:t>
      </w:r>
      <w:r>
        <w:rPr>
          <w:rFonts w:hint="eastAsia" w:ascii="宋体" w:hAnsi="宋体" w:eastAsia="宋体" w:cs="宋体"/>
          <w:color w:val="auto"/>
          <w:highlight w:val="none"/>
          <w:u w:val="none"/>
        </w:rPr>
        <w:t>发包人审批，并作为本合同内容，具体详见合同附件14。</w:t>
      </w:r>
    </w:p>
    <w:p w14:paraId="1D32867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（2）单价合同的总价项目支付分解表的编制与审批：</w:t>
      </w:r>
      <w:r>
        <w:rPr>
          <w:rFonts w:hint="eastAsia" w:ascii="宋体" w:hAnsi="宋体" w:eastAsia="宋体" w:cs="宋体"/>
          <w:color w:val="auto"/>
          <w:highlight w:val="none"/>
          <w:lang w:eastAsia="zh-CN"/>
        </w:rPr>
        <w:t>单价合同的</w:t>
      </w:r>
      <w:r>
        <w:rPr>
          <w:rFonts w:hint="eastAsia" w:ascii="宋体" w:hAnsi="宋体" w:eastAsia="宋体" w:cs="宋体"/>
          <w:color w:val="auto"/>
          <w:highlight w:val="none"/>
        </w:rPr>
        <w:t>总价项目不采用支付分解表的方式计算</w:t>
      </w:r>
      <w:r>
        <w:rPr>
          <w:rFonts w:hint="eastAsia" w:ascii="宋体" w:hAnsi="宋体" w:eastAsia="宋体" w:cs="宋体"/>
          <w:color w:val="auto"/>
          <w:highlight w:val="none"/>
          <w:lang w:eastAsia="zh-CN"/>
        </w:rPr>
        <w:t>的，具体按</w:t>
      </w:r>
      <w:r>
        <w:rPr>
          <w:rFonts w:hint="eastAsia" w:ascii="宋体" w:hAnsi="宋体" w:eastAsia="宋体" w:cs="宋体"/>
          <w:color w:val="auto"/>
          <w:highlight w:val="none"/>
          <w:lang w:val="en-US" w:eastAsia="zh-CN"/>
        </w:rPr>
        <w:t>12.4.3约定计算</w:t>
      </w:r>
      <w:r>
        <w:rPr>
          <w:rFonts w:hint="eastAsia" w:ascii="宋体" w:hAnsi="宋体" w:eastAsia="宋体" w:cs="宋体"/>
          <w:color w:val="auto"/>
          <w:highlight w:val="none"/>
        </w:rPr>
        <w:t>。</w:t>
      </w:r>
    </w:p>
    <w:p w14:paraId="718D61B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12.4.7</w:t>
      </w:r>
      <w:r>
        <w:rPr>
          <w:rFonts w:hint="eastAsia" w:ascii="宋体" w:hAnsi="宋体" w:eastAsia="宋体" w:cs="宋体"/>
          <w:color w:val="auto"/>
          <w:highlight w:val="none"/>
        </w:rPr>
        <w:t>发承包双方签署确认的进度款工程计量成果不作为工程结算依据。</w:t>
      </w:r>
    </w:p>
    <w:p w14:paraId="7D268842">
      <w:pPr>
        <w:spacing w:line="360" w:lineRule="auto"/>
        <w:ind w:firstLine="643" w:firstLineChars="200"/>
        <w:jc w:val="left"/>
        <w:rPr>
          <w:rFonts w:hint="eastAsia" w:ascii="宋体" w:hAnsi="宋体" w:eastAsia="宋体" w:cs="宋体"/>
          <w:color w:val="auto"/>
          <w:highlight w:val="none"/>
        </w:rPr>
      </w:pPr>
      <w:r>
        <w:rPr>
          <w:rFonts w:hint="eastAsia" w:ascii="宋体" w:hAnsi="宋体" w:eastAsia="宋体" w:cs="宋体"/>
          <w:b/>
          <w:bCs/>
          <w:color w:val="auto"/>
          <w:sz w:val="32"/>
          <w:szCs w:val="32"/>
          <w:highlight w:val="none"/>
          <w:lang w:val="zh-CN" w:eastAsia="zh-CN"/>
        </w:rPr>
        <w:t>1</w:t>
      </w:r>
      <w:r>
        <w:rPr>
          <w:rFonts w:hint="eastAsia" w:ascii="宋体" w:hAnsi="宋体" w:eastAsia="宋体" w:cs="宋体"/>
          <w:b/>
          <w:bCs/>
          <w:color w:val="auto"/>
          <w:sz w:val="32"/>
          <w:szCs w:val="32"/>
          <w:highlight w:val="none"/>
          <w:lang w:val="zh-CN"/>
        </w:rPr>
        <w:t>2.5过程结算</w:t>
      </w:r>
    </w:p>
    <w:p w14:paraId="249BE18C">
      <w:pPr>
        <w:spacing w:line="360" w:lineRule="auto"/>
        <w:ind w:firstLine="525" w:firstLineChars="250"/>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本工程是否实施过程结算：□是       </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否。</w:t>
      </w:r>
    </w:p>
    <w:p w14:paraId="3A0A9CA7">
      <w:pPr>
        <w:spacing w:line="360" w:lineRule="auto"/>
        <w:ind w:firstLine="525" w:firstLineChars="250"/>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12.5.1过程结算节点划分：                      </w:t>
      </w:r>
    </w:p>
    <w:p w14:paraId="46CBFFF6">
      <w:pPr>
        <w:spacing w:line="360" w:lineRule="auto"/>
        <w:ind w:firstLine="525" w:firstLineChars="250"/>
        <w:jc w:val="left"/>
        <w:rPr>
          <w:rFonts w:hint="eastAsia" w:ascii="宋体" w:hAnsi="宋体" w:eastAsia="宋体" w:cs="宋体"/>
          <w:color w:val="auto"/>
          <w:highlight w:val="none"/>
        </w:rPr>
      </w:pPr>
      <w:r>
        <w:rPr>
          <w:rFonts w:hint="eastAsia" w:ascii="宋体" w:hAnsi="宋体" w:eastAsia="宋体" w:cs="宋体"/>
          <w:color w:val="auto"/>
          <w:highlight w:val="none"/>
        </w:rPr>
        <w:t>发承包双方对项目工程过程结算节点的划分如下：</w:t>
      </w:r>
    </w:p>
    <w:p w14:paraId="4CF60D54">
      <w:pPr>
        <w:numPr>
          <w:ilvl w:val="0"/>
          <w:numId w:val="3"/>
        </w:numPr>
        <w:spacing w:line="360" w:lineRule="auto"/>
        <w:ind w:firstLine="525" w:firstLineChars="25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lang w:val="en-US" w:eastAsia="zh-CN"/>
        </w:rPr>
        <w:t xml:space="preserve">   / </w:t>
      </w:r>
    </w:p>
    <w:p w14:paraId="1E620A94">
      <w:pPr>
        <w:spacing w:line="360" w:lineRule="auto"/>
        <w:ind w:firstLine="525" w:firstLineChars="250"/>
        <w:jc w:val="left"/>
        <w:rPr>
          <w:rFonts w:hint="eastAsia" w:ascii="宋体" w:hAnsi="宋体" w:eastAsia="宋体" w:cs="宋体"/>
          <w:color w:val="auto"/>
          <w:highlight w:val="none"/>
        </w:rPr>
      </w:pPr>
      <w:r>
        <w:rPr>
          <w:rFonts w:hint="eastAsia" w:ascii="宋体" w:hAnsi="宋体" w:eastAsia="宋体" w:cs="宋体"/>
          <w:color w:val="auto"/>
          <w:highlight w:val="none"/>
        </w:rPr>
        <w:t>划分提示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发承包双方可根据项目大小合理划分，房屋建筑工程施工过程结算节点可分为土方开挖及基坑支护、桩基工程、地下室工程、地上主体结构工程（可分段）和装饰装修及安装工程（可分专业）等。市政基础设施建筑工程施工过程结算节点可采用分段、分单项或分专业合理划分。</w:t>
      </w:r>
    </w:p>
    <w:p w14:paraId="054E1A4C">
      <w:pPr>
        <w:spacing w:line="360" w:lineRule="auto"/>
        <w:ind w:firstLine="525" w:firstLineChars="250"/>
        <w:jc w:val="left"/>
        <w:rPr>
          <w:rFonts w:hint="eastAsia" w:ascii="宋体" w:hAnsi="宋体" w:eastAsia="宋体" w:cs="宋体"/>
          <w:color w:val="auto"/>
          <w:highlight w:val="none"/>
        </w:rPr>
      </w:pPr>
      <w:r>
        <w:rPr>
          <w:rFonts w:hint="eastAsia" w:ascii="宋体" w:hAnsi="宋体" w:eastAsia="宋体" w:cs="宋体"/>
          <w:color w:val="auto"/>
          <w:highlight w:val="none"/>
        </w:rPr>
        <w:t>12.5.2过程结算程序</w:t>
      </w:r>
    </w:p>
    <w:p w14:paraId="4B590CD8">
      <w:pPr>
        <w:spacing w:line="360" w:lineRule="auto"/>
        <w:ind w:firstLine="525" w:firstLineChars="250"/>
        <w:jc w:val="left"/>
        <w:rPr>
          <w:rFonts w:hint="eastAsia" w:ascii="宋体" w:hAnsi="宋体" w:eastAsia="宋体" w:cs="宋体"/>
          <w:color w:val="auto"/>
          <w:highlight w:val="none"/>
        </w:rPr>
      </w:pPr>
      <w:r>
        <w:rPr>
          <w:rFonts w:hint="eastAsia" w:ascii="宋体" w:hAnsi="宋体" w:eastAsia="宋体" w:cs="宋体"/>
          <w:color w:val="auto"/>
          <w:highlight w:val="none"/>
        </w:rPr>
        <w:t>12.5.2.1过程结算应在结算节点工程质量验收合格后进行。</w:t>
      </w:r>
    </w:p>
    <w:p w14:paraId="0CA9CA65">
      <w:pPr>
        <w:spacing w:line="360" w:lineRule="auto"/>
        <w:ind w:firstLine="525" w:firstLineChars="250"/>
        <w:jc w:val="left"/>
        <w:rPr>
          <w:rFonts w:hint="eastAsia" w:ascii="宋体" w:hAnsi="宋体" w:eastAsia="宋体" w:cs="宋体"/>
          <w:color w:val="auto"/>
          <w:highlight w:val="none"/>
        </w:rPr>
      </w:pPr>
      <w:r>
        <w:rPr>
          <w:rFonts w:hint="eastAsia" w:ascii="宋体" w:hAnsi="宋体" w:eastAsia="宋体" w:cs="宋体"/>
          <w:color w:val="auto"/>
          <w:highlight w:val="none"/>
        </w:rPr>
        <w:t>12.5.2.2发承包双方选择以下第</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种方式完成工程项目的过程结算：</w:t>
      </w:r>
    </w:p>
    <w:p w14:paraId="0A9DDD92">
      <w:pPr>
        <w:spacing w:line="360" w:lineRule="auto"/>
        <w:ind w:firstLine="525" w:firstLineChars="250"/>
        <w:jc w:val="left"/>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合同未约定竣工结算以财政部门意见为准时，承包方应在施工过程结算节点工程验收合格的</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日内（根据过程结算节点工程量约定，但不得超过50天）向发包方递交完整的施工过程结算文件及相应结算资料；发包方收到上述文件资料后应在</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内（根据过程结算节点工程量约定，但审核时限不得超过附表规定的时间）完成施工过程结算的核对、确认。因发包方原因逾期未完成审核或已完成审核但是逾期向承包方提出异议的，可视同发包方认可承包方报送的施工过程结算文件。因承包方原因未在约定期限内 提交施工过程结算文件，发包方可以依据已有资料自行开展施工过程结算活动。</w:t>
      </w:r>
    </w:p>
    <w:p w14:paraId="46DBB89D">
      <w:pPr>
        <w:spacing w:line="360" w:lineRule="auto"/>
        <w:ind w:firstLine="525" w:firstLineChars="250"/>
        <w:jc w:val="left"/>
        <w:rPr>
          <w:rFonts w:hint="eastAsia" w:ascii="宋体" w:hAnsi="宋体" w:eastAsia="宋体" w:cs="宋体"/>
          <w:color w:val="auto"/>
          <w:highlight w:val="none"/>
        </w:rPr>
      </w:pPr>
      <w:r>
        <w:rPr>
          <w:rFonts w:hint="eastAsia" w:ascii="宋体" w:hAnsi="宋体" w:eastAsia="宋体" w:cs="宋体"/>
          <w:color w:val="auto"/>
          <w:highlight w:val="none"/>
        </w:rPr>
        <w:t>施工过程结算发包方审核时限：</w:t>
      </w:r>
    </w:p>
    <w:tbl>
      <w:tblPr>
        <w:tblStyle w:val="37"/>
        <w:tblW w:w="94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3"/>
        <w:gridCol w:w="3049"/>
      </w:tblGrid>
      <w:tr w14:paraId="3EC4F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3" w:type="dxa"/>
            <w:noWrap w:val="0"/>
            <w:vAlign w:val="center"/>
          </w:tcPr>
          <w:p w14:paraId="2BA095D9">
            <w:pPr>
              <w:pStyle w:val="95"/>
              <w:keepNext w:val="0"/>
              <w:keepLines w:val="0"/>
              <w:suppressLineNumbers w:val="0"/>
              <w:spacing w:before="0" w:beforeAutospacing="0" w:after="0" w:afterAutospacing="0" w:line="360" w:lineRule="auto"/>
              <w:ind w:left="420" w:leftChars="200" w:right="0" w:firstLine="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过程结算金额</w:t>
            </w:r>
          </w:p>
        </w:tc>
        <w:tc>
          <w:tcPr>
            <w:tcW w:w="3049" w:type="dxa"/>
            <w:noWrap w:val="0"/>
            <w:vAlign w:val="center"/>
          </w:tcPr>
          <w:p w14:paraId="566DC19D">
            <w:pPr>
              <w:pStyle w:val="95"/>
              <w:keepNext w:val="0"/>
              <w:keepLines w:val="0"/>
              <w:suppressLineNumbers w:val="0"/>
              <w:spacing w:before="0" w:beforeAutospacing="0" w:after="0" w:afterAutospacing="0" w:line="360" w:lineRule="auto"/>
              <w:ind w:left="420" w:leftChars="200" w:right="0" w:firstLine="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审核时间</w:t>
            </w:r>
          </w:p>
        </w:tc>
      </w:tr>
      <w:tr w14:paraId="33752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3" w:type="dxa"/>
            <w:noWrap w:val="0"/>
            <w:vAlign w:val="center"/>
          </w:tcPr>
          <w:p w14:paraId="235BD940">
            <w:pPr>
              <w:pStyle w:val="95"/>
              <w:keepNext w:val="0"/>
              <w:keepLines w:val="0"/>
              <w:suppressLineNumbers w:val="0"/>
              <w:spacing w:before="0" w:beforeAutospacing="0" w:after="0" w:afterAutospacing="0" w:line="360" w:lineRule="auto"/>
              <w:ind w:left="420" w:leftChars="200" w:right="0" w:firstLine="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500万元以下</w:t>
            </w:r>
          </w:p>
        </w:tc>
        <w:tc>
          <w:tcPr>
            <w:tcW w:w="3049" w:type="dxa"/>
            <w:noWrap w:val="0"/>
            <w:vAlign w:val="center"/>
          </w:tcPr>
          <w:p w14:paraId="5B1D0F36">
            <w:pPr>
              <w:pStyle w:val="95"/>
              <w:keepNext w:val="0"/>
              <w:keepLines w:val="0"/>
              <w:suppressLineNumbers w:val="0"/>
              <w:spacing w:before="0" w:beforeAutospacing="0" w:after="0" w:afterAutospacing="0" w:line="360" w:lineRule="auto"/>
              <w:ind w:left="420" w:leftChars="200" w:right="0" w:firstLine="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20天</w:t>
            </w:r>
          </w:p>
        </w:tc>
      </w:tr>
      <w:tr w14:paraId="18A72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3" w:type="dxa"/>
            <w:noWrap w:val="0"/>
            <w:vAlign w:val="center"/>
          </w:tcPr>
          <w:p w14:paraId="6EF01E68">
            <w:pPr>
              <w:pStyle w:val="95"/>
              <w:keepNext w:val="0"/>
              <w:keepLines w:val="0"/>
              <w:suppressLineNumbers w:val="0"/>
              <w:spacing w:before="0" w:beforeAutospacing="0" w:after="0" w:afterAutospacing="0" w:line="360" w:lineRule="auto"/>
              <w:ind w:left="420" w:leftChars="200" w:right="0" w:firstLine="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500万元-2000万元</w:t>
            </w:r>
          </w:p>
        </w:tc>
        <w:tc>
          <w:tcPr>
            <w:tcW w:w="3049" w:type="dxa"/>
            <w:noWrap w:val="0"/>
            <w:vAlign w:val="center"/>
          </w:tcPr>
          <w:p w14:paraId="6A12790F">
            <w:pPr>
              <w:pStyle w:val="95"/>
              <w:keepNext w:val="0"/>
              <w:keepLines w:val="0"/>
              <w:suppressLineNumbers w:val="0"/>
              <w:spacing w:before="0" w:beforeAutospacing="0" w:after="0" w:afterAutospacing="0" w:line="360" w:lineRule="auto"/>
              <w:ind w:left="420" w:leftChars="200" w:right="0" w:firstLine="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30天</w:t>
            </w:r>
          </w:p>
        </w:tc>
      </w:tr>
      <w:tr w14:paraId="42F66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3" w:type="dxa"/>
            <w:noWrap w:val="0"/>
            <w:vAlign w:val="center"/>
          </w:tcPr>
          <w:p w14:paraId="6BEBD500">
            <w:pPr>
              <w:pStyle w:val="95"/>
              <w:keepNext w:val="0"/>
              <w:keepLines w:val="0"/>
              <w:suppressLineNumbers w:val="0"/>
              <w:spacing w:before="0" w:beforeAutospacing="0" w:after="0" w:afterAutospacing="0" w:line="360" w:lineRule="auto"/>
              <w:ind w:left="420" w:leftChars="200" w:right="0" w:firstLine="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2000万元-5000万元</w:t>
            </w:r>
          </w:p>
        </w:tc>
        <w:tc>
          <w:tcPr>
            <w:tcW w:w="3049" w:type="dxa"/>
            <w:noWrap w:val="0"/>
            <w:vAlign w:val="center"/>
          </w:tcPr>
          <w:p w14:paraId="623DFB2E">
            <w:pPr>
              <w:pStyle w:val="95"/>
              <w:keepNext w:val="0"/>
              <w:keepLines w:val="0"/>
              <w:suppressLineNumbers w:val="0"/>
              <w:spacing w:before="0" w:beforeAutospacing="0" w:after="0" w:afterAutospacing="0" w:line="360" w:lineRule="auto"/>
              <w:ind w:left="420" w:leftChars="200" w:right="0" w:firstLine="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45天</w:t>
            </w:r>
          </w:p>
        </w:tc>
      </w:tr>
      <w:tr w14:paraId="0CBDB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3" w:type="dxa"/>
            <w:noWrap w:val="0"/>
            <w:vAlign w:val="center"/>
          </w:tcPr>
          <w:p w14:paraId="735CA10A">
            <w:pPr>
              <w:pStyle w:val="95"/>
              <w:keepNext w:val="0"/>
              <w:keepLines w:val="0"/>
              <w:suppressLineNumbers w:val="0"/>
              <w:spacing w:before="0" w:beforeAutospacing="0" w:after="0" w:afterAutospacing="0" w:line="360" w:lineRule="auto"/>
              <w:ind w:left="420" w:leftChars="200" w:right="0" w:firstLine="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5000万元以上</w:t>
            </w:r>
          </w:p>
        </w:tc>
        <w:tc>
          <w:tcPr>
            <w:tcW w:w="3049" w:type="dxa"/>
            <w:noWrap w:val="0"/>
            <w:vAlign w:val="center"/>
          </w:tcPr>
          <w:p w14:paraId="7E803355">
            <w:pPr>
              <w:pStyle w:val="95"/>
              <w:keepNext w:val="0"/>
              <w:keepLines w:val="0"/>
              <w:suppressLineNumbers w:val="0"/>
              <w:spacing w:before="0" w:beforeAutospacing="0" w:after="0" w:afterAutospacing="0" w:line="360" w:lineRule="auto"/>
              <w:ind w:left="420" w:leftChars="200" w:right="0" w:firstLine="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60天</w:t>
            </w:r>
          </w:p>
        </w:tc>
      </w:tr>
      <w:tr w14:paraId="5DC32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3" w:type="dxa"/>
            <w:noWrap w:val="0"/>
            <w:vAlign w:val="center"/>
          </w:tcPr>
          <w:p w14:paraId="25975C13">
            <w:pPr>
              <w:pStyle w:val="95"/>
              <w:keepNext w:val="0"/>
              <w:keepLines w:val="0"/>
              <w:suppressLineNumbers w:val="0"/>
              <w:spacing w:before="0" w:beforeAutospacing="0" w:after="0" w:afterAutospacing="0" w:line="360" w:lineRule="auto"/>
              <w:ind w:left="420" w:leftChars="200" w:right="0" w:firstLine="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5000万以上每增加0.5亿（不足0.5亿不增加）</w:t>
            </w:r>
          </w:p>
        </w:tc>
        <w:tc>
          <w:tcPr>
            <w:tcW w:w="3049" w:type="dxa"/>
            <w:noWrap w:val="0"/>
            <w:vAlign w:val="center"/>
          </w:tcPr>
          <w:p w14:paraId="58825D8B">
            <w:pPr>
              <w:pStyle w:val="95"/>
              <w:keepNext w:val="0"/>
              <w:keepLines w:val="0"/>
              <w:suppressLineNumbers w:val="0"/>
              <w:spacing w:before="0" w:beforeAutospacing="0" w:after="0" w:afterAutospacing="0" w:line="360" w:lineRule="auto"/>
              <w:ind w:left="420" w:leftChars="200" w:right="0" w:firstLine="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增加10天</w:t>
            </w:r>
          </w:p>
        </w:tc>
      </w:tr>
    </w:tbl>
    <w:p w14:paraId="73494EA2">
      <w:pPr>
        <w:spacing w:line="360" w:lineRule="auto"/>
        <w:ind w:firstLine="525" w:firstLineChars="250"/>
        <w:jc w:val="left"/>
        <w:rPr>
          <w:rFonts w:hint="eastAsia" w:ascii="宋体" w:hAnsi="宋体" w:eastAsia="宋体" w:cs="宋体"/>
          <w:color w:val="auto"/>
          <w:highlight w:val="none"/>
        </w:rPr>
      </w:pPr>
    </w:p>
    <w:p w14:paraId="1F7F364F">
      <w:pPr>
        <w:spacing w:line="360" w:lineRule="auto"/>
        <w:ind w:firstLine="0" w:firstLineChars="0"/>
        <w:jc w:val="left"/>
        <w:rPr>
          <w:rFonts w:hint="eastAsia" w:ascii="宋体" w:hAnsi="宋体" w:eastAsia="宋体" w:cs="宋体"/>
          <w:color w:val="auto"/>
          <w:highlight w:val="none"/>
        </w:rPr>
      </w:pPr>
      <w:r>
        <w:rPr>
          <w:rFonts w:hint="eastAsia" w:ascii="宋体" w:hAnsi="宋体" w:eastAsia="宋体" w:cs="宋体"/>
          <w:color w:val="auto"/>
          <w:highlight w:val="none"/>
          <w:lang w:val="en"/>
        </w:rPr>
        <w:t xml:space="preserve">    </w:t>
      </w:r>
      <w:r>
        <w:rPr>
          <w:rFonts w:hint="eastAsia" w:ascii="宋体" w:hAnsi="宋体" w:eastAsia="宋体" w:cs="宋体"/>
          <w:color w:val="auto"/>
          <w:highlight w:val="none"/>
        </w:rPr>
        <w:t>（2）合同约定竣工结算以财政部门意见为准时，承包方应在施工过程结算节点工程验收合格后的</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天内（根据过程结算节点工程量约定，但不得超过50天）向发包方递交完整的施工过程结算文件及相应结算资料；发包方和财政部门收到上述文件资料后应在</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天内（根据过程结算节点工程量约定，但共同审核时限不得超过附表规定的时间）完成施工过程结算的核对、确认。因发包方和财政部门原因逾期未完成审核或已完成审核但是逾期向承包方提出异议的，应当视同发包方认可承包方报送的施工过程结算文件。因承包方原因未在约定期限内 提交施工过程结算文件，发包方可以依据已有资料自行开展施工过程结算活动。</w:t>
      </w:r>
    </w:p>
    <w:p w14:paraId="4FA08477">
      <w:pPr>
        <w:spacing w:line="360" w:lineRule="auto"/>
        <w:ind w:firstLine="525" w:firstLineChars="250"/>
        <w:jc w:val="left"/>
        <w:rPr>
          <w:rFonts w:hint="eastAsia" w:ascii="宋体" w:hAnsi="宋体" w:eastAsia="宋体" w:cs="宋体"/>
          <w:color w:val="auto"/>
          <w:highlight w:val="none"/>
        </w:rPr>
      </w:pPr>
      <w:r>
        <w:rPr>
          <w:rFonts w:hint="eastAsia" w:ascii="宋体" w:hAnsi="宋体" w:eastAsia="宋体" w:cs="宋体"/>
          <w:color w:val="auto"/>
          <w:highlight w:val="none"/>
        </w:rPr>
        <w:t>施工过程结算发包方与财政部门共同审核时限</w:t>
      </w:r>
    </w:p>
    <w:tbl>
      <w:tblPr>
        <w:tblStyle w:val="37"/>
        <w:tblW w:w="9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1"/>
        <w:gridCol w:w="2918"/>
      </w:tblGrid>
      <w:tr w14:paraId="45606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01" w:type="dxa"/>
            <w:noWrap w:val="0"/>
            <w:vAlign w:val="center"/>
          </w:tcPr>
          <w:p w14:paraId="23EFD0CC">
            <w:pPr>
              <w:pStyle w:val="95"/>
              <w:keepNext w:val="0"/>
              <w:keepLines w:val="0"/>
              <w:suppressLineNumbers w:val="0"/>
              <w:spacing w:before="0" w:beforeAutospacing="0" w:after="0" w:afterAutospacing="0" w:line="360" w:lineRule="auto"/>
              <w:ind w:left="0" w:right="0" w:firstLine="6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过程结算金额</w:t>
            </w:r>
          </w:p>
        </w:tc>
        <w:tc>
          <w:tcPr>
            <w:tcW w:w="2918" w:type="dxa"/>
            <w:noWrap w:val="0"/>
            <w:vAlign w:val="center"/>
          </w:tcPr>
          <w:p w14:paraId="6D50B326">
            <w:pPr>
              <w:pStyle w:val="95"/>
              <w:keepNext w:val="0"/>
              <w:keepLines w:val="0"/>
              <w:suppressLineNumbers w:val="0"/>
              <w:spacing w:before="0" w:beforeAutospacing="0" w:after="0" w:afterAutospacing="0" w:line="360" w:lineRule="auto"/>
              <w:ind w:left="0" w:right="0" w:firstLine="6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审核时间</w:t>
            </w:r>
          </w:p>
        </w:tc>
      </w:tr>
      <w:tr w14:paraId="7E8B7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01" w:type="dxa"/>
            <w:noWrap w:val="0"/>
            <w:vAlign w:val="center"/>
          </w:tcPr>
          <w:p w14:paraId="2ECAA428">
            <w:pPr>
              <w:pStyle w:val="95"/>
              <w:keepNext w:val="0"/>
              <w:keepLines w:val="0"/>
              <w:suppressLineNumbers w:val="0"/>
              <w:spacing w:before="0" w:beforeAutospacing="0" w:after="0" w:afterAutospacing="0" w:line="360" w:lineRule="auto"/>
              <w:ind w:left="0" w:right="0" w:firstLine="6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500万元以下</w:t>
            </w:r>
          </w:p>
        </w:tc>
        <w:tc>
          <w:tcPr>
            <w:tcW w:w="2918" w:type="dxa"/>
            <w:noWrap w:val="0"/>
            <w:vAlign w:val="center"/>
          </w:tcPr>
          <w:p w14:paraId="1CF81BFF">
            <w:pPr>
              <w:pStyle w:val="95"/>
              <w:keepNext w:val="0"/>
              <w:keepLines w:val="0"/>
              <w:suppressLineNumbers w:val="0"/>
              <w:spacing w:before="0" w:beforeAutospacing="0" w:after="0" w:afterAutospacing="0" w:line="360" w:lineRule="auto"/>
              <w:ind w:left="0" w:right="0" w:firstLine="6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40天</w:t>
            </w:r>
          </w:p>
        </w:tc>
      </w:tr>
      <w:tr w14:paraId="4652A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01" w:type="dxa"/>
            <w:noWrap w:val="0"/>
            <w:vAlign w:val="center"/>
          </w:tcPr>
          <w:p w14:paraId="1F1D6A58">
            <w:pPr>
              <w:pStyle w:val="95"/>
              <w:keepNext w:val="0"/>
              <w:keepLines w:val="0"/>
              <w:suppressLineNumbers w:val="0"/>
              <w:spacing w:before="0" w:beforeAutospacing="0" w:after="0" w:afterAutospacing="0" w:line="360" w:lineRule="auto"/>
              <w:ind w:left="0" w:right="0" w:firstLine="6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500万元-2000万元</w:t>
            </w:r>
          </w:p>
        </w:tc>
        <w:tc>
          <w:tcPr>
            <w:tcW w:w="2918" w:type="dxa"/>
            <w:noWrap w:val="0"/>
            <w:vAlign w:val="center"/>
          </w:tcPr>
          <w:p w14:paraId="4B34D599">
            <w:pPr>
              <w:pStyle w:val="95"/>
              <w:keepNext w:val="0"/>
              <w:keepLines w:val="0"/>
              <w:suppressLineNumbers w:val="0"/>
              <w:spacing w:before="0" w:beforeAutospacing="0" w:after="0" w:afterAutospacing="0" w:line="360" w:lineRule="auto"/>
              <w:ind w:left="0" w:right="0" w:firstLine="6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60天</w:t>
            </w:r>
          </w:p>
        </w:tc>
      </w:tr>
      <w:tr w14:paraId="64407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01" w:type="dxa"/>
            <w:noWrap w:val="0"/>
            <w:vAlign w:val="center"/>
          </w:tcPr>
          <w:p w14:paraId="48E51037">
            <w:pPr>
              <w:pStyle w:val="95"/>
              <w:keepNext w:val="0"/>
              <w:keepLines w:val="0"/>
              <w:suppressLineNumbers w:val="0"/>
              <w:spacing w:before="0" w:beforeAutospacing="0" w:after="0" w:afterAutospacing="0" w:line="360" w:lineRule="auto"/>
              <w:ind w:left="0" w:right="0" w:firstLine="6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2000万元-5000万元</w:t>
            </w:r>
          </w:p>
        </w:tc>
        <w:tc>
          <w:tcPr>
            <w:tcW w:w="2918" w:type="dxa"/>
            <w:noWrap w:val="0"/>
            <w:vAlign w:val="center"/>
          </w:tcPr>
          <w:p w14:paraId="0C086D2D">
            <w:pPr>
              <w:pStyle w:val="95"/>
              <w:keepNext w:val="0"/>
              <w:keepLines w:val="0"/>
              <w:suppressLineNumbers w:val="0"/>
              <w:spacing w:before="0" w:beforeAutospacing="0" w:after="0" w:afterAutospacing="0" w:line="360" w:lineRule="auto"/>
              <w:ind w:left="0" w:right="0" w:firstLine="6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90天</w:t>
            </w:r>
          </w:p>
        </w:tc>
      </w:tr>
      <w:tr w14:paraId="212D7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01" w:type="dxa"/>
            <w:noWrap w:val="0"/>
            <w:vAlign w:val="center"/>
          </w:tcPr>
          <w:p w14:paraId="4B753DD5">
            <w:pPr>
              <w:pStyle w:val="95"/>
              <w:keepNext w:val="0"/>
              <w:keepLines w:val="0"/>
              <w:suppressLineNumbers w:val="0"/>
              <w:spacing w:before="0" w:beforeAutospacing="0" w:after="0" w:afterAutospacing="0" w:line="360" w:lineRule="auto"/>
              <w:ind w:left="0" w:right="0" w:firstLine="6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5000万元以上</w:t>
            </w:r>
          </w:p>
        </w:tc>
        <w:tc>
          <w:tcPr>
            <w:tcW w:w="2918" w:type="dxa"/>
            <w:noWrap w:val="0"/>
            <w:vAlign w:val="center"/>
          </w:tcPr>
          <w:p w14:paraId="39CEA376">
            <w:pPr>
              <w:pStyle w:val="95"/>
              <w:keepNext w:val="0"/>
              <w:keepLines w:val="0"/>
              <w:suppressLineNumbers w:val="0"/>
              <w:spacing w:before="0" w:beforeAutospacing="0" w:after="0" w:afterAutospacing="0" w:line="360" w:lineRule="auto"/>
              <w:ind w:left="0" w:right="0" w:firstLine="6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120天</w:t>
            </w:r>
          </w:p>
        </w:tc>
      </w:tr>
      <w:tr w14:paraId="2674F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101" w:type="dxa"/>
            <w:noWrap w:val="0"/>
            <w:vAlign w:val="center"/>
          </w:tcPr>
          <w:p w14:paraId="2FE85C76">
            <w:pPr>
              <w:pStyle w:val="95"/>
              <w:keepNext w:val="0"/>
              <w:keepLines w:val="0"/>
              <w:suppressLineNumbers w:val="0"/>
              <w:spacing w:before="0" w:beforeAutospacing="0" w:after="0" w:afterAutospacing="0" w:line="360" w:lineRule="auto"/>
              <w:ind w:left="0" w:right="0" w:firstLine="6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5000万以上每增加0.5亿（不足0.5亿不增加）</w:t>
            </w:r>
          </w:p>
        </w:tc>
        <w:tc>
          <w:tcPr>
            <w:tcW w:w="2918" w:type="dxa"/>
            <w:noWrap w:val="0"/>
            <w:vAlign w:val="center"/>
          </w:tcPr>
          <w:p w14:paraId="289E1698">
            <w:pPr>
              <w:pStyle w:val="95"/>
              <w:keepNext w:val="0"/>
              <w:keepLines w:val="0"/>
              <w:suppressLineNumbers w:val="0"/>
              <w:spacing w:before="0" w:beforeAutospacing="0" w:after="0" w:afterAutospacing="0" w:line="360" w:lineRule="auto"/>
              <w:ind w:left="0" w:right="0" w:firstLine="6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增加20天</w:t>
            </w:r>
          </w:p>
        </w:tc>
      </w:tr>
    </w:tbl>
    <w:p w14:paraId="3D94AA41">
      <w:pPr>
        <w:spacing w:line="360" w:lineRule="auto"/>
        <w:ind w:firstLine="525" w:firstLineChars="250"/>
        <w:jc w:val="left"/>
        <w:rPr>
          <w:rFonts w:hint="eastAsia" w:ascii="宋体" w:hAnsi="宋体" w:eastAsia="宋体" w:cs="宋体"/>
          <w:color w:val="auto"/>
          <w:highlight w:val="none"/>
        </w:rPr>
      </w:pPr>
    </w:p>
    <w:p w14:paraId="1A5D5540">
      <w:pPr>
        <w:spacing w:line="360" w:lineRule="auto"/>
        <w:ind w:firstLine="525" w:firstLineChars="250"/>
        <w:jc w:val="left"/>
        <w:rPr>
          <w:rFonts w:hint="eastAsia" w:ascii="宋体" w:hAnsi="宋体" w:eastAsia="宋体" w:cs="宋体"/>
          <w:color w:val="auto"/>
          <w:highlight w:val="none"/>
        </w:rPr>
      </w:pPr>
    </w:p>
    <w:p w14:paraId="7B434B01">
      <w:pPr>
        <w:spacing w:line="360" w:lineRule="auto"/>
        <w:ind w:firstLine="525" w:firstLineChars="250"/>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12.5.3过程结算文件要求 </w:t>
      </w:r>
    </w:p>
    <w:p w14:paraId="563D50A1">
      <w:pPr>
        <w:spacing w:line="360" w:lineRule="auto"/>
        <w:ind w:firstLine="525" w:firstLineChars="250"/>
        <w:jc w:val="left"/>
        <w:rPr>
          <w:rFonts w:hint="eastAsia" w:ascii="宋体" w:hAnsi="宋体" w:eastAsia="宋体" w:cs="宋体"/>
          <w:color w:val="auto"/>
          <w:highlight w:val="none"/>
        </w:rPr>
      </w:pPr>
      <w:r>
        <w:rPr>
          <w:rFonts w:hint="eastAsia" w:ascii="宋体" w:hAnsi="宋体" w:eastAsia="宋体" w:cs="宋体"/>
          <w:color w:val="auto"/>
          <w:highlight w:val="none"/>
        </w:rPr>
        <w:t>过程结算文件应按竣工结算文件要求进行编制，若合同约定竣工结算以财政部门意见为准，过程结算文件应当按照财政部门的要求进行编制。资料包括施工合同、补充协议、中标</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成交</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通知书、施工图纸、工程招标</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 xml:space="preserve"> 投标</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文件、施工方案、工程量及其相应单价以及各项费用计算、经确认的工程变更、现场签证、工程索赔、扣款扣费文件等。过程结算文件经发承包双方签字认可或符合</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视同认可</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的条件后，直接作为编制竣工结算文件的依据，结算时发包人不得对上述过程结算文件重复审核。过程结算款</w:t>
      </w:r>
      <w:r>
        <w:rPr>
          <w:rFonts w:hint="eastAsia" w:ascii="宋体" w:hAnsi="宋体" w:eastAsia="宋体" w:cs="宋体"/>
          <w:color w:val="auto"/>
          <w:szCs w:val="21"/>
          <w:highlight w:val="none"/>
          <w:lang w:val="zh-TW"/>
        </w:rPr>
        <w:t>支付申请应</w:t>
      </w:r>
      <w:r>
        <w:rPr>
          <w:rFonts w:hint="eastAsia" w:ascii="宋体" w:hAnsi="宋体" w:eastAsia="宋体" w:cs="宋体"/>
          <w:color w:val="auto"/>
          <w:szCs w:val="21"/>
          <w:highlight w:val="none"/>
          <w:lang w:val="zh-TW" w:eastAsia="zh-CN"/>
        </w:rPr>
        <w:t>按</w:t>
      </w:r>
      <w:r>
        <w:rPr>
          <w:rFonts w:hint="eastAsia" w:ascii="宋体" w:hAnsi="宋体" w:eastAsia="宋体" w:cs="宋体"/>
          <w:color w:val="auto"/>
          <w:szCs w:val="21"/>
          <w:highlight w:val="none"/>
          <w:lang w:val="en" w:eastAsia="zh-CN"/>
        </w:rPr>
        <w:t>附件</w:t>
      </w:r>
      <w:r>
        <w:rPr>
          <w:rFonts w:hint="eastAsia" w:ascii="宋体" w:hAnsi="宋体" w:eastAsia="宋体" w:cs="宋体"/>
          <w:color w:val="auto"/>
          <w:szCs w:val="21"/>
          <w:highlight w:val="none"/>
          <w:lang w:val="en-US" w:eastAsia="zh-CN"/>
        </w:rPr>
        <w:t>11进度款支付申请（核准）表填写</w:t>
      </w:r>
      <w:r>
        <w:rPr>
          <w:rFonts w:hint="eastAsia" w:ascii="宋体" w:hAnsi="宋体" w:eastAsia="宋体" w:cs="宋体"/>
          <w:color w:val="auto"/>
          <w:highlight w:val="none"/>
        </w:rPr>
        <w:t>。</w:t>
      </w:r>
    </w:p>
    <w:p w14:paraId="19454F53">
      <w:pPr>
        <w:spacing w:line="360" w:lineRule="auto"/>
        <w:ind w:firstLine="525" w:firstLineChars="250"/>
        <w:jc w:val="left"/>
        <w:rPr>
          <w:rFonts w:hint="eastAsia" w:ascii="宋体" w:hAnsi="宋体" w:eastAsia="宋体" w:cs="宋体"/>
          <w:color w:val="auto"/>
          <w:highlight w:val="none"/>
        </w:rPr>
      </w:pPr>
      <w:r>
        <w:rPr>
          <w:rFonts w:hint="eastAsia" w:ascii="宋体" w:hAnsi="宋体" w:eastAsia="宋体" w:cs="宋体"/>
          <w:color w:val="auto"/>
          <w:highlight w:val="none"/>
        </w:rPr>
        <w:t>12.5.4过程结算支付时间及支付比例</w:t>
      </w:r>
    </w:p>
    <w:p w14:paraId="177E8DC1">
      <w:pPr>
        <w:spacing w:line="360" w:lineRule="auto"/>
        <w:ind w:firstLine="525" w:firstLineChars="250"/>
        <w:jc w:val="left"/>
        <w:rPr>
          <w:rFonts w:hint="eastAsia" w:ascii="宋体" w:hAnsi="宋体" w:eastAsia="宋体" w:cs="宋体"/>
          <w:color w:val="auto"/>
          <w:highlight w:val="none"/>
        </w:rPr>
      </w:pPr>
      <w:r>
        <w:rPr>
          <w:rFonts w:hint="eastAsia" w:ascii="宋体" w:hAnsi="宋体" w:eastAsia="宋体" w:cs="宋体"/>
          <w:color w:val="auto"/>
          <w:highlight w:val="none"/>
        </w:rPr>
        <w:t>（1）支付时间：在发承包双方签字确认过程结算文件后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天内按照合同约定的付款比例支付；</w:t>
      </w:r>
    </w:p>
    <w:p w14:paraId="2F31B784">
      <w:pPr>
        <w:spacing w:line="360" w:lineRule="auto"/>
        <w:ind w:firstLine="525" w:firstLineChars="250"/>
        <w:jc w:val="left"/>
        <w:rPr>
          <w:rFonts w:hint="eastAsia" w:ascii="宋体" w:hAnsi="宋体" w:eastAsia="宋体" w:cs="宋体"/>
          <w:color w:val="auto"/>
          <w:highlight w:val="none"/>
        </w:rPr>
      </w:pPr>
      <w:r>
        <w:rPr>
          <w:rFonts w:hint="eastAsia" w:ascii="宋体" w:hAnsi="宋体" w:eastAsia="宋体" w:cs="宋体"/>
          <w:color w:val="auto"/>
          <w:highlight w:val="none"/>
        </w:rPr>
        <w:t>（2）支付比例：按过程结算工程造价的</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%（取值区间</w:t>
      </w:r>
      <w:r>
        <w:rPr>
          <w:rFonts w:hint="eastAsia" w:ascii="宋体" w:hAnsi="宋体" w:eastAsia="宋体" w:cs="宋体"/>
          <w:color w:val="auto"/>
          <w:highlight w:val="none"/>
          <w:lang w:eastAsia="zh-CN"/>
        </w:rPr>
        <w:t>90%—97%</w:t>
      </w:r>
      <w:r>
        <w:rPr>
          <w:rFonts w:hint="eastAsia" w:ascii="宋体" w:hAnsi="宋体" w:eastAsia="宋体" w:cs="宋体"/>
          <w:color w:val="auto"/>
          <w:highlight w:val="none"/>
        </w:rPr>
        <w:t>）</w:t>
      </w:r>
    </w:p>
    <w:p w14:paraId="3DB6623F">
      <w:pPr>
        <w:pStyle w:val="3"/>
        <w:rPr>
          <w:rFonts w:hint="eastAsia" w:ascii="宋体" w:hAnsi="宋体" w:eastAsia="宋体" w:cs="宋体"/>
          <w:color w:val="auto"/>
          <w:highlight w:val="none"/>
        </w:rPr>
      </w:pPr>
      <w:bookmarkStart w:id="381" w:name="_Toc29308"/>
      <w:r>
        <w:rPr>
          <w:rFonts w:hint="eastAsia" w:ascii="宋体" w:hAnsi="宋体" w:eastAsia="宋体" w:cs="宋体"/>
          <w:color w:val="auto"/>
          <w:highlight w:val="none"/>
        </w:rPr>
        <w:t>13. 验收和工程试车</w:t>
      </w:r>
      <w:bookmarkEnd w:id="381"/>
    </w:p>
    <w:p w14:paraId="0AE6F72F">
      <w:pPr>
        <w:pStyle w:val="4"/>
        <w:rPr>
          <w:rFonts w:hint="eastAsia" w:ascii="宋体" w:hAnsi="宋体" w:eastAsia="宋体" w:cs="宋体"/>
          <w:color w:val="auto"/>
          <w:highlight w:val="none"/>
        </w:rPr>
      </w:pPr>
      <w:bookmarkStart w:id="382" w:name="_Toc23263"/>
      <w:bookmarkStart w:id="383" w:name="_Toc26423"/>
      <w:r>
        <w:rPr>
          <w:rFonts w:hint="eastAsia" w:ascii="宋体" w:hAnsi="宋体" w:eastAsia="宋体" w:cs="宋体"/>
          <w:color w:val="auto"/>
          <w:highlight w:val="none"/>
        </w:rPr>
        <w:t>13.1 分部分项工程验收</w:t>
      </w:r>
      <w:bookmarkEnd w:id="382"/>
      <w:bookmarkEnd w:id="383"/>
    </w:p>
    <w:p w14:paraId="44ABE2E2">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13.1.2监理人不能按时进行验收时，应提前</w:t>
      </w:r>
      <w:r>
        <w:rPr>
          <w:rFonts w:hint="eastAsia" w:ascii="宋体" w:hAnsi="宋体" w:eastAsia="宋体" w:cs="宋体"/>
          <w:color w:val="auto"/>
          <w:highlight w:val="none"/>
          <w:u w:val="single"/>
        </w:rPr>
        <w:t xml:space="preserve"> </w:t>
      </w:r>
      <w:r>
        <w:rPr>
          <w:color w:val="auto"/>
          <w:highlight w:val="none"/>
          <w:u w:val="single"/>
        </w:rPr>
        <w:t>24</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小时提交书面延期要求。</w:t>
      </w:r>
    </w:p>
    <w:p w14:paraId="4113B99A">
      <w:pPr>
        <w:spacing w:line="360" w:lineRule="auto"/>
        <w:ind w:firstLine="420" w:firstLineChars="200"/>
        <w:jc w:val="left"/>
        <w:rPr>
          <w:rFonts w:hint="eastAsia" w:ascii="宋体" w:hAnsi="宋体" w:eastAsia="宋体" w:cs="宋体"/>
          <w:b/>
          <w:bCs/>
          <w:color w:val="auto"/>
          <w:highlight w:val="none"/>
        </w:rPr>
      </w:pPr>
      <w:r>
        <w:rPr>
          <w:rFonts w:hint="eastAsia" w:ascii="宋体" w:hAnsi="宋体" w:eastAsia="宋体" w:cs="宋体"/>
          <w:color w:val="auto"/>
          <w:highlight w:val="none"/>
        </w:rPr>
        <w:t>关于延期最长不得超过：</w:t>
      </w:r>
      <w:r>
        <w:rPr>
          <w:rFonts w:hint="eastAsia" w:ascii="宋体" w:hAnsi="宋体" w:eastAsia="宋体" w:cs="宋体"/>
          <w:color w:val="auto"/>
          <w:highlight w:val="none"/>
          <w:u w:val="single"/>
        </w:rPr>
        <w:t xml:space="preserve"> </w:t>
      </w:r>
      <w:r>
        <w:rPr>
          <w:color w:val="auto"/>
          <w:highlight w:val="none"/>
          <w:u w:val="single"/>
        </w:rPr>
        <w:t>48</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小时。</w:t>
      </w:r>
    </w:p>
    <w:p w14:paraId="2945D4C5">
      <w:pPr>
        <w:pStyle w:val="4"/>
        <w:rPr>
          <w:rFonts w:hint="eastAsia" w:ascii="宋体" w:hAnsi="宋体" w:eastAsia="宋体" w:cs="宋体"/>
          <w:color w:val="auto"/>
          <w:highlight w:val="none"/>
        </w:rPr>
      </w:pPr>
      <w:bookmarkStart w:id="384" w:name="_Toc8842"/>
      <w:bookmarkStart w:id="385" w:name="_Toc24981"/>
      <w:r>
        <w:rPr>
          <w:rFonts w:hint="eastAsia" w:ascii="宋体" w:hAnsi="宋体" w:eastAsia="宋体" w:cs="宋体"/>
          <w:color w:val="auto"/>
          <w:highlight w:val="none"/>
        </w:rPr>
        <w:t>13.2 竣工验收</w:t>
      </w:r>
      <w:bookmarkEnd w:id="384"/>
      <w:bookmarkEnd w:id="385"/>
    </w:p>
    <w:p w14:paraId="2017DFCD">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13.2.1竣工验收条件</w:t>
      </w:r>
    </w:p>
    <w:p w14:paraId="1DEE0A8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（3）承包人负责整理和提交的竣工验收资料应当符合工程所在地建设行政主管部门和</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或</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城市建设档案管理机构有关施工资料的要求，具体内容包括：</w:t>
      </w:r>
      <w:r>
        <w:rPr>
          <w:rFonts w:hint="eastAsia" w:ascii="宋体" w:hAnsi="宋体" w:eastAsia="宋体" w:cs="宋体"/>
          <w:color w:val="auto"/>
          <w:highlight w:val="none"/>
          <w:u w:val="single"/>
        </w:rPr>
        <w:t xml:space="preserve">  </w:t>
      </w:r>
      <w:r>
        <w:rPr>
          <w:color w:val="auto"/>
          <w:highlight w:val="none"/>
          <w:u w:val="single"/>
        </w:rPr>
        <w:t>按通用合同条款13.2执行</w:t>
      </w:r>
      <w:r>
        <w:rPr>
          <w:rFonts w:hint="eastAsia" w:ascii="宋体" w:hAnsi="宋体" w:eastAsia="宋体" w:cs="宋体"/>
          <w:color w:val="auto"/>
          <w:highlight w:val="none"/>
        </w:rPr>
        <w:t>。</w:t>
      </w:r>
    </w:p>
    <w:p w14:paraId="1701A54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竣工验收资料的份数：</w:t>
      </w:r>
      <w:r>
        <w:rPr>
          <w:rFonts w:hint="eastAsia" w:ascii="宋体" w:hAnsi="宋体" w:eastAsia="宋体" w:cs="宋体"/>
          <w:color w:val="auto"/>
          <w:highlight w:val="none"/>
          <w:u w:val="single"/>
        </w:rPr>
        <w:t xml:space="preserve"> </w:t>
      </w:r>
      <w:r>
        <w:rPr>
          <w:color w:val="auto"/>
          <w:highlight w:val="none"/>
          <w:u w:val="single"/>
        </w:rPr>
        <w:t>一式两份（含电子版），如发包人有需求，按发包人要求提供</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2ADA45CD">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承包人提供竣工图的约定：</w:t>
      </w:r>
      <w:r>
        <w:rPr>
          <w:rFonts w:hint="eastAsia" w:ascii="宋体" w:hAnsi="宋体" w:eastAsia="宋体" w:cs="宋体"/>
          <w:color w:val="auto"/>
          <w:highlight w:val="none"/>
          <w:u w:val="single"/>
        </w:rPr>
        <w:t>竣工验收正式通过后5天（工程造价在500万元以下含500万元），提供竣工图的数量分别为2套。</w:t>
      </w:r>
    </w:p>
    <w:p w14:paraId="667F2A1E">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13.2.2竣工验收程序</w:t>
      </w:r>
    </w:p>
    <w:p w14:paraId="0F7B0B7C">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关于竣工验收程序的约定：</w:t>
      </w:r>
      <w:r>
        <w:rPr>
          <w:rFonts w:hint="eastAsia" w:ascii="宋体" w:hAnsi="宋体" w:eastAsia="宋体" w:cs="宋体"/>
          <w:color w:val="auto"/>
          <w:highlight w:val="none"/>
          <w:u w:val="single"/>
        </w:rPr>
        <w:t xml:space="preserve">  承包人负责整理和提交的竣工验收资料应当符合工程所在单位和(或)城市建设档案管理机构有关施工资料的要求，具体内容包括：①工程具备竣工验收条件，承包人按工程竣工验收有关规定，15天内向发包人提交符合要求内容装订成册的完整竣工资料及竣工验收报告、工程竣工图；②承包人所提交的竣工资料必须符合《建设工程文件归档整理规范》要求</w:t>
      </w:r>
      <w:r>
        <w:rPr>
          <w:rFonts w:hint="eastAsia" w:ascii="宋体" w:hAnsi="宋体" w:eastAsia="宋体" w:cs="宋体"/>
          <w:color w:val="auto"/>
          <w:highlight w:val="none"/>
        </w:rPr>
        <w:t>。</w:t>
      </w:r>
    </w:p>
    <w:p w14:paraId="6EDDFD04">
      <w:pPr>
        <w:spacing w:line="360" w:lineRule="auto"/>
        <w:jc w:val="left"/>
        <w:rPr>
          <w:rFonts w:hint="eastAsia" w:ascii="宋体" w:hAnsi="宋体" w:eastAsia="宋体" w:cs="宋体"/>
          <w:color w:val="auto"/>
          <w:highlight w:val="none"/>
        </w:rPr>
      </w:pPr>
      <w:r>
        <w:rPr>
          <w:rFonts w:hint="eastAsia" w:ascii="宋体" w:hAnsi="宋体" w:eastAsia="宋体" w:cs="宋体"/>
          <w:color w:val="auto"/>
          <w:kern w:val="0"/>
          <w:highlight w:val="none"/>
        </w:rPr>
        <w:t>发包人不按照本项约定组织竣工验收、颁发工程接收证书的违约金的计算方法：</w:t>
      </w:r>
      <w:r>
        <w:rPr>
          <w:rFonts w:hint="eastAsia" w:ascii="宋体" w:hAnsi="宋体" w:eastAsia="宋体" w:cs="宋体"/>
          <w:color w:val="auto"/>
          <w:highlight w:val="none"/>
          <w:u w:val="single"/>
        </w:rPr>
        <w:t xml:space="preserve"> </w:t>
      </w:r>
      <w:r>
        <w:rPr>
          <w:color w:val="auto"/>
          <w:szCs w:val="21"/>
          <w:highlight w:val="none"/>
          <w:u w:val="single"/>
        </w:rPr>
        <w:t>无</w:t>
      </w:r>
      <w:r>
        <w:rPr>
          <w:rFonts w:hint="eastAsia" w:ascii="宋体" w:hAnsi="宋体" w:eastAsia="宋体" w:cs="宋体"/>
          <w:color w:val="auto"/>
          <w:highlight w:val="none"/>
        </w:rPr>
        <w:t>。</w:t>
      </w:r>
    </w:p>
    <w:p w14:paraId="3DF1E879">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13.2.5移交、接收全部与部分工程</w:t>
      </w:r>
    </w:p>
    <w:p w14:paraId="1B5137DD">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承包人向发包人移交工程的期限：</w:t>
      </w:r>
      <w:r>
        <w:rPr>
          <w:rFonts w:hint="eastAsia" w:ascii="宋体" w:hAnsi="宋体" w:eastAsia="宋体" w:cs="宋体"/>
          <w:color w:val="auto"/>
          <w:highlight w:val="none"/>
          <w:u w:val="single"/>
        </w:rPr>
        <w:t xml:space="preserve">  </w:t>
      </w:r>
      <w:r>
        <w:rPr>
          <w:color w:val="auto"/>
          <w:szCs w:val="21"/>
          <w:highlight w:val="none"/>
          <w:u w:val="single"/>
        </w:rPr>
        <w:t>颁发工程接收证书后 7日内</w:t>
      </w:r>
      <w:r>
        <w:rPr>
          <w:rFonts w:hint="eastAsia" w:ascii="宋体" w:hAnsi="宋体" w:eastAsia="宋体" w:cs="宋体"/>
          <w:color w:val="auto"/>
          <w:highlight w:val="none"/>
        </w:rPr>
        <w:t>。</w:t>
      </w:r>
    </w:p>
    <w:p w14:paraId="6BCFD638">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发包人未按本合同约定接收全部或部分工程的，违约金的计算方法为：</w:t>
      </w:r>
      <w:r>
        <w:rPr>
          <w:rFonts w:hint="eastAsia" w:ascii="宋体" w:hAnsi="宋体" w:eastAsia="宋体" w:cs="宋体"/>
          <w:color w:val="auto"/>
          <w:highlight w:val="none"/>
          <w:u w:val="single"/>
        </w:rPr>
        <w:t xml:space="preserve"> </w:t>
      </w:r>
      <w:r>
        <w:rPr>
          <w:bCs/>
          <w:color w:val="auto"/>
          <w:szCs w:val="21"/>
          <w:highlight w:val="none"/>
          <w:u w:val="single"/>
        </w:rPr>
        <w:t>无</w:t>
      </w:r>
      <w:r>
        <w:rPr>
          <w:rFonts w:hint="eastAsia" w:ascii="宋体" w:hAnsi="宋体" w:eastAsia="宋体" w:cs="宋体"/>
          <w:color w:val="auto"/>
          <w:highlight w:val="none"/>
        </w:rPr>
        <w:t>。</w:t>
      </w:r>
    </w:p>
    <w:p w14:paraId="45537BFD">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承包人未按时移交工程的，违约金的计算方法为：</w:t>
      </w:r>
      <w:r>
        <w:rPr>
          <w:rFonts w:hint="eastAsia" w:ascii="宋体" w:hAnsi="宋体" w:eastAsia="宋体" w:cs="宋体"/>
          <w:color w:val="auto"/>
          <w:highlight w:val="none"/>
          <w:u w:val="single"/>
        </w:rPr>
        <w:t xml:space="preserve">  按逾期竣工的单项工程</w:t>
      </w:r>
      <w:r>
        <w:rPr>
          <w:rFonts w:hint="eastAsia" w:ascii="宋体" w:hAnsi="宋体" w:eastAsia="宋体" w:cs="宋体"/>
          <w:color w:val="auto"/>
          <w:highlight w:val="none"/>
          <w:u w:val="single"/>
          <w:lang w:val="en-US" w:eastAsia="zh-CN"/>
        </w:rPr>
        <w:t>处违约金</w:t>
      </w:r>
      <w:r>
        <w:rPr>
          <w:rFonts w:hint="eastAsia" w:ascii="宋体" w:hAnsi="宋体" w:eastAsia="宋体" w:cs="宋体"/>
          <w:color w:val="auto"/>
          <w:highlight w:val="none"/>
          <w:u w:val="single"/>
        </w:rPr>
        <w:t>，每延误一天</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 xml:space="preserve">按单项工程应支付给承包人的结算造价的万分之 </w:t>
      </w:r>
      <w:r>
        <w:rPr>
          <w:rFonts w:hint="eastAsia" w:ascii="宋体" w:hAnsi="宋体" w:eastAsia="宋体" w:cs="宋体"/>
          <w:color w:val="auto"/>
          <w:highlight w:val="none"/>
          <w:u w:val="single"/>
          <w:lang w:val="en-US" w:eastAsia="zh-CN"/>
        </w:rPr>
        <w:t>三</w:t>
      </w:r>
      <w:r>
        <w:rPr>
          <w:rFonts w:hint="eastAsia" w:ascii="宋体" w:hAnsi="宋体" w:eastAsia="宋体" w:cs="宋体"/>
          <w:color w:val="auto"/>
          <w:highlight w:val="none"/>
          <w:u w:val="single"/>
        </w:rPr>
        <w:t xml:space="preserve"> 处</w:t>
      </w:r>
      <w:r>
        <w:rPr>
          <w:rFonts w:hint="eastAsia" w:ascii="宋体" w:hAnsi="宋体" w:eastAsia="宋体" w:cs="宋体"/>
          <w:color w:val="auto"/>
          <w:highlight w:val="none"/>
          <w:u w:val="single"/>
          <w:lang w:val="en-US" w:eastAsia="zh-CN"/>
        </w:rPr>
        <w:t>以违约金</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lang w:val="en-US" w:eastAsia="zh-CN"/>
        </w:rPr>
        <w:t>违约金</w:t>
      </w:r>
      <w:r>
        <w:rPr>
          <w:rFonts w:hint="eastAsia" w:ascii="宋体" w:hAnsi="宋体" w:eastAsia="宋体" w:cs="宋体"/>
          <w:color w:val="auto"/>
          <w:highlight w:val="none"/>
          <w:u w:val="single"/>
        </w:rPr>
        <w:t>直接从结算款中扣除。误期时间</w:t>
      </w:r>
      <w:r>
        <w:rPr>
          <w:rFonts w:hint="eastAsia" w:ascii="宋体" w:hAnsi="宋体" w:eastAsia="宋体" w:cs="宋体"/>
          <w:color w:val="auto"/>
          <w:highlight w:val="none"/>
          <w:u w:val="single"/>
          <w:lang w:val="en-US" w:eastAsia="zh-CN"/>
        </w:rPr>
        <w:t>指</w:t>
      </w:r>
      <w:r>
        <w:rPr>
          <w:rFonts w:hint="eastAsia" w:ascii="宋体" w:hAnsi="宋体" w:eastAsia="宋体" w:cs="宋体"/>
          <w:color w:val="auto"/>
          <w:highlight w:val="none"/>
          <w:u w:val="single"/>
        </w:rPr>
        <w:t>从规定竣工日期起直到实际竣工日期</w:t>
      </w:r>
      <w:r>
        <w:rPr>
          <w:rFonts w:hint="eastAsia" w:ascii="宋体" w:hAnsi="宋体" w:eastAsia="宋体" w:cs="宋体"/>
          <w:color w:val="auto"/>
          <w:highlight w:val="none"/>
          <w:u w:val="single"/>
          <w:lang w:val="en-US" w:eastAsia="zh-CN"/>
        </w:rPr>
        <w:t>止</w:t>
      </w:r>
      <w:r>
        <w:rPr>
          <w:rFonts w:hint="eastAsia" w:ascii="宋体" w:hAnsi="宋体" w:eastAsia="宋体" w:cs="宋体"/>
          <w:color w:val="auto"/>
          <w:highlight w:val="none"/>
          <w:u w:val="single"/>
        </w:rPr>
        <w:t>的天数（扣除发包人批准顺延的工期）</w:t>
      </w:r>
      <w:r>
        <w:rPr>
          <w:rFonts w:hint="eastAsia" w:ascii="宋体" w:hAnsi="宋体" w:eastAsia="宋体" w:cs="宋体"/>
          <w:color w:val="auto"/>
          <w:highlight w:val="none"/>
        </w:rPr>
        <w:t>。</w:t>
      </w:r>
    </w:p>
    <w:p w14:paraId="59C248DF">
      <w:pPr>
        <w:pStyle w:val="4"/>
        <w:rPr>
          <w:rFonts w:hint="eastAsia" w:ascii="宋体" w:hAnsi="宋体" w:eastAsia="宋体" w:cs="宋体"/>
          <w:color w:val="auto"/>
          <w:highlight w:val="none"/>
        </w:rPr>
      </w:pPr>
      <w:bookmarkStart w:id="386" w:name="_Toc24630"/>
      <w:bookmarkStart w:id="387" w:name="_Toc1727"/>
      <w:r>
        <w:rPr>
          <w:rFonts w:hint="eastAsia" w:ascii="宋体" w:hAnsi="宋体" w:eastAsia="宋体" w:cs="宋体"/>
          <w:color w:val="auto"/>
          <w:highlight w:val="none"/>
        </w:rPr>
        <w:t>13.3 工程试车</w:t>
      </w:r>
      <w:bookmarkEnd w:id="386"/>
      <w:bookmarkEnd w:id="387"/>
    </w:p>
    <w:p w14:paraId="613BF3C9">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13.3.1 试车程序</w:t>
      </w:r>
    </w:p>
    <w:p w14:paraId="3909BC97">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工程试车内容：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rPr>
        <w:t>。</w:t>
      </w:r>
    </w:p>
    <w:p w14:paraId="5825A7BB">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（1）单机无负荷试车费用由</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highlight w:val="none"/>
        </w:rPr>
        <w:t>承担；</w:t>
      </w:r>
    </w:p>
    <w:p w14:paraId="34B0A79B">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（2）无负荷联动试车费用由</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highlight w:val="none"/>
        </w:rPr>
        <w:t>承担。</w:t>
      </w:r>
    </w:p>
    <w:p w14:paraId="526F2DE8">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13.3.3 投料试车</w:t>
      </w:r>
    </w:p>
    <w:p w14:paraId="6AAB305B">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关于投料试车相关事项的约定：</w:t>
      </w:r>
      <w:r>
        <w:rPr>
          <w:rFonts w:hint="eastAsia" w:ascii="宋体" w:hAnsi="宋体" w:eastAsia="宋体" w:cs="宋体"/>
          <w:color w:val="auto"/>
          <w:highlight w:val="none"/>
          <w:u w:val="single"/>
        </w:rPr>
        <w:t xml:space="preserve">  </w:t>
      </w:r>
      <w:r>
        <w:rPr>
          <w:color w:val="auto"/>
          <w:szCs w:val="21"/>
          <w:highlight w:val="none"/>
          <w:u w:val="single"/>
        </w:rPr>
        <w:t>无</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69CEDE71">
      <w:pPr>
        <w:pStyle w:val="4"/>
        <w:rPr>
          <w:rFonts w:hint="eastAsia" w:ascii="宋体" w:hAnsi="宋体" w:eastAsia="宋体" w:cs="宋体"/>
          <w:color w:val="auto"/>
          <w:highlight w:val="none"/>
        </w:rPr>
      </w:pPr>
      <w:bookmarkStart w:id="388" w:name="_Toc12147"/>
      <w:bookmarkStart w:id="389" w:name="_Toc22225"/>
      <w:r>
        <w:rPr>
          <w:rFonts w:hint="eastAsia" w:ascii="宋体" w:hAnsi="宋体" w:eastAsia="宋体" w:cs="宋体"/>
          <w:color w:val="auto"/>
          <w:highlight w:val="none"/>
        </w:rPr>
        <w:t>13.6 竣工退场</w:t>
      </w:r>
      <w:bookmarkEnd w:id="388"/>
      <w:bookmarkEnd w:id="389"/>
    </w:p>
    <w:p w14:paraId="21E433C1">
      <w:pPr>
        <w:spacing w:line="360" w:lineRule="auto"/>
        <w:ind w:firstLine="420" w:firstLineChars="200"/>
        <w:jc w:val="left"/>
        <w:outlineLvl w:val="0"/>
        <w:rPr>
          <w:rFonts w:hint="eastAsia" w:ascii="宋体" w:hAnsi="宋体" w:eastAsia="宋体" w:cs="宋体"/>
          <w:color w:val="auto"/>
          <w:kern w:val="0"/>
          <w:highlight w:val="none"/>
        </w:rPr>
      </w:pPr>
      <w:bookmarkStart w:id="390" w:name="_Toc25571"/>
      <w:r>
        <w:rPr>
          <w:rFonts w:hint="eastAsia" w:ascii="宋体" w:hAnsi="宋体" w:eastAsia="宋体" w:cs="宋体"/>
          <w:color w:val="auto"/>
          <w:kern w:val="0"/>
          <w:highlight w:val="none"/>
        </w:rPr>
        <w:t>13.6.1 竣工退场</w:t>
      </w:r>
      <w:bookmarkEnd w:id="390"/>
    </w:p>
    <w:p w14:paraId="0DE49CAC">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承包人完成竣工退场的期限：</w:t>
      </w:r>
      <w:r>
        <w:rPr>
          <w:rFonts w:hint="eastAsia" w:ascii="宋体" w:hAnsi="宋体" w:eastAsia="宋体" w:cs="宋体"/>
          <w:color w:val="auto"/>
          <w:highlight w:val="none"/>
          <w:u w:val="single"/>
        </w:rPr>
        <w:t xml:space="preserve">  </w:t>
      </w:r>
      <w:r>
        <w:rPr>
          <w:color w:val="auto"/>
          <w:highlight w:val="none"/>
          <w:u w:val="single"/>
        </w:rPr>
        <w:t>颁发（出具）工程接收证书后7天内，承包人负责按照通用条款本项约定的要求对施工场地进行清理并承担相关费用，直至监理人检验合格为止。承包人的人员逾期撤出施工场地的，按每人每天500元支付违约金给发包人。机械设备和其他财产逾期撤离施工现场的，视为承包人放弃所有权，任由发包人处置，处置所得收益归发包人所有</w:t>
      </w:r>
      <w:r>
        <w:rPr>
          <w:rFonts w:hint="eastAsia" w:ascii="宋体" w:hAnsi="宋体" w:eastAsia="宋体" w:cs="宋体"/>
          <w:color w:val="auto"/>
          <w:kern w:val="0"/>
          <w:highlight w:val="none"/>
        </w:rPr>
        <w:t>。</w:t>
      </w:r>
    </w:p>
    <w:p w14:paraId="28E82981">
      <w:pPr>
        <w:pStyle w:val="3"/>
        <w:rPr>
          <w:rFonts w:hint="eastAsia" w:ascii="宋体" w:hAnsi="宋体" w:eastAsia="宋体" w:cs="宋体"/>
          <w:color w:val="auto"/>
          <w:highlight w:val="none"/>
        </w:rPr>
      </w:pPr>
      <w:bookmarkStart w:id="391" w:name="_Toc24722"/>
      <w:r>
        <w:rPr>
          <w:rFonts w:hint="eastAsia" w:ascii="宋体" w:hAnsi="宋体" w:eastAsia="宋体" w:cs="宋体"/>
          <w:color w:val="auto"/>
          <w:highlight w:val="none"/>
        </w:rPr>
        <w:t>14. 竣工结算</w:t>
      </w:r>
      <w:bookmarkEnd w:id="391"/>
    </w:p>
    <w:p w14:paraId="63AD0A8B">
      <w:pPr>
        <w:pStyle w:val="4"/>
        <w:rPr>
          <w:rFonts w:hint="eastAsia" w:ascii="宋体" w:hAnsi="宋体" w:eastAsia="宋体" w:cs="宋体"/>
          <w:color w:val="auto"/>
          <w:highlight w:val="none"/>
        </w:rPr>
      </w:pPr>
      <w:bookmarkStart w:id="392" w:name="_Toc2542"/>
      <w:bookmarkStart w:id="393" w:name="_Toc11356"/>
      <w:r>
        <w:rPr>
          <w:rFonts w:hint="eastAsia" w:ascii="宋体" w:hAnsi="宋体" w:eastAsia="宋体" w:cs="宋体"/>
          <w:color w:val="auto"/>
          <w:highlight w:val="none"/>
        </w:rPr>
        <w:t>14.1 竣工付款申请</w:t>
      </w:r>
      <w:bookmarkEnd w:id="392"/>
      <w:bookmarkEnd w:id="393"/>
    </w:p>
    <w:p w14:paraId="50E2EEBF">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承包人提交竣工付款申请单的期限：</w:t>
      </w:r>
      <w:r>
        <w:rPr>
          <w:rFonts w:hint="eastAsia" w:ascii="宋体" w:hAnsi="宋体" w:eastAsia="宋体" w:cs="宋体"/>
          <w:color w:val="auto"/>
          <w:highlight w:val="none"/>
          <w:u w:val="single"/>
        </w:rPr>
        <w:t xml:space="preserve">  </w:t>
      </w:r>
      <w:r>
        <w:rPr>
          <w:rFonts w:ascii="Times New Roman" w:hAnsi="Times New Roman" w:eastAsia="宋体" w:cs="Times New Roman"/>
          <w:color w:val="auto"/>
          <w:sz w:val="21"/>
          <w:szCs w:val="24"/>
          <w:highlight w:val="none"/>
          <w:u w:val="single"/>
        </w:rPr>
        <w:t>工程竣工验收合格且完成竣工资料移交后 28 天内</w:t>
      </w:r>
      <w:r>
        <w:rPr>
          <w:rFonts w:hint="eastAsia" w:ascii="宋体" w:hAnsi="宋体" w:eastAsia="宋体" w:cs="宋体"/>
          <w:color w:val="auto"/>
          <w:highlight w:val="none"/>
        </w:rPr>
        <w:t>。</w:t>
      </w:r>
    </w:p>
    <w:p w14:paraId="27393920">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竣工付款申请单应包括的内容：</w:t>
      </w:r>
      <w:r>
        <w:rPr>
          <w:rFonts w:hint="eastAsia" w:ascii="宋体" w:hAnsi="宋体" w:eastAsia="宋体" w:cs="宋体"/>
          <w:color w:val="auto"/>
          <w:highlight w:val="none"/>
          <w:u w:val="single"/>
        </w:rPr>
        <w:t xml:space="preserve"> 竣工结算总价、已支付工程款、应扣留质量保证金、应支付竣工结算款，附完整结算资料</w:t>
      </w:r>
      <w:r>
        <w:rPr>
          <w:rFonts w:hint="eastAsia" w:ascii="宋体" w:hAnsi="宋体" w:eastAsia="宋体" w:cs="宋体"/>
          <w:color w:val="auto"/>
          <w:highlight w:val="none"/>
        </w:rPr>
        <w:t>。竣工结算款支付申请（核准）表见合同附件12。</w:t>
      </w:r>
    </w:p>
    <w:p w14:paraId="2C3D697B">
      <w:pPr>
        <w:pStyle w:val="4"/>
        <w:rPr>
          <w:rFonts w:hint="eastAsia" w:ascii="宋体" w:hAnsi="宋体" w:eastAsia="宋体" w:cs="宋体"/>
          <w:color w:val="auto"/>
          <w:highlight w:val="none"/>
        </w:rPr>
      </w:pPr>
      <w:bookmarkStart w:id="394" w:name="_Toc23646"/>
      <w:r>
        <w:rPr>
          <w:rFonts w:hint="eastAsia" w:ascii="宋体" w:hAnsi="宋体" w:eastAsia="宋体" w:cs="宋体"/>
          <w:color w:val="auto"/>
          <w:highlight w:val="none"/>
        </w:rPr>
        <w:t>14.2 竣工结算审核</w:t>
      </w:r>
      <w:bookmarkEnd w:id="394"/>
    </w:p>
    <w:p w14:paraId="26C255FA">
      <w:pPr>
        <w:spacing w:line="400" w:lineRule="exact"/>
        <w:ind w:firstLine="420" w:firstLineChars="200"/>
        <w:jc w:val="left"/>
        <w:rPr>
          <w:rFonts w:hint="eastAsia" w:ascii="宋体" w:hAnsi="宋体" w:eastAsia="宋体" w:cs="宋体"/>
          <w:i w:val="0"/>
          <w:caps w:val="0"/>
          <w:color w:val="auto"/>
          <w:spacing w:val="0"/>
          <w:sz w:val="21"/>
          <w:szCs w:val="21"/>
          <w:highlight w:val="none"/>
          <w:lang w:val="en-US" w:eastAsia="zh-CN"/>
        </w:rPr>
      </w:pPr>
      <w:r>
        <w:rPr>
          <w:rFonts w:hint="eastAsia" w:ascii="宋体" w:hAnsi="宋体" w:eastAsia="宋体" w:cs="宋体"/>
          <w:i w:val="0"/>
          <w:caps w:val="0"/>
          <w:color w:val="auto"/>
          <w:spacing w:val="0"/>
          <w:sz w:val="21"/>
          <w:szCs w:val="21"/>
          <w:highlight w:val="none"/>
          <w:lang w:val="en-US" w:eastAsia="zh-CN"/>
        </w:rPr>
        <w:t>14.2.1承包人</w:t>
      </w:r>
      <w:r>
        <w:rPr>
          <w:rFonts w:hint="eastAsia" w:ascii="宋体" w:hAnsi="宋体" w:eastAsia="宋体" w:cs="宋体"/>
          <w:color w:val="auto"/>
          <w:szCs w:val="21"/>
          <w:highlight w:val="none"/>
          <w:u w:val="single"/>
          <w:lang w:eastAsia="zh-CN"/>
        </w:rPr>
        <w:t>☑</w:t>
      </w:r>
      <w:r>
        <w:rPr>
          <w:rFonts w:hint="eastAsia" w:ascii="宋体" w:hAnsi="宋体" w:eastAsia="宋体" w:cs="宋体"/>
          <w:color w:val="auto"/>
          <w:szCs w:val="21"/>
          <w:highlight w:val="none"/>
          <w:u w:val="single"/>
        </w:rPr>
        <w:t xml:space="preserve">是 </w:t>
      </w:r>
      <w:r>
        <w:rPr>
          <w:rFonts w:hint="eastAsia" w:ascii="宋体" w:hAnsi="宋体" w:eastAsia="宋体" w:cs="宋体"/>
          <w:color w:val="auto"/>
          <w:szCs w:val="21"/>
          <w:highlight w:val="none"/>
          <w:u w:val="single"/>
          <w:lang w:eastAsia="zh-CN"/>
        </w:rPr>
        <w:t>□</w:t>
      </w:r>
      <w:r>
        <w:rPr>
          <w:rFonts w:hint="eastAsia" w:ascii="宋体" w:hAnsi="宋体" w:eastAsia="宋体" w:cs="宋体"/>
          <w:color w:val="auto"/>
          <w:szCs w:val="21"/>
          <w:highlight w:val="none"/>
          <w:u w:val="single"/>
        </w:rPr>
        <w:t>否</w:t>
      </w:r>
      <w:r>
        <w:rPr>
          <w:rFonts w:hint="eastAsia" w:ascii="宋体" w:hAnsi="宋体" w:eastAsia="宋体" w:cs="宋体"/>
          <w:i w:val="0"/>
          <w:caps w:val="0"/>
          <w:color w:val="auto"/>
          <w:spacing w:val="0"/>
          <w:sz w:val="21"/>
          <w:szCs w:val="21"/>
          <w:highlight w:val="none"/>
          <w:lang w:val="en-US" w:eastAsia="zh-CN"/>
        </w:rPr>
        <w:t>属于中小微企业。</w:t>
      </w:r>
    </w:p>
    <w:p w14:paraId="5A6E9B74">
      <w:pPr>
        <w:spacing w:line="400" w:lineRule="exact"/>
        <w:ind w:firstLine="420" w:firstLineChars="200"/>
        <w:jc w:val="left"/>
        <w:rPr>
          <w:rFonts w:hint="eastAsia" w:ascii="宋体" w:hAnsi="宋体" w:eastAsia="宋体" w:cs="宋体"/>
          <w:i w:val="0"/>
          <w:caps w:val="0"/>
          <w:color w:val="auto"/>
          <w:spacing w:val="0"/>
          <w:sz w:val="21"/>
          <w:szCs w:val="21"/>
          <w:highlight w:val="none"/>
          <w:lang w:val="en-US" w:eastAsia="zh-CN"/>
        </w:rPr>
      </w:pPr>
      <w:r>
        <w:rPr>
          <w:rFonts w:hint="eastAsia" w:ascii="宋体" w:hAnsi="宋体" w:eastAsia="宋体" w:cs="宋体"/>
          <w:i w:val="0"/>
          <w:caps w:val="0"/>
          <w:color w:val="auto"/>
          <w:spacing w:val="0"/>
          <w:sz w:val="21"/>
          <w:szCs w:val="21"/>
          <w:highlight w:val="none"/>
          <w:lang w:val="en-US" w:eastAsia="zh-CN"/>
        </w:rPr>
        <w:t>14.2.2</w:t>
      </w:r>
      <w:r>
        <w:rPr>
          <w:rFonts w:hint="eastAsia" w:ascii="宋体" w:hAnsi="宋体" w:eastAsia="宋体" w:cs="宋体"/>
          <w:color w:val="auto"/>
          <w:szCs w:val="21"/>
          <w:highlight w:val="none"/>
          <w:lang w:val="en-US" w:eastAsia="zh-CN"/>
        </w:rPr>
        <w:t>项目推行过程结算的，</w:t>
      </w:r>
      <w:r>
        <w:rPr>
          <w:rFonts w:hint="eastAsia" w:ascii="宋体" w:hAnsi="宋体" w:eastAsia="宋体" w:cs="宋体"/>
          <w:color w:val="auto"/>
          <w:szCs w:val="21"/>
          <w:highlight w:val="none"/>
          <w:lang w:val="zh-TW"/>
        </w:rPr>
        <w:t>承包人应在经发承包双方确认的施工过程结算的基础上，</w:t>
      </w:r>
      <w:r>
        <w:rPr>
          <w:rFonts w:hint="eastAsia" w:ascii="宋体" w:hAnsi="宋体" w:eastAsia="宋体" w:cs="宋体"/>
          <w:color w:val="auto"/>
          <w:szCs w:val="21"/>
          <w:highlight w:val="none"/>
        </w:rPr>
        <w:t>补充完善相关质量合格验收证明等资料，</w:t>
      </w:r>
      <w:r>
        <w:rPr>
          <w:rFonts w:hint="eastAsia" w:ascii="宋体" w:hAnsi="宋体" w:eastAsia="宋体" w:cs="宋体"/>
          <w:color w:val="auto"/>
          <w:szCs w:val="21"/>
          <w:highlight w:val="none"/>
          <w:lang w:val="zh-TW"/>
        </w:rPr>
        <w:t>按合同约定及相关规定编制并向发包人提交完整的工程竣工结算文件。</w:t>
      </w:r>
      <w:r>
        <w:rPr>
          <w:rFonts w:hint="eastAsia" w:ascii="宋体" w:hAnsi="宋体" w:eastAsia="宋体" w:cs="宋体"/>
          <w:i w:val="0"/>
          <w:caps w:val="0"/>
          <w:color w:val="auto"/>
          <w:spacing w:val="0"/>
          <w:sz w:val="21"/>
          <w:szCs w:val="21"/>
          <w:highlight w:val="none"/>
        </w:rPr>
        <w:t>经发承包双方签署确认的施工过程结算文件作为竣工结算文件的组成部分。</w:t>
      </w:r>
      <w:r>
        <w:rPr>
          <w:rFonts w:hint="eastAsia" w:ascii="宋体" w:hAnsi="宋体" w:eastAsia="宋体" w:cs="宋体"/>
          <w:i w:val="0"/>
          <w:caps w:val="0"/>
          <w:color w:val="auto"/>
          <w:spacing w:val="0"/>
          <w:sz w:val="21"/>
          <w:szCs w:val="21"/>
          <w:highlight w:val="none"/>
          <w:lang w:val="en-US" w:eastAsia="zh-CN"/>
        </w:rPr>
        <w:t>根据合同约定具有过程结算效力的过程结算文件作为竣工结算文件的组成部分，竣工后原则上不再重复审核。</w:t>
      </w:r>
    </w:p>
    <w:p w14:paraId="51AB6102">
      <w:pPr>
        <w:spacing w:line="400" w:lineRule="exact"/>
        <w:ind w:firstLine="420" w:firstLineChars="200"/>
        <w:outlineLvl w:val="3"/>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14.2.3</w:t>
      </w:r>
      <w:r>
        <w:rPr>
          <w:rFonts w:hint="eastAsia" w:ascii="宋体" w:hAnsi="宋体" w:eastAsia="宋体" w:cs="宋体"/>
          <w:color w:val="auto"/>
          <w:szCs w:val="21"/>
          <w:highlight w:val="none"/>
        </w:rPr>
        <w:t>发包</w:t>
      </w:r>
      <w:r>
        <w:rPr>
          <w:rFonts w:hint="eastAsia" w:ascii="宋体" w:hAnsi="宋体" w:eastAsia="宋体" w:cs="宋体"/>
          <w:color w:val="auto"/>
          <w:szCs w:val="21"/>
          <w:highlight w:val="none"/>
          <w:u w:val="none"/>
        </w:rPr>
        <w:t>人</w:t>
      </w:r>
      <w:r>
        <w:rPr>
          <w:rFonts w:hint="eastAsia" w:ascii="宋体" w:hAnsi="宋体" w:eastAsia="宋体" w:cs="宋体"/>
          <w:color w:val="auto"/>
          <w:szCs w:val="21"/>
          <w:highlight w:val="none"/>
          <w:u w:val="none"/>
          <w:lang w:val="en-US" w:eastAsia="zh-CN"/>
        </w:rPr>
        <w:t>在期限内</w:t>
      </w:r>
      <w:r>
        <w:rPr>
          <w:rFonts w:hint="eastAsia" w:ascii="宋体" w:hAnsi="宋体" w:eastAsia="宋体" w:cs="宋体"/>
          <w:color w:val="auto"/>
          <w:szCs w:val="21"/>
          <w:highlight w:val="none"/>
          <w:lang w:val="en-US" w:eastAsia="zh-CN"/>
        </w:rPr>
        <w:t>按照第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eastAsia="zh-CN"/>
        </w:rPr>
        <w:t>（</w:t>
      </w:r>
      <w:r>
        <w:rPr>
          <w:rFonts w:hint="eastAsia" w:ascii="宋体" w:hAnsi="宋体" w:eastAsia="宋体" w:cs="宋体"/>
          <w:color w:val="auto"/>
          <w:szCs w:val="21"/>
          <w:highlight w:val="none"/>
          <w:u w:val="single"/>
          <w:lang w:val="en-US" w:eastAsia="zh-CN"/>
        </w:rPr>
        <w:t>2</w:t>
      </w:r>
      <w:r>
        <w:rPr>
          <w:rFonts w:hint="eastAsia" w:ascii="宋体" w:hAnsi="宋体" w:eastAsia="宋体" w:cs="宋体"/>
          <w:color w:val="auto"/>
          <w:szCs w:val="21"/>
          <w:highlight w:val="none"/>
          <w:u w:val="singl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val="en-US" w:eastAsia="zh-CN"/>
        </w:rPr>
        <w:t>种方式</w:t>
      </w:r>
      <w:r>
        <w:rPr>
          <w:rFonts w:hint="eastAsia" w:ascii="宋体" w:hAnsi="宋体" w:eastAsia="宋体" w:cs="宋体"/>
          <w:color w:val="auto"/>
          <w:szCs w:val="21"/>
          <w:highlight w:val="none"/>
          <w:lang w:val="en-US" w:eastAsia="zh-CN"/>
        </w:rPr>
        <w:t>进行</w:t>
      </w:r>
      <w:r>
        <w:rPr>
          <w:rFonts w:hint="eastAsia" w:ascii="宋体" w:hAnsi="宋体" w:eastAsia="宋体" w:cs="宋体"/>
          <w:color w:val="auto"/>
          <w:szCs w:val="21"/>
          <w:highlight w:val="none"/>
        </w:rPr>
        <w:t>竣工</w:t>
      </w:r>
      <w:r>
        <w:rPr>
          <w:rFonts w:hint="eastAsia" w:ascii="宋体" w:hAnsi="宋体" w:eastAsia="宋体" w:cs="宋体"/>
          <w:color w:val="auto"/>
          <w:szCs w:val="21"/>
          <w:highlight w:val="none"/>
          <w:lang w:val="en-US" w:eastAsia="zh-CN"/>
        </w:rPr>
        <w:t>结算文件审核</w:t>
      </w:r>
      <w:r>
        <w:rPr>
          <w:rFonts w:hint="eastAsia" w:ascii="宋体" w:hAnsi="宋体" w:eastAsia="宋体" w:cs="宋体"/>
          <w:color w:val="auto"/>
          <w:szCs w:val="21"/>
          <w:highlight w:val="none"/>
        </w:rPr>
        <w:t>。</w:t>
      </w:r>
    </w:p>
    <w:p w14:paraId="50B7D99A">
      <w:pPr>
        <w:numPr>
          <w:ilvl w:val="0"/>
          <w:numId w:val="4"/>
        </w:numPr>
        <w:spacing w:line="400" w:lineRule="exact"/>
        <w:ind w:firstLine="420" w:firstLineChars="200"/>
        <w:jc w:val="left"/>
        <w:rPr>
          <w:rFonts w:hint="eastAsia" w:ascii="宋体" w:hAnsi="宋体" w:eastAsia="宋体" w:cs="宋体"/>
          <w:b w:val="0"/>
          <w:bCs w:val="0"/>
          <w:color w:val="auto"/>
          <w:szCs w:val="21"/>
          <w:highlight w:val="none"/>
          <w:lang w:val="en-US" w:eastAsia="zh-CN"/>
        </w:rPr>
      </w:pPr>
      <w:r>
        <w:rPr>
          <w:rFonts w:hint="eastAsia" w:ascii="宋体" w:hAnsi="宋体" w:eastAsia="宋体" w:cs="宋体"/>
          <w:color w:val="auto"/>
          <w:szCs w:val="21"/>
          <w:highlight w:val="none"/>
          <w:lang w:val="en-US" w:eastAsia="zh-CN"/>
        </w:rPr>
        <w:t>本工程项目的竣工结算以发包人</w:t>
      </w:r>
      <w:r>
        <w:rPr>
          <w:rFonts w:hint="eastAsia" w:ascii="宋体" w:hAnsi="宋体" w:eastAsia="宋体" w:cs="宋体"/>
          <w:b w:val="0"/>
          <w:bCs w:val="0"/>
          <w:color w:val="auto"/>
          <w:szCs w:val="21"/>
          <w:highlight w:val="none"/>
          <w:lang w:val="en-US" w:eastAsia="zh-CN"/>
        </w:rPr>
        <w:t>审核的结论为准。</w:t>
      </w:r>
    </w:p>
    <w:p w14:paraId="65BB0859">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i w:val="0"/>
          <w:caps w:val="0"/>
          <w:color w:val="auto"/>
          <w:spacing w:val="0"/>
          <w:sz w:val="21"/>
          <w:szCs w:val="21"/>
          <w:highlight w:val="none"/>
        </w:rPr>
        <w:t>发承包双方</w:t>
      </w:r>
      <w:r>
        <w:rPr>
          <w:rFonts w:hint="eastAsia" w:ascii="宋体" w:hAnsi="宋体" w:eastAsia="宋体" w:cs="宋体"/>
          <w:i w:val="0"/>
          <w:caps w:val="0"/>
          <w:color w:val="auto"/>
          <w:spacing w:val="0"/>
          <w:sz w:val="21"/>
          <w:szCs w:val="21"/>
          <w:highlight w:val="none"/>
          <w:lang w:val="en-US" w:eastAsia="zh-CN"/>
        </w:rPr>
        <w:t>可参照下表，约定发包人审核竣工结算文件</w:t>
      </w:r>
      <w:r>
        <w:rPr>
          <w:rFonts w:hint="eastAsia" w:ascii="宋体" w:hAnsi="宋体" w:eastAsia="宋体" w:cs="宋体"/>
          <w:i w:val="0"/>
          <w:caps w:val="0"/>
          <w:color w:val="auto"/>
          <w:spacing w:val="0"/>
          <w:sz w:val="21"/>
          <w:szCs w:val="21"/>
          <w:highlight w:val="none"/>
        </w:rPr>
        <w:t>的期限</w:t>
      </w:r>
      <w:r>
        <w:rPr>
          <w:rFonts w:hint="eastAsia" w:ascii="宋体" w:hAnsi="宋体" w:eastAsia="宋体" w:cs="宋体"/>
          <w:color w:val="auto"/>
          <w:highlight w:val="none"/>
          <w:lang w:val="en-US" w:eastAsia="zh-CN"/>
        </w:rPr>
        <w:t>。</w:t>
      </w:r>
    </w:p>
    <w:p w14:paraId="0802865A">
      <w:pPr>
        <w:spacing w:line="360" w:lineRule="auto"/>
        <w:ind w:firstLine="420" w:firstLineChars="200"/>
        <w:jc w:val="left"/>
        <w:rPr>
          <w:rFonts w:hint="eastAsia" w:ascii="宋体" w:hAnsi="宋体" w:eastAsia="宋体" w:cs="宋体"/>
          <w:color w:val="auto"/>
          <w:highlight w:val="none"/>
        </w:rPr>
      </w:pP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43424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0ACDDEFB">
            <w:pPr>
              <w:keepNext w:val="0"/>
              <w:keepLines w:val="0"/>
              <w:suppressLineNumbers w:val="0"/>
              <w:spacing w:before="0" w:beforeAutospacing="0" w:after="0" w:afterAutospacing="0" w:line="360" w:lineRule="auto"/>
              <w:ind w:left="0" w:right="0"/>
              <w:rPr>
                <w:rFonts w:hint="eastAsia" w:ascii="宋体" w:hAnsi="宋体" w:eastAsia="宋体" w:cs="宋体"/>
                <w:color w:val="auto"/>
                <w:highlight w:val="none"/>
              </w:rPr>
            </w:pPr>
          </w:p>
        </w:tc>
        <w:tc>
          <w:tcPr>
            <w:tcW w:w="2466" w:type="dxa"/>
            <w:noWrap w:val="0"/>
            <w:vAlign w:val="center"/>
          </w:tcPr>
          <w:p w14:paraId="66F50F02">
            <w:pPr>
              <w:keepNext w:val="0"/>
              <w:keepLines w:val="0"/>
              <w:suppressLineNumbers w:val="0"/>
              <w:spacing w:before="0" w:beforeAutospacing="0" w:after="0" w:afterAutospacing="0" w:line="360" w:lineRule="auto"/>
              <w:ind w:left="0" w:right="0" w:firstLine="27" w:firstLineChars="13"/>
              <w:jc w:val="center"/>
              <w:rPr>
                <w:rFonts w:hint="eastAsia" w:ascii="宋体" w:hAnsi="宋体" w:eastAsia="宋体" w:cs="宋体"/>
                <w:color w:val="auto"/>
                <w:highlight w:val="none"/>
              </w:rPr>
            </w:pPr>
            <w:r>
              <w:rPr>
                <w:rFonts w:hint="eastAsia" w:ascii="宋体" w:hAnsi="宋体" w:eastAsia="宋体" w:cs="宋体"/>
                <w:color w:val="auto"/>
                <w:highlight w:val="none"/>
              </w:rPr>
              <w:t>工程竣工结算</w:t>
            </w:r>
            <w:r>
              <w:rPr>
                <w:rFonts w:hint="eastAsia" w:ascii="宋体" w:hAnsi="宋体" w:eastAsia="宋体" w:cs="宋体"/>
                <w:color w:val="auto"/>
                <w:highlight w:val="none"/>
                <w:lang w:eastAsia="zh-CN"/>
              </w:rPr>
              <w:t>申请</w:t>
            </w:r>
            <w:r>
              <w:rPr>
                <w:rFonts w:hint="eastAsia" w:ascii="宋体" w:hAnsi="宋体" w:eastAsia="宋体" w:cs="宋体"/>
                <w:color w:val="auto"/>
                <w:highlight w:val="none"/>
              </w:rPr>
              <w:t>金额</w:t>
            </w:r>
          </w:p>
        </w:tc>
        <w:tc>
          <w:tcPr>
            <w:tcW w:w="5967" w:type="dxa"/>
            <w:noWrap w:val="0"/>
            <w:vAlign w:val="center"/>
          </w:tcPr>
          <w:p w14:paraId="2AB583C2">
            <w:pPr>
              <w:keepNext w:val="0"/>
              <w:keepLines w:val="0"/>
              <w:suppressLineNumbers w:val="0"/>
              <w:spacing w:before="0" w:beforeAutospacing="0" w:after="0" w:afterAutospacing="0" w:line="360" w:lineRule="auto"/>
              <w:ind w:left="0" w:right="0" w:firstLine="441" w:firstLineChars="210"/>
              <w:jc w:val="center"/>
              <w:rPr>
                <w:rFonts w:hint="eastAsia" w:ascii="宋体" w:hAnsi="宋体" w:eastAsia="宋体" w:cs="宋体"/>
                <w:color w:val="auto"/>
                <w:highlight w:val="none"/>
              </w:rPr>
            </w:pPr>
            <w:r>
              <w:rPr>
                <w:rFonts w:hint="eastAsia" w:ascii="宋体" w:hAnsi="宋体" w:eastAsia="宋体" w:cs="宋体"/>
                <w:color w:val="auto"/>
                <w:highlight w:val="none"/>
              </w:rPr>
              <w:t>发包人</w:t>
            </w:r>
            <w:r>
              <w:rPr>
                <w:rFonts w:hint="eastAsia" w:ascii="宋体" w:hAnsi="宋体" w:eastAsia="宋体" w:cs="宋体"/>
                <w:color w:val="auto"/>
                <w:highlight w:val="none"/>
                <w:lang w:val="en-US" w:eastAsia="zh-CN"/>
              </w:rPr>
              <w:t>审核</w:t>
            </w:r>
            <w:r>
              <w:rPr>
                <w:rFonts w:hint="eastAsia" w:ascii="宋体" w:hAnsi="宋体" w:eastAsia="宋体" w:cs="宋体"/>
                <w:i w:val="0"/>
                <w:caps w:val="0"/>
                <w:color w:val="auto"/>
                <w:spacing w:val="0"/>
                <w:sz w:val="21"/>
                <w:szCs w:val="21"/>
                <w:highlight w:val="none"/>
                <w:lang w:val="en-US" w:eastAsia="zh-CN"/>
              </w:rPr>
              <w:t>竣工结算文件</w:t>
            </w:r>
            <w:r>
              <w:rPr>
                <w:rFonts w:hint="eastAsia" w:ascii="宋体" w:hAnsi="宋体" w:eastAsia="宋体" w:cs="宋体"/>
                <w:i w:val="0"/>
                <w:caps w:val="0"/>
                <w:color w:val="auto"/>
                <w:spacing w:val="0"/>
                <w:sz w:val="21"/>
                <w:szCs w:val="21"/>
                <w:highlight w:val="none"/>
              </w:rPr>
              <w:t>的</w:t>
            </w:r>
            <w:r>
              <w:rPr>
                <w:rFonts w:hint="eastAsia" w:ascii="宋体" w:hAnsi="宋体" w:eastAsia="宋体" w:cs="宋体"/>
                <w:color w:val="auto"/>
                <w:highlight w:val="none"/>
              </w:rPr>
              <w:t>时间</w:t>
            </w:r>
          </w:p>
        </w:tc>
      </w:tr>
      <w:tr w14:paraId="6B491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69C37C6">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2466" w:type="dxa"/>
            <w:noWrap w:val="0"/>
            <w:vAlign w:val="center"/>
          </w:tcPr>
          <w:p w14:paraId="663F5E1E">
            <w:pPr>
              <w:keepNext w:val="0"/>
              <w:keepLines w:val="0"/>
              <w:suppressLineNumbers w:val="0"/>
              <w:spacing w:before="0" w:beforeAutospacing="0" w:after="0" w:afterAutospacing="0" w:line="360" w:lineRule="auto"/>
              <w:ind w:left="0" w:right="0" w:firstLine="27" w:firstLineChars="13"/>
              <w:jc w:val="center"/>
              <w:rPr>
                <w:rFonts w:hint="eastAsia" w:ascii="宋体" w:hAnsi="宋体" w:eastAsia="宋体" w:cs="宋体"/>
                <w:color w:val="auto"/>
                <w:highlight w:val="none"/>
              </w:rPr>
            </w:pPr>
            <w:r>
              <w:rPr>
                <w:rFonts w:hint="eastAsia" w:ascii="宋体" w:hAnsi="宋体" w:eastAsia="宋体" w:cs="宋体"/>
                <w:color w:val="auto"/>
                <w:highlight w:val="none"/>
              </w:rPr>
              <w:t>500万元以下</w:t>
            </w:r>
          </w:p>
        </w:tc>
        <w:tc>
          <w:tcPr>
            <w:tcW w:w="5967" w:type="dxa"/>
            <w:noWrap w:val="0"/>
            <w:vAlign w:val="center"/>
          </w:tcPr>
          <w:p w14:paraId="79BAE453">
            <w:pPr>
              <w:keepNext w:val="0"/>
              <w:keepLines w:val="0"/>
              <w:suppressLineNumbers w:val="0"/>
              <w:spacing w:before="0" w:beforeAutospacing="0" w:after="0" w:afterAutospacing="0" w:line="360" w:lineRule="auto"/>
              <w:ind w:left="0" w:right="0" w:firstLine="441" w:firstLineChars="210"/>
              <w:jc w:val="center"/>
              <w:rPr>
                <w:rFonts w:hint="eastAsia" w:ascii="宋体" w:hAnsi="宋体" w:eastAsia="宋体" w:cs="宋体"/>
                <w:color w:val="auto"/>
                <w:highlight w:val="none"/>
              </w:rPr>
            </w:pPr>
            <w:r>
              <w:rPr>
                <w:rFonts w:hint="eastAsia" w:ascii="宋体" w:hAnsi="宋体" w:eastAsia="宋体" w:cs="宋体"/>
                <w:color w:val="auto"/>
                <w:highlight w:val="none"/>
              </w:rPr>
              <w:t>从接到竣工结算报告和完整的竣工结算资料之日起20天</w:t>
            </w:r>
          </w:p>
        </w:tc>
      </w:tr>
      <w:tr w14:paraId="0D481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F84B4DB">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2466" w:type="dxa"/>
            <w:noWrap w:val="0"/>
            <w:vAlign w:val="center"/>
          </w:tcPr>
          <w:p w14:paraId="5DE2CD4C">
            <w:pPr>
              <w:keepNext w:val="0"/>
              <w:keepLines w:val="0"/>
              <w:suppressLineNumbers w:val="0"/>
              <w:spacing w:before="0" w:beforeAutospacing="0" w:after="0" w:afterAutospacing="0" w:line="360" w:lineRule="auto"/>
              <w:ind w:left="0" w:right="0" w:firstLine="27" w:firstLineChars="13"/>
              <w:jc w:val="center"/>
              <w:rPr>
                <w:rFonts w:hint="eastAsia" w:ascii="宋体" w:hAnsi="宋体" w:eastAsia="宋体" w:cs="宋体"/>
                <w:color w:val="auto"/>
                <w:highlight w:val="none"/>
              </w:rPr>
            </w:pPr>
            <w:r>
              <w:rPr>
                <w:rFonts w:hint="eastAsia" w:ascii="宋体" w:hAnsi="宋体" w:eastAsia="宋体" w:cs="宋体"/>
                <w:color w:val="auto"/>
                <w:highlight w:val="none"/>
              </w:rPr>
              <w:t>500万元-2000万元</w:t>
            </w:r>
          </w:p>
        </w:tc>
        <w:tc>
          <w:tcPr>
            <w:tcW w:w="5967" w:type="dxa"/>
            <w:noWrap w:val="0"/>
            <w:vAlign w:val="center"/>
          </w:tcPr>
          <w:p w14:paraId="6CC1B4C3">
            <w:pPr>
              <w:keepNext w:val="0"/>
              <w:keepLines w:val="0"/>
              <w:suppressLineNumbers w:val="0"/>
              <w:spacing w:before="0" w:beforeAutospacing="0" w:after="0" w:afterAutospacing="0" w:line="360" w:lineRule="auto"/>
              <w:ind w:left="0" w:right="0" w:firstLine="441" w:firstLineChars="210"/>
              <w:jc w:val="center"/>
              <w:rPr>
                <w:rFonts w:hint="eastAsia" w:ascii="宋体" w:hAnsi="宋体" w:eastAsia="宋体" w:cs="宋体"/>
                <w:color w:val="auto"/>
                <w:highlight w:val="none"/>
              </w:rPr>
            </w:pPr>
            <w:r>
              <w:rPr>
                <w:rFonts w:hint="eastAsia" w:ascii="宋体" w:hAnsi="宋体" w:eastAsia="宋体" w:cs="宋体"/>
                <w:color w:val="auto"/>
                <w:highlight w:val="none"/>
              </w:rPr>
              <w:t>从接到竣工结算报告和完整的竣工结算资料之日起30天</w:t>
            </w:r>
          </w:p>
        </w:tc>
      </w:tr>
      <w:tr w14:paraId="1BD90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DA70CC8">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2466" w:type="dxa"/>
            <w:noWrap w:val="0"/>
            <w:vAlign w:val="center"/>
          </w:tcPr>
          <w:p w14:paraId="7749B802">
            <w:pPr>
              <w:keepNext w:val="0"/>
              <w:keepLines w:val="0"/>
              <w:suppressLineNumbers w:val="0"/>
              <w:spacing w:before="0" w:beforeAutospacing="0" w:after="0" w:afterAutospacing="0" w:line="360" w:lineRule="auto"/>
              <w:ind w:left="0" w:right="0" w:firstLine="27" w:firstLineChars="13"/>
              <w:jc w:val="center"/>
              <w:rPr>
                <w:rFonts w:hint="eastAsia" w:ascii="宋体" w:hAnsi="宋体" w:eastAsia="宋体" w:cs="宋体"/>
                <w:color w:val="auto"/>
                <w:highlight w:val="none"/>
              </w:rPr>
            </w:pPr>
            <w:r>
              <w:rPr>
                <w:rFonts w:hint="eastAsia" w:ascii="宋体" w:hAnsi="宋体" w:eastAsia="宋体" w:cs="宋体"/>
                <w:color w:val="auto"/>
                <w:highlight w:val="none"/>
              </w:rPr>
              <w:t>2000万元-5000万元</w:t>
            </w:r>
          </w:p>
        </w:tc>
        <w:tc>
          <w:tcPr>
            <w:tcW w:w="5967" w:type="dxa"/>
            <w:noWrap w:val="0"/>
            <w:vAlign w:val="center"/>
          </w:tcPr>
          <w:p w14:paraId="60153D67">
            <w:pPr>
              <w:keepNext w:val="0"/>
              <w:keepLines w:val="0"/>
              <w:suppressLineNumbers w:val="0"/>
              <w:spacing w:before="0" w:beforeAutospacing="0" w:after="0" w:afterAutospacing="0" w:line="360" w:lineRule="auto"/>
              <w:ind w:left="0" w:right="0" w:firstLine="441" w:firstLineChars="210"/>
              <w:jc w:val="center"/>
              <w:rPr>
                <w:rFonts w:hint="eastAsia" w:ascii="宋体" w:hAnsi="宋体" w:eastAsia="宋体" w:cs="宋体"/>
                <w:color w:val="auto"/>
                <w:highlight w:val="none"/>
              </w:rPr>
            </w:pPr>
            <w:r>
              <w:rPr>
                <w:rFonts w:hint="eastAsia" w:ascii="宋体" w:hAnsi="宋体" w:eastAsia="宋体" w:cs="宋体"/>
                <w:color w:val="auto"/>
                <w:highlight w:val="none"/>
              </w:rPr>
              <w:t>从接到竣工结算报告和完整的竣工结算资料之日起45天</w:t>
            </w:r>
          </w:p>
        </w:tc>
      </w:tr>
      <w:tr w14:paraId="01721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099BB9EC">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2466" w:type="dxa"/>
            <w:noWrap w:val="0"/>
            <w:vAlign w:val="center"/>
          </w:tcPr>
          <w:p w14:paraId="5505CA60">
            <w:pPr>
              <w:keepNext w:val="0"/>
              <w:keepLines w:val="0"/>
              <w:suppressLineNumbers w:val="0"/>
              <w:spacing w:before="0" w:beforeAutospacing="0" w:after="0" w:afterAutospacing="0" w:line="360" w:lineRule="auto"/>
              <w:ind w:left="0" w:right="0" w:firstLine="27" w:firstLineChars="13"/>
              <w:jc w:val="center"/>
              <w:rPr>
                <w:rFonts w:hint="eastAsia" w:ascii="宋体" w:hAnsi="宋体" w:eastAsia="宋体" w:cs="宋体"/>
                <w:color w:val="auto"/>
                <w:highlight w:val="none"/>
              </w:rPr>
            </w:pPr>
            <w:r>
              <w:rPr>
                <w:rFonts w:hint="eastAsia" w:ascii="宋体" w:hAnsi="宋体" w:eastAsia="宋体" w:cs="宋体"/>
                <w:color w:val="auto"/>
                <w:highlight w:val="none"/>
              </w:rPr>
              <w:t>5000万元以上</w:t>
            </w:r>
          </w:p>
        </w:tc>
        <w:tc>
          <w:tcPr>
            <w:tcW w:w="5967" w:type="dxa"/>
            <w:noWrap w:val="0"/>
            <w:vAlign w:val="center"/>
          </w:tcPr>
          <w:p w14:paraId="416C9343">
            <w:pPr>
              <w:keepNext w:val="0"/>
              <w:keepLines w:val="0"/>
              <w:suppressLineNumbers w:val="0"/>
              <w:spacing w:before="0" w:beforeAutospacing="0" w:after="0" w:afterAutospacing="0" w:line="360" w:lineRule="auto"/>
              <w:ind w:left="0" w:right="0" w:firstLine="441" w:firstLineChars="210"/>
              <w:jc w:val="center"/>
              <w:rPr>
                <w:rFonts w:hint="eastAsia" w:ascii="宋体" w:hAnsi="宋体" w:eastAsia="宋体" w:cs="宋体"/>
                <w:color w:val="auto"/>
                <w:highlight w:val="none"/>
              </w:rPr>
            </w:pPr>
            <w:r>
              <w:rPr>
                <w:rFonts w:hint="eastAsia" w:ascii="宋体" w:hAnsi="宋体" w:eastAsia="宋体" w:cs="宋体"/>
                <w:color w:val="auto"/>
                <w:highlight w:val="none"/>
              </w:rPr>
              <w:t>从接到竣工结算报告和完整的竣工结算资料之日起60天</w:t>
            </w:r>
          </w:p>
        </w:tc>
      </w:tr>
      <w:tr w14:paraId="1DF89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310E21FD">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2466" w:type="dxa"/>
            <w:noWrap w:val="0"/>
            <w:vAlign w:val="center"/>
          </w:tcPr>
          <w:p w14:paraId="17884E9B">
            <w:pPr>
              <w:keepNext w:val="0"/>
              <w:keepLines w:val="0"/>
              <w:suppressLineNumbers w:val="0"/>
              <w:spacing w:before="0" w:beforeAutospacing="0" w:after="0" w:afterAutospacing="0" w:line="360" w:lineRule="auto"/>
              <w:ind w:left="0" w:right="0" w:firstLine="27" w:firstLineChars="13"/>
              <w:jc w:val="center"/>
              <w:rPr>
                <w:rFonts w:hint="eastAsia" w:ascii="宋体" w:hAnsi="宋体" w:eastAsia="宋体" w:cs="宋体"/>
                <w:color w:val="auto"/>
                <w:highlight w:val="none"/>
              </w:rPr>
            </w:pPr>
            <w:r>
              <w:rPr>
                <w:rFonts w:hint="eastAsia" w:ascii="宋体" w:hAnsi="宋体" w:eastAsia="宋体" w:cs="宋体"/>
                <w:color w:val="auto"/>
                <w:highlight w:val="none"/>
              </w:rPr>
              <w:t>5000万以上每增加0.5亿</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不足0.5亿不增加</w:t>
            </w:r>
            <w:r>
              <w:rPr>
                <w:rFonts w:hint="eastAsia" w:ascii="宋体" w:hAnsi="宋体" w:eastAsia="宋体" w:cs="宋体"/>
                <w:color w:val="auto"/>
                <w:highlight w:val="none"/>
                <w:lang w:eastAsia="zh-CN"/>
              </w:rPr>
              <w:t>）</w:t>
            </w:r>
          </w:p>
        </w:tc>
        <w:tc>
          <w:tcPr>
            <w:tcW w:w="5967" w:type="dxa"/>
            <w:noWrap w:val="0"/>
            <w:vAlign w:val="center"/>
          </w:tcPr>
          <w:p w14:paraId="53E66B16">
            <w:pPr>
              <w:keepNext w:val="0"/>
              <w:keepLines w:val="0"/>
              <w:suppressLineNumbers w:val="0"/>
              <w:spacing w:before="0" w:beforeAutospacing="0" w:after="0" w:afterAutospacing="0" w:line="360" w:lineRule="auto"/>
              <w:ind w:left="0" w:right="0" w:firstLine="441" w:firstLineChars="210"/>
              <w:jc w:val="center"/>
              <w:rPr>
                <w:rFonts w:hint="eastAsia" w:ascii="宋体" w:hAnsi="宋体" w:eastAsia="宋体" w:cs="宋体"/>
                <w:color w:val="auto"/>
                <w:highlight w:val="none"/>
              </w:rPr>
            </w:pPr>
            <w:r>
              <w:rPr>
                <w:rFonts w:hint="eastAsia" w:ascii="宋体" w:hAnsi="宋体" w:eastAsia="宋体" w:cs="宋体"/>
                <w:color w:val="auto"/>
                <w:highlight w:val="none"/>
              </w:rPr>
              <w:t>增加10天</w:t>
            </w:r>
          </w:p>
        </w:tc>
      </w:tr>
    </w:tbl>
    <w:p w14:paraId="68062F91">
      <w:pPr>
        <w:spacing w:line="400" w:lineRule="exact"/>
        <w:ind w:left="0" w:leftChars="0" w:firstLine="0" w:firstLineChars="0"/>
        <w:outlineLvl w:val="9"/>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附注：推行施工过程结算的竣工结算审核时限按本表审核时间的</w:t>
      </w:r>
      <w:r>
        <w:rPr>
          <w:rFonts w:hint="eastAsia" w:ascii="宋体" w:hAnsi="宋体" w:eastAsia="宋体" w:cs="宋体"/>
          <w:color w:val="auto"/>
          <w:szCs w:val="21"/>
          <w:highlight w:val="none"/>
          <w:lang w:val="en-US" w:eastAsia="zh-CN"/>
        </w:rPr>
        <w:t>50%计算。</w:t>
      </w:r>
    </w:p>
    <w:p w14:paraId="0A5A1A1F">
      <w:pPr>
        <w:spacing w:line="360" w:lineRule="auto"/>
        <w:ind w:firstLine="420" w:firstLineChars="200"/>
        <w:jc w:val="left"/>
        <w:rPr>
          <w:rFonts w:hint="eastAsia" w:ascii="宋体" w:hAnsi="宋体" w:eastAsia="宋体" w:cs="宋体"/>
          <w:color w:val="auto"/>
          <w:highlight w:val="none"/>
        </w:rPr>
      </w:pPr>
    </w:p>
    <w:p w14:paraId="422786DD">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发包人约定审核竣工结算申请文件的期限：从接到竣工结算报告和完整的竣工结算资料之日</w:t>
      </w:r>
    </w:p>
    <w:p w14:paraId="48B1897D">
      <w:pPr>
        <w:spacing w:line="360" w:lineRule="auto"/>
        <w:ind w:firstLine="0" w:firstLineChars="0"/>
        <w:jc w:val="left"/>
        <w:rPr>
          <w:rFonts w:hint="eastAsia" w:ascii="宋体" w:hAnsi="宋体" w:eastAsia="宋体" w:cs="宋体"/>
          <w:color w:val="auto"/>
          <w:highlight w:val="none"/>
        </w:rPr>
      </w:pPr>
      <w:r>
        <w:rPr>
          <w:rFonts w:hint="eastAsia" w:ascii="宋体" w:hAnsi="宋体" w:eastAsia="宋体" w:cs="宋体"/>
          <w:color w:val="auto"/>
          <w:highlight w:val="none"/>
        </w:rPr>
        <w:t>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天内审核完毕。没有约定期限的，发包人应当在收到承包人提交的竣工结算申请与竣工结算文件之日起的28天内完成竣工结算审核。</w:t>
      </w:r>
    </w:p>
    <w:p w14:paraId="3A49B759">
      <w:pPr>
        <w:spacing w:line="360" w:lineRule="auto"/>
        <w:ind w:firstLine="420" w:firstLineChars="200"/>
        <w:jc w:val="left"/>
        <w:rPr>
          <w:rFonts w:hint="eastAsia" w:ascii="宋体" w:hAnsi="宋体" w:eastAsia="宋体" w:cs="宋体"/>
          <w:color w:val="auto"/>
          <w:highlight w:val="none"/>
        </w:rPr>
      </w:pPr>
    </w:p>
    <w:p w14:paraId="5F6FD637">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工程结算应由承包人或受其委托的工程造价咨询人编制，由发包人或受其委托的工程造价咨询人核对。受其委托的工程造价咨询人编制或核对的结果，经委托人确认后应视为委托人的结果。经发包人或发包人委托的工程造价咨询单位与承包人核对后无异议的竣工结算文件，发承包双方应签字并盖章确认。如其中一方不签认的，应承担违约责任，并承担由此造成的损失。</w:t>
      </w:r>
    </w:p>
    <w:p w14:paraId="1E88EBE8">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除发承包双方共同约定以财政评审结论作为竣工结算的依据以外，不应以财政评审结论作为竣工结算的依据。</w:t>
      </w:r>
    </w:p>
    <w:p w14:paraId="439F4B81">
      <w:pPr>
        <w:spacing w:line="40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本工程项目的竣工结算以</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highlight w:val="none"/>
          <w:lang w:eastAsia="zh-CN"/>
        </w:rPr>
        <w:t>发包人聘任的社会中介机构或</w:t>
      </w:r>
      <w:r>
        <w:rPr>
          <w:rFonts w:hint="eastAsia" w:ascii="宋体" w:hAnsi="宋体" w:eastAsia="宋体" w:cs="宋体"/>
          <w:color w:val="auto"/>
          <w:highlight w:val="none"/>
          <w:lang w:val="en-US" w:eastAsia="zh-CN"/>
        </w:rPr>
        <w:t>桂林市临桂区</w:t>
      </w:r>
      <w:r>
        <w:rPr>
          <w:rFonts w:hint="eastAsia" w:ascii="宋体" w:hAnsi="宋体" w:eastAsia="宋体" w:cs="宋体"/>
          <w:color w:val="auto"/>
          <w:highlight w:val="none"/>
          <w:lang w:eastAsia="zh-CN"/>
        </w:rPr>
        <w:t>财政局</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财政投资评审的结论为准。</w:t>
      </w:r>
    </w:p>
    <w:p w14:paraId="07E2B87C">
      <w:pPr>
        <w:spacing w:line="400" w:lineRule="exact"/>
        <w:ind w:firstLine="420" w:firstLineChars="200"/>
        <w:outlineLvl w:val="3"/>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lang w:val="en-US" w:eastAsia="zh-CN"/>
        </w:rPr>
        <w:t>承包人应配合发包人按财政投资评审规定，及时报送工程竣工结算资料</w:t>
      </w:r>
      <w:r>
        <w:rPr>
          <w:rFonts w:hint="eastAsia" w:ascii="宋体" w:hAnsi="宋体" w:eastAsia="宋体" w:cs="宋体"/>
          <w:color w:val="auto"/>
          <w:highlight w:val="none"/>
          <w:lang w:val="en-US" w:eastAsia="zh-CN"/>
        </w:rPr>
        <w:t>，</w:t>
      </w:r>
      <w:r>
        <w:rPr>
          <w:rFonts w:hint="eastAsia" w:ascii="宋体" w:hAnsi="宋体" w:eastAsia="宋体" w:cs="宋体"/>
          <w:color w:val="auto"/>
          <w:szCs w:val="21"/>
          <w:highlight w:val="none"/>
          <w:lang w:val="en-US" w:eastAsia="zh-CN"/>
        </w:rPr>
        <w:t>财政投资评审机构应在规定期限内完成项目竣工结算评审。</w:t>
      </w:r>
    </w:p>
    <w:p w14:paraId="34AFE210">
      <w:pPr>
        <w:spacing w:line="400" w:lineRule="exact"/>
        <w:ind w:firstLine="420" w:firstLineChars="200"/>
        <w:outlineLvl w:val="3"/>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14.2.4审核异议处理</w:t>
      </w:r>
    </w:p>
    <w:p w14:paraId="7B1CE1F4">
      <w:pPr>
        <w:spacing w:line="400" w:lineRule="exact"/>
        <w:ind w:firstLine="420" w:firstLineChars="200"/>
        <w:outlineLvl w:val="3"/>
        <w:rPr>
          <w:rFonts w:hint="eastAsia" w:ascii="宋体" w:hAnsi="宋体" w:eastAsia="宋体" w:cs="宋体"/>
          <w:color w:val="auto"/>
          <w:highlight w:val="none"/>
        </w:rPr>
      </w:pPr>
      <w:r>
        <w:rPr>
          <w:rFonts w:hint="eastAsia" w:ascii="宋体" w:hAnsi="宋体" w:eastAsia="宋体" w:cs="宋体"/>
          <w:i w:val="0"/>
          <w:caps w:val="0"/>
          <w:color w:val="auto"/>
          <w:spacing w:val="0"/>
          <w:sz w:val="21"/>
          <w:szCs w:val="21"/>
          <w:highlight w:val="none"/>
          <w:lang w:val="en-US" w:eastAsia="zh-CN"/>
        </w:rPr>
        <w:t>发包人或财政部门就竣工结算文件提出异议需要补充资料文件的，应一次性告知承包人应当补充的遗漏资料文件。承包人应当在收到发包人或财政部门提出的竣工结算审核异议之日起的14天内予以答复、回应，并及时补充相应的资料文件。</w:t>
      </w:r>
      <w:r>
        <w:rPr>
          <w:rFonts w:hint="eastAsia" w:ascii="宋体" w:hAnsi="宋体" w:eastAsia="宋体" w:cs="宋体"/>
          <w:color w:val="auto"/>
          <w:highlight w:val="none"/>
        </w:rPr>
        <w:t>因承包人提供的</w:t>
      </w:r>
      <w:r>
        <w:rPr>
          <w:rFonts w:hint="eastAsia" w:ascii="宋体" w:hAnsi="宋体" w:eastAsia="宋体" w:cs="宋体"/>
          <w:color w:val="auto"/>
          <w:highlight w:val="none"/>
          <w:lang w:val="en-US" w:eastAsia="zh-CN"/>
        </w:rPr>
        <w:t>竣工</w:t>
      </w:r>
      <w:r>
        <w:rPr>
          <w:rFonts w:hint="eastAsia" w:ascii="宋体" w:hAnsi="宋体" w:eastAsia="宋体" w:cs="宋体"/>
          <w:color w:val="auto"/>
          <w:highlight w:val="none"/>
        </w:rPr>
        <w:t>结算资料不完整而需要补充或承包人不按时对账耽误时间时，</w:t>
      </w:r>
      <w:r>
        <w:rPr>
          <w:rFonts w:hint="eastAsia" w:ascii="宋体" w:hAnsi="宋体" w:eastAsia="宋体" w:cs="宋体"/>
          <w:color w:val="auto"/>
          <w:highlight w:val="none"/>
          <w:lang w:val="en-US" w:eastAsia="zh-CN"/>
        </w:rPr>
        <w:t>审核</w:t>
      </w:r>
      <w:r>
        <w:rPr>
          <w:rFonts w:hint="eastAsia" w:ascii="宋体" w:hAnsi="宋体" w:eastAsia="宋体" w:cs="宋体"/>
          <w:color w:val="auto"/>
          <w:highlight w:val="none"/>
        </w:rPr>
        <w:t>时间应相应顺延。</w:t>
      </w:r>
    </w:p>
    <w:p w14:paraId="5BCD2E3C">
      <w:pPr>
        <w:numPr>
          <w:ilvl w:val="0"/>
          <w:numId w:val="0"/>
        </w:numPr>
        <w:spacing w:line="400" w:lineRule="exact"/>
        <w:ind w:firstLine="420" w:firstLineChars="200"/>
        <w:rPr>
          <w:rFonts w:hint="eastAsia" w:ascii="宋体" w:hAnsi="宋体" w:eastAsia="宋体" w:cs="宋体"/>
          <w:color w:val="auto"/>
          <w:highlight w:val="none"/>
          <w:u w:val="none"/>
        </w:rPr>
      </w:pPr>
      <w:r>
        <w:rPr>
          <w:rFonts w:hint="eastAsia" w:ascii="宋体" w:hAnsi="宋体" w:eastAsia="宋体" w:cs="宋体"/>
          <w:color w:val="auto"/>
          <w:highlight w:val="none"/>
          <w:u w:val="none"/>
        </w:rPr>
        <w:t>承包人对发包人</w:t>
      </w:r>
      <w:r>
        <w:rPr>
          <w:rFonts w:hint="eastAsia" w:ascii="宋体" w:hAnsi="宋体" w:eastAsia="宋体" w:cs="宋体"/>
          <w:color w:val="auto"/>
          <w:highlight w:val="none"/>
          <w:u w:val="none"/>
          <w:lang w:val="en-US" w:eastAsia="zh-CN"/>
        </w:rPr>
        <w:t>或财政部门</w:t>
      </w:r>
      <w:r>
        <w:rPr>
          <w:rFonts w:hint="eastAsia" w:ascii="宋体" w:hAnsi="宋体" w:eastAsia="宋体" w:cs="宋体"/>
          <w:color w:val="auto"/>
          <w:highlight w:val="none"/>
          <w:u w:val="none"/>
        </w:rPr>
        <w:t>确认的结算价款或审核意见有异议的，应在收到发包人</w:t>
      </w:r>
      <w:r>
        <w:rPr>
          <w:rFonts w:hint="eastAsia" w:ascii="宋体" w:hAnsi="宋体" w:eastAsia="宋体" w:cs="宋体"/>
          <w:color w:val="auto"/>
          <w:highlight w:val="none"/>
          <w:u w:val="none"/>
          <w:lang w:val="en-US" w:eastAsia="zh-CN"/>
        </w:rPr>
        <w:t>或财政部门</w:t>
      </w:r>
      <w:r>
        <w:rPr>
          <w:rFonts w:hint="eastAsia" w:ascii="宋体" w:hAnsi="宋体" w:eastAsia="宋体" w:cs="宋体"/>
          <w:color w:val="auto"/>
          <w:highlight w:val="none"/>
          <w:u w:val="none"/>
        </w:rPr>
        <w:t>确认的价款或审核意见之日起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14</w:t>
      </w:r>
      <w:r>
        <w:rPr>
          <w:rFonts w:hint="eastAsia" w:ascii="宋体" w:hAnsi="宋体" w:eastAsia="宋体" w:cs="宋体"/>
          <w:color w:val="auto"/>
          <w:highlight w:val="none"/>
          <w:u w:val="none"/>
        </w:rPr>
        <w:t>天内提出异议，必要时合同当事人要当面核对，直至完成工程竣工结算。除非有特殊情形，否则从承包人递交竣工结算报告到完成竣工结算的时间应控制在</w:t>
      </w:r>
      <w:r>
        <w:rPr>
          <w:rFonts w:hint="eastAsia" w:ascii="宋体" w:hAnsi="宋体" w:eastAsia="宋体" w:cs="宋体"/>
          <w:color w:val="auto"/>
          <w:highlight w:val="none"/>
          <w:u w:val="none"/>
          <w:lang w:val="en-US" w:eastAsia="zh-CN"/>
        </w:rPr>
        <w:t>审核竣工结算文件</w:t>
      </w:r>
      <w:r>
        <w:rPr>
          <w:rFonts w:hint="eastAsia" w:ascii="宋体" w:hAnsi="宋体" w:eastAsia="宋体" w:cs="宋体"/>
          <w:color w:val="auto"/>
          <w:highlight w:val="none"/>
          <w:u w:val="none"/>
        </w:rPr>
        <w:t>期限</w:t>
      </w:r>
      <w:r>
        <w:rPr>
          <w:rFonts w:hint="eastAsia" w:ascii="宋体" w:hAnsi="宋体" w:eastAsia="宋体" w:cs="宋体"/>
          <w:color w:val="auto"/>
          <w:highlight w:val="none"/>
          <w:u w:val="none"/>
          <w:lang w:val="en-US" w:eastAsia="zh-CN"/>
        </w:rPr>
        <w:t>之</w:t>
      </w:r>
      <w:r>
        <w:rPr>
          <w:rFonts w:hint="eastAsia" w:ascii="宋体" w:hAnsi="宋体" w:eastAsia="宋体" w:cs="宋体"/>
          <w:color w:val="auto"/>
          <w:highlight w:val="none"/>
          <w:u w:val="none"/>
        </w:rPr>
        <w:t>内。</w:t>
      </w:r>
    </w:p>
    <w:p w14:paraId="641F7910">
      <w:pPr>
        <w:spacing w:line="400" w:lineRule="exact"/>
        <w:ind w:firstLine="420" w:firstLineChars="200"/>
        <w:outlineLvl w:val="3"/>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竣工结算审核期限届满，</w:t>
      </w:r>
      <w:r>
        <w:rPr>
          <w:rFonts w:hint="eastAsia" w:ascii="宋体" w:hAnsi="宋体" w:eastAsia="宋体" w:cs="宋体"/>
          <w:color w:val="auto"/>
          <w:szCs w:val="21"/>
          <w:highlight w:val="none"/>
          <w:lang w:val="en-US"/>
        </w:rPr>
        <w:t>发包人</w:t>
      </w:r>
      <w:r>
        <w:rPr>
          <w:rFonts w:hint="eastAsia" w:ascii="宋体" w:hAnsi="宋体" w:eastAsia="宋体" w:cs="宋体"/>
          <w:color w:val="auto"/>
          <w:szCs w:val="21"/>
          <w:highlight w:val="none"/>
          <w:lang w:val="en-US" w:eastAsia="zh-CN"/>
        </w:rPr>
        <w:t>（财政部门）</w:t>
      </w:r>
      <w:r>
        <w:rPr>
          <w:rFonts w:hint="eastAsia" w:ascii="宋体" w:hAnsi="宋体" w:eastAsia="宋体" w:cs="宋体"/>
          <w:color w:val="auto"/>
          <w:szCs w:val="21"/>
          <w:highlight w:val="none"/>
          <w:lang w:val="en-US"/>
        </w:rPr>
        <w:t>或承包人对</w:t>
      </w:r>
      <w:r>
        <w:rPr>
          <w:rFonts w:hint="eastAsia" w:ascii="宋体" w:hAnsi="宋体" w:eastAsia="宋体" w:cs="宋体"/>
          <w:color w:val="auto"/>
          <w:szCs w:val="21"/>
          <w:highlight w:val="none"/>
          <w:lang w:val="en-US" w:eastAsia="zh-CN"/>
        </w:rPr>
        <w:t>审核</w:t>
      </w:r>
      <w:r>
        <w:rPr>
          <w:rFonts w:hint="eastAsia" w:ascii="宋体" w:hAnsi="宋体" w:eastAsia="宋体" w:cs="宋体"/>
          <w:color w:val="auto"/>
          <w:szCs w:val="21"/>
          <w:highlight w:val="none"/>
          <w:lang w:val="en-US"/>
        </w:rPr>
        <w:t>结果</w:t>
      </w:r>
      <w:r>
        <w:rPr>
          <w:rFonts w:hint="eastAsia" w:ascii="宋体" w:hAnsi="宋体" w:eastAsia="宋体" w:cs="宋体"/>
          <w:color w:val="auto"/>
          <w:szCs w:val="21"/>
          <w:highlight w:val="none"/>
          <w:lang w:val="en-US" w:eastAsia="zh-CN"/>
        </w:rPr>
        <w:t>部分</w:t>
      </w:r>
      <w:r>
        <w:rPr>
          <w:rFonts w:hint="eastAsia" w:ascii="宋体" w:hAnsi="宋体" w:eastAsia="宋体" w:cs="宋体"/>
          <w:color w:val="auto"/>
          <w:szCs w:val="21"/>
          <w:highlight w:val="none"/>
          <w:lang w:val="en-US"/>
        </w:rPr>
        <w:t>存有异议的，</w:t>
      </w:r>
      <w:r>
        <w:rPr>
          <w:rFonts w:hint="eastAsia" w:ascii="宋体" w:hAnsi="宋体" w:eastAsia="宋体" w:cs="宋体"/>
          <w:color w:val="auto"/>
          <w:szCs w:val="21"/>
          <w:highlight w:val="none"/>
          <w:lang w:val="en-US" w:eastAsia="zh-CN"/>
        </w:rPr>
        <w:t>就</w:t>
      </w:r>
      <w:r>
        <w:rPr>
          <w:rFonts w:hint="eastAsia" w:ascii="宋体" w:hAnsi="宋体" w:eastAsia="宋体" w:cs="宋体"/>
          <w:color w:val="auto"/>
          <w:szCs w:val="21"/>
          <w:highlight w:val="none"/>
          <w:lang w:val="en-US"/>
        </w:rPr>
        <w:t>无异议部分办理不完全竣工结算</w:t>
      </w:r>
      <w:r>
        <w:rPr>
          <w:rFonts w:hint="eastAsia" w:ascii="宋体" w:hAnsi="宋体" w:eastAsia="宋体" w:cs="宋体"/>
          <w:color w:val="auto"/>
          <w:szCs w:val="21"/>
          <w:highlight w:val="none"/>
          <w:lang w:val="en-US" w:eastAsia="zh-CN"/>
        </w:rPr>
        <w:t>，发包人应按照不完全竣工结算金额依约向承包人支付对应的工程款</w:t>
      </w:r>
      <w:r>
        <w:rPr>
          <w:rFonts w:hint="eastAsia" w:ascii="宋体" w:hAnsi="宋体" w:eastAsia="宋体" w:cs="宋体"/>
          <w:color w:val="auto"/>
          <w:szCs w:val="21"/>
          <w:highlight w:val="none"/>
          <w:lang w:val="en-US"/>
        </w:rPr>
        <w:t>；</w:t>
      </w:r>
      <w:r>
        <w:rPr>
          <w:rFonts w:hint="eastAsia" w:ascii="宋体" w:hAnsi="宋体" w:eastAsia="宋体" w:cs="宋体"/>
          <w:color w:val="auto"/>
          <w:szCs w:val="21"/>
          <w:highlight w:val="none"/>
          <w:lang w:val="en-US" w:eastAsia="zh-CN"/>
        </w:rPr>
        <w:t>就</w:t>
      </w:r>
      <w:r>
        <w:rPr>
          <w:rFonts w:hint="eastAsia" w:ascii="宋体" w:hAnsi="宋体" w:eastAsia="宋体" w:cs="宋体"/>
          <w:color w:val="auto"/>
          <w:szCs w:val="21"/>
          <w:highlight w:val="none"/>
          <w:lang w:val="en-US"/>
        </w:rPr>
        <w:t>有异议部分</w:t>
      </w:r>
      <w:r>
        <w:rPr>
          <w:rFonts w:hint="eastAsia" w:ascii="宋体" w:hAnsi="宋体" w:eastAsia="宋体" w:cs="宋体"/>
          <w:color w:val="auto"/>
          <w:szCs w:val="21"/>
          <w:highlight w:val="none"/>
          <w:lang w:val="en-US" w:eastAsia="zh-CN"/>
        </w:rPr>
        <w:t>发承包</w:t>
      </w:r>
      <w:r>
        <w:rPr>
          <w:rFonts w:hint="eastAsia" w:ascii="宋体" w:hAnsi="宋体" w:eastAsia="宋体" w:cs="宋体"/>
          <w:color w:val="auto"/>
          <w:szCs w:val="21"/>
          <w:highlight w:val="none"/>
          <w:lang w:val="en-US"/>
        </w:rPr>
        <w:t>双方按</w:t>
      </w:r>
      <w:r>
        <w:rPr>
          <w:rFonts w:hint="eastAsia" w:ascii="宋体" w:hAnsi="宋体" w:eastAsia="宋体" w:cs="宋体"/>
          <w:color w:val="auto"/>
          <w:szCs w:val="21"/>
          <w:highlight w:val="none"/>
          <w:lang w:val="en-US" w:eastAsia="zh-CN"/>
        </w:rPr>
        <w:t>本合同约定的</w:t>
      </w:r>
      <w:r>
        <w:rPr>
          <w:rFonts w:hint="eastAsia" w:ascii="宋体" w:hAnsi="宋体" w:eastAsia="宋体" w:cs="宋体"/>
          <w:color w:val="auto"/>
          <w:szCs w:val="21"/>
          <w:highlight w:val="none"/>
          <w:lang w:val="en-US"/>
        </w:rPr>
        <w:t>争议解决方式处理</w:t>
      </w:r>
      <w:r>
        <w:rPr>
          <w:rFonts w:hint="eastAsia" w:ascii="宋体" w:hAnsi="宋体" w:eastAsia="宋体" w:cs="宋体"/>
          <w:color w:val="auto"/>
          <w:szCs w:val="21"/>
          <w:highlight w:val="none"/>
          <w:lang w:val="en-US" w:eastAsia="zh-CN"/>
        </w:rPr>
        <w:t>，达成一致后，按争议部分的结算金额依约向承包人支付对应的工程款</w:t>
      </w:r>
      <w:r>
        <w:rPr>
          <w:rFonts w:hint="eastAsia" w:ascii="宋体" w:hAnsi="宋体" w:eastAsia="宋体" w:cs="宋体"/>
          <w:color w:val="auto"/>
          <w:szCs w:val="21"/>
          <w:highlight w:val="none"/>
          <w:lang w:val="en-US"/>
        </w:rPr>
        <w:t>。</w:t>
      </w:r>
    </w:p>
    <w:p w14:paraId="2C9502B7">
      <w:pPr>
        <w:numPr>
          <w:ilvl w:val="0"/>
          <w:numId w:val="0"/>
        </w:num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szCs w:val="21"/>
          <w:highlight w:val="none"/>
          <w:lang w:val="zh-TW"/>
        </w:rPr>
        <w:t>发包人</w:t>
      </w:r>
      <w:r>
        <w:rPr>
          <w:rFonts w:hint="eastAsia" w:ascii="宋体" w:hAnsi="宋体" w:eastAsia="宋体" w:cs="宋体"/>
          <w:color w:val="auto"/>
          <w:szCs w:val="21"/>
          <w:highlight w:val="none"/>
          <w:lang w:val="en-US" w:eastAsia="zh-CN"/>
        </w:rPr>
        <w:t>或财政部门</w:t>
      </w:r>
      <w:r>
        <w:rPr>
          <w:rFonts w:hint="eastAsia" w:ascii="宋体" w:hAnsi="宋体" w:eastAsia="宋体" w:cs="宋体"/>
          <w:color w:val="auto"/>
          <w:szCs w:val="21"/>
          <w:highlight w:val="none"/>
          <w:lang w:val="zh-TW"/>
        </w:rPr>
        <w:t>在收到承包人竣工结算文件后约定</w:t>
      </w:r>
      <w:r>
        <w:rPr>
          <w:rFonts w:hint="eastAsia" w:ascii="宋体" w:hAnsi="宋体" w:eastAsia="宋体" w:cs="宋体"/>
          <w:color w:val="auto"/>
          <w:szCs w:val="21"/>
          <w:highlight w:val="none"/>
          <w:lang w:val="en-US" w:eastAsia="zh-CN"/>
        </w:rPr>
        <w:t>审核期限</w:t>
      </w:r>
      <w:r>
        <w:rPr>
          <w:rFonts w:hint="eastAsia" w:ascii="宋体" w:hAnsi="宋体" w:eastAsia="宋体" w:cs="宋体"/>
          <w:color w:val="auto"/>
          <w:szCs w:val="21"/>
          <w:highlight w:val="none"/>
          <w:lang w:val="zh-TW"/>
        </w:rPr>
        <w:t>内，未按合同约定或财政投资评审规定核对竣工结算或未提出核对意见的，应视为承包人提交的竣工结算文件已被发包人认可，竣工结算确认完毕。承包人在收到发包人</w:t>
      </w:r>
      <w:r>
        <w:rPr>
          <w:rFonts w:hint="eastAsia" w:ascii="宋体" w:hAnsi="宋体" w:eastAsia="宋体" w:cs="宋体"/>
          <w:color w:val="auto"/>
          <w:szCs w:val="21"/>
          <w:highlight w:val="none"/>
          <w:lang w:val="en-US" w:eastAsia="zh-CN"/>
        </w:rPr>
        <w:t>或财政部门</w:t>
      </w:r>
      <w:r>
        <w:rPr>
          <w:rFonts w:hint="eastAsia" w:ascii="宋体" w:hAnsi="宋体" w:eastAsia="宋体" w:cs="宋体"/>
          <w:color w:val="auto"/>
          <w:szCs w:val="21"/>
          <w:highlight w:val="none"/>
          <w:lang w:val="zh-TW"/>
        </w:rPr>
        <w:t>提出的核对（或复核）意见后，在约定的时间内未按合同约定确认也未提出异议的，应视为发包人</w:t>
      </w:r>
      <w:r>
        <w:rPr>
          <w:rFonts w:hint="eastAsia" w:ascii="宋体" w:hAnsi="宋体" w:eastAsia="宋体" w:cs="宋体"/>
          <w:color w:val="auto"/>
          <w:szCs w:val="21"/>
          <w:highlight w:val="none"/>
          <w:lang w:val="en-US" w:eastAsia="zh-CN"/>
        </w:rPr>
        <w:t>或财政部门</w:t>
      </w:r>
      <w:r>
        <w:rPr>
          <w:rFonts w:hint="eastAsia" w:ascii="宋体" w:hAnsi="宋体" w:eastAsia="宋体" w:cs="宋体"/>
          <w:color w:val="auto"/>
          <w:szCs w:val="21"/>
          <w:highlight w:val="none"/>
          <w:lang w:val="zh-TW"/>
        </w:rPr>
        <w:t>提出的核对意见已被承包人认可，竣工结算确认完毕。</w:t>
      </w:r>
    </w:p>
    <w:p w14:paraId="40121F5B">
      <w:pPr>
        <w:numPr>
          <w:ilvl w:val="0"/>
          <w:numId w:val="0"/>
        </w:numPr>
        <w:spacing w:line="360" w:lineRule="auto"/>
        <w:ind w:firstLine="420"/>
        <w:jc w:val="left"/>
        <w:rPr>
          <w:rFonts w:hint="eastAsia" w:ascii="宋体" w:hAnsi="宋体" w:eastAsia="宋体" w:cs="宋体"/>
          <w:color w:val="auto"/>
          <w:szCs w:val="21"/>
          <w:highlight w:val="none"/>
          <w:lang w:val="zh-TW"/>
        </w:rPr>
      </w:pPr>
      <w:r>
        <w:rPr>
          <w:rFonts w:hint="eastAsia" w:ascii="宋体" w:hAnsi="宋体" w:eastAsia="宋体" w:cs="宋体"/>
          <w:color w:val="auto"/>
          <w:szCs w:val="21"/>
          <w:highlight w:val="none"/>
          <w:u w:val="none"/>
          <w:lang w:val="zh-TW" w:eastAsia="zh-CN"/>
        </w:rPr>
        <w:t>14.2.5</w:t>
      </w:r>
      <w:r>
        <w:rPr>
          <w:rFonts w:hint="eastAsia" w:ascii="宋体" w:hAnsi="宋体" w:eastAsia="宋体" w:cs="宋体"/>
          <w:color w:val="auto"/>
          <w:szCs w:val="21"/>
          <w:highlight w:val="none"/>
          <w:u w:val="none"/>
          <w:lang w:val="zh-TW"/>
        </w:rPr>
        <w:t>自竣工结算</w:t>
      </w:r>
      <w:r>
        <w:rPr>
          <w:rFonts w:hint="eastAsia" w:ascii="宋体" w:hAnsi="宋体" w:eastAsia="宋体" w:cs="宋体"/>
          <w:color w:val="auto"/>
          <w:szCs w:val="21"/>
          <w:highlight w:val="none"/>
          <w:u w:val="none"/>
          <w:lang w:val="zh-TW" w:eastAsia="zh-CN"/>
        </w:rPr>
        <w:t>（或办理不完全竣工结算）</w:t>
      </w:r>
      <w:r>
        <w:rPr>
          <w:rFonts w:hint="eastAsia" w:ascii="宋体" w:hAnsi="宋体" w:eastAsia="宋体" w:cs="宋体"/>
          <w:color w:val="auto"/>
          <w:szCs w:val="21"/>
          <w:highlight w:val="none"/>
          <w:u w:val="none"/>
          <w:lang w:val="zh-TW"/>
        </w:rPr>
        <w:t>完毕之日起</w:t>
      </w:r>
      <w:r>
        <w:rPr>
          <w:rFonts w:hint="eastAsia" w:ascii="宋体" w:hAnsi="宋体" w:eastAsia="宋体" w:cs="宋体"/>
          <w:color w:val="auto"/>
          <w:szCs w:val="21"/>
          <w:highlight w:val="none"/>
          <w:u w:val="single"/>
          <w:lang w:val="zh-TW" w:eastAsia="zh-CN"/>
        </w:rPr>
        <w:t xml:space="preserve"> </w:t>
      </w:r>
      <w:r>
        <w:rPr>
          <w:rFonts w:hint="eastAsia" w:ascii="宋体" w:hAnsi="宋体" w:eastAsia="宋体" w:cs="宋体"/>
          <w:color w:val="auto"/>
          <w:szCs w:val="21"/>
          <w:highlight w:val="none"/>
          <w:u w:val="single"/>
          <w:lang w:val="en-US" w:eastAsia="zh-CN"/>
        </w:rPr>
        <w:t>15</w:t>
      </w:r>
      <w:r>
        <w:rPr>
          <w:rFonts w:hint="eastAsia" w:ascii="宋体" w:hAnsi="宋体" w:eastAsia="宋体" w:cs="宋体"/>
          <w:color w:val="auto"/>
          <w:szCs w:val="21"/>
          <w:highlight w:val="none"/>
          <w:u w:val="single"/>
          <w:lang w:val="zh-TW" w:eastAsia="zh-CN"/>
        </w:rPr>
        <w:t xml:space="preserve">个工作日  </w:t>
      </w:r>
      <w:r>
        <w:rPr>
          <w:rFonts w:hint="eastAsia" w:ascii="宋体" w:hAnsi="宋体" w:eastAsia="宋体" w:cs="宋体"/>
          <w:color w:val="auto"/>
          <w:szCs w:val="21"/>
          <w:highlight w:val="none"/>
          <w:u w:val="none"/>
          <w:lang w:val="zh-TW"/>
        </w:rPr>
        <w:t>内，发包人按审定的结算</w:t>
      </w:r>
      <w:r>
        <w:rPr>
          <w:rFonts w:hint="eastAsia" w:ascii="宋体" w:hAnsi="宋体" w:eastAsia="宋体" w:cs="宋体"/>
          <w:color w:val="auto"/>
          <w:szCs w:val="21"/>
          <w:highlight w:val="none"/>
          <w:u w:val="none"/>
          <w:lang w:val="zh-TW" w:eastAsia="zh-CN"/>
        </w:rPr>
        <w:t>金额</w:t>
      </w:r>
      <w:r>
        <w:rPr>
          <w:rFonts w:hint="eastAsia" w:ascii="宋体" w:hAnsi="宋体" w:eastAsia="宋体" w:cs="宋体"/>
          <w:color w:val="auto"/>
          <w:szCs w:val="21"/>
          <w:highlight w:val="none"/>
          <w:u w:val="none"/>
          <w:lang w:val="zh-TW"/>
        </w:rPr>
        <w:t>向承包人支付结算价款。</w:t>
      </w:r>
    </w:p>
    <w:p w14:paraId="48EE7E4A">
      <w:pPr>
        <w:numPr>
          <w:ilvl w:val="0"/>
          <w:numId w:val="0"/>
        </w:numPr>
        <w:spacing w:line="360" w:lineRule="auto"/>
        <w:ind w:firstLine="420"/>
        <w:jc w:val="left"/>
        <w:rPr>
          <w:rFonts w:hint="eastAsia" w:ascii="宋体" w:hAnsi="宋体" w:eastAsia="宋体" w:cs="宋体"/>
          <w:color w:val="auto"/>
          <w:szCs w:val="21"/>
          <w:highlight w:val="none"/>
          <w:lang w:val="zh-TW"/>
        </w:rPr>
      </w:pPr>
      <w:r>
        <w:rPr>
          <w:rFonts w:hint="eastAsia" w:ascii="宋体" w:hAnsi="宋体" w:eastAsia="宋体" w:cs="宋体"/>
          <w:color w:val="auto"/>
          <w:szCs w:val="21"/>
          <w:highlight w:val="none"/>
          <w:lang w:val="zh-TW"/>
        </w:rPr>
        <w:t>14.2.</w:t>
      </w:r>
      <w:r>
        <w:rPr>
          <w:rFonts w:hint="eastAsia" w:ascii="宋体" w:hAnsi="宋体" w:eastAsia="宋体" w:cs="宋体"/>
          <w:color w:val="auto"/>
          <w:szCs w:val="21"/>
          <w:highlight w:val="none"/>
          <w:lang w:val="zh-TW" w:eastAsia="zh-CN"/>
        </w:rPr>
        <w:t>6</w:t>
      </w:r>
      <w:r>
        <w:rPr>
          <w:rFonts w:hint="eastAsia" w:ascii="宋体" w:hAnsi="宋体" w:eastAsia="宋体" w:cs="宋体"/>
          <w:color w:val="auto"/>
          <w:szCs w:val="21"/>
          <w:highlight w:val="none"/>
          <w:lang w:val="zh-TW"/>
        </w:rPr>
        <w:t xml:space="preserve"> 承包人必须提供完整、真实的隐蔽工程原始施工、验收记录。如发现施工单位提供的隐蔽工程资料与实际不符时，按不利于施工单位原则结算。</w:t>
      </w:r>
    </w:p>
    <w:p w14:paraId="578A7C3A">
      <w:pPr>
        <w:numPr>
          <w:ilvl w:val="0"/>
          <w:numId w:val="0"/>
        </w:numPr>
        <w:spacing w:line="360" w:lineRule="auto"/>
        <w:ind w:firstLine="420"/>
        <w:jc w:val="left"/>
        <w:rPr>
          <w:rFonts w:hint="default"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14.2.7竣工结算以发包人聘任的社会中介机构或桂林市临桂区财政局审核为准。审核时间自承包人提交的竣工结算资料经发包人聘任的社会中介机构或桂林市临桂区财政局确认齐全合格之日起计算，因发包人聘任的社会中介机构或桂林市临桂区财政局自身工作原因导致超过一年的，发包人应主动协调推进，该情形不视为发包人违约，承包人不得主张逾期付款违约金，也不得直接申请工程造价司法鉴定。</w:t>
      </w:r>
    </w:p>
    <w:p w14:paraId="20A23749">
      <w:pPr>
        <w:pStyle w:val="4"/>
        <w:rPr>
          <w:rFonts w:hint="eastAsia" w:ascii="宋体" w:hAnsi="宋体" w:eastAsia="宋体" w:cs="宋体"/>
          <w:color w:val="auto"/>
          <w:highlight w:val="none"/>
        </w:rPr>
      </w:pPr>
      <w:bookmarkStart w:id="395" w:name="_Toc11123"/>
      <w:bookmarkStart w:id="396" w:name="_Toc29846"/>
      <w:r>
        <w:rPr>
          <w:rFonts w:hint="eastAsia" w:ascii="宋体" w:hAnsi="宋体" w:eastAsia="宋体" w:cs="宋体"/>
          <w:color w:val="auto"/>
          <w:highlight w:val="none"/>
        </w:rPr>
        <w:t>14.4 最终结清</w:t>
      </w:r>
      <w:bookmarkEnd w:id="395"/>
      <w:bookmarkEnd w:id="396"/>
    </w:p>
    <w:p w14:paraId="6894A494">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14.4.1 最终结清申请单</w:t>
      </w:r>
    </w:p>
    <w:p w14:paraId="2CDEC6E5">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承包人提交最终结清申请单的份数：</w:t>
      </w:r>
      <w:r>
        <w:rPr>
          <w:rFonts w:hint="eastAsia" w:ascii="宋体" w:hAnsi="宋体" w:eastAsia="宋体" w:cs="宋体"/>
          <w:color w:val="auto"/>
          <w:highlight w:val="none"/>
          <w:u w:val="single"/>
        </w:rPr>
        <w:t xml:space="preserve">  2 份（含电子版</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rPr>
        <w:t>。</w:t>
      </w:r>
    </w:p>
    <w:p w14:paraId="2687A2E5">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highlight w:val="none"/>
        </w:rPr>
        <w:t>承包人提交最终结算申请单的期限：</w:t>
      </w:r>
      <w:r>
        <w:rPr>
          <w:rFonts w:hint="eastAsia" w:ascii="宋体" w:hAnsi="宋体" w:eastAsia="宋体" w:cs="宋体"/>
          <w:color w:val="auto"/>
          <w:highlight w:val="none"/>
          <w:u w:val="single"/>
        </w:rPr>
        <w:t xml:space="preserve">   缺陷责任期终止证书颁发后 7 天内 </w:t>
      </w:r>
      <w:r>
        <w:rPr>
          <w:rFonts w:hint="eastAsia" w:ascii="宋体" w:hAnsi="宋体" w:eastAsia="宋体" w:cs="宋体"/>
          <w:color w:val="auto"/>
          <w:highlight w:val="none"/>
        </w:rPr>
        <w:t xml:space="preserve">。 </w:t>
      </w:r>
    </w:p>
    <w:p w14:paraId="732BF239">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rPr>
        <w:t>工程保修与结清结算支付申请（核准）表</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见合同附件13。</w:t>
      </w:r>
    </w:p>
    <w:p w14:paraId="302303C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14.4.2 最终结清证书和支付</w:t>
      </w:r>
    </w:p>
    <w:p w14:paraId="715BDDA9">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（1）发包人完成最终结清申请单的审批并颁发最终结清证书的期限：</w:t>
      </w:r>
      <w:r>
        <w:rPr>
          <w:rFonts w:hint="eastAsia" w:ascii="宋体" w:hAnsi="宋体" w:eastAsia="宋体" w:cs="宋体"/>
          <w:color w:val="auto"/>
          <w:highlight w:val="none"/>
          <w:u w:val="single"/>
        </w:rPr>
        <w:t xml:space="preserve"> 发包人自收到承包人提交的完整、合格的最终结清申请单及全套资料（含缺陷责任期履行情况说明、质量问题整改完成证明、</w:t>
      </w:r>
      <w:r>
        <w:rPr>
          <w:rFonts w:hint="eastAsia" w:ascii="宋体" w:hAnsi="宋体" w:eastAsia="宋体" w:cs="宋体"/>
          <w:color w:val="auto"/>
          <w:highlight w:val="none"/>
          <w:u w:val="single"/>
          <w:lang w:eastAsia="zh-CN"/>
        </w:rPr>
        <w:t>质量保证</w:t>
      </w:r>
      <w:r>
        <w:rPr>
          <w:rFonts w:hint="eastAsia" w:ascii="宋体" w:hAnsi="宋体" w:eastAsia="宋体" w:cs="宋体"/>
          <w:color w:val="auto"/>
          <w:highlight w:val="none"/>
          <w:u w:val="single"/>
        </w:rPr>
        <w:t>金返还请款材料等）之日起14 个工作日内完成审核，向承包人颁发最终结清证书；需报送财政部门复核确认的，财政部门复核期间不计入前述审批期限</w:t>
      </w:r>
      <w:r>
        <w:rPr>
          <w:rFonts w:hint="eastAsia" w:ascii="宋体" w:hAnsi="宋体" w:eastAsia="宋体" w:cs="宋体"/>
          <w:color w:val="auto"/>
          <w:highlight w:val="none"/>
        </w:rPr>
        <w:t>。</w:t>
      </w:r>
    </w:p>
    <w:p w14:paraId="6545608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highlight w:val="none"/>
        </w:rPr>
        <w:t>（2）发包人完成支付的期限：</w:t>
      </w:r>
      <w:r>
        <w:rPr>
          <w:rFonts w:hint="eastAsia" w:ascii="Times New Roman" w:hAnsi="Times New Roman" w:eastAsia="宋体" w:cs="Times New Roman"/>
          <w:color w:val="auto"/>
          <w:highlight w:val="none"/>
        </w:rPr>
        <w:t>工程竣工验收合格，工程结算经采购人聘任的社会中介机构审定后，成交供应商向采购人提交有效发票及工程质量保证金后，15个工作日内支付至结算总价的100%，工程质量保证金的缴纳方式：承包人向发包人提供工程价款结算总额的3%的质量保证金保函，保函有效期覆盖质量保修期外加60天的索赔期。（最终结算金额以采购人聘任的社会中介机构或</w:t>
      </w:r>
      <w:r>
        <w:rPr>
          <w:rFonts w:hint="eastAsia" w:ascii="宋体" w:hAnsi="宋体" w:eastAsia="宋体" w:cs="宋体"/>
          <w:color w:val="auto"/>
          <w:szCs w:val="21"/>
          <w:highlight w:val="none"/>
          <w:lang w:val="en-US" w:eastAsia="zh-CN"/>
        </w:rPr>
        <w:t>桂林市临桂区</w:t>
      </w:r>
      <w:r>
        <w:rPr>
          <w:rFonts w:hint="eastAsia" w:ascii="Times New Roman" w:hAnsi="Times New Roman" w:eastAsia="宋体" w:cs="Times New Roman"/>
          <w:color w:val="auto"/>
          <w:highlight w:val="none"/>
        </w:rPr>
        <w:t>财政局审核为准）。</w:t>
      </w:r>
    </w:p>
    <w:p w14:paraId="3966F865">
      <w:pPr>
        <w:pStyle w:val="3"/>
        <w:rPr>
          <w:rFonts w:hint="eastAsia" w:ascii="宋体" w:hAnsi="宋体" w:eastAsia="宋体" w:cs="宋体"/>
          <w:color w:val="auto"/>
          <w:highlight w:val="none"/>
        </w:rPr>
      </w:pPr>
      <w:bookmarkStart w:id="397" w:name="_Toc5429"/>
      <w:r>
        <w:rPr>
          <w:rFonts w:hint="eastAsia" w:ascii="宋体" w:hAnsi="宋体" w:eastAsia="宋体" w:cs="宋体"/>
          <w:color w:val="auto"/>
          <w:highlight w:val="none"/>
        </w:rPr>
        <w:t>15. 缺陷责任期与保修</w:t>
      </w:r>
      <w:bookmarkEnd w:id="397"/>
    </w:p>
    <w:p w14:paraId="302022E5">
      <w:pPr>
        <w:pStyle w:val="4"/>
        <w:rPr>
          <w:rFonts w:hint="eastAsia" w:ascii="宋体" w:hAnsi="宋体" w:eastAsia="宋体" w:cs="宋体"/>
          <w:color w:val="auto"/>
          <w:highlight w:val="none"/>
        </w:rPr>
      </w:pPr>
      <w:bookmarkStart w:id="398" w:name="_Toc5211"/>
      <w:bookmarkStart w:id="399" w:name="_Toc14431"/>
      <w:r>
        <w:rPr>
          <w:rFonts w:hint="eastAsia" w:ascii="宋体" w:hAnsi="宋体" w:eastAsia="宋体" w:cs="宋体"/>
          <w:color w:val="auto"/>
          <w:highlight w:val="none"/>
        </w:rPr>
        <w:t>15.2 缺陷责任期</w:t>
      </w:r>
      <w:bookmarkEnd w:id="398"/>
      <w:bookmarkEnd w:id="399"/>
    </w:p>
    <w:p w14:paraId="369FFEFA">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缺陷责任期的具体期限：</w:t>
      </w:r>
      <w:r>
        <w:rPr>
          <w:rFonts w:hint="eastAsia" w:ascii="宋体" w:hAnsi="宋体" w:eastAsia="宋体" w:cs="宋体"/>
          <w:color w:val="auto"/>
          <w:highlight w:val="none"/>
          <w:u w:val="single"/>
        </w:rPr>
        <w:t xml:space="preserve"> </w:t>
      </w:r>
      <w:r>
        <w:rPr>
          <w:color w:val="auto"/>
          <w:szCs w:val="21"/>
          <w:highlight w:val="none"/>
          <w:u w:val="single"/>
        </w:rPr>
        <w:t>24</w:t>
      </w:r>
      <w:r>
        <w:rPr>
          <w:rFonts w:hint="eastAsia"/>
          <w:color w:val="auto"/>
          <w:szCs w:val="21"/>
          <w:highlight w:val="none"/>
          <w:u w:val="single"/>
          <w:lang w:eastAsia="zh-CN"/>
        </w:rPr>
        <w:t>个</w:t>
      </w:r>
      <w:r>
        <w:rPr>
          <w:color w:val="auto"/>
          <w:szCs w:val="21"/>
          <w:highlight w:val="none"/>
          <w:u w:val="single"/>
        </w:rPr>
        <w:t>月</w:t>
      </w:r>
      <w:r>
        <w:rPr>
          <w:rFonts w:hint="eastAsia" w:ascii="宋体" w:hAnsi="宋体" w:eastAsia="宋体" w:cs="宋体"/>
          <w:color w:val="auto"/>
          <w:highlight w:val="none"/>
        </w:rPr>
        <w:t>。</w:t>
      </w:r>
    </w:p>
    <w:p w14:paraId="2E86BC97">
      <w:pPr>
        <w:pStyle w:val="4"/>
        <w:rPr>
          <w:rFonts w:hint="eastAsia" w:ascii="宋体" w:hAnsi="宋体" w:eastAsia="宋体" w:cs="宋体"/>
          <w:color w:val="auto"/>
          <w:highlight w:val="none"/>
        </w:rPr>
      </w:pPr>
      <w:bookmarkStart w:id="400" w:name="_Toc23897"/>
      <w:bookmarkStart w:id="401" w:name="_Toc13775"/>
      <w:r>
        <w:rPr>
          <w:rFonts w:hint="eastAsia" w:ascii="宋体" w:hAnsi="宋体" w:eastAsia="宋体" w:cs="宋体"/>
          <w:color w:val="auto"/>
          <w:highlight w:val="none"/>
        </w:rPr>
        <w:t>15.3 质量保证金</w:t>
      </w:r>
      <w:bookmarkEnd w:id="400"/>
      <w:bookmarkEnd w:id="401"/>
    </w:p>
    <w:p w14:paraId="7708FE39">
      <w:pPr>
        <w:spacing w:line="360" w:lineRule="auto"/>
        <w:ind w:firstLine="420" w:firstLineChars="200"/>
        <w:jc w:val="left"/>
        <w:outlineLvl w:val="0"/>
        <w:rPr>
          <w:rFonts w:hint="eastAsia" w:ascii="宋体" w:hAnsi="宋体" w:eastAsia="宋体" w:cs="宋体"/>
          <w:color w:val="auto"/>
          <w:highlight w:val="none"/>
        </w:rPr>
      </w:pPr>
      <w:bookmarkStart w:id="402" w:name="_Toc27158"/>
      <w:r>
        <w:rPr>
          <w:rFonts w:hint="eastAsia" w:ascii="宋体" w:hAnsi="宋体" w:eastAsia="宋体" w:cs="宋体"/>
          <w:color w:val="auto"/>
          <w:highlight w:val="none"/>
        </w:rPr>
        <w:t>15.3.1 承包人提供质量保证金的方式</w:t>
      </w:r>
      <w:bookmarkEnd w:id="402"/>
    </w:p>
    <w:p w14:paraId="59DB835A">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质量保证金采用以下第</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lang w:val="en-US" w:eastAsia="zh-CN"/>
        </w:rPr>
        <w:t>2</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种方式：</w:t>
      </w:r>
    </w:p>
    <w:p w14:paraId="2378D71D">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（1）质量保证金保函</w:t>
      </w:r>
      <w:r>
        <w:rPr>
          <w:rFonts w:hint="eastAsia" w:ascii="宋体" w:hAnsi="宋体" w:eastAsia="宋体" w:cs="宋体"/>
          <w:color w:val="auto"/>
          <w:highlight w:val="none"/>
        </w:rPr>
        <w:t>（银行保函、电子保函、保证保险保函、工程担保保函</w:t>
      </w:r>
      <w:r>
        <w:rPr>
          <w:rFonts w:hint="eastAsia" w:ascii="宋体" w:hAnsi="宋体" w:eastAsia="宋体" w:cs="宋体"/>
          <w:color w:val="auto"/>
          <w:kern w:val="0"/>
          <w:highlight w:val="none"/>
          <w:lang w:eastAsia="zh-CN"/>
        </w:rPr>
        <w:t>）</w:t>
      </w:r>
      <w:r>
        <w:rPr>
          <w:rFonts w:hint="eastAsia" w:ascii="宋体" w:hAnsi="宋体" w:eastAsia="宋体" w:cs="宋体"/>
          <w:color w:val="auto"/>
          <w:kern w:val="0"/>
          <w:highlight w:val="none"/>
        </w:rPr>
        <w:t>，以实现保函查询及验真功能</w:t>
      </w:r>
      <w:r>
        <w:rPr>
          <w:rFonts w:hint="eastAsia" w:ascii="宋体" w:hAnsi="宋体" w:eastAsia="宋体" w:cs="宋体"/>
          <w:color w:val="auto"/>
          <w:kern w:val="0"/>
          <w:highlight w:val="none"/>
          <w:lang w:eastAsia="zh-CN"/>
        </w:rPr>
        <w:t>。</w:t>
      </w:r>
      <w:r>
        <w:rPr>
          <w:rFonts w:hint="eastAsia" w:ascii="宋体" w:hAnsi="宋体" w:eastAsia="宋体" w:cs="宋体"/>
          <w:color w:val="auto"/>
          <w:highlight w:val="none"/>
        </w:rPr>
        <w:t>）</w:t>
      </w:r>
      <w:r>
        <w:rPr>
          <w:rFonts w:hint="eastAsia" w:ascii="宋体" w:hAnsi="宋体" w:eastAsia="宋体" w:cs="宋体"/>
          <w:color w:val="auto"/>
          <w:kern w:val="0"/>
          <w:highlight w:val="none"/>
        </w:rPr>
        <w:t>，保证金额</w:t>
      </w:r>
      <w:r>
        <w:rPr>
          <w:rFonts w:hint="eastAsia" w:ascii="宋体" w:hAnsi="宋体" w:eastAsia="宋体" w:cs="宋体"/>
          <w:color w:val="auto"/>
          <w:kern w:val="0"/>
          <w:highlight w:val="none"/>
          <w:lang w:val="en-US" w:eastAsia="zh-CN"/>
        </w:rPr>
        <w:t>度</w:t>
      </w:r>
      <w:r>
        <w:rPr>
          <w:rFonts w:hint="eastAsia" w:ascii="宋体" w:hAnsi="宋体" w:eastAsia="宋体" w:cs="宋体"/>
          <w:color w:val="auto"/>
          <w:kern w:val="0"/>
          <w:highlight w:val="none"/>
        </w:rPr>
        <w:t>为：</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5BC44D3A">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w:t>
      </w:r>
      <w:r>
        <w:rPr>
          <w:rFonts w:hint="eastAsia" w:ascii="宋体" w:hAnsi="宋体" w:eastAsia="宋体" w:cs="宋体"/>
          <w:color w:val="auto"/>
          <w:highlight w:val="none"/>
        </w:rPr>
        <w:t>发包人按工程价款结算总额的</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3</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w:t>
      </w:r>
      <w:r>
        <w:rPr>
          <w:rFonts w:hint="eastAsia" w:ascii="Times New Roman" w:hAnsi="Times New Roman" w:eastAsia="宋体" w:cs="Times New Roman"/>
          <w:color w:val="auto"/>
          <w:highlight w:val="none"/>
        </w:rPr>
        <w:t>承包人向发包人提供工程价款结算总额的3%的质量保证金保函</w:t>
      </w:r>
      <w:r>
        <w:rPr>
          <w:rFonts w:hint="eastAsia" w:ascii="宋体" w:hAnsi="宋体" w:eastAsia="宋体" w:cs="宋体"/>
          <w:color w:val="auto"/>
          <w:highlight w:val="none"/>
        </w:rPr>
        <w:t>，待缺陷责任期满</w:t>
      </w:r>
      <w:r>
        <w:rPr>
          <w:rFonts w:hint="eastAsia" w:ascii="宋体" w:hAnsi="宋体" w:eastAsia="宋体" w:cs="宋体"/>
          <w:color w:val="auto"/>
          <w:highlight w:val="none"/>
          <w:lang w:eastAsia="zh-CN"/>
        </w:rPr>
        <w:t>且承包人提交请款材料经审查合格后30个工作日内</w:t>
      </w:r>
      <w:r>
        <w:rPr>
          <w:rFonts w:hint="eastAsia" w:ascii="宋体" w:hAnsi="宋体" w:eastAsia="宋体" w:cs="宋体"/>
          <w:color w:val="auto"/>
          <w:highlight w:val="none"/>
        </w:rPr>
        <w:t>返还</w:t>
      </w:r>
      <w:r>
        <w:rPr>
          <w:rFonts w:hint="eastAsia" w:ascii="宋体" w:hAnsi="宋体" w:eastAsia="宋体" w:cs="宋体"/>
          <w:color w:val="auto"/>
          <w:kern w:val="0"/>
          <w:highlight w:val="none"/>
        </w:rPr>
        <w:t>；</w:t>
      </w:r>
    </w:p>
    <w:p w14:paraId="6A69A831">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（3）其他方式：</w:t>
      </w:r>
      <w:r>
        <w:rPr>
          <w:rFonts w:hint="eastAsia" w:ascii="宋体" w:hAnsi="宋体" w:eastAsia="宋体" w:cs="宋体"/>
          <w:color w:val="auto"/>
          <w:highlight w:val="none"/>
        </w:rPr>
        <w:t>银行转账、电汇或网上支付等</w:t>
      </w:r>
      <w:r>
        <w:rPr>
          <w:rFonts w:hint="eastAsia" w:ascii="宋体" w:hAnsi="宋体" w:eastAsia="宋体" w:cs="宋体"/>
          <w:color w:val="auto"/>
          <w:highlight w:val="none"/>
          <w:lang w:eastAsia="zh-CN"/>
        </w:rPr>
        <w:t>形</w:t>
      </w:r>
      <w:r>
        <w:rPr>
          <w:rFonts w:hint="eastAsia" w:ascii="宋体" w:hAnsi="宋体" w:eastAsia="宋体" w:cs="宋体"/>
          <w:color w:val="auto"/>
          <w:highlight w:val="none"/>
        </w:rPr>
        <w:t>式。</w:t>
      </w:r>
    </w:p>
    <w:p w14:paraId="796B031D">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15.3.2 质量保证金的扣留</w:t>
      </w:r>
    </w:p>
    <w:p w14:paraId="3E32B0F8">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质量保证金的扣留采取以下第</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lang w:val="en-US" w:eastAsia="zh-CN"/>
        </w:rPr>
        <w:t>3</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种方式：</w:t>
      </w:r>
    </w:p>
    <w:p w14:paraId="40A5C7EC">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（1）在不缴纳</w:t>
      </w:r>
      <w:r>
        <w:rPr>
          <w:rFonts w:hint="eastAsia" w:ascii="宋体" w:hAnsi="宋体" w:eastAsia="宋体" w:cs="宋体"/>
          <w:color w:val="auto"/>
          <w:kern w:val="0"/>
          <w:highlight w:val="none"/>
          <w:lang w:eastAsia="zh-CN"/>
        </w:rPr>
        <w:t>履约</w:t>
      </w:r>
      <w:r>
        <w:rPr>
          <w:rFonts w:hint="eastAsia" w:ascii="宋体" w:hAnsi="宋体" w:eastAsia="宋体" w:cs="宋体"/>
          <w:color w:val="auto"/>
          <w:kern w:val="0"/>
          <w:highlight w:val="none"/>
        </w:rPr>
        <w:t>保证金情况下，按支付工程进度款时逐次扣留，质量保证金的计算基数不包括预付款的支付、扣回以及价格调整的金额</w:t>
      </w:r>
      <w:r>
        <w:rPr>
          <w:rFonts w:hint="eastAsia" w:ascii="宋体" w:hAnsi="宋体" w:eastAsia="宋体" w:cs="宋体"/>
          <w:color w:val="auto"/>
          <w:kern w:val="0"/>
          <w:highlight w:val="none"/>
          <w:lang w:eastAsia="zh-CN"/>
        </w:rPr>
        <w:t>。</w:t>
      </w:r>
      <w:r>
        <w:rPr>
          <w:rFonts w:hint="eastAsia" w:ascii="宋体" w:hAnsi="宋体" w:eastAsia="宋体" w:cs="宋体"/>
          <w:color w:val="auto"/>
          <w:highlight w:val="none"/>
        </w:rPr>
        <w:t>在工程项目竣工前，承包人按专用合同条款第3.7条提供履约担保的，发包人不得同时预留工程质量保证金</w:t>
      </w:r>
      <w:r>
        <w:rPr>
          <w:rFonts w:hint="eastAsia" w:ascii="宋体" w:hAnsi="宋体" w:eastAsia="宋体" w:cs="宋体"/>
          <w:color w:val="auto"/>
          <w:highlight w:val="none"/>
          <w:lang w:eastAsia="zh-CN"/>
        </w:rPr>
        <w:t>。</w:t>
      </w:r>
    </w:p>
    <w:p w14:paraId="4FD85EE4">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（2）工程竣工结算时，一次性扣留质量保证金，由承包人以银行保函、保证保险替代预留质量保证金，保函金额不得高于工程价款结算总额的3%；</w:t>
      </w:r>
    </w:p>
    <w:p w14:paraId="08029ECD">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（3）其他扣留方式</w:t>
      </w:r>
      <w:r>
        <w:rPr>
          <w:rFonts w:hint="eastAsia" w:ascii="宋体" w:hAnsi="宋体" w:eastAsia="宋体" w:cs="宋体"/>
          <w:color w:val="auto"/>
          <w:kern w:val="0"/>
          <w:highlight w:val="none"/>
          <w:lang w:eastAsia="zh-CN"/>
        </w:rPr>
        <w:t>：</w:t>
      </w:r>
      <w:r>
        <w:rPr>
          <w:rFonts w:hint="eastAsia" w:ascii="宋体" w:hAnsi="宋体" w:eastAsia="宋体" w:cs="宋体"/>
          <w:color w:val="auto"/>
          <w:kern w:val="0"/>
          <w:highlight w:val="none"/>
          <w:u w:val="single"/>
          <w:lang w:val="en-US" w:eastAsia="zh-CN"/>
        </w:rPr>
        <w:t xml:space="preserve"> </w:t>
      </w:r>
      <w:r>
        <w:rPr>
          <w:rFonts w:hint="eastAsia" w:ascii="宋体" w:hAnsi="宋体" w:eastAsia="宋体" w:cs="宋体"/>
          <w:color w:val="auto"/>
          <w:highlight w:val="none"/>
          <w:lang w:eastAsia="zh-CN"/>
        </w:rPr>
        <w:t>工程竣工验收合格，</w:t>
      </w:r>
      <w:r>
        <w:rPr>
          <w:rFonts w:hint="eastAsia"/>
          <w:color w:val="auto"/>
          <w:highlight w:val="none"/>
        </w:rPr>
        <w:t>工程结算经采购人聘任的社会中介机构审定后，成交供应商向采购人提交全额有效发票及工程质量保证金后，</w:t>
      </w:r>
      <w:r>
        <w:rPr>
          <w:rFonts w:hint="eastAsia" w:ascii="Times New Roman" w:eastAsia="宋体"/>
          <w:color w:val="auto"/>
          <w:highlight w:val="none"/>
          <w:lang w:val="en-US" w:eastAsia="zh-CN"/>
        </w:rPr>
        <w:t>15</w:t>
      </w:r>
      <w:r>
        <w:rPr>
          <w:rFonts w:hint="eastAsia"/>
          <w:color w:val="auto"/>
          <w:highlight w:val="none"/>
        </w:rPr>
        <w:t>个工作日内支付至结算总价的100%，工程质量保证金的缴纳方式：承包人向发包人提供工程价款结算总额的3%的质量保证金保函，保函有效期覆盖质保期外加60天的索赔期。最后结算金额以采购人聘任的社会中介机构或</w:t>
      </w:r>
      <w:r>
        <w:rPr>
          <w:rFonts w:hint="eastAsia" w:ascii="宋体" w:hAnsi="宋体" w:eastAsia="宋体" w:cs="宋体"/>
          <w:color w:val="auto"/>
          <w:szCs w:val="21"/>
          <w:highlight w:val="none"/>
          <w:lang w:val="en-US" w:eastAsia="zh-CN"/>
        </w:rPr>
        <w:t>桂林市临桂区</w:t>
      </w:r>
      <w:r>
        <w:rPr>
          <w:rFonts w:hint="eastAsia"/>
          <w:color w:val="auto"/>
          <w:highlight w:val="none"/>
        </w:rPr>
        <w:t>财政局审核为准。</w:t>
      </w:r>
    </w:p>
    <w:p w14:paraId="7E2C7D35">
      <w:pPr>
        <w:spacing w:line="360" w:lineRule="auto"/>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highlight w:val="none"/>
        </w:rPr>
        <w:t>关于质量保证金的补充约定：</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u w:val="single"/>
          <w:lang w:val="en-US" w:eastAsia="zh-CN"/>
        </w:rPr>
        <w:t>/</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0B05363B">
      <w:pPr>
        <w:pStyle w:val="4"/>
        <w:rPr>
          <w:rFonts w:hint="eastAsia" w:ascii="宋体" w:hAnsi="宋体" w:eastAsia="宋体" w:cs="宋体"/>
          <w:color w:val="auto"/>
          <w:highlight w:val="none"/>
        </w:rPr>
      </w:pPr>
      <w:bookmarkStart w:id="403" w:name="_Toc26279"/>
      <w:bookmarkStart w:id="404" w:name="_Toc31747"/>
      <w:r>
        <w:rPr>
          <w:rFonts w:hint="eastAsia" w:ascii="宋体" w:hAnsi="宋体" w:eastAsia="宋体" w:cs="宋体"/>
          <w:color w:val="auto"/>
          <w:highlight w:val="none"/>
        </w:rPr>
        <w:t>15.4 保修</w:t>
      </w:r>
      <w:bookmarkEnd w:id="403"/>
      <w:bookmarkEnd w:id="404"/>
    </w:p>
    <w:p w14:paraId="2924F070">
      <w:pPr>
        <w:spacing w:line="360" w:lineRule="auto"/>
        <w:ind w:firstLine="409" w:firstLineChars="195"/>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15.4.1 保修责任</w:t>
      </w:r>
    </w:p>
    <w:p w14:paraId="302F4CF8">
      <w:pPr>
        <w:spacing w:line="360" w:lineRule="auto"/>
        <w:ind w:firstLine="409" w:firstLineChars="195"/>
        <w:jc w:val="left"/>
        <w:rPr>
          <w:rFonts w:hint="eastAsia" w:ascii="宋体" w:hAnsi="宋体" w:eastAsia="宋体" w:cs="宋体"/>
          <w:color w:val="auto"/>
          <w:kern w:val="0"/>
          <w:highlight w:val="none"/>
        </w:rPr>
      </w:pPr>
      <w:r>
        <w:rPr>
          <w:rFonts w:hint="eastAsia" w:ascii="宋体" w:hAnsi="宋体" w:eastAsia="宋体" w:cs="宋体"/>
          <w:color w:val="auto"/>
          <w:highlight w:val="none"/>
        </w:rPr>
        <w:t>工程保修期为：</w:t>
      </w:r>
      <w:r>
        <w:rPr>
          <w:rFonts w:hint="eastAsia" w:ascii="宋体" w:hAnsi="宋体" w:eastAsia="宋体" w:cs="宋体"/>
          <w:color w:val="auto"/>
          <w:kern w:val="0"/>
          <w:highlight w:val="none"/>
          <w:u w:val="single"/>
        </w:rPr>
        <w:t xml:space="preserve"> </w:t>
      </w:r>
      <w:r>
        <w:rPr>
          <w:color w:val="auto"/>
          <w:szCs w:val="32"/>
          <w:highlight w:val="none"/>
          <w:u w:val="single"/>
        </w:rPr>
        <w:t>见工程质量保修书</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77A5E7A3">
      <w:pPr>
        <w:spacing w:line="360" w:lineRule="auto"/>
        <w:ind w:firstLine="409" w:firstLineChars="195"/>
        <w:jc w:val="left"/>
        <w:rPr>
          <w:rFonts w:hint="eastAsia" w:ascii="宋体" w:hAnsi="宋体" w:eastAsia="宋体" w:cs="宋体"/>
          <w:color w:val="auto"/>
          <w:kern w:val="0"/>
          <w:highlight w:val="none"/>
          <w:u w:val="single"/>
        </w:rPr>
      </w:pPr>
      <w:r>
        <w:rPr>
          <w:rFonts w:hint="eastAsia" w:ascii="宋体" w:hAnsi="宋体" w:eastAsia="宋体" w:cs="宋体"/>
          <w:color w:val="auto"/>
          <w:highlight w:val="none"/>
        </w:rPr>
        <w:t>工程保修书具体内容见合同附件2。</w:t>
      </w:r>
    </w:p>
    <w:p w14:paraId="5D5B9D6B">
      <w:pPr>
        <w:spacing w:line="360" w:lineRule="auto"/>
        <w:ind w:firstLine="409" w:firstLineChars="195"/>
        <w:jc w:val="left"/>
        <w:rPr>
          <w:rFonts w:hint="eastAsia" w:ascii="宋体" w:hAnsi="宋体" w:eastAsia="宋体" w:cs="宋体"/>
          <w:color w:val="auto"/>
          <w:highlight w:val="none"/>
        </w:rPr>
      </w:pPr>
      <w:r>
        <w:rPr>
          <w:rFonts w:hint="eastAsia" w:ascii="宋体" w:hAnsi="宋体" w:eastAsia="宋体" w:cs="宋体"/>
          <w:color w:val="auto"/>
          <w:highlight w:val="none"/>
        </w:rPr>
        <w:t>15.4.3 修复通知</w:t>
      </w:r>
    </w:p>
    <w:p w14:paraId="732B121F">
      <w:pPr>
        <w:spacing w:line="360" w:lineRule="auto"/>
        <w:ind w:firstLine="409" w:firstLineChars="195"/>
        <w:jc w:val="left"/>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rPr>
        <w:t>承包人收到保修通知并到达工程现场的合理时间：</w:t>
      </w:r>
      <w:r>
        <w:rPr>
          <w:rFonts w:hint="eastAsia" w:ascii="宋体" w:hAnsi="宋体" w:eastAsia="宋体" w:cs="宋体"/>
          <w:color w:val="auto"/>
          <w:kern w:val="0"/>
          <w:highlight w:val="none"/>
          <w:u w:val="single"/>
        </w:rPr>
        <w:t xml:space="preserve">  </w:t>
      </w:r>
      <w:r>
        <w:rPr>
          <w:color w:val="auto"/>
          <w:szCs w:val="32"/>
          <w:highlight w:val="none"/>
          <w:u w:val="single"/>
        </w:rPr>
        <w:t>24小时内</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715C692B">
      <w:pPr>
        <w:pStyle w:val="3"/>
        <w:rPr>
          <w:rFonts w:hint="eastAsia" w:ascii="宋体" w:hAnsi="宋体" w:eastAsia="宋体" w:cs="宋体"/>
          <w:color w:val="auto"/>
          <w:highlight w:val="none"/>
        </w:rPr>
      </w:pPr>
      <w:bookmarkStart w:id="405" w:name="_Toc3143"/>
      <w:r>
        <w:rPr>
          <w:rFonts w:hint="eastAsia" w:ascii="宋体" w:hAnsi="宋体" w:eastAsia="宋体" w:cs="宋体"/>
          <w:color w:val="auto"/>
          <w:highlight w:val="none"/>
        </w:rPr>
        <w:t>16. 违约</w:t>
      </w:r>
      <w:bookmarkEnd w:id="405"/>
    </w:p>
    <w:p w14:paraId="04504E80">
      <w:pPr>
        <w:pStyle w:val="4"/>
        <w:rPr>
          <w:rFonts w:hint="eastAsia" w:ascii="宋体" w:hAnsi="宋体" w:eastAsia="宋体" w:cs="宋体"/>
          <w:color w:val="auto"/>
          <w:highlight w:val="none"/>
        </w:rPr>
      </w:pPr>
      <w:bookmarkStart w:id="406" w:name="_Toc19236"/>
      <w:bookmarkStart w:id="407" w:name="_Toc7570"/>
      <w:r>
        <w:rPr>
          <w:rFonts w:hint="eastAsia" w:ascii="宋体" w:hAnsi="宋体" w:eastAsia="宋体" w:cs="宋体"/>
          <w:color w:val="auto"/>
          <w:highlight w:val="none"/>
        </w:rPr>
        <w:t>16.1 发包人违约</w:t>
      </w:r>
      <w:bookmarkEnd w:id="406"/>
      <w:bookmarkEnd w:id="407"/>
    </w:p>
    <w:p w14:paraId="5D64612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16.1.1发包人违约的情形</w:t>
      </w:r>
    </w:p>
    <w:p w14:paraId="758C4F60">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发包人违约的其他情形：</w:t>
      </w:r>
      <w:r>
        <w:rPr>
          <w:rFonts w:hint="eastAsia" w:ascii="宋体" w:hAnsi="宋体" w:eastAsia="宋体" w:cs="宋体"/>
          <w:color w:val="auto"/>
          <w:kern w:val="0"/>
          <w:highlight w:val="none"/>
          <w:u w:val="single"/>
        </w:rPr>
        <w:t xml:space="preserve"> </w:t>
      </w:r>
      <w:r>
        <w:rPr>
          <w:color w:val="auto"/>
          <w:szCs w:val="21"/>
          <w:highlight w:val="none"/>
          <w:u w:val="single"/>
        </w:rPr>
        <w:t>按通用条款执行</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2A7995D1">
      <w:pPr>
        <w:spacing w:line="360" w:lineRule="auto"/>
        <w:ind w:firstLine="420" w:firstLineChars="200"/>
        <w:jc w:val="left"/>
        <w:outlineLvl w:val="0"/>
        <w:rPr>
          <w:rFonts w:hint="eastAsia" w:ascii="宋体" w:hAnsi="宋体" w:eastAsia="宋体" w:cs="宋体"/>
          <w:color w:val="auto"/>
          <w:kern w:val="0"/>
          <w:highlight w:val="none"/>
        </w:rPr>
      </w:pPr>
      <w:bookmarkStart w:id="408" w:name="_Toc29366"/>
      <w:r>
        <w:rPr>
          <w:rFonts w:hint="eastAsia" w:ascii="宋体" w:hAnsi="宋体" w:eastAsia="宋体" w:cs="宋体"/>
          <w:color w:val="auto"/>
          <w:kern w:val="0"/>
          <w:highlight w:val="none"/>
        </w:rPr>
        <w:t>16.1.2 发包人违约的责任</w:t>
      </w:r>
      <w:bookmarkEnd w:id="408"/>
    </w:p>
    <w:p w14:paraId="0D4FE70F">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发包人违约责任的承担方式和计算方法：</w:t>
      </w:r>
    </w:p>
    <w:p w14:paraId="41D0C3EA">
      <w:pPr>
        <w:spacing w:line="360" w:lineRule="auto"/>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rPr>
        <w:t>（1）因发包人原因未能在计划开工日期前7天内下达开工通知的违约责任：</w:t>
      </w:r>
      <w:r>
        <w:rPr>
          <w:rFonts w:hint="eastAsia" w:ascii="宋体" w:hAnsi="宋体" w:eastAsia="宋体" w:cs="宋体"/>
          <w:color w:val="auto"/>
          <w:kern w:val="0"/>
          <w:highlight w:val="none"/>
          <w:u w:val="single"/>
        </w:rPr>
        <w:t xml:space="preserve"> </w:t>
      </w:r>
      <w:r>
        <w:rPr>
          <w:color w:val="auto"/>
          <w:szCs w:val="21"/>
          <w:highlight w:val="none"/>
          <w:u w:val="single"/>
        </w:rPr>
        <w:t>工期相应顺延</w:t>
      </w:r>
      <w:r>
        <w:rPr>
          <w:rFonts w:hint="eastAsia" w:ascii="宋体" w:hAnsi="宋体" w:eastAsia="宋体" w:cs="宋体"/>
          <w:color w:val="auto"/>
          <w:kern w:val="0"/>
          <w:highlight w:val="none"/>
        </w:rPr>
        <w:t>。</w:t>
      </w:r>
    </w:p>
    <w:p w14:paraId="278105A1">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（2）因发包人原因未能按合同约定支付合同价款的违约责任：</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u w:val="single"/>
          <w:lang w:val="en-US" w:eastAsia="zh-CN"/>
        </w:rPr>
        <w:t>/</w:t>
      </w:r>
      <w:r>
        <w:rPr>
          <w:rFonts w:hint="eastAsia" w:ascii="宋体" w:hAnsi="宋体" w:eastAsia="宋体" w:cs="宋体"/>
          <w:color w:val="auto"/>
          <w:kern w:val="0"/>
          <w:highlight w:val="none"/>
        </w:rPr>
        <w:t>。</w:t>
      </w:r>
    </w:p>
    <w:p w14:paraId="6DBB5CC2">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（3）发包人违反第10.1款〔变更的范围〕第（2）项约定，自行实施被取消的工作或转由他人实施的违约责任：</w:t>
      </w:r>
      <w:r>
        <w:rPr>
          <w:rFonts w:hint="eastAsia" w:ascii="宋体" w:hAnsi="宋体" w:eastAsia="宋体" w:cs="宋体"/>
          <w:color w:val="auto"/>
          <w:kern w:val="0"/>
          <w:highlight w:val="none"/>
          <w:u w:val="single"/>
        </w:rPr>
        <w:t xml:space="preserve">  </w:t>
      </w:r>
      <w:r>
        <w:rPr>
          <w:color w:val="auto"/>
          <w:szCs w:val="21"/>
          <w:highlight w:val="none"/>
          <w:u w:val="single"/>
        </w:rPr>
        <w:t>按通用条款执行</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7C8E4F93">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kern w:val="0"/>
          <w:highlight w:val="none"/>
          <w:u w:val="single"/>
        </w:rPr>
        <w:t xml:space="preserve">  </w:t>
      </w:r>
      <w:r>
        <w:rPr>
          <w:color w:val="auto"/>
          <w:szCs w:val="21"/>
          <w:highlight w:val="none"/>
          <w:u w:val="single"/>
        </w:rPr>
        <w:t>工期相应顺延</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34C17C2B">
      <w:pPr>
        <w:spacing w:line="360" w:lineRule="auto"/>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rPr>
        <w:t>（5）因发包人违反合同约定造成暂停施工的违约责任：</w:t>
      </w:r>
      <w:r>
        <w:rPr>
          <w:rFonts w:hint="eastAsia" w:ascii="宋体" w:hAnsi="宋体" w:eastAsia="宋体" w:cs="宋体"/>
          <w:color w:val="auto"/>
          <w:kern w:val="0"/>
          <w:highlight w:val="none"/>
          <w:u w:val="single"/>
        </w:rPr>
        <w:t xml:space="preserve">  </w:t>
      </w:r>
      <w:r>
        <w:rPr>
          <w:color w:val="auto"/>
          <w:szCs w:val="21"/>
          <w:highlight w:val="none"/>
          <w:u w:val="single"/>
        </w:rPr>
        <w:t xml:space="preserve"> 按通用条款执行</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4D11499E">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（6）发包人无正当理由没有在约定期限内发出复工指示，导致承包人无法复工的违约责任：</w:t>
      </w:r>
      <w:r>
        <w:rPr>
          <w:rFonts w:hint="eastAsia" w:ascii="宋体" w:hAnsi="宋体" w:eastAsia="宋体" w:cs="宋体"/>
          <w:color w:val="auto"/>
          <w:kern w:val="0"/>
          <w:highlight w:val="none"/>
          <w:u w:val="single"/>
        </w:rPr>
        <w:t xml:space="preserve"> </w:t>
      </w:r>
      <w:r>
        <w:rPr>
          <w:color w:val="auto"/>
          <w:szCs w:val="21"/>
          <w:highlight w:val="none"/>
          <w:u w:val="single"/>
        </w:rPr>
        <w:t xml:space="preserve"> 按通用条款执行</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5B1ED9C1">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（7）其他：</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u w:val="single"/>
          <w:lang w:val="en-US" w:eastAsia="zh-CN"/>
        </w:rPr>
        <w:t>/</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17772EB8">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16.1.3 因发包人违约解除合同</w:t>
      </w:r>
    </w:p>
    <w:p w14:paraId="14C5C8B3">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承包人按16.1.1项〔发包人违约的情形〕约定暂停施工满</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u w:val="single"/>
          <w:lang w:val="en-US" w:eastAsia="zh-CN"/>
        </w:rPr>
        <w:t>/</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天后发包人仍不纠正其违约行为并致使合同目的不能实现的，承包人有权解除合同。</w:t>
      </w:r>
    </w:p>
    <w:p w14:paraId="6B6B439B">
      <w:pPr>
        <w:pStyle w:val="4"/>
        <w:rPr>
          <w:rFonts w:hint="eastAsia" w:ascii="宋体" w:hAnsi="宋体" w:eastAsia="宋体" w:cs="宋体"/>
          <w:color w:val="auto"/>
          <w:highlight w:val="none"/>
        </w:rPr>
      </w:pPr>
      <w:bookmarkStart w:id="409" w:name="_Toc25155"/>
      <w:bookmarkStart w:id="410" w:name="_Toc28597"/>
      <w:r>
        <w:rPr>
          <w:rFonts w:hint="eastAsia" w:ascii="宋体" w:hAnsi="宋体" w:eastAsia="宋体" w:cs="宋体"/>
          <w:color w:val="auto"/>
          <w:highlight w:val="none"/>
        </w:rPr>
        <w:t>16.2 承包人违约</w:t>
      </w:r>
      <w:bookmarkEnd w:id="409"/>
      <w:bookmarkEnd w:id="410"/>
    </w:p>
    <w:p w14:paraId="033E53CC">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16.2.1 承包人违约的情形</w:t>
      </w:r>
    </w:p>
    <w:p w14:paraId="35BE54C4">
      <w:pPr>
        <w:spacing w:line="360" w:lineRule="auto"/>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rPr>
        <w:t>承包人违约的其他情形：</w:t>
      </w:r>
      <w:r>
        <w:rPr>
          <w:rFonts w:hint="eastAsia" w:ascii="宋体" w:hAnsi="宋体" w:eastAsia="宋体" w:cs="宋体"/>
          <w:color w:val="auto"/>
          <w:kern w:val="0"/>
          <w:highlight w:val="none"/>
          <w:u w:val="single"/>
        </w:rPr>
        <w:t xml:space="preserve"> </w:t>
      </w:r>
      <w:r>
        <w:rPr>
          <w:color w:val="auto"/>
          <w:szCs w:val="21"/>
          <w:highlight w:val="none"/>
          <w:u w:val="single"/>
        </w:rPr>
        <w:t>按通用条款执行</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31BF2810">
      <w:pPr>
        <w:spacing w:line="360" w:lineRule="auto"/>
        <w:ind w:firstLine="420" w:firstLineChars="200"/>
        <w:jc w:val="left"/>
        <w:outlineLvl w:val="0"/>
        <w:rPr>
          <w:rFonts w:hint="eastAsia" w:ascii="宋体" w:hAnsi="宋体" w:eastAsia="宋体" w:cs="宋体"/>
          <w:color w:val="auto"/>
          <w:kern w:val="0"/>
          <w:highlight w:val="none"/>
        </w:rPr>
      </w:pPr>
      <w:bookmarkStart w:id="411" w:name="_Toc25756"/>
      <w:r>
        <w:rPr>
          <w:rFonts w:hint="eastAsia" w:ascii="宋体" w:hAnsi="宋体" w:eastAsia="宋体" w:cs="宋体"/>
          <w:color w:val="auto"/>
          <w:kern w:val="0"/>
          <w:highlight w:val="none"/>
        </w:rPr>
        <w:t>16.2.2承包人违约的责任</w:t>
      </w:r>
      <w:bookmarkEnd w:id="411"/>
    </w:p>
    <w:p w14:paraId="7A3B484E">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承包人违约责任的承担方式和计算方法：</w:t>
      </w:r>
    </w:p>
    <w:p w14:paraId="040E8BFA">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（1）承包人有本合同通用条款第16.2.1（2）、（3）条内容情形的，承包人无条件返工处理，修复至工程质量要求并承担相关费用，并在发包人规定的时间内完成返工，否则发包人有权扣</w:t>
      </w:r>
      <w:r>
        <w:rPr>
          <w:rFonts w:hint="eastAsia" w:ascii="宋体" w:hAnsi="宋体" w:eastAsia="宋体" w:cs="宋体"/>
          <w:color w:val="auto"/>
          <w:kern w:val="0"/>
          <w:highlight w:val="none"/>
          <w:lang w:val="en-US" w:eastAsia="zh-CN"/>
        </w:rPr>
        <w:t>除</w:t>
      </w:r>
      <w:r>
        <w:rPr>
          <w:rFonts w:hint="eastAsia" w:ascii="宋体" w:hAnsi="宋体" w:eastAsia="宋体" w:cs="宋体"/>
          <w:color w:val="auto"/>
          <w:kern w:val="0"/>
          <w:highlight w:val="none"/>
        </w:rPr>
        <w:t>该分项工程10%的工程款作为</w:t>
      </w:r>
      <w:r>
        <w:rPr>
          <w:rFonts w:hint="eastAsia" w:ascii="宋体" w:hAnsi="宋体" w:eastAsia="宋体" w:cs="宋体"/>
          <w:color w:val="auto"/>
          <w:kern w:val="0"/>
          <w:highlight w:val="none"/>
          <w:lang w:val="en-US" w:eastAsia="zh-CN"/>
        </w:rPr>
        <w:t>违约金</w:t>
      </w:r>
      <w:r>
        <w:rPr>
          <w:rFonts w:hint="eastAsia" w:ascii="宋体" w:hAnsi="宋体" w:eastAsia="宋体" w:cs="宋体"/>
          <w:color w:val="auto"/>
          <w:kern w:val="0"/>
          <w:highlight w:val="none"/>
        </w:rPr>
        <w:t>。</w:t>
      </w:r>
    </w:p>
    <w:p w14:paraId="263A07EE">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（2）承包人有本合同通用条款第16.2.1（6）条情形的，或经监理人检验认为修复质量不合格而承包人拒绝再进行修补的，发包人将扣除承包人全部质量保证金。</w:t>
      </w:r>
    </w:p>
    <w:p w14:paraId="40EEDD89">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（3）承包人有本专用合同条款</w:t>
      </w:r>
      <w:r>
        <w:rPr>
          <w:rFonts w:hint="eastAsia" w:ascii="宋体" w:hAnsi="宋体" w:eastAsia="宋体" w:cs="宋体"/>
          <w:color w:val="auto"/>
          <w:kern w:val="0"/>
          <w:highlight w:val="none"/>
          <w:lang w:val="en-US" w:eastAsia="zh-CN"/>
        </w:rPr>
        <w:t>第</w:t>
      </w:r>
      <w:r>
        <w:rPr>
          <w:rFonts w:hint="eastAsia" w:ascii="宋体" w:hAnsi="宋体" w:eastAsia="宋体" w:cs="宋体"/>
          <w:color w:val="auto"/>
          <w:kern w:val="0"/>
          <w:highlight w:val="none"/>
        </w:rPr>
        <w:t>3.</w:t>
      </w:r>
      <w:r>
        <w:rPr>
          <w:rFonts w:hint="eastAsia" w:ascii="宋体" w:hAnsi="宋体" w:eastAsia="宋体" w:cs="宋体"/>
          <w:color w:val="auto"/>
          <w:kern w:val="0"/>
          <w:highlight w:val="none"/>
          <w:lang w:eastAsia="zh-CN"/>
        </w:rPr>
        <w:t>2.</w:t>
      </w:r>
      <w:r>
        <w:rPr>
          <w:rFonts w:hint="eastAsia" w:ascii="宋体" w:hAnsi="宋体" w:eastAsia="宋体" w:cs="宋体"/>
          <w:color w:val="auto"/>
          <w:kern w:val="0"/>
          <w:highlight w:val="none"/>
        </w:rPr>
        <w:t>3</w:t>
      </w:r>
      <w:r>
        <w:rPr>
          <w:rFonts w:hint="eastAsia" w:ascii="宋体" w:hAnsi="宋体" w:eastAsia="宋体" w:cs="宋体"/>
          <w:color w:val="auto"/>
          <w:kern w:val="0"/>
          <w:highlight w:val="none"/>
          <w:lang w:val="en-US" w:eastAsia="zh-CN"/>
        </w:rPr>
        <w:t>条及第3.2.4</w:t>
      </w:r>
      <w:r>
        <w:rPr>
          <w:rFonts w:hint="eastAsia" w:ascii="宋体" w:hAnsi="宋体" w:eastAsia="宋体" w:cs="宋体"/>
          <w:color w:val="auto"/>
          <w:kern w:val="0"/>
          <w:highlight w:val="none"/>
        </w:rPr>
        <w:t>条违约责任的，发包人有权扣除承包人的违约金。违约金金额均在承包人的履约保证金及计量支付款内扣除。监理人预先下发含有</w:t>
      </w:r>
      <w:r>
        <w:rPr>
          <w:rFonts w:hint="eastAsia" w:ascii="宋体" w:hAnsi="宋体" w:eastAsia="宋体" w:cs="宋体"/>
          <w:color w:val="auto"/>
          <w:kern w:val="0"/>
          <w:highlight w:val="none"/>
          <w:lang w:val="en-US" w:eastAsia="zh-CN"/>
        </w:rPr>
        <w:t>扣除违约金</w:t>
      </w:r>
      <w:r>
        <w:rPr>
          <w:rFonts w:hint="eastAsia" w:ascii="宋体" w:hAnsi="宋体" w:eastAsia="宋体" w:cs="宋体"/>
          <w:color w:val="auto"/>
          <w:kern w:val="0"/>
          <w:highlight w:val="none"/>
        </w:rPr>
        <w:t>意向的指令，如承包人不及时采取措施纠正，则在指令下达后十五天下发</w:t>
      </w:r>
      <w:r>
        <w:rPr>
          <w:rFonts w:hint="eastAsia" w:ascii="宋体" w:hAnsi="宋体" w:eastAsia="宋体" w:cs="宋体"/>
          <w:color w:val="auto"/>
          <w:kern w:val="0"/>
          <w:highlight w:val="none"/>
          <w:lang w:val="en-US" w:eastAsia="zh-CN"/>
        </w:rPr>
        <w:t>扣除违约金</w:t>
      </w:r>
      <w:r>
        <w:rPr>
          <w:rFonts w:hint="eastAsia" w:ascii="宋体" w:hAnsi="宋体" w:eastAsia="宋体" w:cs="宋体"/>
          <w:color w:val="auto"/>
          <w:kern w:val="0"/>
          <w:highlight w:val="none"/>
        </w:rPr>
        <w:t>通知书（不再陈述</w:t>
      </w:r>
      <w:r>
        <w:rPr>
          <w:rFonts w:hint="eastAsia" w:ascii="宋体" w:hAnsi="宋体" w:eastAsia="宋体" w:cs="宋体"/>
          <w:color w:val="auto"/>
          <w:kern w:val="0"/>
          <w:highlight w:val="none"/>
          <w:lang w:val="en-US" w:eastAsia="zh-CN"/>
        </w:rPr>
        <w:t>扣除违约金</w:t>
      </w:r>
      <w:r>
        <w:rPr>
          <w:rFonts w:hint="eastAsia" w:ascii="宋体" w:hAnsi="宋体" w:eastAsia="宋体" w:cs="宋体"/>
          <w:color w:val="auto"/>
          <w:kern w:val="0"/>
          <w:highlight w:val="none"/>
        </w:rPr>
        <w:t>理由）。承包人履约保证金被</w:t>
      </w:r>
      <w:r>
        <w:rPr>
          <w:rFonts w:hint="eastAsia" w:ascii="宋体" w:hAnsi="宋体" w:eastAsia="宋体" w:cs="宋体"/>
          <w:color w:val="auto"/>
          <w:kern w:val="0"/>
          <w:highlight w:val="none"/>
          <w:lang w:val="en-US" w:eastAsia="zh-CN"/>
        </w:rPr>
        <w:t>扣除</w:t>
      </w:r>
      <w:r>
        <w:rPr>
          <w:rFonts w:hint="eastAsia" w:ascii="宋体" w:hAnsi="宋体" w:eastAsia="宋体" w:cs="宋体"/>
          <w:color w:val="auto"/>
          <w:kern w:val="0"/>
          <w:highlight w:val="none"/>
        </w:rPr>
        <w:t>后由发包人从最后一次计量支付时扣除相应金额补足履约保证金。承包人在合同期内，完成合同规定的全部工程，且质量合格，在本工程施工竣工验收后十五天内可申请返还全部或部分</w:t>
      </w:r>
      <w:r>
        <w:rPr>
          <w:rFonts w:hint="eastAsia" w:ascii="宋体" w:hAnsi="宋体" w:eastAsia="宋体" w:cs="宋体"/>
          <w:color w:val="auto"/>
          <w:kern w:val="0"/>
          <w:highlight w:val="none"/>
          <w:lang w:val="en-US" w:eastAsia="zh-CN"/>
        </w:rPr>
        <w:t>违约金</w:t>
      </w:r>
      <w:r>
        <w:rPr>
          <w:rFonts w:hint="eastAsia" w:ascii="宋体" w:hAnsi="宋体" w:eastAsia="宋体" w:cs="宋体"/>
          <w:color w:val="auto"/>
          <w:kern w:val="0"/>
          <w:highlight w:val="none"/>
        </w:rPr>
        <w:t>，返还金额由监理人审核，发包人批准。</w:t>
      </w:r>
      <w:r>
        <w:rPr>
          <w:rFonts w:hint="eastAsia" w:ascii="宋体" w:hAnsi="宋体" w:eastAsia="宋体" w:cs="宋体"/>
          <w:color w:val="auto"/>
          <w:kern w:val="0"/>
          <w:highlight w:val="none"/>
          <w:lang w:val="en-US" w:eastAsia="zh-CN"/>
        </w:rPr>
        <w:t>违约金</w:t>
      </w:r>
      <w:r>
        <w:rPr>
          <w:rFonts w:hint="eastAsia" w:ascii="宋体" w:hAnsi="宋体" w:eastAsia="宋体" w:cs="宋体"/>
          <w:color w:val="auto"/>
          <w:kern w:val="0"/>
          <w:highlight w:val="none"/>
        </w:rPr>
        <w:t>金额返还时不包括银行利息。</w:t>
      </w:r>
    </w:p>
    <w:p w14:paraId="34A29257">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16.2.3 因承包人违约解除合同</w:t>
      </w:r>
    </w:p>
    <w:p w14:paraId="456C0B26">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关于承包人违约解除合同的特别约定：</w:t>
      </w:r>
      <w:r>
        <w:rPr>
          <w:rFonts w:hint="eastAsia" w:ascii="宋体" w:hAnsi="宋体" w:eastAsia="宋体" w:cs="宋体"/>
          <w:color w:val="auto"/>
          <w:kern w:val="0"/>
          <w:highlight w:val="none"/>
          <w:u w:val="none"/>
        </w:rPr>
        <w:t>承包人有违反以下情况之一的，发包人有权解除合同，并没收其全部履约保证金</w:t>
      </w:r>
      <w:r>
        <w:rPr>
          <w:rFonts w:hint="eastAsia" w:ascii="宋体" w:hAnsi="宋体" w:eastAsia="宋体" w:cs="宋体"/>
          <w:color w:val="auto"/>
          <w:kern w:val="0"/>
          <w:highlight w:val="none"/>
        </w:rPr>
        <w:t>。</w:t>
      </w:r>
    </w:p>
    <w:p w14:paraId="50CFF219">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lang w:eastAsia="zh-CN"/>
        </w:rPr>
        <w:t>（1）</w:t>
      </w:r>
      <w:r>
        <w:rPr>
          <w:rFonts w:hint="eastAsia" w:ascii="宋体" w:hAnsi="宋体" w:eastAsia="宋体" w:cs="宋体"/>
          <w:color w:val="auto"/>
          <w:kern w:val="0"/>
          <w:highlight w:val="none"/>
        </w:rPr>
        <w:t>承包人无正当理由不按开工通知的要求及时进场组织施工和不按签订协议书时商定的进度计划有效地开展施工准备，造成工期延误的；</w:t>
      </w:r>
    </w:p>
    <w:p w14:paraId="4FEF136E">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lang w:eastAsia="zh-CN"/>
        </w:rPr>
        <w:t>（2）</w:t>
      </w:r>
      <w:r>
        <w:rPr>
          <w:rFonts w:hint="eastAsia" w:ascii="宋体" w:hAnsi="宋体" w:eastAsia="宋体" w:cs="宋体"/>
          <w:color w:val="auto"/>
          <w:kern w:val="0"/>
          <w:highlight w:val="none"/>
        </w:rPr>
        <w:t>承包人违反本合同通用条款第3.5条规定私自将合同或合同的任何部分或任何权利转让给其他人，或私自将工程或工程的一部分分包出去的；</w:t>
      </w:r>
    </w:p>
    <w:p w14:paraId="57226633">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lang w:eastAsia="zh-CN"/>
        </w:rPr>
        <w:t>（3）</w:t>
      </w:r>
      <w:r>
        <w:rPr>
          <w:rFonts w:hint="eastAsia" w:ascii="宋体" w:hAnsi="宋体" w:eastAsia="宋体" w:cs="宋体"/>
          <w:color w:val="auto"/>
          <w:kern w:val="0"/>
          <w:highlight w:val="none"/>
        </w:rPr>
        <w:t>未经监理人批准，承包人私自将已按</w:t>
      </w:r>
      <w:r>
        <w:rPr>
          <w:rFonts w:hint="eastAsia" w:ascii="宋体" w:hAnsi="宋体" w:eastAsia="宋体" w:cs="宋体"/>
          <w:color w:val="auto"/>
          <w:kern w:val="0"/>
          <w:highlight w:val="none"/>
          <w:lang w:eastAsia="zh-CN"/>
        </w:rPr>
        <w:t>响应文件</w:t>
      </w:r>
      <w:r>
        <w:rPr>
          <w:rFonts w:hint="eastAsia" w:ascii="宋体" w:hAnsi="宋体" w:eastAsia="宋体" w:cs="宋体"/>
          <w:color w:val="auto"/>
          <w:kern w:val="0"/>
          <w:highlight w:val="none"/>
        </w:rPr>
        <w:t>承诺进入工地的工程设备、施工设备、临时工程或材料撤离工地的；</w:t>
      </w:r>
    </w:p>
    <w:p w14:paraId="4852311E">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lang w:eastAsia="zh-CN"/>
        </w:rPr>
        <w:t>（4）</w:t>
      </w:r>
      <w:r>
        <w:rPr>
          <w:rFonts w:hint="eastAsia" w:ascii="宋体" w:hAnsi="宋体" w:eastAsia="宋体" w:cs="宋体"/>
          <w:color w:val="auto"/>
          <w:kern w:val="0"/>
          <w:highlight w:val="none"/>
        </w:rPr>
        <w:t>由于承包人原因拒绝按合同进度计划及时完成合同规定的工程，而又未采取有效措施赶上进度，造成工期严重延误的；</w:t>
      </w:r>
    </w:p>
    <w:p w14:paraId="1F7B9B7D">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lang w:eastAsia="zh-CN"/>
        </w:rPr>
        <w:t>（5）</w:t>
      </w:r>
      <w:r>
        <w:rPr>
          <w:rFonts w:hint="eastAsia" w:ascii="宋体" w:hAnsi="宋体" w:eastAsia="宋体" w:cs="宋体"/>
          <w:color w:val="auto"/>
          <w:kern w:val="0"/>
          <w:highlight w:val="none"/>
        </w:rPr>
        <w:t>承包人否认合同有效或拒绝履行合同规定的承包人义务，或由于法律、财务等原因导致承包人无法继续履行或实质上已停止履行合同的义务的；</w:t>
      </w:r>
    </w:p>
    <w:p w14:paraId="45EFE5A3">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lang w:eastAsia="zh-CN"/>
        </w:rPr>
        <w:t>（6）</w:t>
      </w:r>
      <w:r>
        <w:rPr>
          <w:rFonts w:hint="eastAsia" w:ascii="宋体" w:hAnsi="宋体" w:eastAsia="宋体" w:cs="宋体"/>
          <w:color w:val="auto"/>
          <w:kern w:val="0"/>
          <w:highlight w:val="none"/>
        </w:rPr>
        <w:t>合同签订</w:t>
      </w:r>
      <w:r>
        <w:rPr>
          <w:rFonts w:hint="eastAsia" w:ascii="宋体" w:hAnsi="宋体" w:eastAsia="宋体" w:cs="宋体"/>
          <w:color w:val="auto"/>
          <w:highlight w:val="none"/>
        </w:rPr>
        <w:t>且具备法定开工条件后</w:t>
      </w:r>
      <w:r>
        <w:rPr>
          <w:rFonts w:hint="eastAsia" w:ascii="宋体" w:hAnsi="宋体" w:eastAsia="宋体" w:cs="宋体"/>
          <w:color w:val="auto"/>
          <w:kern w:val="0"/>
          <w:highlight w:val="none"/>
        </w:rPr>
        <w:t>之日起十五日内，承包人无法按合同规定及</w:t>
      </w:r>
      <w:r>
        <w:rPr>
          <w:rFonts w:hint="eastAsia" w:ascii="宋体" w:hAnsi="宋体" w:eastAsia="宋体" w:cs="宋体"/>
          <w:color w:val="auto"/>
          <w:kern w:val="0"/>
          <w:highlight w:val="none"/>
          <w:lang w:eastAsia="zh-CN"/>
        </w:rPr>
        <w:t>投标（响应）</w:t>
      </w:r>
      <w:r>
        <w:rPr>
          <w:rFonts w:hint="eastAsia" w:ascii="宋体" w:hAnsi="宋体" w:eastAsia="宋体" w:cs="宋体"/>
          <w:color w:val="auto"/>
          <w:kern w:val="0"/>
          <w:highlight w:val="none"/>
        </w:rPr>
        <w:t>文件的承诺进场经监理工程师认可的该施工阶段应有的全部人员和机械的。</w:t>
      </w:r>
    </w:p>
    <w:p w14:paraId="38E21213">
      <w:pPr>
        <w:spacing w:line="360" w:lineRule="auto"/>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发包人继续使用承包人在施工现场的材料、设备、临时工程、承包人文件和由承包人或以其名义编制的其他文件的费用承担方式：</w:t>
      </w:r>
      <w:r>
        <w:rPr>
          <w:rFonts w:hint="eastAsia" w:ascii="宋体" w:hAnsi="宋体" w:eastAsia="宋体" w:cs="宋体"/>
          <w:color w:val="auto"/>
          <w:kern w:val="0"/>
          <w:highlight w:val="none"/>
          <w:u w:val="single"/>
        </w:rPr>
        <w:t xml:space="preserve">   </w:t>
      </w:r>
      <w:r>
        <w:rPr>
          <w:rFonts w:hint="eastAsia"/>
          <w:color w:val="auto"/>
          <w:kern w:val="0"/>
          <w:highlight w:val="none"/>
          <w:u w:val="single"/>
        </w:rPr>
        <w:t>由承包人承担相应费用</w:t>
      </w:r>
      <w:r>
        <w:rPr>
          <w:rFonts w:hint="eastAsia" w:ascii="宋体" w:hAnsi="宋体" w:eastAsia="宋体" w:cs="宋体"/>
          <w:color w:val="auto"/>
          <w:kern w:val="0"/>
          <w:highlight w:val="none"/>
        </w:rPr>
        <w:t>。</w:t>
      </w:r>
    </w:p>
    <w:p w14:paraId="068D5A0C">
      <w:pPr>
        <w:pStyle w:val="3"/>
        <w:rPr>
          <w:rFonts w:hint="eastAsia" w:ascii="宋体" w:hAnsi="宋体" w:eastAsia="宋体" w:cs="宋体"/>
          <w:color w:val="auto"/>
          <w:highlight w:val="none"/>
        </w:rPr>
      </w:pPr>
      <w:bookmarkStart w:id="412" w:name="_Toc31157"/>
      <w:r>
        <w:rPr>
          <w:rFonts w:hint="eastAsia" w:ascii="宋体" w:hAnsi="宋体" w:eastAsia="宋体" w:cs="宋体"/>
          <w:color w:val="auto"/>
          <w:highlight w:val="none"/>
        </w:rPr>
        <w:t>17. 不可抗力</w:t>
      </w:r>
      <w:bookmarkEnd w:id="412"/>
      <w:r>
        <w:rPr>
          <w:rFonts w:hint="eastAsia" w:ascii="宋体" w:hAnsi="宋体" w:eastAsia="宋体" w:cs="宋体"/>
          <w:color w:val="auto"/>
          <w:highlight w:val="none"/>
        </w:rPr>
        <w:t xml:space="preserve"> </w:t>
      </w:r>
    </w:p>
    <w:p w14:paraId="247E0178">
      <w:pPr>
        <w:pStyle w:val="4"/>
        <w:rPr>
          <w:rFonts w:hint="eastAsia" w:ascii="宋体" w:hAnsi="宋体" w:eastAsia="宋体" w:cs="宋体"/>
          <w:color w:val="auto"/>
          <w:highlight w:val="none"/>
        </w:rPr>
      </w:pPr>
      <w:bookmarkStart w:id="413" w:name="_Toc12406"/>
      <w:bookmarkStart w:id="414" w:name="_Toc21791"/>
      <w:r>
        <w:rPr>
          <w:rFonts w:hint="eastAsia" w:ascii="宋体" w:hAnsi="宋体" w:eastAsia="宋体" w:cs="宋体"/>
          <w:color w:val="auto"/>
          <w:highlight w:val="none"/>
        </w:rPr>
        <w:t>17.1 不可抗力的确认</w:t>
      </w:r>
      <w:bookmarkEnd w:id="413"/>
      <w:bookmarkEnd w:id="414"/>
    </w:p>
    <w:p w14:paraId="31AD3510">
      <w:pPr>
        <w:spacing w:line="360" w:lineRule="auto"/>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highlight w:val="none"/>
        </w:rPr>
        <w:t>除通用合同条款约定的不可抗力事件之外，视为不可抗力的其他情形：</w:t>
      </w:r>
      <w:r>
        <w:rPr>
          <w:rFonts w:hint="eastAsia" w:ascii="宋体" w:hAnsi="宋体" w:eastAsia="宋体" w:cs="宋体"/>
          <w:color w:val="auto"/>
          <w:kern w:val="0"/>
          <w:highlight w:val="none"/>
          <w:u w:val="single"/>
        </w:rPr>
        <w:t xml:space="preserve">  </w:t>
      </w:r>
      <w:r>
        <w:rPr>
          <w:color w:val="auto"/>
          <w:szCs w:val="21"/>
          <w:highlight w:val="none"/>
          <w:u w:val="single"/>
        </w:rPr>
        <w:t>无</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4843E308">
      <w:pPr>
        <w:pStyle w:val="4"/>
        <w:rPr>
          <w:rFonts w:hint="eastAsia" w:ascii="宋体" w:hAnsi="宋体" w:eastAsia="宋体" w:cs="宋体"/>
          <w:color w:val="auto"/>
          <w:highlight w:val="none"/>
        </w:rPr>
      </w:pPr>
      <w:bookmarkStart w:id="415" w:name="_Toc29972"/>
      <w:bookmarkStart w:id="416" w:name="_Toc15401"/>
      <w:r>
        <w:rPr>
          <w:rFonts w:hint="eastAsia" w:ascii="宋体" w:hAnsi="宋体" w:eastAsia="宋体" w:cs="宋体"/>
          <w:color w:val="auto"/>
          <w:highlight w:val="none"/>
        </w:rPr>
        <w:t>17.4 因不可抗力解除合同</w:t>
      </w:r>
      <w:bookmarkEnd w:id="415"/>
      <w:bookmarkEnd w:id="416"/>
    </w:p>
    <w:p w14:paraId="083A6ECA">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合同解除后，发包人应在商定或确定发包人应支付款项后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30</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天内完成款项的支付。</w:t>
      </w:r>
    </w:p>
    <w:p w14:paraId="21DC94FA">
      <w:pPr>
        <w:pStyle w:val="3"/>
        <w:rPr>
          <w:rFonts w:hint="eastAsia" w:ascii="宋体" w:hAnsi="宋体" w:eastAsia="宋体" w:cs="宋体"/>
          <w:color w:val="auto"/>
          <w:highlight w:val="none"/>
        </w:rPr>
      </w:pPr>
      <w:bookmarkStart w:id="417" w:name="_Toc30795"/>
      <w:r>
        <w:rPr>
          <w:rFonts w:hint="eastAsia" w:ascii="宋体" w:hAnsi="宋体" w:eastAsia="宋体" w:cs="宋体"/>
          <w:color w:val="auto"/>
          <w:highlight w:val="none"/>
        </w:rPr>
        <w:t>18. 保险</w:t>
      </w:r>
      <w:bookmarkEnd w:id="417"/>
    </w:p>
    <w:p w14:paraId="681D345F">
      <w:pPr>
        <w:pStyle w:val="4"/>
        <w:rPr>
          <w:rFonts w:hint="eastAsia" w:ascii="宋体" w:hAnsi="宋体" w:eastAsia="宋体" w:cs="宋体"/>
          <w:color w:val="auto"/>
          <w:highlight w:val="none"/>
        </w:rPr>
      </w:pPr>
      <w:bookmarkStart w:id="418" w:name="_Toc6222"/>
      <w:bookmarkStart w:id="419" w:name="_Toc16039"/>
      <w:r>
        <w:rPr>
          <w:rFonts w:hint="eastAsia" w:ascii="宋体" w:hAnsi="宋体" w:eastAsia="宋体" w:cs="宋体"/>
          <w:color w:val="auto"/>
          <w:highlight w:val="none"/>
        </w:rPr>
        <w:t>18.1 工程保险</w:t>
      </w:r>
      <w:bookmarkEnd w:id="418"/>
      <w:bookmarkEnd w:id="419"/>
    </w:p>
    <w:p w14:paraId="6333E9EC">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highlight w:val="none"/>
        </w:rPr>
        <w:t>关于工程保险的特别约定：</w:t>
      </w:r>
      <w:r>
        <w:rPr>
          <w:rFonts w:hint="eastAsia" w:ascii="宋体" w:hAnsi="宋体" w:eastAsia="宋体" w:cs="宋体"/>
          <w:color w:val="auto"/>
          <w:kern w:val="0"/>
          <w:highlight w:val="none"/>
          <w:u w:val="single"/>
        </w:rPr>
        <w:t xml:space="preserve">    </w:t>
      </w:r>
      <w:r>
        <w:rPr>
          <w:color w:val="auto"/>
          <w:szCs w:val="21"/>
          <w:highlight w:val="none"/>
          <w:u w:val="single"/>
        </w:rPr>
        <w:t>承包人应</w:t>
      </w:r>
      <w:r>
        <w:rPr>
          <w:rFonts w:hint="eastAsia"/>
          <w:color w:val="auto"/>
          <w:szCs w:val="21"/>
          <w:highlight w:val="none"/>
          <w:u w:val="single"/>
        </w:rPr>
        <w:t>按</w:t>
      </w:r>
      <w:r>
        <w:rPr>
          <w:color w:val="auto"/>
          <w:szCs w:val="21"/>
          <w:highlight w:val="none"/>
          <w:u w:val="single"/>
        </w:rPr>
        <w:t>相关规定执行，费用自行承担</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14:paraId="6B3B669C">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(1)投保人：承包人。</w:t>
      </w:r>
    </w:p>
    <w:p w14:paraId="514986AC">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(2)投保内容：建设工程意外伤害险。</w:t>
      </w:r>
    </w:p>
    <w:p w14:paraId="3048CE7F">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(3)保险费率：由投保人与合同双方同意的保险人商定。</w:t>
      </w:r>
    </w:p>
    <w:p w14:paraId="3403B252">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(4)保险金额：按保险合同。</w:t>
      </w:r>
    </w:p>
    <w:p w14:paraId="148D0D2F">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highlight w:val="none"/>
        </w:rPr>
        <w:t>(5)保险期限：从工程开工至竣工验收合格之日止。</w:t>
      </w:r>
    </w:p>
    <w:p w14:paraId="61E07303">
      <w:pPr>
        <w:pStyle w:val="4"/>
        <w:rPr>
          <w:rFonts w:hint="eastAsia" w:ascii="宋体" w:hAnsi="宋体" w:eastAsia="宋体" w:cs="宋体"/>
          <w:color w:val="auto"/>
          <w:highlight w:val="none"/>
        </w:rPr>
      </w:pPr>
      <w:bookmarkStart w:id="420" w:name="_Toc380"/>
      <w:bookmarkStart w:id="421" w:name="_Toc639"/>
      <w:r>
        <w:rPr>
          <w:rFonts w:hint="eastAsia" w:ascii="宋体" w:hAnsi="宋体" w:eastAsia="宋体" w:cs="宋体"/>
          <w:color w:val="auto"/>
          <w:highlight w:val="none"/>
        </w:rPr>
        <w:t>18.3 其他保险</w:t>
      </w:r>
      <w:bookmarkEnd w:id="420"/>
      <w:bookmarkEnd w:id="421"/>
    </w:p>
    <w:p w14:paraId="63342460">
      <w:pPr>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highlight w:val="none"/>
        </w:rPr>
        <w:t>关于其他保险的约定：</w:t>
      </w:r>
      <w:r>
        <w:rPr>
          <w:rFonts w:hint="eastAsia" w:ascii="宋体" w:hAnsi="宋体" w:eastAsia="宋体" w:cs="宋体"/>
          <w:color w:val="auto"/>
          <w:highlight w:val="none"/>
          <w:u w:val="single"/>
        </w:rPr>
        <w:t xml:space="preserve">  1.安全生产责任险计列和结算按《广西壮族自治区房屋建筑和市政基础设施工程安全生产责任保险计价规定的通知》（桂建发【2023】6 号文）执行。根据桂建价〔2024〕2 号的要求，供应商在编制竞标报价文件时，安责险应按工程量清单中给出的安责险暂估价的具体金额填写，不得调整。工程结算时，由发承包双方根据工程实际情况确认的安全生产责任保险费计入工程造价。2.承包人须根据相关规定办理意外伤害保险费，费用自行承担</w:t>
      </w:r>
      <w:r>
        <w:rPr>
          <w:rFonts w:hint="eastAsia" w:ascii="宋体" w:hAnsi="宋体" w:eastAsia="宋体" w:cs="宋体"/>
          <w:color w:val="auto"/>
          <w:highlight w:val="none"/>
        </w:rPr>
        <w:t>。</w:t>
      </w:r>
    </w:p>
    <w:p w14:paraId="64931AD9">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承包人是否应为其施工设备等办理财产保险：</w:t>
      </w:r>
      <w:r>
        <w:rPr>
          <w:rFonts w:hint="eastAsia" w:ascii="宋体" w:hAnsi="宋体" w:eastAsia="宋体" w:cs="宋体"/>
          <w:color w:val="auto"/>
          <w:highlight w:val="none"/>
          <w:u w:val="single"/>
        </w:rPr>
        <w:t xml:space="preserve"> </w:t>
      </w:r>
      <w:r>
        <w:rPr>
          <w:color w:val="auto"/>
          <w:szCs w:val="21"/>
          <w:highlight w:val="none"/>
          <w:u w:val="single"/>
        </w:rPr>
        <w:t>由承包人自行办理并承担相关费用</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17B5B980">
      <w:pPr>
        <w:pStyle w:val="4"/>
        <w:rPr>
          <w:rFonts w:hint="eastAsia" w:ascii="宋体" w:hAnsi="宋体" w:eastAsia="宋体" w:cs="宋体"/>
          <w:color w:val="auto"/>
          <w:highlight w:val="none"/>
        </w:rPr>
      </w:pPr>
      <w:bookmarkStart w:id="422" w:name="_Toc20403"/>
      <w:r>
        <w:rPr>
          <w:rFonts w:hint="eastAsia" w:ascii="宋体" w:hAnsi="宋体" w:eastAsia="宋体" w:cs="宋体"/>
          <w:color w:val="auto"/>
          <w:highlight w:val="none"/>
        </w:rPr>
        <w:t>18.7 通知义务</w:t>
      </w:r>
      <w:bookmarkEnd w:id="422"/>
    </w:p>
    <w:p w14:paraId="0EC4111D">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highlight w:val="none"/>
        </w:rPr>
        <w:t>关于变更保险合同时的通知义务的约定：</w:t>
      </w:r>
      <w:r>
        <w:rPr>
          <w:rFonts w:hint="eastAsia" w:ascii="宋体" w:hAnsi="宋体" w:eastAsia="宋体" w:cs="宋体"/>
          <w:color w:val="auto"/>
          <w:highlight w:val="none"/>
          <w:u w:val="single"/>
        </w:rPr>
        <w:t xml:space="preserve"> </w:t>
      </w:r>
      <w:r>
        <w:rPr>
          <w:color w:val="auto"/>
          <w:szCs w:val="21"/>
          <w:highlight w:val="none"/>
          <w:u w:val="single"/>
        </w:rPr>
        <w:t>变更应通知当事人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299520CB">
      <w:pPr>
        <w:pStyle w:val="3"/>
        <w:rPr>
          <w:rFonts w:hint="eastAsia" w:ascii="宋体" w:hAnsi="宋体" w:eastAsia="宋体" w:cs="宋体"/>
          <w:color w:val="auto"/>
          <w:highlight w:val="none"/>
        </w:rPr>
      </w:pPr>
      <w:bookmarkStart w:id="423" w:name="_Toc17775"/>
      <w:r>
        <w:rPr>
          <w:rFonts w:hint="eastAsia" w:ascii="宋体" w:hAnsi="宋体" w:eastAsia="宋体" w:cs="宋体"/>
          <w:color w:val="auto"/>
          <w:highlight w:val="none"/>
        </w:rPr>
        <w:t>19.索赔</w:t>
      </w:r>
      <w:bookmarkEnd w:id="423"/>
    </w:p>
    <w:p w14:paraId="23FF8A4A">
      <w:pPr>
        <w:pStyle w:val="3"/>
        <w:spacing w:line="360" w:lineRule="auto"/>
        <w:ind w:firstLine="420" w:firstLineChars="200"/>
        <w:rPr>
          <w:rFonts w:hint="eastAsia" w:ascii="宋体" w:hAnsi="宋体" w:eastAsia="宋体" w:cs="宋体"/>
          <w:b w:val="0"/>
          <w:bCs w:val="0"/>
          <w:color w:val="auto"/>
          <w:sz w:val="21"/>
          <w:szCs w:val="21"/>
          <w:highlight w:val="none"/>
          <w:lang w:val="en-US"/>
        </w:rPr>
      </w:pPr>
      <w:bookmarkStart w:id="424" w:name="_Toc2598"/>
      <w:bookmarkStart w:id="425" w:name="_Toc874"/>
      <w:r>
        <w:rPr>
          <w:rFonts w:hint="eastAsia" w:ascii="宋体" w:hAnsi="宋体" w:eastAsia="宋体" w:cs="宋体"/>
          <w:b w:val="0"/>
          <w:bCs w:val="0"/>
          <w:color w:val="auto"/>
          <w:sz w:val="21"/>
          <w:szCs w:val="21"/>
          <w:highlight w:val="none"/>
          <w:lang w:val="en-US"/>
        </w:rPr>
        <w:t>19.</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rPr>
        <w:t xml:space="preserve"> 索赔事项确定</w:t>
      </w:r>
      <w:bookmarkEnd w:id="424"/>
      <w:bookmarkEnd w:id="425"/>
    </w:p>
    <w:p w14:paraId="33823A54">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19.</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rPr>
        <w:t>.1 按本合同约定计算工期延误</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或延长</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及其引起的索赔费用时，索赔工期所对应的工作应是关键线路上的工作，或索赔事件引起关键线路改变的工作，发包人按本合同约定批准给承包人的工期延长为合同工期延长的时间。发包人对承包人的所有工期延误</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或延长</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的索赔费用应对每一索赔事件进行独立评估，不包括前期发生的工期延误</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或延长</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对后期进行的工程造成相应延误</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或延长</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 xml:space="preserve"> 的费用索赔。</w:t>
      </w:r>
    </w:p>
    <w:p w14:paraId="69E41340">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19.</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rPr>
        <w:t>.2 当发生工期延误事件时，发承包双方根据批准的施工进度计划，确定该事件是否发生在关键线路上，以及是否引发关键线路上的工期延误，并可按以下约定计算索赔的工期：</w:t>
      </w:r>
    </w:p>
    <w:p w14:paraId="234E80A2">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（1）延误事件为关键线路上的工作，则延误的时间为索赔的工期；</w:t>
      </w:r>
    </w:p>
    <w:p w14:paraId="131B6840">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（2）延误事件为非关键线路上的工作，当该工作由于延误超过总时差而成为关键工作时，其延误时间与总时差的差值为索赔的工期；</w:t>
      </w:r>
    </w:p>
    <w:p w14:paraId="33B75A55">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（3）工期延误后事件仍为非关键线路上的工作，则不发生工期索赔。</w:t>
      </w:r>
    </w:p>
    <w:p w14:paraId="6A50847D">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19.</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rPr>
        <w:t>.3 因非承包人的原因发生下列事件，给承包人造成经济损失及费用增加和</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或</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工期延误的，承包人可按蒙受的经济损失及费用增加和</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或</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受影响延误的工期，提出一项或多项索赔：</w:t>
      </w:r>
    </w:p>
    <w:p w14:paraId="58429899">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（1）因停工、待工、降效、工期延长等造成的人工、材料、施工机具、水电消耗</w:t>
      </w:r>
      <w:r>
        <w:rPr>
          <w:rFonts w:hint="eastAsia" w:ascii="宋体" w:hAnsi="宋体" w:eastAsia="宋体" w:cs="宋体"/>
          <w:b w:val="0"/>
          <w:bCs w:val="0"/>
          <w:color w:val="auto"/>
          <w:sz w:val="21"/>
          <w:szCs w:val="21"/>
          <w:highlight w:val="none"/>
          <w:lang w:val="en-US" w:eastAsia="zh-CN"/>
        </w:rPr>
        <w:t>等</w:t>
      </w:r>
      <w:r>
        <w:rPr>
          <w:rFonts w:hint="eastAsia" w:ascii="宋体" w:hAnsi="宋体" w:eastAsia="宋体" w:cs="宋体"/>
          <w:b w:val="0"/>
          <w:bCs w:val="0"/>
          <w:color w:val="auto"/>
          <w:sz w:val="21"/>
          <w:szCs w:val="21"/>
          <w:highlight w:val="none"/>
          <w:lang w:val="en-US"/>
        </w:rPr>
        <w:t>费用损失，政府主管部门要求进行的暂停施工按本合同工19.</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rPr>
        <w:t>.7 条约定执行；</w:t>
      </w:r>
    </w:p>
    <w:p w14:paraId="352F4C13">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（2）因合同工期调整所造成的人工费、材料费、施工机具费物价变化增减的直接费用，但按本合同第11.2.4条约定调整的除外；</w:t>
      </w:r>
    </w:p>
    <w:p w14:paraId="7DD1433D">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（3）因停工、复工、维护施工现场等发生（包括建设、使用、拆除）的必要措施费用；</w:t>
      </w:r>
    </w:p>
    <w:p w14:paraId="60F2124C">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（4）因返工、拆改与修复等发生的直接费用，以及报废（损）的材料的直接损失；</w:t>
      </w:r>
    </w:p>
    <w:p w14:paraId="43F87135">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（5）因额外增加的检查、检验、试验等发生的相关费用；</w:t>
      </w:r>
    </w:p>
    <w:p w14:paraId="36C43E45">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（6）因合同价款未能按合同约定支付引起的损失；</w:t>
      </w:r>
    </w:p>
    <w:p w14:paraId="7ACD7067">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（7）因发掘出文物、古迹以及具有地质研究或考古价值的遗迹、化石、钱币或物品造成的暂缓、间断施工或停工的影响；</w:t>
      </w:r>
    </w:p>
    <w:p w14:paraId="7344BFB4">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（8）承包人可举证的上述费用之外的其他损失；</w:t>
      </w:r>
    </w:p>
    <w:p w14:paraId="4B2D0C6E">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（9）因事件影响造成的延误（或延长）的合理工期。</w:t>
      </w:r>
    </w:p>
    <w:p w14:paraId="2347F03A">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19.</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rPr>
        <w:t>.4  因发包人的原因发生下列事件，给承包人造成经济损失的，承包人除</w:t>
      </w:r>
      <w:r>
        <w:rPr>
          <w:rFonts w:hint="eastAsia" w:ascii="宋体" w:hAnsi="宋体" w:eastAsia="宋体" w:cs="宋体"/>
          <w:b w:val="0"/>
          <w:bCs w:val="0"/>
          <w:color w:val="auto"/>
          <w:sz w:val="21"/>
          <w:szCs w:val="21"/>
          <w:highlight w:val="none"/>
          <w:lang w:val="en-US" w:eastAsia="zh-CN"/>
        </w:rPr>
        <w:t>可</w:t>
      </w:r>
      <w:r>
        <w:rPr>
          <w:rFonts w:hint="eastAsia" w:ascii="宋体" w:hAnsi="宋体" w:eastAsia="宋体" w:cs="宋体"/>
          <w:b w:val="0"/>
          <w:bCs w:val="0"/>
          <w:color w:val="auto"/>
          <w:sz w:val="21"/>
          <w:szCs w:val="21"/>
          <w:highlight w:val="none"/>
          <w:lang w:val="en-US"/>
        </w:rPr>
        <w:t>进行经济损失和（或）工期延误索赔外，可索赔利润。</w:t>
      </w:r>
    </w:p>
    <w:p w14:paraId="71FC1427">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（1）发包人将合同中的某项工作改变为其他承包人负责完成；</w:t>
      </w:r>
    </w:p>
    <w:p w14:paraId="3619CA47">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（2）发包人延迟提供图纸或施工场地；</w:t>
      </w:r>
    </w:p>
    <w:p w14:paraId="22FA5893">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（3）发包人提供材料的质量不合格或延迟提供或改变交货地点等引起工程不合格；</w:t>
      </w:r>
    </w:p>
    <w:p w14:paraId="7FFF3A2F">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（4）发包人原因引起承包人测量放线错误、工程返工；</w:t>
      </w:r>
    </w:p>
    <w:p w14:paraId="38DD3509">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（5）发包人提供的工程项目原始数据和基准资料错误；</w:t>
      </w:r>
    </w:p>
    <w:p w14:paraId="4B3AA28B">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（6）发包人对施工场地额外限制、未按时履约审批、干扰正常施工顺序等；</w:t>
      </w:r>
    </w:p>
    <w:p w14:paraId="4D6ADC3C">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（7）发包人原因引起工期延误、暂停施工、工程暂停后无法按时复工；</w:t>
      </w:r>
    </w:p>
    <w:p w14:paraId="32A96B63">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（8）发包人在工程竣工前提前占用工程；</w:t>
      </w:r>
    </w:p>
    <w:p w14:paraId="4535D852">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（9）发包人原因导致工程试运行失败、缺陷责任期内因非承包人原因引起的缺陷或损坏的修复。</w:t>
      </w:r>
    </w:p>
    <w:p w14:paraId="5C98C389">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19.</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rPr>
        <w:t>.5 因发包人的原因引起下列事件给承包人造成经济损失和</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或</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工期延长的，发包人应合理延长受影响的工期，并补偿给承包人造成的损失和</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或</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直接费用，不包括利润：</w:t>
      </w:r>
    </w:p>
    <w:p w14:paraId="6CB8B148">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（1）按发包人或监理人的要求对材料和工程</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包括已覆盖的隐蔽工程</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进行重新检测</w:t>
      </w:r>
      <w:r>
        <w:rPr>
          <w:rFonts w:hint="eastAsia" w:ascii="宋体" w:hAnsi="宋体" w:eastAsia="宋体" w:cs="宋体"/>
          <w:b w:val="0"/>
          <w:bCs w:val="0"/>
          <w:color w:val="auto"/>
          <w:sz w:val="21"/>
          <w:szCs w:val="21"/>
          <w:highlight w:val="none"/>
          <w:lang w:val="en-US" w:eastAsia="zh-CN"/>
        </w:rPr>
        <w:t>且</w:t>
      </w:r>
      <w:r>
        <w:rPr>
          <w:rFonts w:hint="eastAsia" w:ascii="宋体" w:hAnsi="宋体" w:eastAsia="宋体" w:cs="宋体"/>
          <w:b w:val="0"/>
          <w:bCs w:val="0"/>
          <w:color w:val="auto"/>
          <w:sz w:val="21"/>
          <w:szCs w:val="21"/>
          <w:highlight w:val="none"/>
          <w:lang w:val="en-US"/>
        </w:rPr>
        <w:t>检测结果质量合格引起的直接费用，以及修复受影响工程的费用；</w:t>
      </w:r>
    </w:p>
    <w:p w14:paraId="7505CF33">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（2）额外增加的检查、检验、试验</w:t>
      </w:r>
      <w:r>
        <w:rPr>
          <w:rFonts w:hint="eastAsia" w:ascii="宋体" w:hAnsi="宋体" w:eastAsia="宋体" w:cs="宋体"/>
          <w:b w:val="0"/>
          <w:bCs w:val="0"/>
          <w:color w:val="auto"/>
          <w:sz w:val="21"/>
          <w:szCs w:val="21"/>
          <w:highlight w:val="none"/>
          <w:lang w:val="en-US" w:eastAsia="zh-CN"/>
        </w:rPr>
        <w:t>等</w:t>
      </w:r>
      <w:r>
        <w:rPr>
          <w:rFonts w:hint="eastAsia" w:ascii="宋体" w:hAnsi="宋体" w:eastAsia="宋体" w:cs="宋体"/>
          <w:b w:val="0"/>
          <w:bCs w:val="0"/>
          <w:color w:val="auto"/>
          <w:sz w:val="21"/>
          <w:szCs w:val="21"/>
          <w:highlight w:val="none"/>
          <w:lang w:val="en-US"/>
        </w:rPr>
        <w:t>直接费用；</w:t>
      </w:r>
    </w:p>
    <w:p w14:paraId="58234FA2">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（3）工程试运行失败引起的直接费用；</w:t>
      </w:r>
    </w:p>
    <w:p w14:paraId="640BFA3C">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（4）其他情况的直接损失和</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或</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费用。</w:t>
      </w:r>
    </w:p>
    <w:p w14:paraId="02C4E629">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19.</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rPr>
        <w:t>.6  除本合同约定发包人购买工程一切险及第三者责任险外，因不可抗力事件引起的人员伤亡、财产损失、费用增加和</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或</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工期延误等工程索赔，发承包双方应遵循下列原则承担相应损失及费用：</w:t>
      </w:r>
    </w:p>
    <w:p w14:paraId="4AFBA9BD">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（1）永久工程、已运至施工现场的材料的损坏及修复费用，以及因不可抗力事件引起施工场地内及工程损坏造成的第三方人员伤亡和财产损失应由发包人承担；</w:t>
      </w:r>
    </w:p>
    <w:p w14:paraId="0A120D31">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（2）承包人施工机具的损坏及停工损失和措施项目的损坏、清理、修复费用，以及因承包人原因发生的第三方人员伤亡和财产损失应由承包人承担；</w:t>
      </w:r>
    </w:p>
    <w:p w14:paraId="015B5A0F">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（3）发包人和承包人应承担各自人员伤亡和本条第（1）款、第（2）款约</w:t>
      </w:r>
      <w:r>
        <w:rPr>
          <w:rFonts w:hint="eastAsia" w:ascii="宋体" w:hAnsi="宋体" w:eastAsia="宋体" w:cs="宋体"/>
          <w:b w:val="0"/>
          <w:bCs w:val="0"/>
          <w:color w:val="auto"/>
          <w:sz w:val="21"/>
          <w:szCs w:val="21"/>
          <w:highlight w:val="none"/>
          <w:lang w:val="en-US" w:eastAsia="zh-CN"/>
        </w:rPr>
        <w:t>定以</w:t>
      </w:r>
      <w:r>
        <w:rPr>
          <w:rFonts w:hint="eastAsia" w:ascii="宋体" w:hAnsi="宋体" w:eastAsia="宋体" w:cs="宋体"/>
          <w:b w:val="0"/>
          <w:bCs w:val="0"/>
          <w:color w:val="auto"/>
          <w:sz w:val="21"/>
          <w:szCs w:val="21"/>
          <w:highlight w:val="none"/>
          <w:lang w:val="en-US"/>
        </w:rPr>
        <w:t>外的其他财产的损失；</w:t>
      </w:r>
    </w:p>
    <w:p w14:paraId="32232619">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（4）因不可抗力引起暂停施工的，停工期间按照发包人要求照管、清理、修复工程的费用和发包人要求留驻施工现场必要的管理与保卫人员工资，以及按发包人要求留驻现场待工人员的工资应由发包人承担；</w:t>
      </w:r>
    </w:p>
    <w:p w14:paraId="6C79027E">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（5）因不可抗力影响承包人履行合同约定的义务，引起工期延误的，应当顺延工期，发包人要求赶工的，由此增加的赶工费用应由发包人承担；</w:t>
      </w:r>
    </w:p>
    <w:p w14:paraId="14471650">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（6）其他情形按法律法规规定执行。</w:t>
      </w:r>
    </w:p>
    <w:p w14:paraId="09EC5AFE">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19.</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rPr>
        <w:t>.7  除本合同11.3条法律法规及政策性变化引起的价格调整，第19.</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rPr>
        <w:t>.6条第（4）款、第（5）款规定外，因发生具有不可抗力性质的下列例外事件引起工期延误的，受影响的工期应相应顺延，发承包双方应各自承担相应的损失：</w:t>
      </w:r>
    </w:p>
    <w:p w14:paraId="0D2D8F1B">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（1）动乱和暴动等类似事件</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不包括工地现场发生的</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w:t>
      </w:r>
    </w:p>
    <w:p w14:paraId="61E5C7EE">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（2）因国家及地方政府有关部门要求而</w:t>
      </w:r>
      <w:r>
        <w:rPr>
          <w:rFonts w:hint="eastAsia" w:ascii="宋体" w:hAnsi="宋体" w:eastAsia="宋体" w:cs="宋体"/>
          <w:b w:val="0"/>
          <w:bCs w:val="0"/>
          <w:color w:val="auto"/>
          <w:sz w:val="21"/>
          <w:szCs w:val="21"/>
          <w:highlight w:val="none"/>
          <w:lang w:val="en-US" w:eastAsia="zh-CN"/>
        </w:rPr>
        <w:t>必需的</w:t>
      </w:r>
      <w:r>
        <w:rPr>
          <w:rFonts w:hint="eastAsia" w:ascii="宋体" w:hAnsi="宋体" w:eastAsia="宋体" w:cs="宋体"/>
          <w:b w:val="0"/>
          <w:bCs w:val="0"/>
          <w:color w:val="auto"/>
          <w:sz w:val="21"/>
          <w:szCs w:val="21"/>
          <w:highlight w:val="none"/>
          <w:lang w:val="en-US"/>
        </w:rPr>
        <w:t>停工、暂停（暂缓）施工、间断施工或区域性施工管控造成的影响；</w:t>
      </w:r>
    </w:p>
    <w:p w14:paraId="5C953B1B">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（3）地方建设行政主管部门就安全、环保要求停止施工造成的影响；</w:t>
      </w:r>
    </w:p>
    <w:p w14:paraId="404AF42E">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（4）地方政府主管部门就健康卫生防疫管控要求停止施工造成的影响；</w:t>
      </w:r>
    </w:p>
    <w:p w14:paraId="6B688DAF">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19.</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rPr>
        <w:t>.8  因发生不可抗力引起工期延长，且在延长工期内遭遇物价变化、法律法规及政策性变化的，所引起的影响费用按本合同11.2条、11.3条、19.</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rPr>
        <w:t>.3条的约定处理，调整受影响项目的合同价格。</w:t>
      </w:r>
    </w:p>
    <w:p w14:paraId="3A56ACA5">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19.</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rPr>
        <w:t>.9  因发承包双方中的一方原因导致工期延误，且在延长的工期内遭遇不可抗力的，不可抗力事件产生的损失由责任方承担。发承包双方对工期延误均有责任，且在延长的工期内遭遇不可抗力的，按双方责任分担比例承担相应责任。</w:t>
      </w:r>
    </w:p>
    <w:p w14:paraId="1E8E32E5">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19.</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rPr>
        <w:t>.10  本合同约定发包人负责购买工程一切险及第三者责任险，且保险范围包括相关的施工机具、人员伤亡，如发生本合同19.</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rPr>
        <w:t>.6 条约定的事件，发承包双方按下列原则承担相应损失和增加费用：</w:t>
      </w:r>
    </w:p>
    <w:p w14:paraId="3606BABC">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（1）发包人按合同约定购买建筑工程一切险及第三者责任险的，承包人通过发包人按保险条款向保险人理赔本合同19.</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rPr>
        <w:t>.6条第（1）款～第（4）款约定的财产损失和增加的费用，保险规定免赔额部分的损失及费用和超出理赔部分的本合同19.</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rPr>
        <w:t>.6条第（2）款、第（3）款约定的损失及费用由发承包双方各自承担，超出理赔部分的本合同19.</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rPr>
        <w:t>.6 条第（1）款、第（4）款约定的损失及费用由发包人承担；</w:t>
      </w:r>
    </w:p>
    <w:p w14:paraId="43782B41">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（2）发包人未按合同约定购买建筑工程一切险及第三者责任险或购买的保险未生效的，本合同19.</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rPr>
        <w:t>.6 条第（1）款和第（</w:t>
      </w:r>
      <w:r>
        <w:rPr>
          <w:rFonts w:hint="eastAsia" w:ascii="宋体" w:hAnsi="宋体" w:eastAsia="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lang w:val="en-US"/>
        </w:rPr>
        <w:t>）款约定的损失及费用由发包人负责，按相关保险条款可以理赔的本合同19.</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rPr>
        <w:t>.6 条第（2）款、第（3）款约定的损失及费用由发包人承担，超出理赔的损失及费用由发承包双方各自承担。</w:t>
      </w:r>
    </w:p>
    <w:p w14:paraId="1D88657F">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19.</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rPr>
        <w:t>.11  因发生提前竣工</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赶工）事件引起的工程索赔，发承包双方可按下列原则分别承担相应费用，并调整合同价格和工期：</w:t>
      </w:r>
    </w:p>
    <w:p w14:paraId="7D0F90C2">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（1）发包人要求合同工程提前竣工的，承包人应制定合理的加快工程进度的措施并修订进度计划，经发包人同意后实施，由此增加的提前竣工费用</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赶工费）由发包人承担；</w:t>
      </w:r>
    </w:p>
    <w:p w14:paraId="550EB1F4">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（2）非发包人要求，因承包人原因自行提前竣工的，应征得发包人的同意，由此增加的费用应由承包人承担。</w:t>
      </w:r>
    </w:p>
    <w:p w14:paraId="4EDFDAF4">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19.</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rPr>
        <w:t xml:space="preserve">.12  因承包人原因发生下列事件，引起工期延误和（或）给发包人造成经济损失的，发包人可根据工期受影响延误的时间和（或）经济损失，提出以下一项或多项索赔： </w:t>
      </w:r>
    </w:p>
    <w:p w14:paraId="76AFC8F6">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（1）承包人未尽承包义务、未按合同约定执行发包人的工程指令等引起发包人发生的额外费用或额外支出；</w:t>
      </w:r>
    </w:p>
    <w:p w14:paraId="3BCD025E">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（2）承包人未按合同要求正确履行对发包人提供材料、专业分包人的总承包服务造成发包人的损失；</w:t>
      </w:r>
    </w:p>
    <w:p w14:paraId="464DD0C6">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（3）承包人责任事件造成的发包人向政府部门缴纳的罚款或向第三人的赔偿费用；</w:t>
      </w:r>
    </w:p>
    <w:p w14:paraId="7AB9747F">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（4）承包人原因引起合同工程发生误期造成发包人的损失；</w:t>
      </w:r>
    </w:p>
    <w:p w14:paraId="65AD10C2">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（5）承包人完成的工程质量不符合合同约定标准引起发包人的损失；</w:t>
      </w:r>
    </w:p>
    <w:p w14:paraId="2BB65E0E">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（6）发包人可举证的上述费用之外的其他损失。</w:t>
      </w:r>
    </w:p>
    <w:p w14:paraId="76FA1012">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19.</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rPr>
        <w:t>.13  因承包人原因引起发包人的损失，发包人可以选择以下一项或多项方式获得补偿：</w:t>
      </w:r>
    </w:p>
    <w:p w14:paraId="31A53CB6">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（1）延长质量缺陷保修期限；</w:t>
      </w:r>
    </w:p>
    <w:p w14:paraId="3F832CF8">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（2）要求承包人支付受影响发生的额外费用；</w:t>
      </w:r>
    </w:p>
    <w:p w14:paraId="0B75B6F9">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（3）要求承包人支付误期赔偿费；</w:t>
      </w:r>
    </w:p>
    <w:p w14:paraId="7E6EB132">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（4）要求承包人按合同的约定支付违约金。</w:t>
      </w:r>
    </w:p>
    <w:p w14:paraId="31E75F28">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19.</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rPr>
        <w:t>.14  发承包双方均应采取措施尽量避免和减少因索赔事件导致的损失扩大，应采取措施的一方当事人不采取积极措施导致损失扩大的，应对扩大的损失承担责任。</w:t>
      </w:r>
    </w:p>
    <w:p w14:paraId="7B2A496A">
      <w:pPr>
        <w:spacing w:line="400" w:lineRule="exact"/>
        <w:ind w:firstLine="420" w:firstLineChars="200"/>
        <w:jc w:val="left"/>
        <w:rPr>
          <w:rFonts w:hint="eastAsia" w:ascii="宋体" w:hAnsi="宋体" w:eastAsia="宋体" w:cs="宋体"/>
          <w:color w:val="auto"/>
          <w:szCs w:val="21"/>
          <w:highlight w:val="none"/>
          <w:shd w:val="clear" w:color="auto" w:fill="auto"/>
        </w:rPr>
      </w:pPr>
      <w:r>
        <w:rPr>
          <w:rFonts w:hint="eastAsia" w:ascii="宋体" w:hAnsi="宋体" w:eastAsia="宋体" w:cs="宋体"/>
          <w:b w:val="0"/>
          <w:bCs w:val="0"/>
          <w:color w:val="auto"/>
          <w:szCs w:val="21"/>
          <w:highlight w:val="none"/>
          <w:shd w:val="clear" w:color="auto" w:fill="auto"/>
        </w:rPr>
        <w:t>1</w:t>
      </w:r>
      <w:r>
        <w:rPr>
          <w:rFonts w:hint="eastAsia" w:ascii="宋体" w:hAnsi="宋体" w:eastAsia="宋体" w:cs="宋体"/>
          <w:b w:val="0"/>
          <w:color w:val="auto"/>
          <w:szCs w:val="21"/>
          <w:highlight w:val="none"/>
          <w:shd w:val="clear" w:color="auto" w:fill="auto"/>
          <w:lang w:val="en-US" w:eastAsia="zh-CN"/>
        </w:rPr>
        <w:t>9</w:t>
      </w:r>
      <w:r>
        <w:rPr>
          <w:rFonts w:hint="eastAsia" w:ascii="宋体" w:hAnsi="宋体" w:eastAsia="宋体" w:cs="宋体"/>
          <w:b w:val="0"/>
          <w:color w:val="auto"/>
          <w:szCs w:val="21"/>
          <w:highlight w:val="none"/>
          <w:shd w:val="clear" w:color="auto" w:fill="auto"/>
        </w:rPr>
        <w:t>.</w:t>
      </w:r>
      <w:r>
        <w:rPr>
          <w:rFonts w:hint="eastAsia" w:ascii="宋体" w:hAnsi="宋体" w:eastAsia="宋体" w:cs="宋体"/>
          <w:b w:val="0"/>
          <w:color w:val="auto"/>
          <w:szCs w:val="21"/>
          <w:highlight w:val="none"/>
          <w:shd w:val="clear" w:color="auto" w:fill="auto"/>
          <w:lang w:val="en-US" w:eastAsia="zh-CN"/>
        </w:rPr>
        <w:t>6</w:t>
      </w:r>
      <w:r>
        <w:rPr>
          <w:rFonts w:hint="eastAsia" w:ascii="宋体" w:hAnsi="宋体" w:eastAsia="宋体" w:cs="宋体"/>
          <w:b w:val="0"/>
          <w:color w:val="auto"/>
          <w:szCs w:val="21"/>
          <w:highlight w:val="none"/>
          <w:shd w:val="clear" w:color="auto" w:fill="auto"/>
        </w:rPr>
        <w:t>.</w:t>
      </w:r>
      <w:r>
        <w:rPr>
          <w:rFonts w:hint="eastAsia" w:ascii="宋体" w:hAnsi="宋体" w:eastAsia="宋体" w:cs="宋体"/>
          <w:b w:val="0"/>
          <w:color w:val="auto"/>
          <w:szCs w:val="21"/>
          <w:highlight w:val="none"/>
          <w:shd w:val="clear" w:color="auto" w:fill="auto"/>
          <w:lang w:val="en-US" w:eastAsia="zh-CN"/>
        </w:rPr>
        <w:t>15</w:t>
      </w:r>
      <w:r>
        <w:rPr>
          <w:rFonts w:hint="eastAsia" w:ascii="宋体" w:hAnsi="宋体" w:eastAsia="宋体" w:cs="宋体"/>
          <w:color w:val="auto"/>
          <w:szCs w:val="21"/>
          <w:highlight w:val="none"/>
          <w:shd w:val="clear" w:color="auto" w:fill="auto"/>
        </w:rPr>
        <w:t xml:space="preserve">  在相关索赔事件发生后</w:t>
      </w:r>
      <w:r>
        <w:rPr>
          <w:rFonts w:hint="eastAsia" w:ascii="宋体" w:hAnsi="宋体" w:eastAsia="宋体" w:cs="宋体"/>
          <w:color w:val="auto"/>
          <w:szCs w:val="21"/>
          <w:highlight w:val="none"/>
          <w:shd w:val="clear" w:color="auto" w:fill="auto"/>
          <w:lang w:eastAsia="zh-CN"/>
        </w:rPr>
        <w:t>，</w:t>
      </w:r>
      <w:r>
        <w:rPr>
          <w:rFonts w:hint="eastAsia" w:ascii="宋体" w:hAnsi="宋体" w:eastAsia="宋体" w:cs="宋体"/>
          <w:color w:val="auto"/>
          <w:szCs w:val="21"/>
          <w:highlight w:val="none"/>
          <w:shd w:val="clear" w:color="auto" w:fill="auto"/>
        </w:rPr>
        <w:t>发承包双方应及时就调整的工期和索赔的费用及时进行确认签署</w:t>
      </w:r>
      <w:r>
        <w:rPr>
          <w:rFonts w:hint="eastAsia" w:ascii="宋体" w:hAnsi="宋体" w:eastAsia="宋体" w:cs="宋体"/>
          <w:color w:val="auto"/>
          <w:szCs w:val="21"/>
          <w:highlight w:val="none"/>
          <w:shd w:val="clear" w:color="auto" w:fill="auto"/>
          <w:lang w:eastAsia="zh-CN"/>
        </w:rPr>
        <w:t>，</w:t>
      </w:r>
      <w:r>
        <w:rPr>
          <w:rFonts w:hint="eastAsia" w:ascii="宋体" w:hAnsi="宋体" w:eastAsia="宋体" w:cs="宋体"/>
          <w:color w:val="auto"/>
          <w:szCs w:val="21"/>
          <w:highlight w:val="none"/>
          <w:shd w:val="clear" w:color="auto" w:fill="auto"/>
        </w:rPr>
        <w:t>并应作为工程进度款和工程结算的依据。</w:t>
      </w:r>
    </w:p>
    <w:p w14:paraId="411EC31E">
      <w:pPr>
        <w:spacing w:line="400" w:lineRule="exact"/>
        <w:ind w:firstLine="0" w:firstLineChars="0"/>
        <w:jc w:val="left"/>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Cs w:val="21"/>
          <w:highlight w:val="none"/>
          <w:shd w:val="clear" w:color="auto" w:fill="auto"/>
          <w:lang w:val="en-US" w:eastAsia="zh-CN"/>
        </w:rPr>
        <w:t xml:space="preserve">    </w:t>
      </w:r>
      <w:r>
        <w:rPr>
          <w:rFonts w:hint="eastAsia" w:ascii="宋体" w:hAnsi="宋体" w:eastAsia="宋体" w:cs="宋体"/>
          <w:b w:val="0"/>
          <w:bCs w:val="0"/>
          <w:color w:val="auto"/>
          <w:szCs w:val="21"/>
          <w:highlight w:val="none"/>
          <w:shd w:val="clear" w:color="auto" w:fill="auto"/>
        </w:rPr>
        <w:t>1</w:t>
      </w:r>
      <w:r>
        <w:rPr>
          <w:rFonts w:hint="eastAsia" w:ascii="宋体" w:hAnsi="宋体" w:eastAsia="宋体" w:cs="宋体"/>
          <w:b w:val="0"/>
          <w:color w:val="auto"/>
          <w:szCs w:val="21"/>
          <w:highlight w:val="none"/>
          <w:shd w:val="clear" w:color="auto" w:fill="auto"/>
          <w:lang w:eastAsia="zh-CN"/>
        </w:rPr>
        <w:t>9</w:t>
      </w:r>
      <w:r>
        <w:rPr>
          <w:rFonts w:hint="eastAsia" w:ascii="宋体" w:hAnsi="宋体" w:eastAsia="宋体" w:cs="宋体"/>
          <w:b w:val="0"/>
          <w:color w:val="auto"/>
          <w:szCs w:val="21"/>
          <w:highlight w:val="none"/>
          <w:shd w:val="clear" w:color="auto" w:fill="auto"/>
        </w:rPr>
        <w:t>.</w:t>
      </w:r>
      <w:r>
        <w:rPr>
          <w:rFonts w:hint="eastAsia" w:ascii="宋体" w:hAnsi="宋体" w:eastAsia="宋体" w:cs="宋体"/>
          <w:b w:val="0"/>
          <w:color w:val="auto"/>
          <w:szCs w:val="21"/>
          <w:highlight w:val="none"/>
          <w:shd w:val="clear" w:color="auto" w:fill="auto"/>
          <w:lang w:val="en-US" w:eastAsia="zh-CN"/>
        </w:rPr>
        <w:t>6</w:t>
      </w:r>
      <w:r>
        <w:rPr>
          <w:rFonts w:hint="eastAsia" w:ascii="宋体" w:hAnsi="宋体" w:eastAsia="宋体" w:cs="宋体"/>
          <w:b w:val="0"/>
          <w:color w:val="auto"/>
          <w:szCs w:val="21"/>
          <w:highlight w:val="none"/>
          <w:shd w:val="clear" w:color="auto" w:fill="auto"/>
        </w:rPr>
        <w:t>.</w:t>
      </w:r>
      <w:r>
        <w:rPr>
          <w:rFonts w:hint="eastAsia" w:ascii="宋体" w:hAnsi="宋体" w:eastAsia="宋体" w:cs="宋体"/>
          <w:b w:val="0"/>
          <w:color w:val="auto"/>
          <w:szCs w:val="21"/>
          <w:highlight w:val="none"/>
          <w:shd w:val="clear" w:color="auto" w:fill="auto"/>
          <w:lang w:val="en-US" w:eastAsia="zh-CN"/>
        </w:rPr>
        <w:t>16</w:t>
      </w:r>
      <w:r>
        <w:rPr>
          <w:rFonts w:hint="eastAsia" w:ascii="宋体" w:hAnsi="宋体" w:eastAsia="宋体" w:cs="宋体"/>
          <w:color w:val="auto"/>
          <w:szCs w:val="21"/>
          <w:highlight w:val="none"/>
          <w:shd w:val="clear" w:color="auto" w:fill="auto"/>
        </w:rPr>
        <w:t xml:space="preserve">  在发承包双方已按合同约定完成了工程竣工结算书签署确定及已办理了竣工结算确定后</w:t>
      </w:r>
      <w:r>
        <w:rPr>
          <w:rFonts w:hint="eastAsia" w:ascii="宋体" w:hAnsi="宋体" w:eastAsia="宋体" w:cs="宋体"/>
          <w:color w:val="auto"/>
          <w:szCs w:val="21"/>
          <w:highlight w:val="none"/>
          <w:shd w:val="clear" w:color="auto" w:fill="auto"/>
          <w:lang w:eastAsia="zh-CN"/>
        </w:rPr>
        <w:t>，</w:t>
      </w:r>
      <w:r>
        <w:rPr>
          <w:rFonts w:hint="eastAsia" w:ascii="宋体" w:hAnsi="宋体" w:eastAsia="宋体" w:cs="宋体"/>
          <w:color w:val="auto"/>
          <w:szCs w:val="21"/>
          <w:highlight w:val="none"/>
          <w:shd w:val="clear" w:color="auto" w:fill="auto"/>
        </w:rPr>
        <w:t>双方应无权再向对方提出关于竣工结算前所发生事件的工程索赔。</w:t>
      </w:r>
    </w:p>
    <w:p w14:paraId="135C2752">
      <w:pPr>
        <w:spacing w:line="360" w:lineRule="auto"/>
        <w:ind w:firstLine="420" w:firstLineChars="200"/>
        <w:outlineLvl w:val="9"/>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19.</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rPr>
        <w:t>.1</w:t>
      </w:r>
      <w:r>
        <w:rPr>
          <w:rFonts w:hint="eastAsia" w:ascii="宋体" w:hAnsi="宋体" w:eastAsia="宋体" w:cs="宋体"/>
          <w:b w:val="0"/>
          <w:bCs w:val="0"/>
          <w:color w:val="auto"/>
          <w:sz w:val="21"/>
          <w:szCs w:val="21"/>
          <w:highlight w:val="none"/>
          <w:lang w:val="en-US" w:eastAsia="zh-CN"/>
        </w:rPr>
        <w:t>7</w:t>
      </w:r>
      <w:r>
        <w:rPr>
          <w:rFonts w:hint="eastAsia" w:ascii="宋体" w:hAnsi="宋体" w:eastAsia="宋体" w:cs="宋体"/>
          <w:b w:val="0"/>
          <w:bCs w:val="0"/>
          <w:color w:val="auto"/>
          <w:sz w:val="21"/>
          <w:szCs w:val="21"/>
          <w:highlight w:val="none"/>
          <w:lang w:val="en-US"/>
        </w:rPr>
        <w:t xml:space="preserve">  发承包双方宜通过协商方式解决工程索赔，经协商不能达成一致意见的，可按本合同第20条争议解决的约定执行，引起合同解除的，按本合同第</w:t>
      </w:r>
      <w:r>
        <w:rPr>
          <w:rFonts w:hint="eastAsia" w:ascii="宋体" w:hAnsi="宋体" w:eastAsia="宋体" w:cs="宋体"/>
          <w:b w:val="0"/>
          <w:bCs w:val="0"/>
          <w:color w:val="auto"/>
          <w:sz w:val="21"/>
          <w:szCs w:val="21"/>
          <w:highlight w:val="none"/>
          <w:lang w:val="en-US" w:eastAsia="zh-CN"/>
        </w:rPr>
        <w:t>16</w:t>
      </w:r>
      <w:r>
        <w:rPr>
          <w:rFonts w:hint="eastAsia" w:ascii="宋体" w:hAnsi="宋体" w:eastAsia="宋体" w:cs="宋体"/>
          <w:b w:val="0"/>
          <w:bCs w:val="0"/>
          <w:color w:val="auto"/>
          <w:sz w:val="21"/>
          <w:szCs w:val="21"/>
          <w:highlight w:val="none"/>
          <w:lang w:val="en-US"/>
        </w:rPr>
        <w:t>条</w:t>
      </w:r>
      <w:r>
        <w:rPr>
          <w:rFonts w:hint="eastAsia" w:ascii="宋体" w:hAnsi="宋体" w:eastAsia="宋体" w:cs="宋体"/>
          <w:b w:val="0"/>
          <w:bCs w:val="0"/>
          <w:strike w:val="0"/>
          <w:color w:val="auto"/>
          <w:sz w:val="21"/>
          <w:szCs w:val="21"/>
          <w:highlight w:val="none"/>
          <w:lang w:val="en-US" w:eastAsia="zh-CN"/>
        </w:rPr>
        <w:t>解除合同相关</w:t>
      </w:r>
      <w:r>
        <w:rPr>
          <w:rFonts w:hint="eastAsia" w:ascii="宋体" w:hAnsi="宋体" w:eastAsia="宋体" w:cs="宋体"/>
          <w:b w:val="0"/>
          <w:bCs w:val="0"/>
          <w:color w:val="auto"/>
          <w:sz w:val="21"/>
          <w:szCs w:val="21"/>
          <w:highlight w:val="none"/>
          <w:lang w:val="en-US"/>
        </w:rPr>
        <w:t>的约定处理。</w:t>
      </w:r>
    </w:p>
    <w:p w14:paraId="7AA853EA">
      <w:pPr>
        <w:pStyle w:val="27"/>
        <w:pBdr>
          <w:top w:val="none" w:color="auto" w:sz="0" w:space="0"/>
          <w:left w:val="none" w:color="auto" w:sz="0" w:space="0"/>
          <w:bottom w:val="none" w:color="auto" w:sz="0" w:space="1"/>
          <w:right w:val="none" w:color="auto" w:sz="0" w:space="0"/>
          <w:between w:val="none" w:color="auto" w:sz="0" w:space="0"/>
        </w:pBdr>
        <w:rPr>
          <w:rFonts w:hint="eastAsia" w:ascii="宋体" w:hAnsi="宋体" w:eastAsia="宋体" w:cs="宋体"/>
          <w:color w:val="auto"/>
          <w:highlight w:val="none"/>
        </w:rPr>
      </w:pPr>
    </w:p>
    <w:p w14:paraId="3BC4F515">
      <w:pPr>
        <w:pStyle w:val="3"/>
        <w:rPr>
          <w:rFonts w:hint="eastAsia" w:ascii="宋体" w:hAnsi="宋体" w:eastAsia="宋体" w:cs="宋体"/>
          <w:color w:val="auto"/>
          <w:highlight w:val="none"/>
        </w:rPr>
      </w:pPr>
      <w:bookmarkStart w:id="426" w:name="_Toc20588"/>
      <w:r>
        <w:rPr>
          <w:rFonts w:hint="eastAsia" w:ascii="宋体" w:hAnsi="宋体" w:eastAsia="宋体" w:cs="宋体"/>
          <w:color w:val="auto"/>
          <w:highlight w:val="none"/>
        </w:rPr>
        <w:t>20. 争议解决</w:t>
      </w:r>
      <w:bookmarkEnd w:id="426"/>
    </w:p>
    <w:p w14:paraId="4C94051F">
      <w:pPr>
        <w:pStyle w:val="4"/>
        <w:rPr>
          <w:rFonts w:hint="eastAsia" w:ascii="宋体" w:hAnsi="宋体" w:eastAsia="宋体" w:cs="宋体"/>
          <w:color w:val="auto"/>
          <w:highlight w:val="none"/>
        </w:rPr>
      </w:pPr>
      <w:bookmarkStart w:id="427" w:name="_Toc17992"/>
      <w:bookmarkStart w:id="428" w:name="_Toc28101"/>
      <w:r>
        <w:rPr>
          <w:rFonts w:hint="eastAsia" w:ascii="宋体" w:hAnsi="宋体" w:eastAsia="宋体" w:cs="宋体"/>
          <w:color w:val="auto"/>
          <w:highlight w:val="none"/>
        </w:rPr>
        <w:t>20.3 争议评审</w:t>
      </w:r>
      <w:bookmarkEnd w:id="427"/>
      <w:bookmarkEnd w:id="428"/>
    </w:p>
    <w:p w14:paraId="2614E048">
      <w:pPr>
        <w:spacing w:line="360" w:lineRule="auto"/>
        <w:ind w:left="149" w:leftChars="71" w:firstLine="315" w:firstLineChars="15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合同当事人是否同意将工程争议提交争议评审小组决定：</w:t>
      </w:r>
      <w:r>
        <w:rPr>
          <w:rFonts w:hint="eastAsia" w:ascii="宋体" w:hAnsi="宋体" w:eastAsia="宋体" w:cs="宋体"/>
          <w:color w:val="auto"/>
          <w:highlight w:val="none"/>
          <w:u w:val="single"/>
        </w:rPr>
        <w:t xml:space="preserve">  </w:t>
      </w:r>
      <w:r>
        <w:rPr>
          <w:color w:val="auto"/>
          <w:highlight w:val="none"/>
          <w:u w:val="single"/>
        </w:rPr>
        <w:t>不同意</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14FBB645">
      <w:pPr>
        <w:spacing w:line="360" w:lineRule="auto"/>
        <w:ind w:firstLine="420" w:firstLineChars="200"/>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20.3.1 争议评审小组的确定</w:t>
      </w:r>
    </w:p>
    <w:p w14:paraId="6BF1E5E5">
      <w:p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争议评审小组成员的确定：</w:t>
      </w:r>
      <w:r>
        <w:rPr>
          <w:rFonts w:hint="eastAsia" w:ascii="宋体" w:hAnsi="宋体" w:eastAsia="宋体" w:cs="宋体"/>
          <w:color w:val="auto"/>
          <w:highlight w:val="none"/>
          <w:u w:val="single"/>
        </w:rPr>
        <w:t xml:space="preserve">  </w:t>
      </w:r>
      <w:r>
        <w:rPr>
          <w:color w:val="auto"/>
          <w:highlight w:val="none"/>
          <w:u w:val="single"/>
        </w:rPr>
        <w:t xml:space="preserve">无 </w:t>
      </w:r>
      <w:r>
        <w:rPr>
          <w:rFonts w:hint="eastAsia" w:ascii="宋体" w:hAnsi="宋体" w:eastAsia="宋体" w:cs="宋体"/>
          <w:color w:val="auto"/>
          <w:highlight w:val="none"/>
        </w:rPr>
        <w:t>。</w:t>
      </w:r>
    </w:p>
    <w:p w14:paraId="4AF54FC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选定争议评审员的期限：</w:t>
      </w:r>
      <w:r>
        <w:rPr>
          <w:rFonts w:hint="eastAsia" w:ascii="宋体" w:hAnsi="宋体" w:eastAsia="宋体" w:cs="宋体"/>
          <w:color w:val="auto"/>
          <w:highlight w:val="none"/>
          <w:u w:val="single"/>
        </w:rPr>
        <w:t xml:space="preserve">   </w:t>
      </w:r>
      <w:r>
        <w:rPr>
          <w:color w:val="auto"/>
          <w:highlight w:val="none"/>
          <w:u w:val="single"/>
        </w:rPr>
        <w:t xml:space="preserve">无 </w:t>
      </w:r>
      <w:r>
        <w:rPr>
          <w:rFonts w:hint="eastAsia" w:ascii="宋体" w:hAnsi="宋体" w:eastAsia="宋体" w:cs="宋体"/>
          <w:color w:val="auto"/>
          <w:highlight w:val="none"/>
        </w:rPr>
        <w:t>。</w:t>
      </w:r>
    </w:p>
    <w:p w14:paraId="2474959D">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争议评审小组成员的报酬承担方式：</w:t>
      </w:r>
      <w:r>
        <w:rPr>
          <w:rFonts w:hint="eastAsia" w:ascii="宋体" w:hAnsi="宋体" w:eastAsia="宋体" w:cs="宋体"/>
          <w:color w:val="auto"/>
          <w:highlight w:val="none"/>
          <w:u w:val="single"/>
        </w:rPr>
        <w:t xml:space="preserve">  </w:t>
      </w:r>
      <w:r>
        <w:rPr>
          <w:color w:val="auto"/>
          <w:highlight w:val="none"/>
          <w:u w:val="single"/>
        </w:rPr>
        <w:t xml:space="preserve">无 </w:t>
      </w:r>
      <w:r>
        <w:rPr>
          <w:rFonts w:hint="eastAsia" w:ascii="宋体" w:hAnsi="宋体" w:eastAsia="宋体" w:cs="宋体"/>
          <w:color w:val="auto"/>
          <w:highlight w:val="none"/>
        </w:rPr>
        <w:t>。</w:t>
      </w:r>
    </w:p>
    <w:p w14:paraId="0A1AA5F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其他事项的约定：</w:t>
      </w:r>
      <w:r>
        <w:rPr>
          <w:rFonts w:hint="eastAsia" w:ascii="宋体" w:hAnsi="宋体" w:eastAsia="宋体" w:cs="宋体"/>
          <w:color w:val="auto"/>
          <w:highlight w:val="none"/>
          <w:u w:val="single"/>
        </w:rPr>
        <w:t xml:space="preserve">   </w:t>
      </w:r>
      <w:r>
        <w:rPr>
          <w:color w:val="auto"/>
          <w:highlight w:val="none"/>
          <w:u w:val="single"/>
        </w:rPr>
        <w:t xml:space="preserve">无 </w:t>
      </w:r>
      <w:r>
        <w:rPr>
          <w:rFonts w:hint="eastAsia" w:ascii="宋体" w:hAnsi="宋体" w:eastAsia="宋体" w:cs="宋体"/>
          <w:color w:val="auto"/>
          <w:highlight w:val="none"/>
        </w:rPr>
        <w:t>。</w:t>
      </w:r>
    </w:p>
    <w:p w14:paraId="304E1462">
      <w:pPr>
        <w:autoSpaceDE w:val="0"/>
        <w:autoSpaceDN w:val="0"/>
        <w:adjustRightIn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20.3.2 争议评审小组的决定</w:t>
      </w:r>
    </w:p>
    <w:p w14:paraId="2AD7511A">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合同当事人关于本项的约定：</w:t>
      </w:r>
      <w:r>
        <w:rPr>
          <w:rFonts w:hint="eastAsia" w:ascii="宋体" w:hAnsi="宋体" w:eastAsia="宋体" w:cs="宋体"/>
          <w:color w:val="auto"/>
          <w:highlight w:val="none"/>
          <w:u w:val="single"/>
        </w:rPr>
        <w:t xml:space="preserve"> </w:t>
      </w:r>
      <w:r>
        <w:rPr>
          <w:color w:val="auto"/>
          <w:highlight w:val="none"/>
          <w:u w:val="single"/>
        </w:rPr>
        <w:t xml:space="preserve">无 </w:t>
      </w:r>
      <w:r>
        <w:rPr>
          <w:rFonts w:hint="eastAsia" w:ascii="宋体" w:hAnsi="宋体" w:eastAsia="宋体" w:cs="宋体"/>
          <w:color w:val="auto"/>
          <w:highlight w:val="none"/>
        </w:rPr>
        <w:t>。</w:t>
      </w:r>
    </w:p>
    <w:p w14:paraId="65EB13D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20.3.4 争议评审小组决定的效力</w:t>
      </w:r>
    </w:p>
    <w:p w14:paraId="40A3619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合同当事人未签字确认争议评审小组作出的书面决定的，对双方无约束力，但双方在争议评审期间提交的证明材料、认可的事实可作为后续仲裁或诉讼的证据使用。</w:t>
      </w:r>
    </w:p>
    <w:p w14:paraId="7208FFA0">
      <w:pPr>
        <w:pStyle w:val="27"/>
        <w:pBdr>
          <w:top w:val="none" w:color="auto" w:sz="0" w:space="0"/>
          <w:left w:val="none" w:color="auto" w:sz="0" w:space="0"/>
          <w:bottom w:val="none" w:color="auto" w:sz="0" w:space="1"/>
          <w:right w:val="none" w:color="auto" w:sz="0" w:space="0"/>
          <w:between w:val="none" w:color="auto" w:sz="0" w:space="0"/>
        </w:pBdr>
        <w:rPr>
          <w:rFonts w:hint="eastAsia" w:ascii="宋体" w:hAnsi="宋体" w:eastAsia="宋体" w:cs="宋体"/>
          <w:color w:val="auto"/>
          <w:highlight w:val="none"/>
        </w:rPr>
      </w:pPr>
    </w:p>
    <w:p w14:paraId="67E316E5">
      <w:pPr>
        <w:pStyle w:val="4"/>
        <w:rPr>
          <w:rFonts w:hint="eastAsia" w:ascii="宋体" w:hAnsi="宋体" w:eastAsia="宋体" w:cs="宋体"/>
          <w:color w:val="auto"/>
          <w:highlight w:val="none"/>
        </w:rPr>
      </w:pPr>
      <w:bookmarkStart w:id="429" w:name="_Toc31980"/>
      <w:bookmarkStart w:id="430" w:name="_Toc18668"/>
      <w:r>
        <w:rPr>
          <w:rFonts w:hint="eastAsia" w:ascii="宋体" w:hAnsi="宋体" w:eastAsia="宋体" w:cs="宋体"/>
          <w:color w:val="auto"/>
          <w:highlight w:val="none"/>
        </w:rPr>
        <w:t>20.4 仲裁或诉讼</w:t>
      </w:r>
      <w:bookmarkEnd w:id="429"/>
      <w:bookmarkEnd w:id="430"/>
    </w:p>
    <w:p w14:paraId="0162B6C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因合同及合同有关事项发生的争议，</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是 □否 同意先进行调解或争议评审，未达成一致后，按下列第</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lang w:val="en-US" w:eastAsia="zh-CN"/>
        </w:rPr>
        <w:t>2</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种方式解决：</w:t>
      </w:r>
    </w:p>
    <w:p w14:paraId="11F2B699">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（1）向</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仲裁委员会申请仲裁；</w:t>
      </w:r>
    </w:p>
    <w:p w14:paraId="743C6E2E">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1）对于未能友好协商，或未能通过调解或争议评审解决的争议，发包人或承包人任一方均有权提交给约定的仲裁委员会仲裁。</w:t>
      </w:r>
    </w:p>
    <w:p w14:paraId="5E910B7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2）仲裁可在工程竣工验收之前或之后进行，但发包人、监理人和承包人各自的义务不得因在工程实施期间进行仲裁而有所改变。如果仲裁是在终止合同的情况下进行， 则对合同工程应采取保护措施，措施费由败诉方承担。</w:t>
      </w:r>
    </w:p>
    <w:p w14:paraId="4DD211CF">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3）仲裁裁决是终局性的并对发包人和承包人双方具有约束力。</w:t>
      </w:r>
    </w:p>
    <w:p w14:paraId="660356D6">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4）全部仲裁费用应由败诉方承担；或按仲裁委员会裁决的比例分担。</w:t>
      </w:r>
    </w:p>
    <w:p w14:paraId="2D9797DD">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（2）向</w:t>
      </w:r>
      <w:r>
        <w:rPr>
          <w:rFonts w:hint="eastAsia" w:ascii="宋体" w:hAnsi="宋体" w:eastAsia="宋体" w:cs="宋体"/>
          <w:color w:val="auto"/>
          <w:highlight w:val="none"/>
          <w:u w:val="single"/>
        </w:rPr>
        <w:t xml:space="preserve">   </w:t>
      </w:r>
      <w:r>
        <w:rPr>
          <w:color w:val="auto"/>
          <w:highlight w:val="none"/>
          <w:u w:val="single"/>
        </w:rPr>
        <w:t>工程所在地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人民法院起诉。</w:t>
      </w:r>
    </w:p>
    <w:p w14:paraId="2551CF6B">
      <w:pPr>
        <w:spacing w:line="360" w:lineRule="auto"/>
        <w:jc w:val="left"/>
        <w:rPr>
          <w:rFonts w:hint="eastAsia" w:ascii="宋体" w:hAnsi="宋体" w:eastAsia="宋体" w:cs="宋体"/>
          <w:b/>
          <w:color w:val="auto"/>
          <w:kern w:val="0"/>
          <w:sz w:val="32"/>
          <w:szCs w:val="20"/>
          <w:highlight w:val="none"/>
          <w:lang w:val="en-US" w:eastAsia="zh-CN" w:bidi="ar-SA"/>
        </w:rPr>
      </w:pPr>
      <w:r>
        <w:rPr>
          <w:rFonts w:hint="eastAsia" w:ascii="宋体" w:hAnsi="宋体" w:eastAsia="宋体" w:cs="宋体"/>
          <w:b/>
          <w:color w:val="auto"/>
          <w:kern w:val="0"/>
          <w:sz w:val="32"/>
          <w:szCs w:val="20"/>
          <w:highlight w:val="none"/>
          <w:lang w:val="en-US" w:eastAsia="zh-CN" w:bidi="ar-SA"/>
        </w:rPr>
        <w:t xml:space="preserve">21.附加条款 </w:t>
      </w:r>
    </w:p>
    <w:p w14:paraId="7600E1AE">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1、本项目为以工代赈专项项目，承包人须严格按照《国家以工代赈管理办法》、《广西壮族 </w:t>
      </w:r>
    </w:p>
    <w:p w14:paraId="659253DD">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自治区发展和改革委员会 广西壮族自治区财政厅关于加强资金项目管理充分发挥以工代赈政策功能的通知》（桂发改振兴〔2025〕271 号）要求实施，坚持“能用人工尽量不用机械、能用本地群众尽量不用外来务工人员”原则，优先应将吸纳返乡农民工、农村脱贫人口、易返贫致贫监测对象和其他低收入群体等比例不得低于整个项目用工总量的三分之一、劳务报酬发放比例占中央资金的50%以上，；承包人须建立务工台账，如实记录务工人员姓名、 住址、务工天数、劳务报酬金额，按月足额、及时兑付劳务报酬，劳务报酬原则通过银行卡或“一卡通”平台发放至务工群众，严禁将机械设备租赁、施工材料等费用计入劳务报酬，严禁将因工程建设产生的土地或农作物经济损失赔偿计入劳务报酬，严禁虚报冒领、克扣截留、拖欠务工群众劳务报酬。投标人须全面落实国家和自治区以工代赈政策要求，本条款自动纳入后续施工合同， </w:t>
      </w:r>
    </w:p>
    <w:p w14:paraId="22A4E10D">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作为合同强制性约定条款，未按要求执行劳务报酬发放及本地务工要求的，发包人有权扣除工程款、终止合同并上报发改部门列入失信名单。 </w:t>
      </w:r>
    </w:p>
    <w:p w14:paraId="4FF4D74F">
      <w:pPr>
        <w:spacing w:line="360" w:lineRule="auto"/>
        <w:jc w:val="left"/>
        <w:rPr>
          <w:rFonts w:hint="eastAsia" w:ascii="宋体" w:hAnsi="宋体" w:eastAsia="宋体" w:cs="宋体"/>
          <w:color w:val="auto"/>
          <w:highlight w:val="none"/>
        </w:rPr>
      </w:pPr>
      <w:r>
        <w:rPr>
          <w:rFonts w:hint="eastAsia" w:ascii="宋体" w:hAnsi="宋体" w:cs="宋体"/>
          <w:color w:val="auto"/>
          <w:highlight w:val="none"/>
          <w:lang w:val="en-US" w:eastAsia="zh-CN"/>
        </w:rPr>
        <w:t>2</w:t>
      </w:r>
      <w:r>
        <w:rPr>
          <w:rFonts w:hint="eastAsia" w:ascii="宋体" w:hAnsi="宋体" w:eastAsia="宋体" w:cs="宋体"/>
          <w:color w:val="auto"/>
          <w:highlight w:val="none"/>
          <w:lang w:val="en-US" w:eastAsia="zh-CN"/>
        </w:rPr>
        <w:t>.本条款为合同不可撤销的强制性约定，承包人未落实本地务工、劳务报酬发放等以工代赈政策要求的，发包人有权暂缓支付工程进度款、不予竣工验收，同时追究承包人违约责任。</w:t>
      </w:r>
    </w:p>
    <w:p w14:paraId="0385DD1B">
      <w:pPr>
        <w:spacing w:line="360" w:lineRule="auto"/>
        <w:ind w:firstLine="420" w:firstLineChars="200"/>
        <w:jc w:val="left"/>
        <w:rPr>
          <w:rFonts w:hint="eastAsia" w:ascii="宋体" w:hAnsi="宋体" w:eastAsia="宋体" w:cs="宋体"/>
          <w:color w:val="auto"/>
          <w:highlight w:val="none"/>
        </w:rPr>
      </w:pPr>
    </w:p>
    <w:p w14:paraId="39B62A64">
      <w:pPr>
        <w:spacing w:line="360" w:lineRule="auto"/>
        <w:jc w:val="left"/>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附件</w:t>
      </w:r>
    </w:p>
    <w:p w14:paraId="053F3886">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附件1：承包人承揽工程项目一览表</w:t>
      </w:r>
    </w:p>
    <w:p w14:paraId="4722CAC5">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附件2：工程质量保修书</w:t>
      </w:r>
    </w:p>
    <w:p w14:paraId="406B037D">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附件3：主要建设工程文件目录</w:t>
      </w:r>
    </w:p>
    <w:p w14:paraId="0B3029E6">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附件4：承包人用于本工程施工的机械设备表</w:t>
      </w:r>
    </w:p>
    <w:p w14:paraId="3C9AAAC5">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附件5：承包人主要施工管理人员表</w:t>
      </w:r>
    </w:p>
    <w:p w14:paraId="07601DB3">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附件6：分包人主要施工管理人员表</w:t>
      </w:r>
    </w:p>
    <w:p w14:paraId="5AB49FA6">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附件7：履约担保格式（独立保函、非独立保函）</w:t>
      </w:r>
    </w:p>
    <w:p w14:paraId="08730CBD">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附件8：预付款担保格式（独立保函、非独立保函）</w:t>
      </w:r>
    </w:p>
    <w:p w14:paraId="665A89CB">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附件9：支付担保格式（独立保函、非独立保函）</w:t>
      </w:r>
    </w:p>
    <w:p w14:paraId="5A959E4D">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附件10：预付款支付申请（核准）表</w:t>
      </w:r>
    </w:p>
    <w:p w14:paraId="5332A651">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附件11：进度款支付申请（核准）表</w:t>
      </w:r>
    </w:p>
    <w:p w14:paraId="2CB3BC1C">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附件12：竣工</w:t>
      </w:r>
      <w:r>
        <w:rPr>
          <w:rFonts w:hint="eastAsia" w:ascii="宋体" w:hAnsi="宋体" w:eastAsia="宋体" w:cs="宋体"/>
          <w:color w:val="auto"/>
          <w:highlight w:val="none"/>
          <w:lang w:eastAsia="zh-CN"/>
        </w:rPr>
        <w:t>（施工过程）</w:t>
      </w:r>
      <w:r>
        <w:rPr>
          <w:rFonts w:hint="eastAsia" w:ascii="宋体" w:hAnsi="宋体" w:eastAsia="宋体" w:cs="宋体"/>
          <w:color w:val="auto"/>
          <w:highlight w:val="none"/>
        </w:rPr>
        <w:t>结算款支付申请（核准）表</w:t>
      </w:r>
    </w:p>
    <w:p w14:paraId="291B06D4">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highlight w:val="none"/>
        </w:rPr>
        <w:t>附件13：工程保修与结清结算支付申请（核准）表</w:t>
      </w:r>
    </w:p>
    <w:p w14:paraId="4681DC87">
      <w:pPr>
        <w:pBdr>
          <w:top w:val="none" w:color="auto" w:sz="0" w:space="0"/>
          <w:left w:val="none" w:color="auto" w:sz="0" w:space="0"/>
          <w:right w:val="none" w:color="auto" w:sz="0" w:space="0"/>
          <w:between w:val="none" w:color="auto" w:sz="0" w:space="0"/>
        </w:pBdr>
        <w:tabs>
          <w:tab w:val="center" w:pos="4153"/>
          <w:tab w:val="right" w:pos="8306"/>
        </w:tabs>
        <w:spacing w:line="360" w:lineRule="auto"/>
        <w:rPr>
          <w:rFonts w:hint="eastAsia" w:ascii="宋体" w:hAnsi="宋体" w:eastAsia="宋体" w:cs="宋体"/>
          <w:color w:val="auto"/>
          <w:sz w:val="21"/>
          <w:szCs w:val="21"/>
          <w:highlight w:val="none"/>
          <w:lang w:val="en-US" w:eastAsia="zh-CN"/>
        </w:rPr>
      </w:pPr>
    </w:p>
    <w:p w14:paraId="46BC6072">
      <w:pPr>
        <w:pBdr>
          <w:top w:val="none" w:color="auto" w:sz="0" w:space="0"/>
          <w:left w:val="none" w:color="auto" w:sz="0" w:space="0"/>
          <w:right w:val="none" w:color="auto" w:sz="0" w:space="0"/>
          <w:between w:val="none" w:color="auto" w:sz="0" w:space="0"/>
        </w:pBdr>
        <w:tabs>
          <w:tab w:val="center" w:pos="4153"/>
          <w:tab w:val="right" w:pos="8306"/>
        </w:tabs>
        <w:spacing w:line="360" w:lineRule="auto"/>
        <w:rPr>
          <w:rFonts w:hint="eastAsia" w:ascii="宋体" w:hAnsi="宋体" w:eastAsia="宋体" w:cs="宋体"/>
          <w:color w:val="auto"/>
          <w:sz w:val="21"/>
          <w:szCs w:val="21"/>
          <w:highlight w:val="none"/>
          <w:lang w:val="en-US" w:eastAsia="zh-CN"/>
        </w:rPr>
      </w:pPr>
    </w:p>
    <w:p w14:paraId="05682B86">
      <w:pPr>
        <w:pBdr>
          <w:top w:val="none" w:color="auto" w:sz="0" w:space="0"/>
          <w:left w:val="none" w:color="auto" w:sz="0" w:space="0"/>
          <w:right w:val="none" w:color="auto" w:sz="0" w:space="0"/>
          <w:between w:val="none" w:color="auto" w:sz="0" w:space="0"/>
        </w:pBdr>
        <w:tabs>
          <w:tab w:val="center" w:pos="4153"/>
          <w:tab w:val="right" w:pos="8306"/>
        </w:tabs>
        <w:spacing w:line="360" w:lineRule="auto"/>
        <w:rPr>
          <w:rFonts w:hint="eastAsia" w:ascii="宋体" w:hAnsi="宋体" w:eastAsia="宋体" w:cs="宋体"/>
          <w:color w:val="auto"/>
          <w:sz w:val="21"/>
          <w:szCs w:val="21"/>
          <w:highlight w:val="none"/>
          <w:lang w:val="en-US" w:eastAsia="zh-CN"/>
        </w:rPr>
      </w:pPr>
    </w:p>
    <w:p w14:paraId="7D908FF0">
      <w:pPr>
        <w:pBdr>
          <w:top w:val="none" w:color="auto" w:sz="0" w:space="0"/>
          <w:left w:val="none" w:color="auto" w:sz="0" w:space="0"/>
          <w:right w:val="none" w:color="auto" w:sz="0" w:space="0"/>
          <w:between w:val="none" w:color="auto" w:sz="0" w:space="0"/>
        </w:pBdr>
        <w:tabs>
          <w:tab w:val="center" w:pos="4153"/>
          <w:tab w:val="right" w:pos="8306"/>
        </w:tabs>
        <w:spacing w:line="360" w:lineRule="auto"/>
        <w:rPr>
          <w:rFonts w:hint="eastAsia" w:ascii="宋体" w:hAnsi="宋体" w:eastAsia="宋体" w:cs="宋体"/>
          <w:color w:val="auto"/>
          <w:sz w:val="21"/>
          <w:szCs w:val="21"/>
          <w:highlight w:val="none"/>
          <w:lang w:val="en-US" w:eastAsia="zh-CN"/>
        </w:rPr>
      </w:pPr>
    </w:p>
    <w:p w14:paraId="3C6B1359">
      <w:pPr>
        <w:pBdr>
          <w:top w:val="none" w:color="auto" w:sz="0" w:space="0"/>
          <w:left w:val="none" w:color="auto" w:sz="0" w:space="0"/>
          <w:right w:val="none" w:color="auto" w:sz="0" w:space="0"/>
          <w:between w:val="none" w:color="auto" w:sz="0" w:space="0"/>
        </w:pBdr>
        <w:tabs>
          <w:tab w:val="center" w:pos="4153"/>
          <w:tab w:val="right" w:pos="8306"/>
        </w:tabs>
        <w:spacing w:line="360" w:lineRule="auto"/>
        <w:rPr>
          <w:rFonts w:hint="eastAsia" w:ascii="宋体" w:hAnsi="宋体" w:eastAsia="宋体" w:cs="宋体"/>
          <w:color w:val="auto"/>
          <w:sz w:val="21"/>
          <w:szCs w:val="21"/>
          <w:highlight w:val="none"/>
          <w:lang w:val="en-US" w:eastAsia="zh-CN"/>
        </w:rPr>
      </w:pPr>
    </w:p>
    <w:p w14:paraId="7D5EB05B">
      <w:pPr>
        <w:pBdr>
          <w:top w:val="none" w:color="auto" w:sz="0" w:space="0"/>
          <w:left w:val="none" w:color="auto" w:sz="0" w:space="0"/>
          <w:right w:val="none" w:color="auto" w:sz="0" w:space="0"/>
          <w:between w:val="none" w:color="auto" w:sz="0" w:space="0"/>
        </w:pBdr>
        <w:tabs>
          <w:tab w:val="center" w:pos="4153"/>
          <w:tab w:val="right" w:pos="8306"/>
        </w:tabs>
        <w:spacing w:line="360" w:lineRule="auto"/>
        <w:rPr>
          <w:rFonts w:hint="eastAsia" w:ascii="宋体" w:hAnsi="宋体" w:eastAsia="宋体" w:cs="宋体"/>
          <w:color w:val="auto"/>
          <w:sz w:val="21"/>
          <w:szCs w:val="21"/>
          <w:highlight w:val="none"/>
          <w:lang w:val="en-US" w:eastAsia="zh-CN"/>
        </w:rPr>
      </w:pPr>
    </w:p>
    <w:p w14:paraId="23B0C883">
      <w:pPr>
        <w:pBdr>
          <w:top w:val="none" w:color="auto" w:sz="0" w:space="0"/>
          <w:left w:val="none" w:color="auto" w:sz="0" w:space="0"/>
          <w:right w:val="none" w:color="auto" w:sz="0" w:space="0"/>
          <w:between w:val="none" w:color="auto" w:sz="0" w:space="0"/>
        </w:pBdr>
        <w:tabs>
          <w:tab w:val="center" w:pos="4153"/>
          <w:tab w:val="right" w:pos="8306"/>
        </w:tabs>
        <w:spacing w:line="360" w:lineRule="auto"/>
        <w:rPr>
          <w:rFonts w:hint="eastAsia" w:ascii="宋体" w:hAnsi="宋体" w:eastAsia="宋体" w:cs="宋体"/>
          <w:color w:val="auto"/>
          <w:sz w:val="21"/>
          <w:szCs w:val="21"/>
          <w:highlight w:val="none"/>
          <w:lang w:val="en-US" w:eastAsia="zh-CN"/>
        </w:rPr>
      </w:pPr>
    </w:p>
    <w:p w14:paraId="2B801E7F">
      <w:pPr>
        <w:pBdr>
          <w:top w:val="none" w:color="auto" w:sz="0" w:space="0"/>
          <w:left w:val="none" w:color="auto" w:sz="0" w:space="0"/>
          <w:right w:val="none" w:color="auto" w:sz="0" w:space="0"/>
          <w:between w:val="none" w:color="auto" w:sz="0" w:space="0"/>
        </w:pBdr>
        <w:tabs>
          <w:tab w:val="center" w:pos="4153"/>
          <w:tab w:val="right" w:pos="8306"/>
        </w:tabs>
        <w:spacing w:line="360" w:lineRule="auto"/>
        <w:rPr>
          <w:rFonts w:hint="eastAsia" w:ascii="宋体" w:hAnsi="宋体" w:eastAsia="宋体" w:cs="宋体"/>
          <w:color w:val="auto"/>
          <w:sz w:val="21"/>
          <w:szCs w:val="21"/>
          <w:highlight w:val="none"/>
          <w:lang w:val="en-US" w:eastAsia="zh-CN"/>
        </w:rPr>
      </w:pPr>
    </w:p>
    <w:p w14:paraId="0BF809BD">
      <w:pPr>
        <w:pBdr>
          <w:top w:val="none" w:color="auto" w:sz="0" w:space="0"/>
          <w:left w:val="none" w:color="auto" w:sz="0" w:space="0"/>
          <w:right w:val="none" w:color="auto" w:sz="0" w:space="0"/>
          <w:between w:val="none" w:color="auto" w:sz="0" w:space="0"/>
        </w:pBdr>
        <w:tabs>
          <w:tab w:val="center" w:pos="4153"/>
          <w:tab w:val="right" w:pos="8306"/>
        </w:tabs>
        <w:spacing w:line="360" w:lineRule="auto"/>
        <w:rPr>
          <w:rFonts w:hint="eastAsia" w:ascii="宋体" w:hAnsi="宋体" w:eastAsia="宋体" w:cs="宋体"/>
          <w:color w:val="auto"/>
          <w:sz w:val="21"/>
          <w:szCs w:val="21"/>
          <w:highlight w:val="none"/>
          <w:lang w:val="en-US" w:eastAsia="zh-CN"/>
        </w:rPr>
      </w:pPr>
    </w:p>
    <w:p w14:paraId="22B12460">
      <w:pPr>
        <w:pBdr>
          <w:top w:val="none" w:color="auto" w:sz="0" w:space="0"/>
          <w:left w:val="none" w:color="auto" w:sz="0" w:space="0"/>
          <w:right w:val="none" w:color="auto" w:sz="0" w:space="0"/>
          <w:between w:val="none" w:color="auto" w:sz="0" w:space="0"/>
        </w:pBdr>
        <w:tabs>
          <w:tab w:val="center" w:pos="4153"/>
          <w:tab w:val="right" w:pos="8306"/>
        </w:tabs>
        <w:spacing w:line="360" w:lineRule="auto"/>
        <w:rPr>
          <w:rFonts w:hint="eastAsia" w:ascii="宋体" w:hAnsi="宋体" w:eastAsia="宋体" w:cs="宋体"/>
          <w:color w:val="auto"/>
          <w:sz w:val="21"/>
          <w:szCs w:val="21"/>
          <w:highlight w:val="none"/>
          <w:lang w:val="en-US" w:eastAsia="zh-CN"/>
        </w:rPr>
      </w:pPr>
    </w:p>
    <w:p w14:paraId="191B25A6">
      <w:pPr>
        <w:pBdr>
          <w:top w:val="none" w:color="auto" w:sz="0" w:space="0"/>
          <w:left w:val="none" w:color="auto" w:sz="0" w:space="0"/>
          <w:right w:val="none" w:color="auto" w:sz="0" w:space="0"/>
          <w:between w:val="none" w:color="auto" w:sz="0" w:space="0"/>
        </w:pBdr>
        <w:tabs>
          <w:tab w:val="center" w:pos="4153"/>
          <w:tab w:val="right" w:pos="8306"/>
        </w:tabs>
        <w:spacing w:line="360" w:lineRule="auto"/>
        <w:rPr>
          <w:rFonts w:hint="eastAsia" w:ascii="宋体" w:hAnsi="宋体" w:eastAsia="宋体" w:cs="宋体"/>
          <w:color w:val="auto"/>
          <w:sz w:val="21"/>
          <w:szCs w:val="21"/>
          <w:highlight w:val="none"/>
          <w:lang w:val="en-US" w:eastAsia="zh-CN"/>
        </w:rPr>
      </w:pPr>
    </w:p>
    <w:p w14:paraId="5E2D1ADD">
      <w:pPr>
        <w:pBdr>
          <w:top w:val="none" w:color="auto" w:sz="0" w:space="0"/>
          <w:left w:val="none" w:color="auto" w:sz="0" w:space="0"/>
          <w:right w:val="none" w:color="auto" w:sz="0" w:space="0"/>
          <w:between w:val="none" w:color="auto" w:sz="0" w:space="0"/>
        </w:pBdr>
        <w:tabs>
          <w:tab w:val="center" w:pos="4153"/>
          <w:tab w:val="right" w:pos="8306"/>
        </w:tabs>
        <w:spacing w:line="360" w:lineRule="auto"/>
        <w:rPr>
          <w:rFonts w:hint="eastAsia" w:ascii="宋体" w:hAnsi="宋体" w:eastAsia="宋体" w:cs="宋体"/>
          <w:color w:val="auto"/>
          <w:sz w:val="21"/>
          <w:szCs w:val="21"/>
          <w:highlight w:val="none"/>
          <w:lang w:val="en-US" w:eastAsia="zh-CN"/>
        </w:rPr>
      </w:pPr>
    </w:p>
    <w:p w14:paraId="0C564FF4">
      <w:pPr>
        <w:pBdr>
          <w:top w:val="none" w:color="auto" w:sz="0" w:space="0"/>
          <w:left w:val="none" w:color="auto" w:sz="0" w:space="0"/>
          <w:right w:val="none" w:color="auto" w:sz="0" w:space="0"/>
          <w:between w:val="none" w:color="auto" w:sz="0" w:space="0"/>
        </w:pBdr>
        <w:tabs>
          <w:tab w:val="center" w:pos="4153"/>
          <w:tab w:val="right" w:pos="8306"/>
        </w:tabs>
        <w:spacing w:line="360" w:lineRule="auto"/>
        <w:rPr>
          <w:rFonts w:hint="eastAsia" w:ascii="宋体" w:hAnsi="宋体" w:eastAsia="宋体" w:cs="宋体"/>
          <w:color w:val="auto"/>
          <w:sz w:val="21"/>
          <w:szCs w:val="21"/>
          <w:highlight w:val="none"/>
          <w:lang w:val="en-US" w:eastAsia="zh-CN"/>
        </w:rPr>
        <w:sectPr>
          <w:headerReference r:id="rId5" w:type="default"/>
          <w:footerReference r:id="rId6" w:type="default"/>
          <w:pgSz w:w="11907" w:h="16840"/>
          <w:pgMar w:top="1440" w:right="1080" w:bottom="1440" w:left="1080" w:header="851" w:footer="850" w:gutter="0"/>
          <w:pgNumType w:fmt="decimal"/>
          <w:cols w:space="720" w:num="1"/>
          <w:rtlGutter w:val="0"/>
          <w:docGrid w:linePitch="312" w:charSpace="0"/>
        </w:sectPr>
      </w:pPr>
    </w:p>
    <w:p w14:paraId="3C7ECAC6">
      <w:pPr>
        <w:pStyle w:val="27"/>
        <w:pBdr>
          <w:top w:val="none" w:color="auto" w:sz="0" w:space="0"/>
          <w:left w:val="none" w:color="auto" w:sz="0" w:space="0"/>
          <w:bottom w:val="none" w:color="auto" w:sz="0" w:space="1"/>
          <w:right w:val="none" w:color="auto" w:sz="0" w:space="0"/>
          <w:between w:val="none" w:color="auto" w:sz="0" w:space="0"/>
        </w:pBdr>
        <w:rPr>
          <w:rFonts w:hint="eastAsia" w:ascii="宋体" w:hAnsi="宋体" w:eastAsia="宋体" w:cs="宋体"/>
          <w:color w:val="auto"/>
          <w:highlight w:val="none"/>
        </w:rPr>
      </w:pPr>
    </w:p>
    <w:p w14:paraId="01955779">
      <w:pPr>
        <w:spacing w:before="120" w:beforeLines="50" w:after="120" w:afterLines="50" w:line="440" w:lineRule="exact"/>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附件1：承包人承揽工程项目一览表</w:t>
      </w:r>
    </w:p>
    <w:p w14:paraId="5233F248">
      <w:pPr>
        <w:spacing w:before="120" w:beforeLines="50" w:after="120" w:afterLines="50" w:line="44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承包人承揽工程项目一览表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40"/>
        <w:gridCol w:w="1440"/>
        <w:gridCol w:w="1620"/>
        <w:gridCol w:w="1661"/>
        <w:gridCol w:w="850"/>
        <w:gridCol w:w="1560"/>
        <w:gridCol w:w="2126"/>
        <w:gridCol w:w="1417"/>
        <w:gridCol w:w="851"/>
        <w:gridCol w:w="850"/>
      </w:tblGrid>
      <w:tr w14:paraId="06076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40" w:type="dxa"/>
            <w:noWrap w:val="0"/>
            <w:vAlign w:val="center"/>
          </w:tcPr>
          <w:p w14:paraId="41B7BC23">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单位工程名称</w:t>
            </w:r>
          </w:p>
        </w:tc>
        <w:tc>
          <w:tcPr>
            <w:tcW w:w="1440" w:type="dxa"/>
            <w:noWrap w:val="0"/>
            <w:vAlign w:val="center"/>
          </w:tcPr>
          <w:p w14:paraId="63C9AEAF">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建设规模</w:t>
            </w:r>
          </w:p>
        </w:tc>
        <w:tc>
          <w:tcPr>
            <w:tcW w:w="1620" w:type="dxa"/>
            <w:noWrap w:val="0"/>
            <w:vAlign w:val="center"/>
          </w:tcPr>
          <w:p w14:paraId="6D88533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建筑面积</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平方米</w:t>
            </w:r>
            <w:r>
              <w:rPr>
                <w:rFonts w:hint="eastAsia" w:ascii="宋体" w:hAnsi="宋体" w:eastAsia="宋体" w:cs="宋体"/>
                <w:color w:val="auto"/>
                <w:sz w:val="28"/>
                <w:szCs w:val="28"/>
                <w:highlight w:val="none"/>
                <w:lang w:eastAsia="zh-CN"/>
              </w:rPr>
              <w:t>）</w:t>
            </w:r>
          </w:p>
        </w:tc>
        <w:tc>
          <w:tcPr>
            <w:tcW w:w="1661" w:type="dxa"/>
            <w:noWrap w:val="0"/>
            <w:vAlign w:val="center"/>
          </w:tcPr>
          <w:p w14:paraId="2662F1FE">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结构形式</w:t>
            </w:r>
          </w:p>
        </w:tc>
        <w:tc>
          <w:tcPr>
            <w:tcW w:w="850" w:type="dxa"/>
            <w:noWrap w:val="0"/>
            <w:vAlign w:val="center"/>
          </w:tcPr>
          <w:p w14:paraId="24F1EC55">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层数</w:t>
            </w:r>
          </w:p>
        </w:tc>
        <w:tc>
          <w:tcPr>
            <w:tcW w:w="1560" w:type="dxa"/>
            <w:noWrap w:val="0"/>
            <w:vAlign w:val="center"/>
          </w:tcPr>
          <w:p w14:paraId="63FA22F3">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生产能力</w:t>
            </w:r>
          </w:p>
        </w:tc>
        <w:tc>
          <w:tcPr>
            <w:tcW w:w="2126" w:type="dxa"/>
            <w:noWrap w:val="0"/>
            <w:vAlign w:val="center"/>
          </w:tcPr>
          <w:p w14:paraId="77F09D81">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设备安装内容</w:t>
            </w:r>
          </w:p>
        </w:tc>
        <w:tc>
          <w:tcPr>
            <w:tcW w:w="1417" w:type="dxa"/>
            <w:noWrap w:val="0"/>
            <w:vAlign w:val="center"/>
          </w:tcPr>
          <w:p w14:paraId="6669EB69">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合同价格（元）</w:t>
            </w:r>
          </w:p>
        </w:tc>
        <w:tc>
          <w:tcPr>
            <w:tcW w:w="851" w:type="dxa"/>
            <w:noWrap w:val="0"/>
            <w:vAlign w:val="center"/>
          </w:tcPr>
          <w:p w14:paraId="63B652A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开工日期</w:t>
            </w:r>
          </w:p>
        </w:tc>
        <w:tc>
          <w:tcPr>
            <w:tcW w:w="850" w:type="dxa"/>
            <w:noWrap w:val="0"/>
            <w:vAlign w:val="center"/>
          </w:tcPr>
          <w:p w14:paraId="5F14C615">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竣工日期</w:t>
            </w:r>
          </w:p>
        </w:tc>
      </w:tr>
      <w:tr w14:paraId="55010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0D78E3C3">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40" w:type="dxa"/>
            <w:noWrap w:val="0"/>
            <w:vAlign w:val="center"/>
          </w:tcPr>
          <w:p w14:paraId="687AF189">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620" w:type="dxa"/>
            <w:noWrap w:val="0"/>
            <w:vAlign w:val="center"/>
          </w:tcPr>
          <w:p w14:paraId="24F11CB6">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661" w:type="dxa"/>
            <w:noWrap w:val="0"/>
            <w:vAlign w:val="center"/>
          </w:tcPr>
          <w:p w14:paraId="5F5C682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0" w:type="dxa"/>
            <w:noWrap w:val="0"/>
            <w:vAlign w:val="center"/>
          </w:tcPr>
          <w:p w14:paraId="330AD08A">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560" w:type="dxa"/>
            <w:noWrap w:val="0"/>
            <w:vAlign w:val="center"/>
          </w:tcPr>
          <w:p w14:paraId="02729D51">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2126" w:type="dxa"/>
            <w:noWrap w:val="0"/>
            <w:vAlign w:val="center"/>
          </w:tcPr>
          <w:p w14:paraId="28F2974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17" w:type="dxa"/>
            <w:noWrap w:val="0"/>
            <w:vAlign w:val="center"/>
          </w:tcPr>
          <w:p w14:paraId="1B222177">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1" w:type="dxa"/>
            <w:noWrap w:val="0"/>
            <w:vAlign w:val="center"/>
          </w:tcPr>
          <w:p w14:paraId="2A9F83E1">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0" w:type="dxa"/>
            <w:noWrap w:val="0"/>
            <w:vAlign w:val="center"/>
          </w:tcPr>
          <w:p w14:paraId="180E050D">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630A2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006847C3">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40" w:type="dxa"/>
            <w:noWrap w:val="0"/>
            <w:vAlign w:val="center"/>
          </w:tcPr>
          <w:p w14:paraId="3EAB5C0E">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620" w:type="dxa"/>
            <w:noWrap w:val="0"/>
            <w:vAlign w:val="center"/>
          </w:tcPr>
          <w:p w14:paraId="5EB8246D">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661" w:type="dxa"/>
            <w:noWrap w:val="0"/>
            <w:vAlign w:val="center"/>
          </w:tcPr>
          <w:p w14:paraId="64954A87">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0" w:type="dxa"/>
            <w:noWrap w:val="0"/>
            <w:vAlign w:val="center"/>
          </w:tcPr>
          <w:p w14:paraId="28F84DE8">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560" w:type="dxa"/>
            <w:noWrap w:val="0"/>
            <w:vAlign w:val="center"/>
          </w:tcPr>
          <w:p w14:paraId="52546F8A">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2126" w:type="dxa"/>
            <w:noWrap w:val="0"/>
            <w:vAlign w:val="center"/>
          </w:tcPr>
          <w:p w14:paraId="77D4C9DC">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17" w:type="dxa"/>
            <w:noWrap w:val="0"/>
            <w:vAlign w:val="center"/>
          </w:tcPr>
          <w:p w14:paraId="039C19E6">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1" w:type="dxa"/>
            <w:noWrap w:val="0"/>
            <w:vAlign w:val="center"/>
          </w:tcPr>
          <w:p w14:paraId="75907D6A">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0" w:type="dxa"/>
            <w:noWrap w:val="0"/>
            <w:vAlign w:val="center"/>
          </w:tcPr>
          <w:p w14:paraId="03DD2DF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79CD6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0472D22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40" w:type="dxa"/>
            <w:noWrap w:val="0"/>
            <w:vAlign w:val="center"/>
          </w:tcPr>
          <w:p w14:paraId="4FDC5F66">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620" w:type="dxa"/>
            <w:noWrap w:val="0"/>
            <w:vAlign w:val="center"/>
          </w:tcPr>
          <w:p w14:paraId="01868F5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661" w:type="dxa"/>
            <w:noWrap w:val="0"/>
            <w:vAlign w:val="center"/>
          </w:tcPr>
          <w:p w14:paraId="6B98F1BA">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0" w:type="dxa"/>
            <w:noWrap w:val="0"/>
            <w:vAlign w:val="center"/>
          </w:tcPr>
          <w:p w14:paraId="403E8FE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560" w:type="dxa"/>
            <w:noWrap w:val="0"/>
            <w:vAlign w:val="center"/>
          </w:tcPr>
          <w:p w14:paraId="6546B63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2126" w:type="dxa"/>
            <w:noWrap w:val="0"/>
            <w:vAlign w:val="center"/>
          </w:tcPr>
          <w:p w14:paraId="638CD717">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17" w:type="dxa"/>
            <w:noWrap w:val="0"/>
            <w:vAlign w:val="center"/>
          </w:tcPr>
          <w:p w14:paraId="30775945">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1" w:type="dxa"/>
            <w:noWrap w:val="0"/>
            <w:vAlign w:val="center"/>
          </w:tcPr>
          <w:p w14:paraId="27500257">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0" w:type="dxa"/>
            <w:noWrap w:val="0"/>
            <w:vAlign w:val="center"/>
          </w:tcPr>
          <w:p w14:paraId="5EDDF1E3">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04027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05633E08">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40" w:type="dxa"/>
            <w:noWrap w:val="0"/>
            <w:vAlign w:val="center"/>
          </w:tcPr>
          <w:p w14:paraId="6BC333D3">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620" w:type="dxa"/>
            <w:noWrap w:val="0"/>
            <w:vAlign w:val="center"/>
          </w:tcPr>
          <w:p w14:paraId="55FB15D1">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661" w:type="dxa"/>
            <w:noWrap w:val="0"/>
            <w:vAlign w:val="center"/>
          </w:tcPr>
          <w:p w14:paraId="0D39F43F">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0" w:type="dxa"/>
            <w:noWrap w:val="0"/>
            <w:vAlign w:val="center"/>
          </w:tcPr>
          <w:p w14:paraId="1BD2542C">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560" w:type="dxa"/>
            <w:noWrap w:val="0"/>
            <w:vAlign w:val="center"/>
          </w:tcPr>
          <w:p w14:paraId="0755B35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2126" w:type="dxa"/>
            <w:noWrap w:val="0"/>
            <w:vAlign w:val="center"/>
          </w:tcPr>
          <w:p w14:paraId="62088FA9">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17" w:type="dxa"/>
            <w:noWrap w:val="0"/>
            <w:vAlign w:val="center"/>
          </w:tcPr>
          <w:p w14:paraId="283F2BC2">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1" w:type="dxa"/>
            <w:noWrap w:val="0"/>
            <w:vAlign w:val="center"/>
          </w:tcPr>
          <w:p w14:paraId="14F7926D">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0" w:type="dxa"/>
            <w:noWrap w:val="0"/>
            <w:vAlign w:val="center"/>
          </w:tcPr>
          <w:p w14:paraId="01B70305">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7A72C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7F7A0813">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40" w:type="dxa"/>
            <w:noWrap w:val="0"/>
            <w:vAlign w:val="center"/>
          </w:tcPr>
          <w:p w14:paraId="2F33545D">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620" w:type="dxa"/>
            <w:noWrap w:val="0"/>
            <w:vAlign w:val="center"/>
          </w:tcPr>
          <w:p w14:paraId="3045C89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661" w:type="dxa"/>
            <w:noWrap w:val="0"/>
            <w:vAlign w:val="center"/>
          </w:tcPr>
          <w:p w14:paraId="441E4A17">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0" w:type="dxa"/>
            <w:noWrap w:val="0"/>
            <w:vAlign w:val="center"/>
          </w:tcPr>
          <w:p w14:paraId="1CC77869">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560" w:type="dxa"/>
            <w:noWrap w:val="0"/>
            <w:vAlign w:val="center"/>
          </w:tcPr>
          <w:p w14:paraId="19367565">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2126" w:type="dxa"/>
            <w:noWrap w:val="0"/>
            <w:vAlign w:val="center"/>
          </w:tcPr>
          <w:p w14:paraId="3E1B1C28">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17" w:type="dxa"/>
            <w:noWrap w:val="0"/>
            <w:vAlign w:val="center"/>
          </w:tcPr>
          <w:p w14:paraId="351041C5">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1" w:type="dxa"/>
            <w:noWrap w:val="0"/>
            <w:vAlign w:val="center"/>
          </w:tcPr>
          <w:p w14:paraId="2A3A8D37">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0" w:type="dxa"/>
            <w:noWrap w:val="0"/>
            <w:vAlign w:val="center"/>
          </w:tcPr>
          <w:p w14:paraId="5F626878">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5DC59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5C0DA72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40" w:type="dxa"/>
            <w:noWrap w:val="0"/>
            <w:vAlign w:val="center"/>
          </w:tcPr>
          <w:p w14:paraId="61A2E1C3">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620" w:type="dxa"/>
            <w:noWrap w:val="0"/>
            <w:vAlign w:val="center"/>
          </w:tcPr>
          <w:p w14:paraId="030C0A0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661" w:type="dxa"/>
            <w:noWrap w:val="0"/>
            <w:vAlign w:val="center"/>
          </w:tcPr>
          <w:p w14:paraId="4EC25FD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0" w:type="dxa"/>
            <w:noWrap w:val="0"/>
            <w:vAlign w:val="center"/>
          </w:tcPr>
          <w:p w14:paraId="37E0805E">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560" w:type="dxa"/>
            <w:noWrap w:val="0"/>
            <w:vAlign w:val="center"/>
          </w:tcPr>
          <w:p w14:paraId="5DEFB86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2126" w:type="dxa"/>
            <w:noWrap w:val="0"/>
            <w:vAlign w:val="center"/>
          </w:tcPr>
          <w:p w14:paraId="037B52F5">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17" w:type="dxa"/>
            <w:noWrap w:val="0"/>
            <w:vAlign w:val="center"/>
          </w:tcPr>
          <w:p w14:paraId="7F08442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1" w:type="dxa"/>
            <w:noWrap w:val="0"/>
            <w:vAlign w:val="center"/>
          </w:tcPr>
          <w:p w14:paraId="0BFDDEC5">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0" w:type="dxa"/>
            <w:noWrap w:val="0"/>
            <w:vAlign w:val="center"/>
          </w:tcPr>
          <w:p w14:paraId="33498B7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226ED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22E43782">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40" w:type="dxa"/>
            <w:noWrap w:val="0"/>
            <w:vAlign w:val="center"/>
          </w:tcPr>
          <w:p w14:paraId="55B454BC">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620" w:type="dxa"/>
            <w:noWrap w:val="0"/>
            <w:vAlign w:val="center"/>
          </w:tcPr>
          <w:p w14:paraId="4AB6F22A">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661" w:type="dxa"/>
            <w:noWrap w:val="0"/>
            <w:vAlign w:val="center"/>
          </w:tcPr>
          <w:p w14:paraId="68C3B662">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0" w:type="dxa"/>
            <w:noWrap w:val="0"/>
            <w:vAlign w:val="center"/>
          </w:tcPr>
          <w:p w14:paraId="685525AF">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560" w:type="dxa"/>
            <w:noWrap w:val="0"/>
            <w:vAlign w:val="center"/>
          </w:tcPr>
          <w:p w14:paraId="583CA915">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2126" w:type="dxa"/>
            <w:noWrap w:val="0"/>
            <w:vAlign w:val="center"/>
          </w:tcPr>
          <w:p w14:paraId="474061F7">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17" w:type="dxa"/>
            <w:noWrap w:val="0"/>
            <w:vAlign w:val="center"/>
          </w:tcPr>
          <w:p w14:paraId="20C4EBE9">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1" w:type="dxa"/>
            <w:noWrap w:val="0"/>
            <w:vAlign w:val="center"/>
          </w:tcPr>
          <w:p w14:paraId="7810E915">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0" w:type="dxa"/>
            <w:noWrap w:val="0"/>
            <w:vAlign w:val="center"/>
          </w:tcPr>
          <w:p w14:paraId="10A8272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798E4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661FC7D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40" w:type="dxa"/>
            <w:noWrap w:val="0"/>
            <w:vAlign w:val="center"/>
          </w:tcPr>
          <w:p w14:paraId="303C94B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620" w:type="dxa"/>
            <w:noWrap w:val="0"/>
            <w:vAlign w:val="center"/>
          </w:tcPr>
          <w:p w14:paraId="5C4C424E">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661" w:type="dxa"/>
            <w:noWrap w:val="0"/>
            <w:vAlign w:val="center"/>
          </w:tcPr>
          <w:p w14:paraId="475D73BD">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0" w:type="dxa"/>
            <w:noWrap w:val="0"/>
            <w:vAlign w:val="center"/>
          </w:tcPr>
          <w:p w14:paraId="56E93AA1">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560" w:type="dxa"/>
            <w:noWrap w:val="0"/>
            <w:vAlign w:val="center"/>
          </w:tcPr>
          <w:p w14:paraId="385AFA6F">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2126" w:type="dxa"/>
            <w:noWrap w:val="0"/>
            <w:vAlign w:val="center"/>
          </w:tcPr>
          <w:p w14:paraId="32B792A1">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17" w:type="dxa"/>
            <w:noWrap w:val="0"/>
            <w:vAlign w:val="center"/>
          </w:tcPr>
          <w:p w14:paraId="20EA46DC">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1" w:type="dxa"/>
            <w:noWrap w:val="0"/>
            <w:vAlign w:val="center"/>
          </w:tcPr>
          <w:p w14:paraId="1B24ACB8">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0" w:type="dxa"/>
            <w:noWrap w:val="0"/>
            <w:vAlign w:val="center"/>
          </w:tcPr>
          <w:p w14:paraId="17B6DB99">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2B4E1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52AC3B86">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40" w:type="dxa"/>
            <w:noWrap w:val="0"/>
            <w:vAlign w:val="center"/>
          </w:tcPr>
          <w:p w14:paraId="5BB160F9">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620" w:type="dxa"/>
            <w:noWrap w:val="0"/>
            <w:vAlign w:val="center"/>
          </w:tcPr>
          <w:p w14:paraId="6D640243">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661" w:type="dxa"/>
            <w:noWrap w:val="0"/>
            <w:vAlign w:val="center"/>
          </w:tcPr>
          <w:p w14:paraId="0035B073">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0" w:type="dxa"/>
            <w:noWrap w:val="0"/>
            <w:vAlign w:val="center"/>
          </w:tcPr>
          <w:p w14:paraId="0F6A0873">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560" w:type="dxa"/>
            <w:noWrap w:val="0"/>
            <w:vAlign w:val="center"/>
          </w:tcPr>
          <w:p w14:paraId="16679F3E">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2126" w:type="dxa"/>
            <w:noWrap w:val="0"/>
            <w:vAlign w:val="center"/>
          </w:tcPr>
          <w:p w14:paraId="6DAA809E">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17" w:type="dxa"/>
            <w:noWrap w:val="0"/>
            <w:vAlign w:val="center"/>
          </w:tcPr>
          <w:p w14:paraId="7BC5C1F1">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1" w:type="dxa"/>
            <w:noWrap w:val="0"/>
            <w:vAlign w:val="center"/>
          </w:tcPr>
          <w:p w14:paraId="07582BE7">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0" w:type="dxa"/>
            <w:noWrap w:val="0"/>
            <w:vAlign w:val="center"/>
          </w:tcPr>
          <w:p w14:paraId="78550CA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0272A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62E7062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40" w:type="dxa"/>
            <w:noWrap w:val="0"/>
            <w:vAlign w:val="center"/>
          </w:tcPr>
          <w:p w14:paraId="2AB2D855">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620" w:type="dxa"/>
            <w:noWrap w:val="0"/>
            <w:vAlign w:val="center"/>
          </w:tcPr>
          <w:p w14:paraId="7D52BC56">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661" w:type="dxa"/>
            <w:noWrap w:val="0"/>
            <w:vAlign w:val="center"/>
          </w:tcPr>
          <w:p w14:paraId="08E5D4C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0" w:type="dxa"/>
            <w:noWrap w:val="0"/>
            <w:vAlign w:val="center"/>
          </w:tcPr>
          <w:p w14:paraId="2BAAA3A2">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560" w:type="dxa"/>
            <w:noWrap w:val="0"/>
            <w:vAlign w:val="center"/>
          </w:tcPr>
          <w:p w14:paraId="5FA0393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2126" w:type="dxa"/>
            <w:noWrap w:val="0"/>
            <w:vAlign w:val="center"/>
          </w:tcPr>
          <w:p w14:paraId="4B6A136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17" w:type="dxa"/>
            <w:noWrap w:val="0"/>
            <w:vAlign w:val="center"/>
          </w:tcPr>
          <w:p w14:paraId="77BD807E">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1" w:type="dxa"/>
            <w:noWrap w:val="0"/>
            <w:vAlign w:val="center"/>
          </w:tcPr>
          <w:p w14:paraId="32252D76">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0" w:type="dxa"/>
            <w:noWrap w:val="0"/>
            <w:vAlign w:val="center"/>
          </w:tcPr>
          <w:p w14:paraId="02A4CB98">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bl>
    <w:p w14:paraId="59D16ECA">
      <w:pPr>
        <w:spacing w:line="460" w:lineRule="exact"/>
        <w:ind w:firstLine="420" w:firstLineChars="200"/>
        <w:rPr>
          <w:rFonts w:hint="eastAsia" w:ascii="宋体" w:hAnsi="宋体" w:eastAsia="宋体" w:cs="宋体"/>
          <w:color w:val="auto"/>
          <w:highlight w:val="none"/>
        </w:rPr>
      </w:pPr>
    </w:p>
    <w:p w14:paraId="2FC7CA4E">
      <w:pPr>
        <w:spacing w:line="460" w:lineRule="exact"/>
        <w:ind w:firstLine="420" w:firstLineChars="200"/>
        <w:rPr>
          <w:rFonts w:hint="eastAsia" w:ascii="宋体" w:hAnsi="宋体" w:eastAsia="宋体" w:cs="宋体"/>
          <w:color w:val="auto"/>
          <w:highlight w:val="none"/>
        </w:rPr>
        <w:sectPr>
          <w:pgSz w:w="16840" w:h="11907" w:orient="landscape"/>
          <w:pgMar w:top="1440" w:right="1080" w:bottom="1440" w:left="1080" w:header="851" w:footer="851" w:gutter="0"/>
          <w:pgNumType w:fmt="decimal"/>
          <w:cols w:space="720" w:num="1"/>
          <w:docGrid w:linePitch="312" w:charSpace="0"/>
        </w:sectPr>
      </w:pPr>
    </w:p>
    <w:p w14:paraId="5C87B583">
      <w:pPr>
        <w:spacing w:before="120" w:beforeLines="50" w:after="120" w:afterLines="50" w:line="440" w:lineRule="exact"/>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附件2：</w:t>
      </w:r>
      <w:r>
        <w:rPr>
          <w:rFonts w:hint="eastAsia" w:ascii="宋体" w:hAnsi="宋体" w:eastAsia="宋体" w:cs="宋体"/>
          <w:color w:val="auto"/>
          <w:sz w:val="30"/>
          <w:szCs w:val="30"/>
          <w:highlight w:val="none"/>
          <w:lang w:val="en-US" w:eastAsia="zh-CN"/>
        </w:rPr>
        <w:t>工程质量保修书</w:t>
      </w:r>
    </w:p>
    <w:p w14:paraId="3E657307">
      <w:pPr>
        <w:spacing w:before="120" w:beforeLines="50" w:after="120" w:afterLines="50" w:line="44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工程质量保修书</w:t>
      </w:r>
    </w:p>
    <w:p w14:paraId="3D49B199">
      <w:pPr>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发包人（全称）：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桂林市临桂区两江镇人民政府</w:t>
      </w:r>
      <w:r>
        <w:rPr>
          <w:rFonts w:hint="eastAsia" w:ascii="宋体" w:hAnsi="宋体" w:eastAsia="宋体" w:cs="宋体"/>
          <w:color w:val="auto"/>
          <w:highlight w:val="none"/>
        </w:rPr>
        <w:t xml:space="preserve"> </w:t>
      </w:r>
    </w:p>
    <w:p w14:paraId="04BB7F69">
      <w:pPr>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承包人（全称）：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2F6AFAD6">
      <w:pPr>
        <w:spacing w:line="440" w:lineRule="exact"/>
        <w:rPr>
          <w:rFonts w:hint="eastAsia" w:ascii="宋体" w:hAnsi="宋体" w:eastAsia="宋体" w:cs="宋体"/>
          <w:color w:val="auto"/>
          <w:highlight w:val="none"/>
        </w:rPr>
      </w:pPr>
    </w:p>
    <w:p w14:paraId="34CC840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发包人和承包人根据《中华人民共和国建筑法》和《建设工程质量管理条例》，经协商一致就</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（工程全称）签订工程质量保修书。</w:t>
      </w:r>
    </w:p>
    <w:p w14:paraId="21F71D3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一、工程质量保修范围和内容</w:t>
      </w:r>
    </w:p>
    <w:p w14:paraId="0B036F1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承包人在质量保修期内，按照有关法律规定和合同约定，承担工程质量保修责任。</w:t>
      </w:r>
    </w:p>
    <w:p w14:paraId="184992CF">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17BFBF72">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color w:val="auto"/>
          <w:highlight w:val="none"/>
          <w:u w:val="single"/>
        </w:rPr>
        <w:t>在承包人承包范围内，属承包人责任造成的工程质量缺陷问题，由承包人承担保修责任</w:t>
      </w:r>
      <w:r>
        <w:rPr>
          <w:rFonts w:hint="eastAsia" w:ascii="宋体" w:hAnsi="宋体" w:eastAsia="宋体" w:cs="宋体"/>
          <w:color w:val="auto"/>
          <w:highlight w:val="none"/>
        </w:rPr>
        <w:t>。</w:t>
      </w:r>
    </w:p>
    <w:p w14:paraId="198000BC">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二、质量保修期</w:t>
      </w:r>
    </w:p>
    <w:p w14:paraId="5711A24B">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根据《建设工程质量管理条例》及有关规定，工程的质量保修期如下：</w:t>
      </w:r>
    </w:p>
    <w:p w14:paraId="08871048">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lang w:eastAsia="zh-CN"/>
        </w:rPr>
        <w:t>1.</w:t>
      </w:r>
      <w:r>
        <w:rPr>
          <w:rFonts w:hint="eastAsia" w:ascii="宋体" w:hAnsi="宋体" w:eastAsia="宋体" w:cs="宋体"/>
          <w:color w:val="auto"/>
          <w:highlight w:val="none"/>
        </w:rPr>
        <w:t>地基基础工程和主体结构工程为设计文件规定的工程合理使用年限；</w:t>
      </w:r>
    </w:p>
    <w:p w14:paraId="53AF36B5">
      <w:pPr>
        <w:spacing w:line="360" w:lineRule="auto"/>
        <w:ind w:firstLine="42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.道路工程为： 2年；</w:t>
      </w:r>
    </w:p>
    <w:p w14:paraId="7C03B51B">
      <w:pPr>
        <w:spacing w:line="360" w:lineRule="auto"/>
        <w:ind w:firstLine="42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.水利(水渠)工程为：设计文件规定的工程合理使用年限；</w:t>
      </w:r>
    </w:p>
    <w:p w14:paraId="7357DBA5">
      <w:pPr>
        <w:spacing w:line="360" w:lineRule="auto"/>
        <w:ind w:firstLine="42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.绿化工程为：单位工程竣工验收合格后   1  年；</w:t>
      </w:r>
    </w:p>
    <w:p w14:paraId="5F6BE81B">
      <w:pPr>
        <w:spacing w:line="360" w:lineRule="auto"/>
        <w:ind w:firstLine="42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lang w:eastAsia="zh-CN"/>
        </w:rPr>
        <w:t>.地下防水工程为：5年；</w:t>
      </w:r>
    </w:p>
    <w:p w14:paraId="7E4F0F7C">
      <w:pPr>
        <w:spacing w:line="360" w:lineRule="auto"/>
        <w:ind w:firstLine="42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lang w:eastAsia="zh-CN"/>
        </w:rPr>
        <w:t>.其他附属工程为：2年；</w:t>
      </w:r>
    </w:p>
    <w:p w14:paraId="330ACD49">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lang w:eastAsia="zh-CN"/>
        </w:rPr>
        <w:t>质量保修期自工程竣工验收合格之日起计算。7.</w:t>
      </w:r>
      <w:r>
        <w:rPr>
          <w:rFonts w:hint="eastAsia" w:ascii="宋体" w:hAnsi="宋体" w:eastAsia="宋体" w:cs="宋体"/>
          <w:color w:val="auto"/>
          <w:highlight w:val="none"/>
        </w:rPr>
        <w:t>其他项目保修期限约定如下：</w:t>
      </w:r>
    </w:p>
    <w:p w14:paraId="6466FB2D">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光源为1年、绿化工程为单位工程竣工验收合格后1 年 </w:t>
      </w:r>
      <w:r>
        <w:rPr>
          <w:rFonts w:hint="eastAsia" w:ascii="宋体" w:hAnsi="宋体" w:eastAsia="宋体" w:cs="宋体"/>
          <w:color w:val="auto"/>
          <w:highlight w:val="none"/>
        </w:rPr>
        <w:t>。</w:t>
      </w:r>
    </w:p>
    <w:p w14:paraId="212B1179">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质量保修期自工程竣工验收合格之日起计算。</w:t>
      </w:r>
    </w:p>
    <w:p w14:paraId="37E947C2">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三、缺陷责任期</w:t>
      </w:r>
    </w:p>
    <w:p w14:paraId="0D1F659B">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工程缺陷责任期为</w:t>
      </w:r>
      <w:r>
        <w:rPr>
          <w:rFonts w:hint="eastAsia" w:ascii="宋体" w:hAnsi="宋体" w:eastAsia="宋体" w:cs="宋体"/>
          <w:color w:val="auto"/>
          <w:highlight w:val="none"/>
          <w:u w:val="single"/>
        </w:rPr>
        <w:t xml:space="preserve"> 24 </w:t>
      </w:r>
      <w:r>
        <w:rPr>
          <w:rFonts w:hint="eastAsia" w:ascii="宋体" w:hAnsi="宋体" w:eastAsia="宋体" w:cs="宋体"/>
          <w:color w:val="auto"/>
          <w:highlight w:val="none"/>
        </w:rPr>
        <w:t>个月（最长不超过24个月），缺陷责任期自工程竣工验收合格之日起计算。单位工程先于全部工程进行验收，单位工程缺陷责任期自单位工程验收合格之日起算。</w:t>
      </w:r>
    </w:p>
    <w:p w14:paraId="7E5DC3FB">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缺陷责任期</w:t>
      </w:r>
      <w:r>
        <w:rPr>
          <w:rFonts w:hint="eastAsia" w:ascii="宋体" w:hAnsi="宋体" w:eastAsia="宋体" w:cs="宋体"/>
          <w:color w:val="auto"/>
          <w:highlight w:val="none"/>
          <w:u w:val="single"/>
        </w:rPr>
        <w:t>满</w:t>
      </w:r>
      <w:r>
        <w:rPr>
          <w:rFonts w:hint="eastAsia" w:ascii="宋体" w:hAnsi="宋体" w:eastAsia="宋体" w:cs="宋体"/>
          <w:color w:val="auto"/>
          <w:highlight w:val="none"/>
        </w:rPr>
        <w:t>之日起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lang w:eastAsia="zh-CN"/>
        </w:rPr>
        <w:t>承包人提交请款材料经审查合格后30个工作日内</w:t>
      </w:r>
      <w:r>
        <w:rPr>
          <w:rFonts w:hint="eastAsia" w:ascii="宋体" w:hAnsi="宋体" w:eastAsia="宋体" w:cs="宋体"/>
          <w:color w:val="auto"/>
          <w:highlight w:val="none"/>
          <w:u w:val="single"/>
        </w:rPr>
        <w:t>，</w:t>
      </w:r>
      <w:r>
        <w:rPr>
          <w:rFonts w:hint="eastAsia" w:ascii="宋体" w:hAnsi="宋体" w:eastAsia="宋体" w:cs="宋体"/>
          <w:color w:val="auto"/>
          <w:highlight w:val="none"/>
        </w:rPr>
        <w:t>发包人应退还剩余的质量保证金。</w:t>
      </w:r>
    </w:p>
    <w:p w14:paraId="7105CEAB">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四、质量保修责任</w:t>
      </w:r>
    </w:p>
    <w:p w14:paraId="13D5E773">
      <w:pPr>
        <w:spacing w:line="360" w:lineRule="auto"/>
        <w:ind w:left="105" w:leftChars="50" w:firstLine="430" w:firstLineChars="205"/>
        <w:rPr>
          <w:rFonts w:hint="eastAsia" w:ascii="宋体" w:hAnsi="宋体" w:eastAsia="宋体" w:cs="宋体"/>
          <w:color w:val="auto"/>
          <w:highlight w:val="none"/>
        </w:rPr>
      </w:pPr>
      <w:r>
        <w:rPr>
          <w:rFonts w:hint="eastAsia" w:ascii="宋体" w:hAnsi="宋体" w:eastAsia="宋体" w:cs="宋体"/>
          <w:color w:val="auto"/>
          <w:highlight w:val="none"/>
          <w:lang w:eastAsia="zh-CN"/>
        </w:rPr>
        <w:t>1.</w:t>
      </w:r>
      <w:r>
        <w:rPr>
          <w:rFonts w:hint="eastAsia" w:ascii="宋体" w:hAnsi="宋体" w:eastAsia="宋体" w:cs="宋体"/>
          <w:color w:val="auto"/>
          <w:highlight w:val="none"/>
        </w:rPr>
        <w:t>属于保修范围、内容的项目，承包人应当在接到保修通知之日起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1</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天内派人保修。承包人不在约定期限内派人保修的，发包人可以委托他人修理，修理费用从质量保证金内扣除。</w:t>
      </w:r>
    </w:p>
    <w:p w14:paraId="13BCEA65">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lang w:eastAsia="zh-CN"/>
        </w:rPr>
        <w:t>2.</w:t>
      </w:r>
      <w:r>
        <w:rPr>
          <w:rFonts w:hint="eastAsia" w:ascii="宋体" w:hAnsi="宋体" w:eastAsia="宋体" w:cs="宋体"/>
          <w:color w:val="auto"/>
          <w:highlight w:val="none"/>
        </w:rPr>
        <w:t>发生紧急事故需抢修的，承包人在接到事故通知后，应当立即到达事故现场抢修。</w:t>
      </w:r>
    </w:p>
    <w:p w14:paraId="63599B7F">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lang w:eastAsia="zh-CN"/>
        </w:rPr>
        <w:t>3.</w:t>
      </w:r>
      <w:r>
        <w:rPr>
          <w:rFonts w:hint="eastAsia" w:ascii="宋体" w:hAnsi="宋体" w:eastAsia="宋体" w:cs="宋体"/>
          <w:color w:val="auto"/>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w:t>
      </w:r>
      <w:r>
        <w:rPr>
          <w:rFonts w:hint="eastAsia" w:ascii="宋体" w:hAnsi="宋体" w:eastAsia="宋体" w:cs="宋体"/>
          <w:color w:val="auto"/>
          <w:highlight w:val="none"/>
          <w:lang w:eastAsia="zh-CN"/>
        </w:rPr>
        <w:t>，由</w:t>
      </w:r>
      <w:r>
        <w:rPr>
          <w:rFonts w:hint="eastAsia" w:ascii="宋体" w:hAnsi="宋体" w:eastAsia="宋体" w:cs="宋体"/>
          <w:color w:val="auto"/>
          <w:highlight w:val="none"/>
        </w:rPr>
        <w:t>承包人实施保修。</w:t>
      </w:r>
    </w:p>
    <w:p w14:paraId="5E48CE6D">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lang w:eastAsia="zh-CN"/>
        </w:rPr>
        <w:t>4.</w:t>
      </w:r>
      <w:r>
        <w:rPr>
          <w:rFonts w:hint="eastAsia" w:ascii="宋体" w:hAnsi="宋体" w:eastAsia="宋体" w:cs="宋体"/>
          <w:color w:val="auto"/>
          <w:highlight w:val="none"/>
        </w:rPr>
        <w:t>质量保修完成后，由发包人组织验收。</w:t>
      </w:r>
    </w:p>
    <w:p w14:paraId="43EB7C9C">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五、保修费用</w:t>
      </w:r>
    </w:p>
    <w:p w14:paraId="41EED17D">
      <w:pPr>
        <w:tabs>
          <w:tab w:val="left" w:pos="7380"/>
        </w:tabs>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保修费用由造成质量缺陷的责任方承担。</w:t>
      </w:r>
    </w:p>
    <w:p w14:paraId="31DDF591">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 xml:space="preserve">六、双方约定的其他工程质量保修事项： </w:t>
      </w:r>
    </w:p>
    <w:p w14:paraId="0482599A">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color w:val="auto"/>
          <w:highlight w:val="none"/>
          <w:u w:val="single"/>
        </w:rPr>
        <w:t>承包人未按照法律法规有关规定和合同约定履行质量保修义务的，发包人有权从质量保证金中扣留用于质量保修的各项支出</w:t>
      </w:r>
      <w:r>
        <w:rPr>
          <w:rFonts w:hint="eastAsia" w:ascii="宋体" w:hAnsi="宋体" w:eastAsia="宋体" w:cs="宋体"/>
          <w:color w:val="auto"/>
          <w:highlight w:val="none"/>
        </w:rPr>
        <w:t>。</w:t>
      </w:r>
    </w:p>
    <w:p w14:paraId="15A890D4">
      <w:pPr>
        <w:spacing w:line="360" w:lineRule="auto"/>
        <w:ind w:firstLine="399" w:firstLineChars="190"/>
        <w:rPr>
          <w:rFonts w:hint="eastAsia" w:ascii="宋体" w:hAnsi="宋体" w:eastAsia="宋体" w:cs="宋体"/>
          <w:color w:val="auto"/>
          <w:highlight w:val="none"/>
        </w:rPr>
      </w:pPr>
      <w:r>
        <w:rPr>
          <w:rFonts w:hint="eastAsia" w:ascii="宋体" w:hAnsi="宋体" w:eastAsia="宋体" w:cs="宋体"/>
          <w:color w:val="auto"/>
          <w:highlight w:val="none"/>
        </w:rPr>
        <w:t>工程质量保修书由发包人、承包人在工程竣工验收前共同签署，作为施工合同附件，其有效期限至保修期满。</w:t>
      </w:r>
    </w:p>
    <w:p w14:paraId="41DB9F30">
      <w:pPr>
        <w:spacing w:line="360" w:lineRule="auto"/>
        <w:ind w:firstLine="420"/>
        <w:rPr>
          <w:rFonts w:hint="eastAsia" w:ascii="宋体" w:hAnsi="宋体" w:eastAsia="宋体" w:cs="宋体"/>
          <w:color w:val="auto"/>
          <w:highlight w:val="none"/>
        </w:rPr>
      </w:pPr>
    </w:p>
    <w:p w14:paraId="5492B485">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发包人（公章）：</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承包人（公章）：</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 xml:space="preserve">  </w:t>
      </w:r>
    </w:p>
    <w:p w14:paraId="68D33F94">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地  址：</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地  址：</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 xml:space="preserve">  </w:t>
      </w:r>
    </w:p>
    <w:p w14:paraId="34C44DA5">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法定代表人（签字）：</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法定代表人（签字）：</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 xml:space="preserve">  </w:t>
      </w:r>
    </w:p>
    <w:p w14:paraId="499A2BFF">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委托代理人（签字）：</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委托代理人（签字）：</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 xml:space="preserve">  </w:t>
      </w:r>
    </w:p>
    <w:p w14:paraId="1C8294DC">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电  话：</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电  话：</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 xml:space="preserve">  </w:t>
      </w:r>
    </w:p>
    <w:p w14:paraId="4B581C18">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传  真：</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传  真：</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 xml:space="preserve">  </w:t>
      </w:r>
    </w:p>
    <w:p w14:paraId="25272522">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开户银行：</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开户银行：</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 xml:space="preserve">    </w:t>
      </w:r>
    </w:p>
    <w:p w14:paraId="028B1F3F">
      <w:pPr>
        <w:tabs>
          <w:tab w:val="left" w:pos="2880"/>
          <w:tab w:val="left" w:pos="3060"/>
          <w:tab w:val="left" w:pos="4500"/>
        </w:tabs>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账  号：</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账  号：</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 xml:space="preserve">  </w:t>
      </w:r>
    </w:p>
    <w:p w14:paraId="3AF5BCFD">
      <w:pPr>
        <w:tabs>
          <w:tab w:val="left" w:pos="7200"/>
          <w:tab w:val="left" w:pos="7380"/>
          <w:tab w:val="left" w:pos="7560"/>
        </w:tabs>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邮政编码：</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邮政编码：</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 xml:space="preserve">  </w:t>
      </w:r>
    </w:p>
    <w:p w14:paraId="20297ABA">
      <w:pPr>
        <w:spacing w:before="120" w:beforeLines="50" w:after="120" w:afterLines="50" w:line="440" w:lineRule="exact"/>
        <w:jc w:val="center"/>
        <w:rPr>
          <w:rFonts w:hint="eastAsia" w:ascii="宋体" w:hAnsi="宋体" w:eastAsia="宋体" w:cs="宋体"/>
          <w:color w:val="auto"/>
          <w:sz w:val="32"/>
          <w:szCs w:val="32"/>
          <w:highlight w:val="none"/>
        </w:rPr>
      </w:pPr>
    </w:p>
    <w:p w14:paraId="2AE1CFFB">
      <w:pPr>
        <w:spacing w:before="120" w:beforeLines="50" w:after="120" w:afterLines="50" w:line="440" w:lineRule="exact"/>
        <w:jc w:val="center"/>
        <w:rPr>
          <w:rFonts w:hint="eastAsia" w:ascii="宋体" w:hAnsi="宋体" w:eastAsia="宋体" w:cs="宋体"/>
          <w:color w:val="auto"/>
          <w:sz w:val="32"/>
          <w:szCs w:val="32"/>
          <w:highlight w:val="none"/>
        </w:rPr>
      </w:pPr>
    </w:p>
    <w:p w14:paraId="6F5823F0">
      <w:pPr>
        <w:spacing w:before="120" w:beforeLines="50" w:after="120" w:afterLines="50" w:line="440" w:lineRule="exact"/>
        <w:jc w:val="center"/>
        <w:rPr>
          <w:rFonts w:hint="eastAsia" w:ascii="宋体" w:hAnsi="宋体" w:eastAsia="宋体" w:cs="宋体"/>
          <w:color w:val="auto"/>
          <w:sz w:val="32"/>
          <w:szCs w:val="32"/>
          <w:highlight w:val="none"/>
        </w:rPr>
      </w:pPr>
    </w:p>
    <w:p w14:paraId="3AC7557A">
      <w:pPr>
        <w:spacing w:before="120" w:beforeLines="50" w:after="120" w:afterLines="50" w:line="440" w:lineRule="exact"/>
        <w:jc w:val="center"/>
        <w:rPr>
          <w:rFonts w:hint="eastAsia" w:ascii="宋体" w:hAnsi="宋体" w:eastAsia="宋体" w:cs="宋体"/>
          <w:color w:val="auto"/>
          <w:sz w:val="32"/>
          <w:szCs w:val="32"/>
          <w:highlight w:val="none"/>
        </w:rPr>
      </w:pPr>
    </w:p>
    <w:p w14:paraId="00ADFCF7">
      <w:pPr>
        <w:spacing w:before="120" w:beforeLines="50" w:after="120" w:afterLines="50" w:line="440" w:lineRule="exact"/>
        <w:jc w:val="center"/>
        <w:rPr>
          <w:rFonts w:hint="eastAsia" w:ascii="宋体" w:hAnsi="宋体" w:eastAsia="宋体" w:cs="宋体"/>
          <w:color w:val="auto"/>
          <w:sz w:val="32"/>
          <w:szCs w:val="32"/>
          <w:highlight w:val="none"/>
        </w:rPr>
      </w:pPr>
    </w:p>
    <w:p w14:paraId="2775D635">
      <w:pPr>
        <w:spacing w:before="120" w:beforeLines="50" w:after="120" w:afterLines="50" w:line="440" w:lineRule="exact"/>
        <w:jc w:val="center"/>
        <w:rPr>
          <w:rFonts w:hint="eastAsia" w:ascii="宋体" w:hAnsi="宋体" w:eastAsia="宋体" w:cs="宋体"/>
          <w:color w:val="auto"/>
          <w:sz w:val="32"/>
          <w:szCs w:val="32"/>
          <w:highlight w:val="none"/>
        </w:rPr>
      </w:pPr>
    </w:p>
    <w:p w14:paraId="511F463E">
      <w:pPr>
        <w:spacing w:before="120" w:beforeLines="50" w:after="120" w:afterLines="50" w:line="440" w:lineRule="exact"/>
        <w:jc w:val="center"/>
        <w:rPr>
          <w:rFonts w:hint="eastAsia" w:ascii="宋体" w:hAnsi="宋体" w:eastAsia="宋体" w:cs="宋体"/>
          <w:color w:val="auto"/>
          <w:sz w:val="32"/>
          <w:szCs w:val="32"/>
          <w:highlight w:val="none"/>
        </w:rPr>
      </w:pPr>
    </w:p>
    <w:p w14:paraId="61650DB2">
      <w:pPr>
        <w:spacing w:before="120" w:beforeLines="50" w:after="120" w:afterLines="50" w:line="440" w:lineRule="exact"/>
        <w:jc w:val="center"/>
        <w:rPr>
          <w:rFonts w:hint="eastAsia" w:ascii="宋体" w:hAnsi="宋体" w:eastAsia="宋体" w:cs="宋体"/>
          <w:color w:val="auto"/>
          <w:sz w:val="32"/>
          <w:szCs w:val="32"/>
          <w:highlight w:val="none"/>
        </w:rPr>
      </w:pPr>
    </w:p>
    <w:p w14:paraId="49D8286F">
      <w:pPr>
        <w:spacing w:before="120" w:beforeLines="50" w:after="120" w:afterLines="50" w:line="440" w:lineRule="exact"/>
        <w:jc w:val="left"/>
        <w:rPr>
          <w:rFonts w:hint="eastAsia" w:ascii="宋体" w:hAnsi="宋体" w:eastAsia="宋体" w:cs="宋体"/>
          <w:color w:val="auto"/>
          <w:sz w:val="30"/>
          <w:szCs w:val="30"/>
          <w:highlight w:val="none"/>
        </w:rPr>
      </w:pPr>
      <w:r>
        <w:rPr>
          <w:rFonts w:hint="eastAsia" w:ascii="宋体" w:hAnsi="宋体" w:eastAsia="宋体" w:cs="宋体"/>
          <w:color w:val="auto"/>
          <w:sz w:val="32"/>
          <w:szCs w:val="32"/>
          <w:highlight w:val="none"/>
        </w:rPr>
        <w:br w:type="page"/>
      </w:r>
      <w:r>
        <w:rPr>
          <w:rFonts w:hint="eastAsia" w:ascii="宋体" w:hAnsi="宋体" w:eastAsia="宋体" w:cs="宋体"/>
          <w:color w:val="auto"/>
          <w:sz w:val="30"/>
          <w:szCs w:val="30"/>
          <w:highlight w:val="none"/>
        </w:rPr>
        <w:t>附件3：</w:t>
      </w:r>
      <w:r>
        <w:rPr>
          <w:rFonts w:hint="eastAsia" w:ascii="宋体" w:hAnsi="宋体" w:eastAsia="宋体" w:cs="宋体"/>
          <w:color w:val="auto"/>
          <w:sz w:val="30"/>
          <w:szCs w:val="30"/>
          <w:highlight w:val="none"/>
          <w:lang w:val="en-US" w:eastAsia="zh-CN"/>
        </w:rPr>
        <w:t>主要建设工程文件目录</w:t>
      </w:r>
    </w:p>
    <w:p w14:paraId="77FDDD84">
      <w:pPr>
        <w:spacing w:before="120" w:beforeLines="50" w:after="120" w:afterLines="50" w:line="44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主要建设工程文件目录</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79B005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noWrap w:val="0"/>
            <w:vAlign w:val="center"/>
          </w:tcPr>
          <w:p w14:paraId="51069149">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文件名称</w:t>
            </w:r>
          </w:p>
        </w:tc>
        <w:tc>
          <w:tcPr>
            <w:tcW w:w="1276" w:type="dxa"/>
            <w:tcBorders>
              <w:top w:val="single" w:color="auto" w:sz="12" w:space="0"/>
              <w:bottom w:val="double" w:color="auto" w:sz="6" w:space="0"/>
            </w:tcBorders>
            <w:noWrap w:val="0"/>
            <w:vAlign w:val="center"/>
          </w:tcPr>
          <w:p w14:paraId="0E7AB78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套数</w:t>
            </w:r>
          </w:p>
        </w:tc>
        <w:tc>
          <w:tcPr>
            <w:tcW w:w="1450" w:type="dxa"/>
            <w:tcBorders>
              <w:top w:val="single" w:color="auto" w:sz="12" w:space="0"/>
              <w:bottom w:val="double" w:color="auto" w:sz="6" w:space="0"/>
            </w:tcBorders>
            <w:noWrap w:val="0"/>
            <w:vAlign w:val="center"/>
          </w:tcPr>
          <w:p w14:paraId="0F1962EA">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费用（元）</w:t>
            </w:r>
          </w:p>
        </w:tc>
        <w:tc>
          <w:tcPr>
            <w:tcW w:w="1243" w:type="dxa"/>
            <w:tcBorders>
              <w:top w:val="single" w:color="auto" w:sz="12" w:space="0"/>
              <w:bottom w:val="double" w:color="auto" w:sz="6" w:space="0"/>
            </w:tcBorders>
            <w:noWrap w:val="0"/>
            <w:vAlign w:val="center"/>
          </w:tcPr>
          <w:p w14:paraId="1490E4A9">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质量</w:t>
            </w:r>
          </w:p>
        </w:tc>
        <w:tc>
          <w:tcPr>
            <w:tcW w:w="1450" w:type="dxa"/>
            <w:tcBorders>
              <w:top w:val="single" w:color="auto" w:sz="12" w:space="0"/>
              <w:bottom w:val="double" w:color="auto" w:sz="6" w:space="0"/>
            </w:tcBorders>
            <w:noWrap w:val="0"/>
            <w:vAlign w:val="top"/>
          </w:tcPr>
          <w:p w14:paraId="421182D6">
            <w:pPr>
              <w:keepNext w:val="0"/>
              <w:keepLines w:val="0"/>
              <w:suppressLineNumbers w:val="0"/>
              <w:spacing w:before="0" w:beforeAutospacing="0" w:after="0" w:afterAutospacing="0" w:line="440" w:lineRule="exact"/>
              <w:ind w:left="0" w:right="0"/>
              <w:jc w:val="center"/>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移交时间</w:t>
            </w:r>
          </w:p>
        </w:tc>
        <w:tc>
          <w:tcPr>
            <w:tcW w:w="1667" w:type="dxa"/>
            <w:tcBorders>
              <w:top w:val="single" w:color="auto" w:sz="12" w:space="0"/>
              <w:bottom w:val="double" w:color="auto" w:sz="6" w:space="0"/>
            </w:tcBorders>
            <w:noWrap w:val="0"/>
            <w:vAlign w:val="top"/>
          </w:tcPr>
          <w:p w14:paraId="5B07DC5C">
            <w:pPr>
              <w:keepNext w:val="0"/>
              <w:keepLines w:val="0"/>
              <w:suppressLineNumbers w:val="0"/>
              <w:spacing w:before="0" w:beforeAutospacing="0" w:after="0" w:afterAutospacing="0" w:line="440" w:lineRule="exact"/>
              <w:ind w:left="0" w:right="0"/>
              <w:jc w:val="center"/>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责任人</w:t>
            </w:r>
          </w:p>
        </w:tc>
      </w:tr>
      <w:tr w14:paraId="4403B3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noWrap w:val="0"/>
            <w:vAlign w:val="center"/>
          </w:tcPr>
          <w:p w14:paraId="42E7BF9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276" w:type="dxa"/>
            <w:tcBorders>
              <w:top w:val="double" w:color="auto" w:sz="6" w:space="0"/>
              <w:bottom w:val="single" w:color="auto" w:sz="6" w:space="0"/>
            </w:tcBorders>
            <w:noWrap w:val="0"/>
            <w:vAlign w:val="center"/>
          </w:tcPr>
          <w:p w14:paraId="5F40734D">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50" w:type="dxa"/>
            <w:tcBorders>
              <w:top w:val="double" w:color="auto" w:sz="6" w:space="0"/>
              <w:bottom w:val="single" w:color="auto" w:sz="6" w:space="0"/>
            </w:tcBorders>
            <w:noWrap w:val="0"/>
            <w:vAlign w:val="center"/>
          </w:tcPr>
          <w:p w14:paraId="78E2846D">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243" w:type="dxa"/>
            <w:tcBorders>
              <w:top w:val="double" w:color="auto" w:sz="6" w:space="0"/>
              <w:bottom w:val="single" w:color="auto" w:sz="6" w:space="0"/>
            </w:tcBorders>
            <w:noWrap w:val="0"/>
            <w:vAlign w:val="center"/>
          </w:tcPr>
          <w:p w14:paraId="09D3A436">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50" w:type="dxa"/>
            <w:tcBorders>
              <w:top w:val="double" w:color="auto" w:sz="6" w:space="0"/>
              <w:bottom w:val="single" w:color="auto" w:sz="6" w:space="0"/>
            </w:tcBorders>
            <w:noWrap w:val="0"/>
            <w:vAlign w:val="center"/>
          </w:tcPr>
          <w:p w14:paraId="43935A65">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667" w:type="dxa"/>
            <w:tcBorders>
              <w:top w:val="double" w:color="auto" w:sz="6" w:space="0"/>
              <w:bottom w:val="single" w:color="auto" w:sz="6" w:space="0"/>
            </w:tcBorders>
            <w:noWrap w:val="0"/>
            <w:vAlign w:val="center"/>
          </w:tcPr>
          <w:p w14:paraId="4418F687">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41572D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noWrap w:val="0"/>
            <w:vAlign w:val="center"/>
          </w:tcPr>
          <w:p w14:paraId="055888B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276" w:type="dxa"/>
            <w:tcBorders>
              <w:top w:val="nil"/>
            </w:tcBorders>
            <w:noWrap w:val="0"/>
            <w:vAlign w:val="center"/>
          </w:tcPr>
          <w:p w14:paraId="6EF92158">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50" w:type="dxa"/>
            <w:tcBorders>
              <w:top w:val="nil"/>
            </w:tcBorders>
            <w:noWrap w:val="0"/>
            <w:vAlign w:val="center"/>
          </w:tcPr>
          <w:p w14:paraId="0A6931E3">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243" w:type="dxa"/>
            <w:tcBorders>
              <w:top w:val="nil"/>
            </w:tcBorders>
            <w:noWrap w:val="0"/>
            <w:vAlign w:val="center"/>
          </w:tcPr>
          <w:p w14:paraId="4E2EED0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50" w:type="dxa"/>
            <w:tcBorders>
              <w:top w:val="nil"/>
            </w:tcBorders>
            <w:noWrap w:val="0"/>
            <w:vAlign w:val="center"/>
          </w:tcPr>
          <w:p w14:paraId="30345A1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667" w:type="dxa"/>
            <w:tcBorders>
              <w:top w:val="nil"/>
            </w:tcBorders>
            <w:noWrap w:val="0"/>
            <w:vAlign w:val="center"/>
          </w:tcPr>
          <w:p w14:paraId="33271802">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6F4E1D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04FD3AAD">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276" w:type="dxa"/>
            <w:noWrap w:val="0"/>
            <w:vAlign w:val="center"/>
          </w:tcPr>
          <w:p w14:paraId="42E75BA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50" w:type="dxa"/>
            <w:noWrap w:val="0"/>
            <w:vAlign w:val="center"/>
          </w:tcPr>
          <w:p w14:paraId="235A67A1">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243" w:type="dxa"/>
            <w:noWrap w:val="0"/>
            <w:vAlign w:val="center"/>
          </w:tcPr>
          <w:p w14:paraId="4CBCEAA6">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50" w:type="dxa"/>
            <w:noWrap w:val="0"/>
            <w:vAlign w:val="center"/>
          </w:tcPr>
          <w:p w14:paraId="38E8099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667" w:type="dxa"/>
            <w:noWrap w:val="0"/>
            <w:vAlign w:val="center"/>
          </w:tcPr>
          <w:p w14:paraId="034BD672">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3CB35E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36C2D6DC">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276" w:type="dxa"/>
            <w:noWrap w:val="0"/>
            <w:vAlign w:val="center"/>
          </w:tcPr>
          <w:p w14:paraId="4E1C9A06">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50" w:type="dxa"/>
            <w:noWrap w:val="0"/>
            <w:vAlign w:val="center"/>
          </w:tcPr>
          <w:p w14:paraId="5D793F2E">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243" w:type="dxa"/>
            <w:noWrap w:val="0"/>
            <w:vAlign w:val="center"/>
          </w:tcPr>
          <w:p w14:paraId="1B6C2242">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50" w:type="dxa"/>
            <w:noWrap w:val="0"/>
            <w:vAlign w:val="center"/>
          </w:tcPr>
          <w:p w14:paraId="5CA3438F">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667" w:type="dxa"/>
            <w:noWrap w:val="0"/>
            <w:vAlign w:val="center"/>
          </w:tcPr>
          <w:p w14:paraId="4AD77D27">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67C8FB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3E8E2DEF">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276" w:type="dxa"/>
            <w:noWrap w:val="0"/>
            <w:vAlign w:val="center"/>
          </w:tcPr>
          <w:p w14:paraId="7C8EE642">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50" w:type="dxa"/>
            <w:noWrap w:val="0"/>
            <w:vAlign w:val="center"/>
          </w:tcPr>
          <w:p w14:paraId="12D6454E">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243" w:type="dxa"/>
            <w:noWrap w:val="0"/>
            <w:vAlign w:val="center"/>
          </w:tcPr>
          <w:p w14:paraId="0B8D486C">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50" w:type="dxa"/>
            <w:noWrap w:val="0"/>
            <w:vAlign w:val="center"/>
          </w:tcPr>
          <w:p w14:paraId="311295BA">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667" w:type="dxa"/>
            <w:noWrap w:val="0"/>
            <w:vAlign w:val="center"/>
          </w:tcPr>
          <w:p w14:paraId="0E73E71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45A129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0BD2B74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276" w:type="dxa"/>
            <w:noWrap w:val="0"/>
            <w:vAlign w:val="center"/>
          </w:tcPr>
          <w:p w14:paraId="25121401">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50" w:type="dxa"/>
            <w:noWrap w:val="0"/>
            <w:vAlign w:val="center"/>
          </w:tcPr>
          <w:p w14:paraId="652F446C">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243" w:type="dxa"/>
            <w:noWrap w:val="0"/>
            <w:vAlign w:val="center"/>
          </w:tcPr>
          <w:p w14:paraId="65894F7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50" w:type="dxa"/>
            <w:noWrap w:val="0"/>
            <w:vAlign w:val="center"/>
          </w:tcPr>
          <w:p w14:paraId="0D803EE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667" w:type="dxa"/>
            <w:noWrap w:val="0"/>
            <w:vAlign w:val="center"/>
          </w:tcPr>
          <w:p w14:paraId="2E8F3AA6">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40AE5E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5571FCB3">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276" w:type="dxa"/>
            <w:noWrap w:val="0"/>
            <w:vAlign w:val="center"/>
          </w:tcPr>
          <w:p w14:paraId="01A2C97A">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50" w:type="dxa"/>
            <w:noWrap w:val="0"/>
            <w:vAlign w:val="center"/>
          </w:tcPr>
          <w:p w14:paraId="717F6902">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243" w:type="dxa"/>
            <w:noWrap w:val="0"/>
            <w:vAlign w:val="center"/>
          </w:tcPr>
          <w:p w14:paraId="6B878053">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50" w:type="dxa"/>
            <w:noWrap w:val="0"/>
            <w:vAlign w:val="center"/>
          </w:tcPr>
          <w:p w14:paraId="43B512DC">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667" w:type="dxa"/>
            <w:noWrap w:val="0"/>
            <w:vAlign w:val="center"/>
          </w:tcPr>
          <w:p w14:paraId="03A64203">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3A9A7A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1CC8BCC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276" w:type="dxa"/>
            <w:noWrap w:val="0"/>
            <w:vAlign w:val="center"/>
          </w:tcPr>
          <w:p w14:paraId="059358F8">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50" w:type="dxa"/>
            <w:noWrap w:val="0"/>
            <w:vAlign w:val="center"/>
          </w:tcPr>
          <w:p w14:paraId="7FB792BF">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243" w:type="dxa"/>
            <w:noWrap w:val="0"/>
            <w:vAlign w:val="center"/>
          </w:tcPr>
          <w:p w14:paraId="3D6C4943">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50" w:type="dxa"/>
            <w:noWrap w:val="0"/>
            <w:vAlign w:val="center"/>
          </w:tcPr>
          <w:p w14:paraId="17C2F129">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667" w:type="dxa"/>
            <w:noWrap w:val="0"/>
            <w:vAlign w:val="center"/>
          </w:tcPr>
          <w:p w14:paraId="17EA571E">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065DA7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5CA0234">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276" w:type="dxa"/>
            <w:noWrap w:val="0"/>
            <w:vAlign w:val="top"/>
          </w:tcPr>
          <w:p w14:paraId="6AF55EBD">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50" w:type="dxa"/>
            <w:noWrap w:val="0"/>
            <w:vAlign w:val="top"/>
          </w:tcPr>
          <w:p w14:paraId="1919B844">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243" w:type="dxa"/>
            <w:noWrap w:val="0"/>
            <w:vAlign w:val="top"/>
          </w:tcPr>
          <w:p w14:paraId="79C698DA">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50" w:type="dxa"/>
            <w:noWrap w:val="0"/>
            <w:vAlign w:val="top"/>
          </w:tcPr>
          <w:p w14:paraId="61B19F51">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667" w:type="dxa"/>
            <w:noWrap w:val="0"/>
            <w:vAlign w:val="top"/>
          </w:tcPr>
          <w:p w14:paraId="23F93575">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r>
      <w:tr w14:paraId="496AE8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39DA9471">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276" w:type="dxa"/>
            <w:noWrap w:val="0"/>
            <w:vAlign w:val="center"/>
          </w:tcPr>
          <w:p w14:paraId="7C9D5719">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50" w:type="dxa"/>
            <w:noWrap w:val="0"/>
            <w:vAlign w:val="center"/>
          </w:tcPr>
          <w:p w14:paraId="4D03BFC6">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243" w:type="dxa"/>
            <w:noWrap w:val="0"/>
            <w:vAlign w:val="center"/>
          </w:tcPr>
          <w:p w14:paraId="337673C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50" w:type="dxa"/>
            <w:noWrap w:val="0"/>
            <w:vAlign w:val="center"/>
          </w:tcPr>
          <w:p w14:paraId="4630FA7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667" w:type="dxa"/>
            <w:noWrap w:val="0"/>
            <w:vAlign w:val="center"/>
          </w:tcPr>
          <w:p w14:paraId="7BBD54C7">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7F227E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7642C92E">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276" w:type="dxa"/>
            <w:noWrap w:val="0"/>
            <w:vAlign w:val="top"/>
          </w:tcPr>
          <w:p w14:paraId="3BB43AD9">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50" w:type="dxa"/>
            <w:noWrap w:val="0"/>
            <w:vAlign w:val="top"/>
          </w:tcPr>
          <w:p w14:paraId="16F6909E">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243" w:type="dxa"/>
            <w:noWrap w:val="0"/>
            <w:vAlign w:val="top"/>
          </w:tcPr>
          <w:p w14:paraId="4C8F4CF3">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50" w:type="dxa"/>
            <w:noWrap w:val="0"/>
            <w:vAlign w:val="top"/>
          </w:tcPr>
          <w:p w14:paraId="30683B60">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667" w:type="dxa"/>
            <w:noWrap w:val="0"/>
            <w:vAlign w:val="top"/>
          </w:tcPr>
          <w:p w14:paraId="48E18238">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r>
      <w:tr w14:paraId="4D1E92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79FC427C">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276" w:type="dxa"/>
            <w:noWrap w:val="0"/>
            <w:vAlign w:val="top"/>
          </w:tcPr>
          <w:p w14:paraId="770060D7">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50" w:type="dxa"/>
            <w:noWrap w:val="0"/>
            <w:vAlign w:val="top"/>
          </w:tcPr>
          <w:p w14:paraId="23692DA3">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243" w:type="dxa"/>
            <w:noWrap w:val="0"/>
            <w:vAlign w:val="top"/>
          </w:tcPr>
          <w:p w14:paraId="59B5B29E">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50" w:type="dxa"/>
            <w:noWrap w:val="0"/>
            <w:vAlign w:val="top"/>
          </w:tcPr>
          <w:p w14:paraId="5D8123CD">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667" w:type="dxa"/>
            <w:noWrap w:val="0"/>
            <w:vAlign w:val="top"/>
          </w:tcPr>
          <w:p w14:paraId="074B6DDF">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r>
      <w:tr w14:paraId="1AD33A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44CC7DD">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276" w:type="dxa"/>
            <w:noWrap w:val="0"/>
            <w:vAlign w:val="top"/>
          </w:tcPr>
          <w:p w14:paraId="3A53B48A">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50" w:type="dxa"/>
            <w:noWrap w:val="0"/>
            <w:vAlign w:val="top"/>
          </w:tcPr>
          <w:p w14:paraId="4599E099">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243" w:type="dxa"/>
            <w:noWrap w:val="0"/>
            <w:vAlign w:val="top"/>
          </w:tcPr>
          <w:p w14:paraId="1B27D351">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50" w:type="dxa"/>
            <w:noWrap w:val="0"/>
            <w:vAlign w:val="top"/>
          </w:tcPr>
          <w:p w14:paraId="0C3E01F5">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667" w:type="dxa"/>
            <w:noWrap w:val="0"/>
            <w:vAlign w:val="top"/>
          </w:tcPr>
          <w:p w14:paraId="1F61CB53">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r>
      <w:tr w14:paraId="34BC0F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B12FF4B">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276" w:type="dxa"/>
            <w:noWrap w:val="0"/>
            <w:vAlign w:val="top"/>
          </w:tcPr>
          <w:p w14:paraId="540927A8">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50" w:type="dxa"/>
            <w:noWrap w:val="0"/>
            <w:vAlign w:val="top"/>
          </w:tcPr>
          <w:p w14:paraId="468BCB69">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243" w:type="dxa"/>
            <w:noWrap w:val="0"/>
            <w:vAlign w:val="top"/>
          </w:tcPr>
          <w:p w14:paraId="6BD12785">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50" w:type="dxa"/>
            <w:noWrap w:val="0"/>
            <w:vAlign w:val="top"/>
          </w:tcPr>
          <w:p w14:paraId="4D1BF8F9">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667" w:type="dxa"/>
            <w:noWrap w:val="0"/>
            <w:vAlign w:val="top"/>
          </w:tcPr>
          <w:p w14:paraId="58609E31">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r>
      <w:tr w14:paraId="04339F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5C0D4BF">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276" w:type="dxa"/>
            <w:noWrap w:val="0"/>
            <w:vAlign w:val="top"/>
          </w:tcPr>
          <w:p w14:paraId="4EE86CA2">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50" w:type="dxa"/>
            <w:noWrap w:val="0"/>
            <w:vAlign w:val="top"/>
          </w:tcPr>
          <w:p w14:paraId="32CE032D">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243" w:type="dxa"/>
            <w:noWrap w:val="0"/>
            <w:vAlign w:val="top"/>
          </w:tcPr>
          <w:p w14:paraId="2FC97B6C">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50" w:type="dxa"/>
            <w:noWrap w:val="0"/>
            <w:vAlign w:val="top"/>
          </w:tcPr>
          <w:p w14:paraId="55D5BD6C">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667" w:type="dxa"/>
            <w:noWrap w:val="0"/>
            <w:vAlign w:val="top"/>
          </w:tcPr>
          <w:p w14:paraId="4876918E">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r>
      <w:tr w14:paraId="4E0183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14946A6">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276" w:type="dxa"/>
            <w:noWrap w:val="0"/>
            <w:vAlign w:val="top"/>
          </w:tcPr>
          <w:p w14:paraId="013B8C39">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50" w:type="dxa"/>
            <w:noWrap w:val="0"/>
            <w:vAlign w:val="top"/>
          </w:tcPr>
          <w:p w14:paraId="4B8A8D94">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243" w:type="dxa"/>
            <w:noWrap w:val="0"/>
            <w:vAlign w:val="top"/>
          </w:tcPr>
          <w:p w14:paraId="1E3D4558">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50" w:type="dxa"/>
            <w:noWrap w:val="0"/>
            <w:vAlign w:val="top"/>
          </w:tcPr>
          <w:p w14:paraId="6344846A">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667" w:type="dxa"/>
            <w:noWrap w:val="0"/>
            <w:vAlign w:val="top"/>
          </w:tcPr>
          <w:p w14:paraId="3405A70F">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r>
      <w:tr w14:paraId="57B6CA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E43B911">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276" w:type="dxa"/>
            <w:noWrap w:val="0"/>
            <w:vAlign w:val="top"/>
          </w:tcPr>
          <w:p w14:paraId="6577A923">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50" w:type="dxa"/>
            <w:noWrap w:val="0"/>
            <w:vAlign w:val="top"/>
          </w:tcPr>
          <w:p w14:paraId="74F94296">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243" w:type="dxa"/>
            <w:noWrap w:val="0"/>
            <w:vAlign w:val="top"/>
          </w:tcPr>
          <w:p w14:paraId="70B7B939">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50" w:type="dxa"/>
            <w:noWrap w:val="0"/>
            <w:vAlign w:val="top"/>
          </w:tcPr>
          <w:p w14:paraId="5EA3B126">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667" w:type="dxa"/>
            <w:noWrap w:val="0"/>
            <w:vAlign w:val="top"/>
          </w:tcPr>
          <w:p w14:paraId="01193E83">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r>
      <w:tr w14:paraId="5A3E1D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DC9A000">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276" w:type="dxa"/>
            <w:noWrap w:val="0"/>
            <w:vAlign w:val="top"/>
          </w:tcPr>
          <w:p w14:paraId="3D76A4CB">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50" w:type="dxa"/>
            <w:noWrap w:val="0"/>
            <w:vAlign w:val="top"/>
          </w:tcPr>
          <w:p w14:paraId="54161E3F">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243" w:type="dxa"/>
            <w:noWrap w:val="0"/>
            <w:vAlign w:val="top"/>
          </w:tcPr>
          <w:p w14:paraId="5BE768F8">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50" w:type="dxa"/>
            <w:noWrap w:val="0"/>
            <w:vAlign w:val="top"/>
          </w:tcPr>
          <w:p w14:paraId="4DF58CB6">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667" w:type="dxa"/>
            <w:noWrap w:val="0"/>
            <w:vAlign w:val="top"/>
          </w:tcPr>
          <w:p w14:paraId="7F7D30F8">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r>
      <w:tr w14:paraId="1AD33F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3AB7F573">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276" w:type="dxa"/>
            <w:noWrap w:val="0"/>
            <w:vAlign w:val="top"/>
          </w:tcPr>
          <w:p w14:paraId="0AC4C57F">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50" w:type="dxa"/>
            <w:noWrap w:val="0"/>
            <w:vAlign w:val="top"/>
          </w:tcPr>
          <w:p w14:paraId="5B58C317">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243" w:type="dxa"/>
            <w:noWrap w:val="0"/>
            <w:vAlign w:val="top"/>
          </w:tcPr>
          <w:p w14:paraId="7758CF53">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50" w:type="dxa"/>
            <w:noWrap w:val="0"/>
            <w:vAlign w:val="top"/>
          </w:tcPr>
          <w:p w14:paraId="7B1A7F77">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667" w:type="dxa"/>
            <w:noWrap w:val="0"/>
            <w:vAlign w:val="top"/>
          </w:tcPr>
          <w:p w14:paraId="0A49E789">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r>
    </w:tbl>
    <w:p w14:paraId="42255F70">
      <w:pPr>
        <w:spacing w:line="440" w:lineRule="exact"/>
        <w:rPr>
          <w:rFonts w:hint="eastAsia" w:ascii="宋体" w:hAnsi="宋体" w:eastAsia="宋体" w:cs="宋体"/>
          <w:color w:val="auto"/>
          <w:sz w:val="30"/>
          <w:szCs w:val="30"/>
          <w:highlight w:val="none"/>
        </w:rPr>
      </w:pPr>
    </w:p>
    <w:p w14:paraId="327EB887">
      <w:pPr>
        <w:spacing w:before="120" w:beforeLines="50" w:after="120" w:afterLines="50" w:line="440" w:lineRule="exact"/>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r>
        <w:rPr>
          <w:rFonts w:hint="eastAsia" w:ascii="宋体" w:hAnsi="宋体" w:eastAsia="宋体" w:cs="宋体"/>
          <w:color w:val="auto"/>
          <w:sz w:val="30"/>
          <w:szCs w:val="30"/>
          <w:highlight w:val="none"/>
        </w:rPr>
        <w:t>附件4：</w:t>
      </w:r>
      <w:r>
        <w:rPr>
          <w:rFonts w:hint="eastAsia" w:ascii="宋体" w:hAnsi="宋体" w:eastAsia="宋体" w:cs="宋体"/>
          <w:color w:val="auto"/>
          <w:sz w:val="30"/>
          <w:szCs w:val="30"/>
          <w:highlight w:val="none"/>
          <w:lang w:val="en-US" w:eastAsia="zh-CN"/>
        </w:rPr>
        <w:t>承包人用于本工程施工的机械设备表</w:t>
      </w:r>
    </w:p>
    <w:p w14:paraId="6474A529">
      <w:pPr>
        <w:spacing w:line="440" w:lineRule="exact"/>
        <w:rPr>
          <w:rFonts w:hint="eastAsia" w:ascii="宋体" w:hAnsi="宋体" w:eastAsia="宋体" w:cs="宋体"/>
          <w:color w:val="auto"/>
          <w:sz w:val="30"/>
          <w:szCs w:val="30"/>
          <w:highlight w:val="none"/>
        </w:rPr>
      </w:pPr>
    </w:p>
    <w:p w14:paraId="59BFCC49">
      <w:pPr>
        <w:spacing w:before="120" w:beforeLines="50" w:after="120" w:afterLines="50" w:line="44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承包人用于本工程施工的机械设备表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6F744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noWrap w:val="0"/>
            <w:vAlign w:val="center"/>
          </w:tcPr>
          <w:p w14:paraId="0F2E90A2">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序号</w:t>
            </w:r>
          </w:p>
        </w:tc>
        <w:tc>
          <w:tcPr>
            <w:tcW w:w="1418" w:type="dxa"/>
            <w:noWrap w:val="0"/>
            <w:vAlign w:val="center"/>
          </w:tcPr>
          <w:p w14:paraId="3ECC399C">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机械或设备名称</w:t>
            </w:r>
          </w:p>
        </w:tc>
        <w:tc>
          <w:tcPr>
            <w:tcW w:w="850" w:type="dxa"/>
            <w:noWrap w:val="0"/>
            <w:vAlign w:val="center"/>
          </w:tcPr>
          <w:p w14:paraId="3387FB2A">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规格型号</w:t>
            </w:r>
          </w:p>
        </w:tc>
        <w:tc>
          <w:tcPr>
            <w:tcW w:w="1058" w:type="dxa"/>
            <w:noWrap w:val="0"/>
            <w:vAlign w:val="center"/>
          </w:tcPr>
          <w:p w14:paraId="60CA3681">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数量</w:t>
            </w:r>
          </w:p>
        </w:tc>
        <w:tc>
          <w:tcPr>
            <w:tcW w:w="880" w:type="dxa"/>
            <w:noWrap w:val="0"/>
            <w:vAlign w:val="center"/>
          </w:tcPr>
          <w:p w14:paraId="6D770F9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产地</w:t>
            </w:r>
          </w:p>
        </w:tc>
        <w:tc>
          <w:tcPr>
            <w:tcW w:w="1020" w:type="dxa"/>
            <w:noWrap w:val="0"/>
            <w:vAlign w:val="center"/>
          </w:tcPr>
          <w:p w14:paraId="0AC49142">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制造年份</w:t>
            </w:r>
          </w:p>
        </w:tc>
        <w:tc>
          <w:tcPr>
            <w:tcW w:w="1480" w:type="dxa"/>
            <w:noWrap w:val="0"/>
            <w:vAlign w:val="center"/>
          </w:tcPr>
          <w:p w14:paraId="65BB828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额定功率（kW）</w:t>
            </w:r>
          </w:p>
        </w:tc>
        <w:tc>
          <w:tcPr>
            <w:tcW w:w="1020" w:type="dxa"/>
            <w:noWrap w:val="0"/>
            <w:vAlign w:val="center"/>
          </w:tcPr>
          <w:p w14:paraId="317B324A">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生产能力</w:t>
            </w:r>
          </w:p>
        </w:tc>
        <w:tc>
          <w:tcPr>
            <w:tcW w:w="921" w:type="dxa"/>
            <w:noWrap w:val="0"/>
            <w:vAlign w:val="center"/>
          </w:tcPr>
          <w:p w14:paraId="2BE357B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备注</w:t>
            </w:r>
          </w:p>
        </w:tc>
      </w:tr>
      <w:tr w14:paraId="5BCF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335BED9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18" w:type="dxa"/>
            <w:noWrap w:val="0"/>
            <w:vAlign w:val="center"/>
          </w:tcPr>
          <w:p w14:paraId="5731208C">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0" w:type="dxa"/>
            <w:noWrap w:val="0"/>
            <w:vAlign w:val="center"/>
          </w:tcPr>
          <w:p w14:paraId="5BDBFBE7">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058" w:type="dxa"/>
            <w:noWrap w:val="0"/>
            <w:vAlign w:val="center"/>
          </w:tcPr>
          <w:p w14:paraId="1C1F56B9">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80" w:type="dxa"/>
            <w:noWrap w:val="0"/>
            <w:vAlign w:val="center"/>
          </w:tcPr>
          <w:p w14:paraId="05D092D2">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020" w:type="dxa"/>
            <w:noWrap w:val="0"/>
            <w:vAlign w:val="center"/>
          </w:tcPr>
          <w:p w14:paraId="58FA981E">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80" w:type="dxa"/>
            <w:noWrap w:val="0"/>
            <w:vAlign w:val="center"/>
          </w:tcPr>
          <w:p w14:paraId="37EA1C9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020" w:type="dxa"/>
            <w:noWrap w:val="0"/>
            <w:vAlign w:val="center"/>
          </w:tcPr>
          <w:p w14:paraId="5DD1E20C">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921" w:type="dxa"/>
            <w:noWrap w:val="0"/>
            <w:vAlign w:val="center"/>
          </w:tcPr>
          <w:p w14:paraId="26190571">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17448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4539AA4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18" w:type="dxa"/>
            <w:noWrap w:val="0"/>
            <w:vAlign w:val="center"/>
          </w:tcPr>
          <w:p w14:paraId="28FC972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0" w:type="dxa"/>
            <w:noWrap w:val="0"/>
            <w:vAlign w:val="center"/>
          </w:tcPr>
          <w:p w14:paraId="2FD768BD">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058" w:type="dxa"/>
            <w:noWrap w:val="0"/>
            <w:vAlign w:val="center"/>
          </w:tcPr>
          <w:p w14:paraId="0E56D49D">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80" w:type="dxa"/>
            <w:noWrap w:val="0"/>
            <w:vAlign w:val="center"/>
          </w:tcPr>
          <w:p w14:paraId="3B05200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020" w:type="dxa"/>
            <w:noWrap w:val="0"/>
            <w:vAlign w:val="center"/>
          </w:tcPr>
          <w:p w14:paraId="72D5C91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80" w:type="dxa"/>
            <w:noWrap w:val="0"/>
            <w:vAlign w:val="center"/>
          </w:tcPr>
          <w:p w14:paraId="1290E291">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020" w:type="dxa"/>
            <w:noWrap w:val="0"/>
            <w:vAlign w:val="center"/>
          </w:tcPr>
          <w:p w14:paraId="178EA8D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921" w:type="dxa"/>
            <w:noWrap w:val="0"/>
            <w:vAlign w:val="center"/>
          </w:tcPr>
          <w:p w14:paraId="1CE1C223">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4D584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54A95A5F">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18" w:type="dxa"/>
            <w:noWrap w:val="0"/>
            <w:vAlign w:val="center"/>
          </w:tcPr>
          <w:p w14:paraId="17CDC74F">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0" w:type="dxa"/>
            <w:noWrap w:val="0"/>
            <w:vAlign w:val="center"/>
          </w:tcPr>
          <w:p w14:paraId="4168F88E">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058" w:type="dxa"/>
            <w:noWrap w:val="0"/>
            <w:vAlign w:val="center"/>
          </w:tcPr>
          <w:p w14:paraId="4D02022F">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80" w:type="dxa"/>
            <w:noWrap w:val="0"/>
            <w:vAlign w:val="center"/>
          </w:tcPr>
          <w:p w14:paraId="55C0D3DD">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020" w:type="dxa"/>
            <w:noWrap w:val="0"/>
            <w:vAlign w:val="center"/>
          </w:tcPr>
          <w:p w14:paraId="3F3A2C96">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80" w:type="dxa"/>
            <w:noWrap w:val="0"/>
            <w:vAlign w:val="center"/>
          </w:tcPr>
          <w:p w14:paraId="70746B79">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020" w:type="dxa"/>
            <w:noWrap w:val="0"/>
            <w:vAlign w:val="center"/>
          </w:tcPr>
          <w:p w14:paraId="378F2AE8">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921" w:type="dxa"/>
            <w:noWrap w:val="0"/>
            <w:vAlign w:val="center"/>
          </w:tcPr>
          <w:p w14:paraId="608601DF">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4A657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3E1C6606">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18" w:type="dxa"/>
            <w:noWrap w:val="0"/>
            <w:vAlign w:val="center"/>
          </w:tcPr>
          <w:p w14:paraId="7E59D36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0" w:type="dxa"/>
            <w:noWrap w:val="0"/>
            <w:vAlign w:val="center"/>
          </w:tcPr>
          <w:p w14:paraId="3724902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058" w:type="dxa"/>
            <w:noWrap w:val="0"/>
            <w:vAlign w:val="center"/>
          </w:tcPr>
          <w:p w14:paraId="417EAABE">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80" w:type="dxa"/>
            <w:noWrap w:val="0"/>
            <w:vAlign w:val="center"/>
          </w:tcPr>
          <w:p w14:paraId="5E91CA0C">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020" w:type="dxa"/>
            <w:noWrap w:val="0"/>
            <w:vAlign w:val="center"/>
          </w:tcPr>
          <w:p w14:paraId="02BAC653">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80" w:type="dxa"/>
            <w:noWrap w:val="0"/>
            <w:vAlign w:val="center"/>
          </w:tcPr>
          <w:p w14:paraId="3EA1D119">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020" w:type="dxa"/>
            <w:noWrap w:val="0"/>
            <w:vAlign w:val="center"/>
          </w:tcPr>
          <w:p w14:paraId="279F6D11">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921" w:type="dxa"/>
            <w:noWrap w:val="0"/>
            <w:vAlign w:val="center"/>
          </w:tcPr>
          <w:p w14:paraId="6FAE4F07">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0FA42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49E3A028">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18" w:type="dxa"/>
            <w:noWrap w:val="0"/>
            <w:vAlign w:val="center"/>
          </w:tcPr>
          <w:p w14:paraId="22D546AF">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0" w:type="dxa"/>
            <w:noWrap w:val="0"/>
            <w:vAlign w:val="center"/>
          </w:tcPr>
          <w:p w14:paraId="62323768">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058" w:type="dxa"/>
            <w:noWrap w:val="0"/>
            <w:vAlign w:val="center"/>
          </w:tcPr>
          <w:p w14:paraId="1797F973">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80" w:type="dxa"/>
            <w:noWrap w:val="0"/>
            <w:vAlign w:val="center"/>
          </w:tcPr>
          <w:p w14:paraId="2AF2442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020" w:type="dxa"/>
            <w:noWrap w:val="0"/>
            <w:vAlign w:val="center"/>
          </w:tcPr>
          <w:p w14:paraId="62ECFD46">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80" w:type="dxa"/>
            <w:noWrap w:val="0"/>
            <w:vAlign w:val="center"/>
          </w:tcPr>
          <w:p w14:paraId="2A9F0079">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020" w:type="dxa"/>
            <w:noWrap w:val="0"/>
            <w:vAlign w:val="center"/>
          </w:tcPr>
          <w:p w14:paraId="069845A8">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921" w:type="dxa"/>
            <w:noWrap w:val="0"/>
            <w:vAlign w:val="center"/>
          </w:tcPr>
          <w:p w14:paraId="2DE5AC4E">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01117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615C1645">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18" w:type="dxa"/>
            <w:noWrap w:val="0"/>
            <w:vAlign w:val="center"/>
          </w:tcPr>
          <w:p w14:paraId="7BD6BC63">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0" w:type="dxa"/>
            <w:noWrap w:val="0"/>
            <w:vAlign w:val="center"/>
          </w:tcPr>
          <w:p w14:paraId="412FAAE7">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058" w:type="dxa"/>
            <w:noWrap w:val="0"/>
            <w:vAlign w:val="center"/>
          </w:tcPr>
          <w:p w14:paraId="27A71EDC">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80" w:type="dxa"/>
            <w:noWrap w:val="0"/>
            <w:vAlign w:val="center"/>
          </w:tcPr>
          <w:p w14:paraId="085EE342">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020" w:type="dxa"/>
            <w:noWrap w:val="0"/>
            <w:vAlign w:val="center"/>
          </w:tcPr>
          <w:p w14:paraId="617B5541">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80" w:type="dxa"/>
            <w:noWrap w:val="0"/>
            <w:vAlign w:val="center"/>
          </w:tcPr>
          <w:p w14:paraId="2259ECF1">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020" w:type="dxa"/>
            <w:noWrap w:val="0"/>
            <w:vAlign w:val="center"/>
          </w:tcPr>
          <w:p w14:paraId="3B006DCF">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921" w:type="dxa"/>
            <w:noWrap w:val="0"/>
            <w:vAlign w:val="center"/>
          </w:tcPr>
          <w:p w14:paraId="5C80FD1C">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59F15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670B0068">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18" w:type="dxa"/>
            <w:noWrap w:val="0"/>
            <w:vAlign w:val="center"/>
          </w:tcPr>
          <w:p w14:paraId="673227CC">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0" w:type="dxa"/>
            <w:noWrap w:val="0"/>
            <w:vAlign w:val="center"/>
          </w:tcPr>
          <w:p w14:paraId="4464C381">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058" w:type="dxa"/>
            <w:noWrap w:val="0"/>
            <w:vAlign w:val="center"/>
          </w:tcPr>
          <w:p w14:paraId="4B8FA1D6">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80" w:type="dxa"/>
            <w:noWrap w:val="0"/>
            <w:vAlign w:val="center"/>
          </w:tcPr>
          <w:p w14:paraId="02E05107">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020" w:type="dxa"/>
            <w:noWrap w:val="0"/>
            <w:vAlign w:val="center"/>
          </w:tcPr>
          <w:p w14:paraId="7CB9E8A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80" w:type="dxa"/>
            <w:noWrap w:val="0"/>
            <w:vAlign w:val="center"/>
          </w:tcPr>
          <w:p w14:paraId="6B5C9F03">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020" w:type="dxa"/>
            <w:noWrap w:val="0"/>
            <w:vAlign w:val="center"/>
          </w:tcPr>
          <w:p w14:paraId="35E90B2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921" w:type="dxa"/>
            <w:noWrap w:val="0"/>
            <w:vAlign w:val="center"/>
          </w:tcPr>
          <w:p w14:paraId="5FDD9D87">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3BDC8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1610612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18" w:type="dxa"/>
            <w:noWrap w:val="0"/>
            <w:vAlign w:val="center"/>
          </w:tcPr>
          <w:p w14:paraId="72A4DC8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0" w:type="dxa"/>
            <w:noWrap w:val="0"/>
            <w:vAlign w:val="center"/>
          </w:tcPr>
          <w:p w14:paraId="6FC02C2C">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058" w:type="dxa"/>
            <w:noWrap w:val="0"/>
            <w:vAlign w:val="center"/>
          </w:tcPr>
          <w:p w14:paraId="5ECA5ED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80" w:type="dxa"/>
            <w:noWrap w:val="0"/>
            <w:vAlign w:val="center"/>
          </w:tcPr>
          <w:p w14:paraId="65FC5C3E">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020" w:type="dxa"/>
            <w:noWrap w:val="0"/>
            <w:vAlign w:val="center"/>
          </w:tcPr>
          <w:p w14:paraId="3243AD6D">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80" w:type="dxa"/>
            <w:noWrap w:val="0"/>
            <w:vAlign w:val="center"/>
          </w:tcPr>
          <w:p w14:paraId="0DBBEC72">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020" w:type="dxa"/>
            <w:noWrap w:val="0"/>
            <w:vAlign w:val="center"/>
          </w:tcPr>
          <w:p w14:paraId="2F7DA299">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921" w:type="dxa"/>
            <w:noWrap w:val="0"/>
            <w:vAlign w:val="center"/>
          </w:tcPr>
          <w:p w14:paraId="6F33C1C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77081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097805C6">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18" w:type="dxa"/>
            <w:noWrap w:val="0"/>
            <w:vAlign w:val="top"/>
          </w:tcPr>
          <w:p w14:paraId="114268EC">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850" w:type="dxa"/>
            <w:noWrap w:val="0"/>
            <w:vAlign w:val="top"/>
          </w:tcPr>
          <w:p w14:paraId="6C968390">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058" w:type="dxa"/>
            <w:noWrap w:val="0"/>
            <w:vAlign w:val="top"/>
          </w:tcPr>
          <w:p w14:paraId="27F9CF92">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880" w:type="dxa"/>
            <w:noWrap w:val="0"/>
            <w:vAlign w:val="top"/>
          </w:tcPr>
          <w:p w14:paraId="21A7BFA3">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020" w:type="dxa"/>
            <w:noWrap w:val="0"/>
            <w:vAlign w:val="top"/>
          </w:tcPr>
          <w:p w14:paraId="66A2F78C">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80" w:type="dxa"/>
            <w:noWrap w:val="0"/>
            <w:vAlign w:val="top"/>
          </w:tcPr>
          <w:p w14:paraId="61E1AA68">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020" w:type="dxa"/>
            <w:noWrap w:val="0"/>
            <w:vAlign w:val="top"/>
          </w:tcPr>
          <w:p w14:paraId="0E73EC57">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921" w:type="dxa"/>
            <w:noWrap w:val="0"/>
            <w:vAlign w:val="top"/>
          </w:tcPr>
          <w:p w14:paraId="31002991">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r>
      <w:tr w14:paraId="0B6BB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714F478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18" w:type="dxa"/>
            <w:noWrap w:val="0"/>
            <w:vAlign w:val="center"/>
          </w:tcPr>
          <w:p w14:paraId="69700BB2">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50" w:type="dxa"/>
            <w:noWrap w:val="0"/>
            <w:vAlign w:val="center"/>
          </w:tcPr>
          <w:p w14:paraId="195D0835">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058" w:type="dxa"/>
            <w:noWrap w:val="0"/>
            <w:vAlign w:val="center"/>
          </w:tcPr>
          <w:p w14:paraId="0559ABC5">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880" w:type="dxa"/>
            <w:noWrap w:val="0"/>
            <w:vAlign w:val="center"/>
          </w:tcPr>
          <w:p w14:paraId="3339B2BC">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020" w:type="dxa"/>
            <w:noWrap w:val="0"/>
            <w:vAlign w:val="center"/>
          </w:tcPr>
          <w:p w14:paraId="3D4BB5ED">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480" w:type="dxa"/>
            <w:noWrap w:val="0"/>
            <w:vAlign w:val="center"/>
          </w:tcPr>
          <w:p w14:paraId="7C6AE1B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020" w:type="dxa"/>
            <w:noWrap w:val="0"/>
            <w:vAlign w:val="center"/>
          </w:tcPr>
          <w:p w14:paraId="5C463F56">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921" w:type="dxa"/>
            <w:noWrap w:val="0"/>
            <w:vAlign w:val="center"/>
          </w:tcPr>
          <w:p w14:paraId="1611A107">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4B8EC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06096014">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18" w:type="dxa"/>
            <w:noWrap w:val="0"/>
            <w:vAlign w:val="top"/>
          </w:tcPr>
          <w:p w14:paraId="3F7A3C23">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850" w:type="dxa"/>
            <w:noWrap w:val="0"/>
            <w:vAlign w:val="top"/>
          </w:tcPr>
          <w:p w14:paraId="0A2F0DEF">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058" w:type="dxa"/>
            <w:noWrap w:val="0"/>
            <w:vAlign w:val="top"/>
          </w:tcPr>
          <w:p w14:paraId="5156E75B">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880" w:type="dxa"/>
            <w:noWrap w:val="0"/>
            <w:vAlign w:val="top"/>
          </w:tcPr>
          <w:p w14:paraId="7DB33F64">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020" w:type="dxa"/>
            <w:noWrap w:val="0"/>
            <w:vAlign w:val="top"/>
          </w:tcPr>
          <w:p w14:paraId="3B6EADCC">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80" w:type="dxa"/>
            <w:noWrap w:val="0"/>
            <w:vAlign w:val="top"/>
          </w:tcPr>
          <w:p w14:paraId="27762B24">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020" w:type="dxa"/>
            <w:noWrap w:val="0"/>
            <w:vAlign w:val="top"/>
          </w:tcPr>
          <w:p w14:paraId="422D8E9B">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921" w:type="dxa"/>
            <w:noWrap w:val="0"/>
            <w:vAlign w:val="top"/>
          </w:tcPr>
          <w:p w14:paraId="4595E13F">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r>
      <w:tr w14:paraId="5BCBC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0170F927">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18" w:type="dxa"/>
            <w:noWrap w:val="0"/>
            <w:vAlign w:val="top"/>
          </w:tcPr>
          <w:p w14:paraId="1625094C">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850" w:type="dxa"/>
            <w:noWrap w:val="0"/>
            <w:vAlign w:val="top"/>
          </w:tcPr>
          <w:p w14:paraId="244AC0D0">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058" w:type="dxa"/>
            <w:noWrap w:val="0"/>
            <w:vAlign w:val="top"/>
          </w:tcPr>
          <w:p w14:paraId="79DFC7AE">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880" w:type="dxa"/>
            <w:noWrap w:val="0"/>
            <w:vAlign w:val="top"/>
          </w:tcPr>
          <w:p w14:paraId="39E096A8">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020" w:type="dxa"/>
            <w:noWrap w:val="0"/>
            <w:vAlign w:val="top"/>
          </w:tcPr>
          <w:p w14:paraId="74911071">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80" w:type="dxa"/>
            <w:noWrap w:val="0"/>
            <w:vAlign w:val="top"/>
          </w:tcPr>
          <w:p w14:paraId="3774C9F1">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020" w:type="dxa"/>
            <w:noWrap w:val="0"/>
            <w:vAlign w:val="top"/>
          </w:tcPr>
          <w:p w14:paraId="2AC26363">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921" w:type="dxa"/>
            <w:noWrap w:val="0"/>
            <w:vAlign w:val="top"/>
          </w:tcPr>
          <w:p w14:paraId="11F91E88">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r>
      <w:tr w14:paraId="73225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7C43776D">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18" w:type="dxa"/>
            <w:noWrap w:val="0"/>
            <w:vAlign w:val="top"/>
          </w:tcPr>
          <w:p w14:paraId="0303F7BB">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850" w:type="dxa"/>
            <w:noWrap w:val="0"/>
            <w:vAlign w:val="top"/>
          </w:tcPr>
          <w:p w14:paraId="24BE48C5">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058" w:type="dxa"/>
            <w:noWrap w:val="0"/>
            <w:vAlign w:val="top"/>
          </w:tcPr>
          <w:p w14:paraId="1033FD6E">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880" w:type="dxa"/>
            <w:noWrap w:val="0"/>
            <w:vAlign w:val="top"/>
          </w:tcPr>
          <w:p w14:paraId="7B89369D">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020" w:type="dxa"/>
            <w:noWrap w:val="0"/>
            <w:vAlign w:val="top"/>
          </w:tcPr>
          <w:p w14:paraId="6D587A99">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80" w:type="dxa"/>
            <w:noWrap w:val="0"/>
            <w:vAlign w:val="top"/>
          </w:tcPr>
          <w:p w14:paraId="3D5CB09E">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020" w:type="dxa"/>
            <w:noWrap w:val="0"/>
            <w:vAlign w:val="top"/>
          </w:tcPr>
          <w:p w14:paraId="04014996">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921" w:type="dxa"/>
            <w:noWrap w:val="0"/>
            <w:vAlign w:val="top"/>
          </w:tcPr>
          <w:p w14:paraId="2F1C834C">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r>
      <w:tr w14:paraId="38CAA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0B45D1EE">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18" w:type="dxa"/>
            <w:noWrap w:val="0"/>
            <w:vAlign w:val="top"/>
          </w:tcPr>
          <w:p w14:paraId="019FB05F">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850" w:type="dxa"/>
            <w:noWrap w:val="0"/>
            <w:vAlign w:val="top"/>
          </w:tcPr>
          <w:p w14:paraId="2D19CF6C">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058" w:type="dxa"/>
            <w:noWrap w:val="0"/>
            <w:vAlign w:val="top"/>
          </w:tcPr>
          <w:p w14:paraId="7686563A">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880" w:type="dxa"/>
            <w:noWrap w:val="0"/>
            <w:vAlign w:val="top"/>
          </w:tcPr>
          <w:p w14:paraId="1FCD44E3">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020" w:type="dxa"/>
            <w:noWrap w:val="0"/>
            <w:vAlign w:val="top"/>
          </w:tcPr>
          <w:p w14:paraId="5CF38E09">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80" w:type="dxa"/>
            <w:noWrap w:val="0"/>
            <w:vAlign w:val="top"/>
          </w:tcPr>
          <w:p w14:paraId="2FF47D01">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020" w:type="dxa"/>
            <w:noWrap w:val="0"/>
            <w:vAlign w:val="top"/>
          </w:tcPr>
          <w:p w14:paraId="61459A34">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921" w:type="dxa"/>
            <w:noWrap w:val="0"/>
            <w:vAlign w:val="top"/>
          </w:tcPr>
          <w:p w14:paraId="18393BB3">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r>
      <w:tr w14:paraId="524AF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0D5A6AAE">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18" w:type="dxa"/>
            <w:noWrap w:val="0"/>
            <w:vAlign w:val="top"/>
          </w:tcPr>
          <w:p w14:paraId="593CC2D3">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850" w:type="dxa"/>
            <w:noWrap w:val="0"/>
            <w:vAlign w:val="top"/>
          </w:tcPr>
          <w:p w14:paraId="41100F4F">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058" w:type="dxa"/>
            <w:noWrap w:val="0"/>
            <w:vAlign w:val="top"/>
          </w:tcPr>
          <w:p w14:paraId="0EF658AD">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880" w:type="dxa"/>
            <w:noWrap w:val="0"/>
            <w:vAlign w:val="top"/>
          </w:tcPr>
          <w:p w14:paraId="7B3649E7">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020" w:type="dxa"/>
            <w:noWrap w:val="0"/>
            <w:vAlign w:val="top"/>
          </w:tcPr>
          <w:p w14:paraId="7E98A4BC">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80" w:type="dxa"/>
            <w:noWrap w:val="0"/>
            <w:vAlign w:val="top"/>
          </w:tcPr>
          <w:p w14:paraId="61ECD576">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020" w:type="dxa"/>
            <w:noWrap w:val="0"/>
            <w:vAlign w:val="top"/>
          </w:tcPr>
          <w:p w14:paraId="6248D4C0">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921" w:type="dxa"/>
            <w:noWrap w:val="0"/>
            <w:vAlign w:val="top"/>
          </w:tcPr>
          <w:p w14:paraId="201AB646">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r>
      <w:tr w14:paraId="3D7CB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52F63040">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18" w:type="dxa"/>
            <w:noWrap w:val="0"/>
            <w:vAlign w:val="top"/>
          </w:tcPr>
          <w:p w14:paraId="635E8747">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850" w:type="dxa"/>
            <w:noWrap w:val="0"/>
            <w:vAlign w:val="top"/>
          </w:tcPr>
          <w:p w14:paraId="1F4F4074">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058" w:type="dxa"/>
            <w:noWrap w:val="0"/>
            <w:vAlign w:val="top"/>
          </w:tcPr>
          <w:p w14:paraId="50A44B83">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880" w:type="dxa"/>
            <w:noWrap w:val="0"/>
            <w:vAlign w:val="top"/>
          </w:tcPr>
          <w:p w14:paraId="31C268E3">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020" w:type="dxa"/>
            <w:noWrap w:val="0"/>
            <w:vAlign w:val="top"/>
          </w:tcPr>
          <w:p w14:paraId="037A5504">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80" w:type="dxa"/>
            <w:noWrap w:val="0"/>
            <w:vAlign w:val="top"/>
          </w:tcPr>
          <w:p w14:paraId="15FD4096">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020" w:type="dxa"/>
            <w:noWrap w:val="0"/>
            <w:vAlign w:val="top"/>
          </w:tcPr>
          <w:p w14:paraId="47C6A8C3">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921" w:type="dxa"/>
            <w:noWrap w:val="0"/>
            <w:vAlign w:val="top"/>
          </w:tcPr>
          <w:p w14:paraId="55B837E4">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r>
      <w:tr w14:paraId="38B29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36EB9374">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18" w:type="dxa"/>
            <w:noWrap w:val="0"/>
            <w:vAlign w:val="top"/>
          </w:tcPr>
          <w:p w14:paraId="70060F55">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850" w:type="dxa"/>
            <w:noWrap w:val="0"/>
            <w:vAlign w:val="top"/>
          </w:tcPr>
          <w:p w14:paraId="5FEB9177">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058" w:type="dxa"/>
            <w:noWrap w:val="0"/>
            <w:vAlign w:val="top"/>
          </w:tcPr>
          <w:p w14:paraId="0FD119B1">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880" w:type="dxa"/>
            <w:noWrap w:val="0"/>
            <w:vAlign w:val="top"/>
          </w:tcPr>
          <w:p w14:paraId="490C06DF">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020" w:type="dxa"/>
            <w:noWrap w:val="0"/>
            <w:vAlign w:val="top"/>
          </w:tcPr>
          <w:p w14:paraId="47D352CC">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80" w:type="dxa"/>
            <w:noWrap w:val="0"/>
            <w:vAlign w:val="top"/>
          </w:tcPr>
          <w:p w14:paraId="23405FD8">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020" w:type="dxa"/>
            <w:noWrap w:val="0"/>
            <w:vAlign w:val="top"/>
          </w:tcPr>
          <w:p w14:paraId="5D5F0643">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921" w:type="dxa"/>
            <w:noWrap w:val="0"/>
            <w:vAlign w:val="top"/>
          </w:tcPr>
          <w:p w14:paraId="1BE2E239">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r>
      <w:tr w14:paraId="4673C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7B3593BD">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18" w:type="dxa"/>
            <w:noWrap w:val="0"/>
            <w:vAlign w:val="top"/>
          </w:tcPr>
          <w:p w14:paraId="2E8565AC">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850" w:type="dxa"/>
            <w:noWrap w:val="0"/>
            <w:vAlign w:val="top"/>
          </w:tcPr>
          <w:p w14:paraId="4CB77126">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058" w:type="dxa"/>
            <w:noWrap w:val="0"/>
            <w:vAlign w:val="top"/>
          </w:tcPr>
          <w:p w14:paraId="74C46AB2">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880" w:type="dxa"/>
            <w:noWrap w:val="0"/>
            <w:vAlign w:val="top"/>
          </w:tcPr>
          <w:p w14:paraId="44636FC6">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020" w:type="dxa"/>
            <w:noWrap w:val="0"/>
            <w:vAlign w:val="top"/>
          </w:tcPr>
          <w:p w14:paraId="219BA8CE">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80" w:type="dxa"/>
            <w:noWrap w:val="0"/>
            <w:vAlign w:val="top"/>
          </w:tcPr>
          <w:p w14:paraId="09DF6FFD">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020" w:type="dxa"/>
            <w:noWrap w:val="0"/>
            <w:vAlign w:val="top"/>
          </w:tcPr>
          <w:p w14:paraId="56047A6D">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921" w:type="dxa"/>
            <w:noWrap w:val="0"/>
            <w:vAlign w:val="top"/>
          </w:tcPr>
          <w:p w14:paraId="166BDA93">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r>
      <w:tr w14:paraId="7E655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41FFBC8B">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18" w:type="dxa"/>
            <w:noWrap w:val="0"/>
            <w:vAlign w:val="top"/>
          </w:tcPr>
          <w:p w14:paraId="5B314B27">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850" w:type="dxa"/>
            <w:noWrap w:val="0"/>
            <w:vAlign w:val="top"/>
          </w:tcPr>
          <w:p w14:paraId="28822169">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058" w:type="dxa"/>
            <w:noWrap w:val="0"/>
            <w:vAlign w:val="top"/>
          </w:tcPr>
          <w:p w14:paraId="341C069B">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880" w:type="dxa"/>
            <w:noWrap w:val="0"/>
            <w:vAlign w:val="top"/>
          </w:tcPr>
          <w:p w14:paraId="7B77CADC">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020" w:type="dxa"/>
            <w:noWrap w:val="0"/>
            <w:vAlign w:val="top"/>
          </w:tcPr>
          <w:p w14:paraId="642029C9">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480" w:type="dxa"/>
            <w:noWrap w:val="0"/>
            <w:vAlign w:val="top"/>
          </w:tcPr>
          <w:p w14:paraId="2A02DF3F">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1020" w:type="dxa"/>
            <w:noWrap w:val="0"/>
            <w:vAlign w:val="top"/>
          </w:tcPr>
          <w:p w14:paraId="6ADC5A52">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c>
          <w:tcPr>
            <w:tcW w:w="921" w:type="dxa"/>
            <w:noWrap w:val="0"/>
            <w:vAlign w:val="top"/>
          </w:tcPr>
          <w:p w14:paraId="68CFC1E9">
            <w:pPr>
              <w:keepNext w:val="0"/>
              <w:keepLines w:val="0"/>
              <w:suppressLineNumbers w:val="0"/>
              <w:spacing w:before="0" w:beforeAutospacing="0" w:after="0" w:afterAutospacing="0"/>
              <w:ind w:left="0" w:right="0"/>
              <w:rPr>
                <w:rFonts w:hint="eastAsia" w:ascii="宋体" w:hAnsi="宋体" w:eastAsia="宋体" w:cs="宋体"/>
                <w:color w:val="auto"/>
                <w:sz w:val="30"/>
                <w:szCs w:val="30"/>
                <w:highlight w:val="none"/>
              </w:rPr>
            </w:pPr>
          </w:p>
        </w:tc>
      </w:tr>
    </w:tbl>
    <w:p w14:paraId="0ACDFF74">
      <w:pPr>
        <w:spacing w:line="440" w:lineRule="exact"/>
        <w:rPr>
          <w:rFonts w:hint="eastAsia" w:ascii="宋体" w:hAnsi="宋体" w:eastAsia="宋体" w:cs="宋体"/>
          <w:color w:val="auto"/>
          <w:sz w:val="30"/>
          <w:szCs w:val="30"/>
          <w:highlight w:val="none"/>
        </w:rPr>
        <w:sectPr>
          <w:pgSz w:w="11907" w:h="16840"/>
          <w:pgMar w:top="1440" w:right="1080" w:bottom="1440" w:left="1080" w:header="851" w:footer="851" w:gutter="0"/>
          <w:pgNumType w:fmt="decimal"/>
          <w:cols w:space="720" w:num="1"/>
          <w:docGrid w:linePitch="312" w:charSpace="0"/>
        </w:sectPr>
      </w:pPr>
    </w:p>
    <w:p w14:paraId="48B9404A">
      <w:pPr>
        <w:spacing w:before="120" w:beforeLines="50" w:after="120" w:afterLines="50" w:line="440" w:lineRule="exact"/>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附件5：承包人主要施工管理人员表</w:t>
      </w:r>
    </w:p>
    <w:p w14:paraId="02F9ABE5">
      <w:pPr>
        <w:spacing w:before="120" w:beforeLines="50" w:after="120" w:afterLines="50" w:line="44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承包人主要施工管理人员表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656A3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DBE0383">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名    称</w:t>
            </w:r>
          </w:p>
        </w:tc>
        <w:tc>
          <w:tcPr>
            <w:tcW w:w="1418" w:type="dxa"/>
            <w:noWrap w:val="0"/>
            <w:vAlign w:val="center"/>
          </w:tcPr>
          <w:p w14:paraId="53A8960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姓名</w:t>
            </w:r>
          </w:p>
        </w:tc>
        <w:tc>
          <w:tcPr>
            <w:tcW w:w="1134" w:type="dxa"/>
            <w:noWrap w:val="0"/>
            <w:vAlign w:val="center"/>
          </w:tcPr>
          <w:p w14:paraId="5D828C6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职务</w:t>
            </w:r>
          </w:p>
        </w:tc>
        <w:tc>
          <w:tcPr>
            <w:tcW w:w="1134" w:type="dxa"/>
            <w:noWrap w:val="0"/>
            <w:vAlign w:val="center"/>
          </w:tcPr>
          <w:p w14:paraId="158EF6E9">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职称</w:t>
            </w:r>
          </w:p>
        </w:tc>
        <w:tc>
          <w:tcPr>
            <w:tcW w:w="4252" w:type="dxa"/>
            <w:noWrap w:val="0"/>
            <w:vAlign w:val="center"/>
          </w:tcPr>
          <w:p w14:paraId="31134650">
            <w:pPr>
              <w:pStyle w:val="16"/>
              <w:keepNext/>
              <w:keepLines w:val="0"/>
              <w:suppressLineNumbers w:val="0"/>
              <w:spacing w:before="0" w:beforeAutospacing="0" w:after="0" w:afterAutospacing="0" w:line="440" w:lineRule="exact"/>
              <w:ind w:left="0" w:leftChars="0" w:right="63"/>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计划进场时间</w:t>
            </w:r>
          </w:p>
        </w:tc>
      </w:tr>
      <w:tr w14:paraId="48162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770344F8">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一、总部人员</w:t>
            </w:r>
          </w:p>
        </w:tc>
      </w:tr>
      <w:tr w14:paraId="2B056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54ABFE6">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项目主管</w:t>
            </w:r>
          </w:p>
        </w:tc>
        <w:tc>
          <w:tcPr>
            <w:tcW w:w="1418" w:type="dxa"/>
            <w:noWrap w:val="0"/>
            <w:vAlign w:val="center"/>
          </w:tcPr>
          <w:p w14:paraId="10B8960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7CDC84AD">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59640EA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6D80AEA2">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5B74B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316015CF">
            <w:pPr>
              <w:pStyle w:val="16"/>
              <w:keepNext/>
              <w:keepLines w:val="0"/>
              <w:suppressLineNumbers w:val="0"/>
              <w:spacing w:before="0" w:beforeAutospacing="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其他人员</w:t>
            </w:r>
          </w:p>
        </w:tc>
        <w:tc>
          <w:tcPr>
            <w:tcW w:w="1418" w:type="dxa"/>
            <w:noWrap w:val="0"/>
            <w:vAlign w:val="center"/>
          </w:tcPr>
          <w:p w14:paraId="2496DE76">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48022CBD">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4134B062">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6CD852A6">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22591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EAB38B8">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55CEF43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586E6E81">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0AFBFAA9">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38440EC1">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70AF6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297E8F2">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18A12937">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484D758E">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0FCC0707">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3F88DD23">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77731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07B2C452">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二、现场人员</w:t>
            </w:r>
          </w:p>
        </w:tc>
      </w:tr>
      <w:tr w14:paraId="0302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6093ABE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项目经理</w:t>
            </w:r>
          </w:p>
        </w:tc>
        <w:tc>
          <w:tcPr>
            <w:tcW w:w="1418" w:type="dxa"/>
            <w:noWrap w:val="0"/>
            <w:vAlign w:val="center"/>
          </w:tcPr>
          <w:p w14:paraId="784C23B8">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1A9511FE">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65E5140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0030583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46999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A3889BA">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项目副经理</w:t>
            </w:r>
          </w:p>
        </w:tc>
        <w:tc>
          <w:tcPr>
            <w:tcW w:w="1418" w:type="dxa"/>
            <w:noWrap w:val="0"/>
            <w:vAlign w:val="center"/>
          </w:tcPr>
          <w:p w14:paraId="4B798352">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133CDE3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21795D4C">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27FA06B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71AE6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0F86994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技术负责人</w:t>
            </w:r>
          </w:p>
        </w:tc>
        <w:tc>
          <w:tcPr>
            <w:tcW w:w="1418" w:type="dxa"/>
            <w:noWrap w:val="0"/>
            <w:vAlign w:val="center"/>
          </w:tcPr>
          <w:p w14:paraId="3E6F3AF7">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351EB578">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085DD09F">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4C82EB61">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36F0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3475B98">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造价管理</w:t>
            </w:r>
          </w:p>
        </w:tc>
        <w:tc>
          <w:tcPr>
            <w:tcW w:w="1418" w:type="dxa"/>
            <w:noWrap w:val="0"/>
            <w:vAlign w:val="center"/>
          </w:tcPr>
          <w:p w14:paraId="3B8DF662">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727F7733">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69274D2A">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6000A71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66D4D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4706267A">
            <w:pPr>
              <w:pStyle w:val="16"/>
              <w:keepNext/>
              <w:keepLines w:val="0"/>
              <w:suppressLineNumbers w:val="0"/>
              <w:spacing w:before="0" w:beforeAutospacing="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质量管理</w:t>
            </w:r>
          </w:p>
        </w:tc>
        <w:tc>
          <w:tcPr>
            <w:tcW w:w="1418" w:type="dxa"/>
            <w:noWrap w:val="0"/>
            <w:vAlign w:val="center"/>
          </w:tcPr>
          <w:p w14:paraId="1DBC92C5">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5E80A45C">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66F699FE">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325DDF0A">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35507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6E9189CB">
            <w:pPr>
              <w:pStyle w:val="16"/>
              <w:keepNext/>
              <w:keepLines w:val="0"/>
              <w:suppressLineNumbers w:val="0"/>
              <w:spacing w:before="0" w:beforeAutospacing="0" w:afterAutospacing="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126B16DD">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4AE242B2">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296033A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760A2B6C">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754A3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B0C86C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015D845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62E5D0E1">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16DA2C9F">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1C1F7E57">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57C71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64D5902">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材料管理</w:t>
            </w:r>
          </w:p>
        </w:tc>
        <w:tc>
          <w:tcPr>
            <w:tcW w:w="1418" w:type="dxa"/>
            <w:noWrap w:val="0"/>
            <w:vAlign w:val="center"/>
          </w:tcPr>
          <w:p w14:paraId="00C767AC">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34CDB7D9">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6EEDE7EC">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484482CC">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2FF54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4AF6184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计划管理</w:t>
            </w:r>
          </w:p>
        </w:tc>
        <w:tc>
          <w:tcPr>
            <w:tcW w:w="1418" w:type="dxa"/>
            <w:noWrap w:val="0"/>
            <w:vAlign w:val="center"/>
          </w:tcPr>
          <w:p w14:paraId="64E0DEE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21450CD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5E80427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6A3B4FC1">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7A04B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281B37E9">
            <w:pPr>
              <w:pStyle w:val="16"/>
              <w:keepNext/>
              <w:keepLines w:val="0"/>
              <w:suppressLineNumbers w:val="0"/>
              <w:spacing w:before="0" w:beforeAutospacing="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安全管理</w:t>
            </w:r>
          </w:p>
        </w:tc>
        <w:tc>
          <w:tcPr>
            <w:tcW w:w="1418" w:type="dxa"/>
            <w:noWrap w:val="0"/>
            <w:vAlign w:val="center"/>
          </w:tcPr>
          <w:p w14:paraId="0DF29EEF">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4C2A9246">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461457A5">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6C8376B8">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14A0A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0E8CF710">
            <w:pPr>
              <w:pStyle w:val="16"/>
              <w:keepNext/>
              <w:keepLines w:val="0"/>
              <w:suppressLineNumbers w:val="0"/>
              <w:spacing w:before="0" w:beforeAutospacing="0" w:afterAutospacing="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5D7A0229">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68E9C1B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09D2FEA1">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0DFCB445">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72EB4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53475F2">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588D316F">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0BC7AA0E">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07571731">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3F682FD6">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21720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791FC392">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其他人员</w:t>
            </w:r>
          </w:p>
        </w:tc>
        <w:tc>
          <w:tcPr>
            <w:tcW w:w="1418" w:type="dxa"/>
            <w:noWrap w:val="0"/>
            <w:vAlign w:val="center"/>
          </w:tcPr>
          <w:p w14:paraId="21D5084E">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15FA41EE">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49A298E2">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541D30FE">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5716D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42F16DD">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26E9BB0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4EAABBE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1893F9B5">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0B59BB5F">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58945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4C8F168">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5AF1E7F3">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4CC8135F">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66824E95">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5959E952">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264AF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689B86D">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23A5282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392F758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30046591">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2AB7945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3D239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6B5AEF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67ADF32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118F85D6">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714BCD0C">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7E517D4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06A7E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EE73B79">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4D72EDD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3EFDE7E1">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4301220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55FD5E7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bl>
    <w:p w14:paraId="69F28BA4">
      <w:pPr>
        <w:spacing w:before="120" w:beforeLines="50" w:after="120" w:afterLines="50" w:line="440" w:lineRule="exact"/>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r>
        <w:rPr>
          <w:rFonts w:hint="eastAsia" w:ascii="宋体" w:hAnsi="宋体" w:eastAsia="宋体" w:cs="宋体"/>
          <w:color w:val="auto"/>
          <w:sz w:val="30"/>
          <w:szCs w:val="30"/>
          <w:highlight w:val="none"/>
        </w:rPr>
        <w:t>附件6：</w:t>
      </w:r>
      <w:r>
        <w:rPr>
          <w:rFonts w:hint="eastAsia" w:ascii="宋体" w:hAnsi="宋体" w:eastAsia="宋体" w:cs="宋体"/>
          <w:color w:val="auto"/>
          <w:sz w:val="30"/>
          <w:szCs w:val="30"/>
          <w:highlight w:val="none"/>
          <w:lang w:val="en-US" w:eastAsia="zh-CN"/>
        </w:rPr>
        <w:t>分包人主要施工管理人员表</w:t>
      </w:r>
    </w:p>
    <w:p w14:paraId="6198F84C">
      <w:pPr>
        <w:spacing w:before="120" w:beforeLines="50" w:after="120" w:afterLines="50" w:line="44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分包人主要施工管理人员表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7F1D7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BE0D48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名    称</w:t>
            </w:r>
          </w:p>
        </w:tc>
        <w:tc>
          <w:tcPr>
            <w:tcW w:w="1418" w:type="dxa"/>
            <w:noWrap w:val="0"/>
            <w:vAlign w:val="center"/>
          </w:tcPr>
          <w:p w14:paraId="2A045509">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姓名</w:t>
            </w:r>
          </w:p>
        </w:tc>
        <w:tc>
          <w:tcPr>
            <w:tcW w:w="1134" w:type="dxa"/>
            <w:noWrap w:val="0"/>
            <w:vAlign w:val="center"/>
          </w:tcPr>
          <w:p w14:paraId="4A04B21C">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职务</w:t>
            </w:r>
          </w:p>
        </w:tc>
        <w:tc>
          <w:tcPr>
            <w:tcW w:w="1134" w:type="dxa"/>
            <w:noWrap w:val="0"/>
            <w:vAlign w:val="center"/>
          </w:tcPr>
          <w:p w14:paraId="0AF4F0F6">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职称</w:t>
            </w:r>
          </w:p>
        </w:tc>
        <w:tc>
          <w:tcPr>
            <w:tcW w:w="4252" w:type="dxa"/>
            <w:noWrap w:val="0"/>
            <w:vAlign w:val="center"/>
          </w:tcPr>
          <w:p w14:paraId="6B1373EE">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主要资历、经验及承担过的项目</w:t>
            </w:r>
          </w:p>
        </w:tc>
      </w:tr>
      <w:tr w14:paraId="6095E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68A4E71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一、总部人员</w:t>
            </w:r>
          </w:p>
        </w:tc>
      </w:tr>
      <w:tr w14:paraId="0C5B3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86BFF4F">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项目主管</w:t>
            </w:r>
          </w:p>
        </w:tc>
        <w:tc>
          <w:tcPr>
            <w:tcW w:w="1418" w:type="dxa"/>
            <w:noWrap w:val="0"/>
            <w:vAlign w:val="center"/>
          </w:tcPr>
          <w:p w14:paraId="30D25F91">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10ADF31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09893DC6">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7A6B4F13">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1ACDD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2C9562EC">
            <w:pPr>
              <w:pStyle w:val="16"/>
              <w:keepNext/>
              <w:keepLines w:val="0"/>
              <w:suppressLineNumbers w:val="0"/>
              <w:spacing w:before="0" w:beforeAutospacing="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其他人员</w:t>
            </w:r>
          </w:p>
        </w:tc>
        <w:tc>
          <w:tcPr>
            <w:tcW w:w="1418" w:type="dxa"/>
            <w:noWrap w:val="0"/>
            <w:vAlign w:val="center"/>
          </w:tcPr>
          <w:p w14:paraId="37A1B1D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2ACB14B8">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539E1DF9">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3C57C377">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4F5A4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6BC37F58">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382FBE8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413E7B28">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1695C0A1">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1677CA8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7CA22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120DC4C">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2E39B38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377ADD6C">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69DE8E95">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44E77B99">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246D9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2FF9E288">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二、现场人员</w:t>
            </w:r>
          </w:p>
        </w:tc>
      </w:tr>
      <w:tr w14:paraId="0E534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7F1CABD">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项目经理</w:t>
            </w:r>
          </w:p>
        </w:tc>
        <w:tc>
          <w:tcPr>
            <w:tcW w:w="1418" w:type="dxa"/>
            <w:noWrap w:val="0"/>
            <w:vAlign w:val="center"/>
          </w:tcPr>
          <w:p w14:paraId="793D4401">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23C6B3BF">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18B1DA91">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5D476DF3">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1E16F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A290B4C">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项目副经理</w:t>
            </w:r>
          </w:p>
        </w:tc>
        <w:tc>
          <w:tcPr>
            <w:tcW w:w="1418" w:type="dxa"/>
            <w:noWrap w:val="0"/>
            <w:vAlign w:val="center"/>
          </w:tcPr>
          <w:p w14:paraId="7F7A79E3">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3A62798A">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03C11113">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563FF68F">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5B088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C3033E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技术负责人</w:t>
            </w:r>
          </w:p>
        </w:tc>
        <w:tc>
          <w:tcPr>
            <w:tcW w:w="1418" w:type="dxa"/>
            <w:noWrap w:val="0"/>
            <w:vAlign w:val="center"/>
          </w:tcPr>
          <w:p w14:paraId="5F4B56DF">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78F17EE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13B4F782">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12A9F0C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2A950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3CC0722">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造价管理</w:t>
            </w:r>
          </w:p>
        </w:tc>
        <w:tc>
          <w:tcPr>
            <w:tcW w:w="1418" w:type="dxa"/>
            <w:noWrap w:val="0"/>
            <w:vAlign w:val="center"/>
          </w:tcPr>
          <w:p w14:paraId="4B280DF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14641286">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2BC20CA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30D8487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00980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277C45A">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质量管理</w:t>
            </w:r>
          </w:p>
        </w:tc>
        <w:tc>
          <w:tcPr>
            <w:tcW w:w="1418" w:type="dxa"/>
            <w:noWrap w:val="0"/>
            <w:vAlign w:val="center"/>
          </w:tcPr>
          <w:p w14:paraId="5C52CBD5">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40AB6DBF">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53E8C788">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675D0BF2">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34F8C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0ECE88F6">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材料管理</w:t>
            </w:r>
          </w:p>
        </w:tc>
        <w:tc>
          <w:tcPr>
            <w:tcW w:w="1418" w:type="dxa"/>
            <w:noWrap w:val="0"/>
            <w:vAlign w:val="center"/>
          </w:tcPr>
          <w:p w14:paraId="712D4CF5">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3A9E7A25">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5DFE6B05">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148AEB21">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01569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01E11B5E">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计划管理</w:t>
            </w:r>
          </w:p>
        </w:tc>
        <w:tc>
          <w:tcPr>
            <w:tcW w:w="1418" w:type="dxa"/>
            <w:noWrap w:val="0"/>
            <w:vAlign w:val="center"/>
          </w:tcPr>
          <w:p w14:paraId="6B109C3F">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2EB51D1A">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6A44B917">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011CAA3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79C73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828A1FE">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安全管理</w:t>
            </w:r>
          </w:p>
        </w:tc>
        <w:tc>
          <w:tcPr>
            <w:tcW w:w="1418" w:type="dxa"/>
            <w:noWrap w:val="0"/>
            <w:vAlign w:val="center"/>
          </w:tcPr>
          <w:p w14:paraId="596E0BF5">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1462FC2A">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34E05F8E">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64D9137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21340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5CF293AE">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其他人员</w:t>
            </w:r>
          </w:p>
        </w:tc>
        <w:tc>
          <w:tcPr>
            <w:tcW w:w="1418" w:type="dxa"/>
            <w:noWrap w:val="0"/>
            <w:vAlign w:val="center"/>
          </w:tcPr>
          <w:p w14:paraId="079298E2">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7011235D">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5D0B5097">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2DCB89D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36A2F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7A41FED">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0EB91119">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01669AB3">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60092E83">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78E512C1">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3A88C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1BF801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3EB98CFD">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63C9F3D8">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38E00442">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4898108E">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39AB9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D70E20D">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37385336">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599AD96A">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0C1EAAF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1C2E9FCF">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1EDC7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01EE5BBB">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56E81509">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2BD253D4">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38CDB8F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7A7F582D">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r w14:paraId="482E3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C9527B3">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418" w:type="dxa"/>
            <w:noWrap w:val="0"/>
            <w:vAlign w:val="center"/>
          </w:tcPr>
          <w:p w14:paraId="6886463C">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28"/>
                <w:szCs w:val="28"/>
                <w:highlight w:val="none"/>
              </w:rPr>
            </w:pPr>
          </w:p>
        </w:tc>
        <w:tc>
          <w:tcPr>
            <w:tcW w:w="1134" w:type="dxa"/>
            <w:noWrap w:val="0"/>
            <w:vAlign w:val="center"/>
          </w:tcPr>
          <w:p w14:paraId="634F96CA">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1134" w:type="dxa"/>
            <w:noWrap w:val="0"/>
            <w:vAlign w:val="center"/>
          </w:tcPr>
          <w:p w14:paraId="5D489F52">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c>
          <w:tcPr>
            <w:tcW w:w="4252" w:type="dxa"/>
            <w:noWrap w:val="0"/>
            <w:vAlign w:val="center"/>
          </w:tcPr>
          <w:p w14:paraId="005F6830">
            <w:pPr>
              <w:pStyle w:val="16"/>
              <w:keepNext/>
              <w:keepLines w:val="0"/>
              <w:suppressLineNumbers w:val="0"/>
              <w:spacing w:before="0" w:beforeAutospacing="0" w:after="0" w:afterAutospacing="0" w:line="440" w:lineRule="exact"/>
              <w:ind w:left="63" w:right="63"/>
              <w:rPr>
                <w:rFonts w:hint="eastAsia" w:ascii="宋体" w:hAnsi="宋体" w:eastAsia="宋体" w:cs="宋体"/>
                <w:color w:val="auto"/>
                <w:sz w:val="30"/>
                <w:szCs w:val="30"/>
                <w:highlight w:val="none"/>
              </w:rPr>
            </w:pPr>
          </w:p>
        </w:tc>
      </w:tr>
    </w:tbl>
    <w:p w14:paraId="47D2FA40">
      <w:pPr>
        <w:spacing w:before="120" w:beforeLines="50" w:after="120" w:afterLines="50" w:line="440" w:lineRule="exact"/>
        <w:jc w:val="left"/>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rPr>
        <w:br w:type="page"/>
      </w:r>
      <w:r>
        <w:rPr>
          <w:rFonts w:hint="eastAsia" w:ascii="宋体" w:hAnsi="宋体" w:eastAsia="宋体" w:cs="宋体"/>
          <w:color w:val="auto"/>
          <w:sz w:val="30"/>
          <w:szCs w:val="30"/>
          <w:highlight w:val="none"/>
        </w:rPr>
        <w:t>附件7</w:t>
      </w:r>
      <w:r>
        <w:rPr>
          <w:rFonts w:hint="eastAsia" w:ascii="宋体" w:hAnsi="宋体" w:eastAsia="宋体" w:cs="宋体"/>
          <w:color w:val="auto"/>
          <w:sz w:val="30"/>
          <w:szCs w:val="30"/>
          <w:highlight w:val="none"/>
          <w:lang w:eastAsia="zh-CN"/>
        </w:rPr>
        <w:t>：履约保函示范文本</w:t>
      </w:r>
    </w:p>
    <w:p w14:paraId="1C5233ED">
      <w:pPr>
        <w:spacing w:line="360" w:lineRule="auto"/>
        <w:jc w:val="left"/>
        <w:rPr>
          <w:rFonts w:hint="eastAsia" w:ascii="宋体" w:hAnsi="宋体" w:eastAsia="宋体" w:cs="宋体"/>
          <w:b/>
          <w:bCs/>
          <w:color w:val="auto"/>
          <w:sz w:val="32"/>
          <w:szCs w:val="32"/>
          <w:highlight w:val="none"/>
        </w:rPr>
      </w:pPr>
    </w:p>
    <w:p w14:paraId="391B5A29">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履约保函示范文本</w:t>
      </w:r>
    </w:p>
    <w:p w14:paraId="34890AE1">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（独立保函）</w:t>
      </w:r>
    </w:p>
    <w:p w14:paraId="330EEC22">
      <w:pPr>
        <w:wordWrap w:val="0"/>
        <w:spacing w:line="360" w:lineRule="auto"/>
        <w:jc w:val="right"/>
        <w:rPr>
          <w:rFonts w:hint="eastAsia" w:ascii="宋体" w:hAnsi="宋体" w:eastAsia="宋体" w:cs="宋体"/>
          <w:color w:val="auto"/>
          <w:highlight w:val="none"/>
        </w:rPr>
      </w:pPr>
      <w:r>
        <w:rPr>
          <w:rFonts w:hint="eastAsia" w:ascii="宋体" w:hAnsi="宋体" w:eastAsia="宋体" w:cs="宋体"/>
          <w:color w:val="auto"/>
          <w:highlight w:val="none"/>
        </w:rPr>
        <w:t xml:space="preserve">编号：           </w:t>
      </w:r>
    </w:p>
    <w:p w14:paraId="5C8F022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申请人：</w:t>
      </w:r>
    </w:p>
    <w:p w14:paraId="6E8AD90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地址：</w:t>
      </w:r>
    </w:p>
    <w:p w14:paraId="19D9390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受益人：</w:t>
      </w:r>
    </w:p>
    <w:p w14:paraId="44C52D4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地址：</w:t>
      </w:r>
    </w:p>
    <w:p w14:paraId="71A3C9D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开立人：</w:t>
      </w:r>
    </w:p>
    <w:p w14:paraId="2E0E001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地址：</w:t>
      </w:r>
    </w:p>
    <w:p w14:paraId="75EB30B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069287A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（受益人名称）： </w:t>
      </w:r>
    </w:p>
    <w:p w14:paraId="788C224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鉴于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受益人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申请人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工程（以下简称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本工程</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）施工和有关事项协商一致共同签订</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（以下简称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基础合同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），我方（即</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开立人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根据基础合同了解到申请人为基础合同项下之承包人，受益人为基础合同项下之发包人，基于申请人的请求，我方同意就申请人履行与贵方签订的基础合同项下的义务，向贵方提供不可撤销、不可转让的见索即付独立保函（以下简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本保函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p>
    <w:p w14:paraId="6816FAC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一、本保函担保范围：承包人未按照基础合同的约定履行义务，应当向贵方</w:t>
      </w:r>
      <w:r>
        <w:rPr>
          <w:rFonts w:hint="eastAsia" w:ascii="宋体" w:hAnsi="宋体" w:eastAsia="宋体" w:cs="宋体"/>
          <w:color w:val="auto"/>
          <w:sz w:val="24"/>
          <w:szCs w:val="24"/>
          <w:highlight w:val="none"/>
          <w:lang w:eastAsia="zh-CN"/>
        </w:rPr>
        <w:t>承担</w:t>
      </w:r>
      <w:r>
        <w:rPr>
          <w:rFonts w:hint="eastAsia" w:ascii="宋体" w:hAnsi="宋体" w:eastAsia="宋体" w:cs="宋体"/>
          <w:color w:val="auto"/>
          <w:sz w:val="24"/>
          <w:szCs w:val="24"/>
          <w:highlight w:val="none"/>
        </w:rPr>
        <w:t>违约责任和赔偿因此造成的损失、利息、律师费、诉讼费用等实现债权的费用。</w:t>
      </w:r>
    </w:p>
    <w:p w14:paraId="0466DE2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二、本保函担保金额最高不超过人民币（大写）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6920D26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三、本保函有效期自开立之日起至基础合同约定的缺陷责任期后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日止，最迟不超过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日。 </w:t>
      </w:r>
    </w:p>
    <w:p w14:paraId="1FA35D62">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四、我方承诺，在收到受益人发来的书面付款通知后的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日内无条件支付，前述书面付款通知即为付款要求之单据，且应满足以下要求：</w:t>
      </w:r>
    </w:p>
    <w:p w14:paraId="18EB044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（1）付款通知到达的日期在本保函的有效期内；</w:t>
      </w:r>
    </w:p>
    <w:p w14:paraId="1888114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（2）载明要求支付的金额；</w:t>
      </w:r>
    </w:p>
    <w:p w14:paraId="5029265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（3）载明申请人违反合同义务的条款和内容；</w:t>
      </w:r>
    </w:p>
    <w:p w14:paraId="5019D22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（4）声明不存在合同文件约定或我国法律规定免除申请人或开立人支付责任的情形；</w:t>
      </w:r>
    </w:p>
    <w:p w14:paraId="3F30EDD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（5）付款通知应在本保函有效期内到达的地址是：</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4E2583F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受益人发出的书面付款通知应由其为鉴明受益人法定代表人（负责人）或授权代理人签字并加盖公章。</w:t>
      </w:r>
    </w:p>
    <w:p w14:paraId="5AAF341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五、本保函项下的权利不得转让，不得设定担保。贵方未经我方书面同意转 让本保函或其项下任何权利，对我方不发生法律效力。 </w:t>
      </w:r>
    </w:p>
    <w:p w14:paraId="4C77311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六、与本保函有关的基础合同不成立、不生效、无效、被撤销、被解除，不影响本保函的独立有效。 </w:t>
      </w:r>
    </w:p>
    <w:p w14:paraId="09BD5B9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791A213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八、本保函适用的法律为中华人民共和国法律，争议裁判管辖地为中华人民共和国</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3A23682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九、本保函自我方法定代表人或授权代表签字并加盖公章之日起生效。 </w:t>
      </w:r>
    </w:p>
    <w:p w14:paraId="503E974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开 立 人：                              （公章） </w:t>
      </w:r>
    </w:p>
    <w:p w14:paraId="674208C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法定代表人（或授权代表）：               （签字） </w:t>
      </w:r>
    </w:p>
    <w:p w14:paraId="760CE18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    址：                                       </w:t>
      </w:r>
    </w:p>
    <w:p w14:paraId="67958DE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邮政编码：                 </w:t>
      </w:r>
    </w:p>
    <w:p w14:paraId="679F2E7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    话：                 </w:t>
      </w:r>
    </w:p>
    <w:p w14:paraId="45E95A6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传    真：                 </w:t>
      </w:r>
    </w:p>
    <w:p w14:paraId="2994BF2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开立时间：      年      月    </w:t>
      </w:r>
    </w:p>
    <w:p w14:paraId="4BAEDF66">
      <w:pPr>
        <w:spacing w:line="360" w:lineRule="auto"/>
        <w:ind w:firstLine="480" w:firstLineChars="200"/>
        <w:rPr>
          <w:rFonts w:hint="eastAsia" w:ascii="宋体" w:hAnsi="宋体" w:eastAsia="宋体" w:cs="宋体"/>
          <w:color w:val="auto"/>
          <w:sz w:val="24"/>
          <w:szCs w:val="24"/>
          <w:highlight w:val="none"/>
        </w:rPr>
      </w:pPr>
    </w:p>
    <w:p w14:paraId="3DE7655F">
      <w:pPr>
        <w:spacing w:line="360" w:lineRule="auto"/>
        <w:ind w:firstLine="480" w:firstLineChars="200"/>
        <w:rPr>
          <w:rFonts w:hint="eastAsia" w:ascii="宋体" w:hAnsi="宋体" w:eastAsia="宋体" w:cs="宋体"/>
          <w:color w:val="auto"/>
          <w:sz w:val="24"/>
          <w:szCs w:val="24"/>
          <w:highlight w:val="none"/>
        </w:rPr>
      </w:pPr>
    </w:p>
    <w:p w14:paraId="5D951FAA">
      <w:pPr>
        <w:spacing w:line="360" w:lineRule="auto"/>
        <w:ind w:firstLine="480" w:firstLineChars="200"/>
        <w:rPr>
          <w:rFonts w:hint="eastAsia" w:ascii="宋体" w:hAnsi="宋体" w:eastAsia="宋体" w:cs="宋体"/>
          <w:color w:val="auto"/>
          <w:sz w:val="24"/>
          <w:szCs w:val="24"/>
          <w:highlight w:val="none"/>
        </w:rPr>
      </w:pPr>
    </w:p>
    <w:p w14:paraId="674C33D8">
      <w:pPr>
        <w:spacing w:line="360" w:lineRule="auto"/>
        <w:ind w:firstLine="480" w:firstLineChars="200"/>
        <w:rPr>
          <w:rFonts w:hint="eastAsia" w:ascii="宋体" w:hAnsi="宋体" w:eastAsia="宋体" w:cs="宋体"/>
          <w:color w:val="auto"/>
          <w:sz w:val="24"/>
          <w:szCs w:val="24"/>
          <w:highlight w:val="none"/>
        </w:rPr>
      </w:pPr>
    </w:p>
    <w:p w14:paraId="5C741A2F">
      <w:pPr>
        <w:spacing w:line="360" w:lineRule="auto"/>
        <w:ind w:firstLine="480" w:firstLineChars="200"/>
        <w:rPr>
          <w:rFonts w:hint="eastAsia" w:ascii="宋体" w:hAnsi="宋体" w:eastAsia="宋体" w:cs="宋体"/>
          <w:color w:val="auto"/>
          <w:sz w:val="24"/>
          <w:szCs w:val="24"/>
          <w:highlight w:val="none"/>
        </w:rPr>
      </w:pPr>
    </w:p>
    <w:p w14:paraId="4674D785">
      <w:pPr>
        <w:spacing w:line="360" w:lineRule="auto"/>
        <w:ind w:firstLine="480" w:firstLineChars="200"/>
        <w:rPr>
          <w:rFonts w:hint="eastAsia" w:ascii="宋体" w:hAnsi="宋体" w:eastAsia="宋体" w:cs="宋体"/>
          <w:color w:val="auto"/>
          <w:sz w:val="24"/>
          <w:szCs w:val="24"/>
          <w:highlight w:val="none"/>
        </w:rPr>
      </w:pPr>
    </w:p>
    <w:p w14:paraId="539A5461">
      <w:pPr>
        <w:spacing w:line="360" w:lineRule="auto"/>
        <w:jc w:val="left"/>
        <w:rPr>
          <w:rFonts w:hint="eastAsia" w:ascii="宋体" w:hAnsi="宋体" w:eastAsia="宋体" w:cs="宋体"/>
          <w:color w:val="auto"/>
          <w:sz w:val="30"/>
          <w:szCs w:val="30"/>
          <w:highlight w:val="none"/>
        </w:rPr>
      </w:pPr>
    </w:p>
    <w:p w14:paraId="0A559744">
      <w:pPr>
        <w:spacing w:line="360" w:lineRule="auto"/>
        <w:jc w:val="left"/>
        <w:rPr>
          <w:rFonts w:hint="eastAsia" w:ascii="宋体" w:hAnsi="宋体" w:eastAsia="宋体" w:cs="宋体"/>
          <w:color w:val="auto"/>
          <w:sz w:val="32"/>
          <w:szCs w:val="32"/>
          <w:highlight w:val="none"/>
        </w:rPr>
      </w:pPr>
      <w:r>
        <w:rPr>
          <w:rFonts w:hint="eastAsia" w:ascii="宋体" w:hAnsi="宋体" w:eastAsia="宋体" w:cs="宋体"/>
          <w:color w:val="auto"/>
          <w:sz w:val="30"/>
          <w:szCs w:val="30"/>
          <w:highlight w:val="none"/>
        </w:rPr>
        <w:br w:type="page"/>
      </w:r>
      <w:r>
        <w:rPr>
          <w:rFonts w:hint="eastAsia" w:ascii="宋体" w:hAnsi="宋体" w:eastAsia="宋体" w:cs="宋体"/>
          <w:color w:val="auto"/>
          <w:sz w:val="30"/>
          <w:szCs w:val="30"/>
          <w:highlight w:val="none"/>
        </w:rPr>
        <w:t>附件7：履约保函示范文本</w:t>
      </w:r>
    </w:p>
    <w:p w14:paraId="0276AED8">
      <w:pPr>
        <w:spacing w:line="360" w:lineRule="auto"/>
        <w:rPr>
          <w:rFonts w:hint="eastAsia" w:ascii="宋体" w:hAnsi="宋体" w:eastAsia="宋体" w:cs="宋体"/>
          <w:b/>
          <w:bCs/>
          <w:color w:val="auto"/>
          <w:sz w:val="32"/>
          <w:szCs w:val="32"/>
          <w:highlight w:val="none"/>
        </w:rPr>
      </w:pPr>
    </w:p>
    <w:p w14:paraId="2D4B0BAF">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履约保函示范文本</w:t>
      </w:r>
    </w:p>
    <w:p w14:paraId="3122E700">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（非独立保函）</w:t>
      </w:r>
    </w:p>
    <w:p w14:paraId="623EABD0">
      <w:pPr>
        <w:spacing w:line="360" w:lineRule="auto"/>
        <w:jc w:val="center"/>
        <w:rPr>
          <w:rFonts w:hint="eastAsia" w:ascii="宋体" w:hAnsi="宋体" w:eastAsia="宋体" w:cs="宋体"/>
          <w:b/>
          <w:bCs/>
          <w:color w:val="auto"/>
          <w:sz w:val="32"/>
          <w:szCs w:val="32"/>
          <w:highlight w:val="none"/>
        </w:rPr>
      </w:pPr>
    </w:p>
    <w:p w14:paraId="554DF0BA">
      <w:pPr>
        <w:wordWrap w:val="0"/>
        <w:spacing w:line="360" w:lineRule="auto"/>
        <w:jc w:val="right"/>
        <w:rPr>
          <w:rFonts w:hint="eastAsia" w:ascii="宋体" w:hAnsi="宋体" w:eastAsia="宋体" w:cs="宋体"/>
          <w:color w:val="auto"/>
          <w:highlight w:val="none"/>
        </w:rPr>
      </w:pPr>
      <w:r>
        <w:rPr>
          <w:rFonts w:hint="eastAsia" w:ascii="宋体" w:hAnsi="宋体" w:eastAsia="宋体" w:cs="宋体"/>
          <w:color w:val="auto"/>
          <w:highlight w:val="none"/>
        </w:rPr>
        <w:t xml:space="preserve">编号：           </w:t>
      </w:r>
    </w:p>
    <w:p w14:paraId="0E78304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w:t>
      </w:r>
    </w:p>
    <w:p w14:paraId="766EEDB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60C7406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担保权人/发包人： </w:t>
      </w:r>
    </w:p>
    <w:p w14:paraId="481BE06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76A79D2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保证人：</w:t>
      </w:r>
    </w:p>
    <w:p w14:paraId="0CE56D6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45B31EBB">
      <w:pPr>
        <w:spacing w:line="360" w:lineRule="auto"/>
        <w:rPr>
          <w:rFonts w:hint="eastAsia" w:ascii="宋体" w:hAnsi="宋体" w:eastAsia="宋体" w:cs="宋体"/>
          <w:color w:val="auto"/>
          <w:sz w:val="24"/>
          <w:szCs w:val="24"/>
          <w:highlight w:val="none"/>
        </w:rPr>
      </w:pPr>
    </w:p>
    <w:p w14:paraId="5364944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（发包人名称）： </w:t>
      </w:r>
    </w:p>
    <w:p w14:paraId="5504F93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鉴于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发包人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承包人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工程（以下简称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本工程</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）施工和有关事项协商一致共同签订</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（以下简称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主合同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），我方即保证人基于承包人的请求，同意就承包人履行与贵方签订的主合同项下的义务，向贵方提供如下保证担保（以下简称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本保证担保</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p>
    <w:p w14:paraId="20F6FD50">
      <w:pPr>
        <w:spacing w:line="360" w:lineRule="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z w:val="24"/>
          <w:szCs w:val="24"/>
          <w:highlight w:val="none"/>
        </w:rPr>
        <w:t>一、保证担保的范围及保证担保金额</w:t>
      </w:r>
    </w:p>
    <w:p w14:paraId="5CA98A2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1.保证担保范围：承包人未按照主合同的约定履行义务，应当向贵方承担的违约责任和赔偿因此造成的损失、利息、律师费、诉讼费用等实现债权的费用。</w:t>
      </w:r>
    </w:p>
    <w:p w14:paraId="4532910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2.保证担保金额最高不超过人民币（大写）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1B1A6EEA">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二、保证担保的方式及保证期间 </w:t>
      </w:r>
    </w:p>
    <w:p w14:paraId="14DBCBA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1.保证担保方式：连带责任保证。</w:t>
      </w:r>
    </w:p>
    <w:p w14:paraId="1E26747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2.保证期间：自出具之日起至主合同约定的缺陷责任期后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日止，最迟不超过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日。 </w:t>
      </w:r>
    </w:p>
    <w:p w14:paraId="59E283A8">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三、承担保证担保责任的形式</w:t>
      </w:r>
    </w:p>
    <w:p w14:paraId="26A2ADE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我方按照贵方的要求以下列方式之一承担保证担保责任： </w:t>
      </w:r>
    </w:p>
    <w:p w14:paraId="1524187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1.向承包人资金、设备或者技术援助，使其能继续履行合同义务；</w:t>
      </w:r>
    </w:p>
    <w:p w14:paraId="1F97736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2.直接接管该项工程或者委托经贵方同意的其他承包商，继续履行合同义务；</w:t>
      </w:r>
    </w:p>
    <w:p w14:paraId="54B504E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3.在保证担保金额最高限额内，按照合同约定，向贵方承担违约责任和赔偿因此造成的损失，以及利息和律师费、诉讼费用等实现债权的费用。</w:t>
      </w:r>
    </w:p>
    <w:p w14:paraId="05FFE16F">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四、代偿的安排 </w:t>
      </w:r>
    </w:p>
    <w:p w14:paraId="4F7A72A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1.贵方要求我方承担保证责任的，应向我方发出书面索赔通知及承包人未履行主合同约定义务的证明材料。索赔通知应写明要求索赔的金额，支付款项应到达的</w:t>
      </w:r>
      <w:r>
        <w:rPr>
          <w:rFonts w:hint="eastAsia" w:ascii="宋体" w:hAnsi="宋体" w:eastAsia="宋体" w:cs="宋体"/>
          <w:color w:val="auto"/>
          <w:sz w:val="24"/>
          <w:szCs w:val="24"/>
          <w:highlight w:val="none"/>
          <w:lang w:eastAsia="zh-CN"/>
        </w:rPr>
        <w:t>账</w:t>
      </w:r>
      <w:r>
        <w:rPr>
          <w:rFonts w:hint="eastAsia" w:ascii="宋体" w:hAnsi="宋体" w:eastAsia="宋体" w:cs="宋体"/>
          <w:color w:val="auto"/>
          <w:sz w:val="24"/>
          <w:szCs w:val="24"/>
          <w:highlight w:val="none"/>
        </w:rPr>
        <w:t>号，并附有说明承包人违反主合同造成贵方损失情况的证明材料。</w:t>
      </w:r>
    </w:p>
    <w:p w14:paraId="3688CE4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2.贵方以工程质量不符合主合同约定标准为由，向我方提出违约索赔的，还需同时提供符合相应条件要求的工程质量检测部门出具的质量说明材料。</w:t>
      </w:r>
    </w:p>
    <w:p w14:paraId="67458CA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3.我方收到贵方的书面索赔通知及相应证明材料后，在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工作日内进行核定后按照本保函的承诺承担保证责任。</w:t>
      </w:r>
    </w:p>
    <w:p w14:paraId="261B1A4B">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五、保证担保责任的解除 </w:t>
      </w:r>
    </w:p>
    <w:p w14:paraId="1DD810E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1.保证期间届满贵方未向我方书面主张保证责任的，自保证期间届满次日起，我方解除保证责任。 </w:t>
      </w:r>
    </w:p>
    <w:p w14:paraId="62AA000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2.我方按照本保证担保向贵方履行了保证担保责任后，自我方向贵方支付的金额达到最高保证担保金额之日起，保证担保责任解除。 </w:t>
      </w:r>
    </w:p>
    <w:p w14:paraId="108BC00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3.按照法律法规的规定应解除我方保证担保责任的</w:t>
      </w:r>
      <w:r>
        <w:rPr>
          <w:rFonts w:hint="eastAsia" w:ascii="宋体" w:hAnsi="宋体" w:eastAsia="宋体" w:cs="宋体"/>
          <w:color w:val="auto"/>
          <w:sz w:val="24"/>
          <w:szCs w:val="24"/>
          <w:highlight w:val="none"/>
          <w:lang w:eastAsia="zh-CN"/>
        </w:rPr>
        <w:t>其他情形的</w:t>
      </w:r>
      <w:r>
        <w:rPr>
          <w:rFonts w:hint="eastAsia" w:ascii="宋体" w:hAnsi="宋体" w:eastAsia="宋体" w:cs="宋体"/>
          <w:color w:val="auto"/>
          <w:sz w:val="24"/>
          <w:szCs w:val="24"/>
          <w:highlight w:val="none"/>
        </w:rPr>
        <w:t xml:space="preserve">，我方在本保证担保项下的保证担保责任亦解除。 </w:t>
      </w:r>
    </w:p>
    <w:p w14:paraId="305D382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619950A1">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六、免责条款 </w:t>
      </w:r>
    </w:p>
    <w:p w14:paraId="2A4C6EA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1.因贵方原因致使承包人未按照主合同约定履行义务的，我方不承担保证担保责任。 </w:t>
      </w:r>
    </w:p>
    <w:p w14:paraId="6C15325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2.依照法律规定或贵方与发包人的另行约定，免除承包人部分或全部义务的，我方亦免除其相应的保证担保责任。 </w:t>
      </w:r>
    </w:p>
    <w:p w14:paraId="100F677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3.因不可抗力造成承包人未按照主合同约定履行义务的，我方不承担保证担保责任。</w:t>
      </w:r>
    </w:p>
    <w:p w14:paraId="22618257">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七、其他</w:t>
      </w:r>
    </w:p>
    <w:p w14:paraId="3584B74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1.本保证担保项下的权利不得转让，不得设定担保。贵方未经我方书面同意转让本保证担保或其项下任何权利，对我方不发生法律效力。 </w:t>
      </w:r>
    </w:p>
    <w:p w14:paraId="3C07797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2.本保证担保适用的法律为中华人民共和国法律，争议裁判管辖地为中华人民共和国</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4F642C9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3.本保证担保自我方法定代表人或授权代表签字并加盖公章之日起生效。 </w:t>
      </w:r>
    </w:p>
    <w:p w14:paraId="62831E7B">
      <w:pPr>
        <w:spacing w:line="360" w:lineRule="auto"/>
        <w:ind w:firstLine="480" w:firstLineChars="200"/>
        <w:rPr>
          <w:rFonts w:hint="eastAsia" w:ascii="宋体" w:hAnsi="宋体" w:eastAsia="宋体" w:cs="宋体"/>
          <w:color w:val="auto"/>
          <w:sz w:val="24"/>
          <w:szCs w:val="24"/>
          <w:highlight w:val="none"/>
        </w:rPr>
      </w:pPr>
    </w:p>
    <w:p w14:paraId="0165DAC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保 证 人：                              （公章） </w:t>
      </w:r>
    </w:p>
    <w:p w14:paraId="734CEDB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法定代表人（或授权代表）：               （签字） </w:t>
      </w:r>
    </w:p>
    <w:p w14:paraId="463FAED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    址：                                       </w:t>
      </w:r>
    </w:p>
    <w:p w14:paraId="3237A12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邮政编码：                 </w:t>
      </w:r>
    </w:p>
    <w:p w14:paraId="1CF50D9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    话：                 </w:t>
      </w:r>
    </w:p>
    <w:p w14:paraId="37A5F98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传    真：                 </w:t>
      </w:r>
    </w:p>
    <w:p w14:paraId="3C16F66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    间：      年      月        日</w:t>
      </w:r>
    </w:p>
    <w:p w14:paraId="7C08C7EA">
      <w:pPr>
        <w:rPr>
          <w:rFonts w:hint="eastAsia" w:ascii="宋体" w:hAnsi="宋体" w:eastAsia="宋体" w:cs="宋体"/>
          <w:color w:val="auto"/>
          <w:highlight w:val="none"/>
        </w:rPr>
      </w:pPr>
    </w:p>
    <w:p w14:paraId="067736EC">
      <w:pPr>
        <w:rPr>
          <w:rFonts w:hint="eastAsia" w:ascii="宋体" w:hAnsi="宋体" w:eastAsia="宋体" w:cs="宋体"/>
          <w:color w:val="auto"/>
          <w:highlight w:val="none"/>
        </w:rPr>
      </w:pPr>
    </w:p>
    <w:p w14:paraId="0AC18399">
      <w:pPr>
        <w:rPr>
          <w:rFonts w:hint="eastAsia" w:ascii="宋体" w:hAnsi="宋体" w:eastAsia="宋体" w:cs="宋体"/>
          <w:color w:val="auto"/>
          <w:highlight w:val="none"/>
        </w:rPr>
      </w:pPr>
    </w:p>
    <w:p w14:paraId="1DDCE606">
      <w:pPr>
        <w:rPr>
          <w:rFonts w:hint="eastAsia" w:ascii="宋体" w:hAnsi="宋体" w:eastAsia="宋体" w:cs="宋体"/>
          <w:color w:val="auto"/>
          <w:highlight w:val="none"/>
        </w:rPr>
      </w:pPr>
    </w:p>
    <w:p w14:paraId="7CFA53ED">
      <w:pPr>
        <w:rPr>
          <w:rFonts w:hint="eastAsia" w:ascii="宋体" w:hAnsi="宋体" w:eastAsia="宋体" w:cs="宋体"/>
          <w:color w:val="auto"/>
          <w:highlight w:val="none"/>
        </w:rPr>
      </w:pPr>
    </w:p>
    <w:p w14:paraId="132577A6">
      <w:pPr>
        <w:rPr>
          <w:rFonts w:hint="eastAsia" w:ascii="宋体" w:hAnsi="宋体" w:eastAsia="宋体" w:cs="宋体"/>
          <w:color w:val="auto"/>
          <w:highlight w:val="none"/>
        </w:rPr>
      </w:pPr>
    </w:p>
    <w:p w14:paraId="5FFF43CE">
      <w:pPr>
        <w:rPr>
          <w:rFonts w:hint="eastAsia" w:ascii="宋体" w:hAnsi="宋体" w:eastAsia="宋体" w:cs="宋体"/>
          <w:color w:val="auto"/>
          <w:highlight w:val="none"/>
        </w:rPr>
      </w:pPr>
    </w:p>
    <w:p w14:paraId="6139F5DD">
      <w:pPr>
        <w:rPr>
          <w:rFonts w:hint="eastAsia" w:ascii="宋体" w:hAnsi="宋体" w:eastAsia="宋体" w:cs="宋体"/>
          <w:color w:val="auto"/>
          <w:highlight w:val="none"/>
        </w:rPr>
      </w:pPr>
    </w:p>
    <w:p w14:paraId="6BE0B89A">
      <w:pPr>
        <w:rPr>
          <w:rFonts w:hint="eastAsia" w:ascii="宋体" w:hAnsi="宋体" w:eastAsia="宋体" w:cs="宋体"/>
          <w:color w:val="auto"/>
          <w:highlight w:val="none"/>
        </w:rPr>
      </w:pPr>
    </w:p>
    <w:p w14:paraId="4B366B5D">
      <w:pPr>
        <w:rPr>
          <w:rFonts w:hint="eastAsia" w:ascii="宋体" w:hAnsi="宋体" w:eastAsia="宋体" w:cs="宋体"/>
          <w:color w:val="auto"/>
          <w:highlight w:val="none"/>
        </w:rPr>
      </w:pPr>
    </w:p>
    <w:p w14:paraId="1A17026F">
      <w:pPr>
        <w:rPr>
          <w:rFonts w:hint="eastAsia" w:ascii="宋体" w:hAnsi="宋体" w:eastAsia="宋体" w:cs="宋体"/>
          <w:color w:val="auto"/>
          <w:highlight w:val="none"/>
        </w:rPr>
      </w:pPr>
    </w:p>
    <w:p w14:paraId="6577184F">
      <w:pPr>
        <w:rPr>
          <w:rFonts w:hint="eastAsia" w:ascii="宋体" w:hAnsi="宋体" w:eastAsia="宋体" w:cs="宋体"/>
          <w:color w:val="auto"/>
          <w:highlight w:val="none"/>
        </w:rPr>
      </w:pPr>
    </w:p>
    <w:p w14:paraId="4C79D98C">
      <w:pPr>
        <w:rPr>
          <w:rFonts w:hint="eastAsia" w:ascii="宋体" w:hAnsi="宋体" w:eastAsia="宋体" w:cs="宋体"/>
          <w:color w:val="auto"/>
          <w:highlight w:val="none"/>
        </w:rPr>
      </w:pPr>
    </w:p>
    <w:p w14:paraId="49211F26">
      <w:pPr>
        <w:rPr>
          <w:rFonts w:hint="eastAsia" w:ascii="宋体" w:hAnsi="宋体" w:eastAsia="宋体" w:cs="宋体"/>
          <w:color w:val="auto"/>
          <w:highlight w:val="none"/>
        </w:rPr>
      </w:pPr>
    </w:p>
    <w:p w14:paraId="5A7FDDB2">
      <w:pPr>
        <w:rPr>
          <w:rFonts w:hint="eastAsia" w:ascii="宋体" w:hAnsi="宋体" w:eastAsia="宋体" w:cs="宋体"/>
          <w:color w:val="auto"/>
          <w:highlight w:val="none"/>
        </w:rPr>
      </w:pPr>
    </w:p>
    <w:p w14:paraId="290BCAFE">
      <w:pPr>
        <w:rPr>
          <w:rFonts w:hint="eastAsia" w:ascii="宋体" w:hAnsi="宋体" w:eastAsia="宋体" w:cs="宋体"/>
          <w:color w:val="auto"/>
          <w:highlight w:val="none"/>
        </w:rPr>
      </w:pPr>
    </w:p>
    <w:p w14:paraId="2D8708C2">
      <w:pPr>
        <w:rPr>
          <w:rFonts w:hint="eastAsia" w:ascii="宋体" w:hAnsi="宋体" w:eastAsia="宋体" w:cs="宋体"/>
          <w:color w:val="auto"/>
          <w:highlight w:val="none"/>
        </w:rPr>
      </w:pPr>
    </w:p>
    <w:p w14:paraId="15398AA1">
      <w:pPr>
        <w:rPr>
          <w:rFonts w:hint="eastAsia" w:ascii="宋体" w:hAnsi="宋体" w:eastAsia="宋体" w:cs="宋体"/>
          <w:color w:val="auto"/>
          <w:highlight w:val="none"/>
        </w:rPr>
      </w:pPr>
    </w:p>
    <w:p w14:paraId="6F21EE10">
      <w:pPr>
        <w:rPr>
          <w:rFonts w:hint="eastAsia" w:ascii="宋体" w:hAnsi="宋体" w:eastAsia="宋体" w:cs="宋体"/>
          <w:color w:val="auto"/>
          <w:highlight w:val="none"/>
        </w:rPr>
      </w:pPr>
    </w:p>
    <w:p w14:paraId="51AEE246">
      <w:pPr>
        <w:rPr>
          <w:rFonts w:hint="eastAsia" w:ascii="宋体" w:hAnsi="宋体" w:eastAsia="宋体" w:cs="宋体"/>
          <w:color w:val="auto"/>
          <w:highlight w:val="none"/>
        </w:rPr>
      </w:pPr>
    </w:p>
    <w:p w14:paraId="49E8F630">
      <w:pPr>
        <w:rPr>
          <w:rFonts w:hint="eastAsia" w:ascii="宋体" w:hAnsi="宋体" w:eastAsia="宋体" w:cs="宋体"/>
          <w:color w:val="auto"/>
          <w:highlight w:val="none"/>
        </w:rPr>
      </w:pPr>
    </w:p>
    <w:p w14:paraId="72C4DA89">
      <w:pPr>
        <w:rPr>
          <w:rFonts w:hint="eastAsia" w:ascii="宋体" w:hAnsi="宋体" w:eastAsia="宋体" w:cs="宋体"/>
          <w:color w:val="auto"/>
          <w:highlight w:val="none"/>
        </w:rPr>
      </w:pPr>
    </w:p>
    <w:p w14:paraId="7B6FC019">
      <w:pPr>
        <w:rPr>
          <w:rFonts w:hint="eastAsia" w:ascii="宋体" w:hAnsi="宋体" w:eastAsia="宋体" w:cs="宋体"/>
          <w:color w:val="auto"/>
          <w:highlight w:val="none"/>
        </w:rPr>
      </w:pPr>
    </w:p>
    <w:p w14:paraId="32DC5FD2">
      <w:pPr>
        <w:rPr>
          <w:rFonts w:hint="eastAsia" w:ascii="宋体" w:hAnsi="宋体" w:eastAsia="宋体" w:cs="宋体"/>
          <w:color w:val="auto"/>
          <w:highlight w:val="none"/>
        </w:rPr>
      </w:pPr>
    </w:p>
    <w:p w14:paraId="6C5EC9F4">
      <w:pPr>
        <w:rPr>
          <w:rFonts w:hint="eastAsia" w:ascii="宋体" w:hAnsi="宋体" w:eastAsia="宋体" w:cs="宋体"/>
          <w:color w:val="auto"/>
          <w:highlight w:val="none"/>
        </w:rPr>
      </w:pPr>
    </w:p>
    <w:p w14:paraId="27174CA6">
      <w:pPr>
        <w:rPr>
          <w:rFonts w:hint="eastAsia" w:ascii="宋体" w:hAnsi="宋体" w:eastAsia="宋体" w:cs="宋体"/>
          <w:color w:val="auto"/>
          <w:highlight w:val="none"/>
        </w:rPr>
      </w:pPr>
    </w:p>
    <w:p w14:paraId="6A2527D6">
      <w:pPr>
        <w:rPr>
          <w:rFonts w:hint="eastAsia" w:ascii="宋体" w:hAnsi="宋体" w:eastAsia="宋体" w:cs="宋体"/>
          <w:color w:val="auto"/>
          <w:highlight w:val="none"/>
        </w:rPr>
      </w:pPr>
    </w:p>
    <w:p w14:paraId="0279F556">
      <w:pPr>
        <w:rPr>
          <w:rFonts w:hint="eastAsia" w:ascii="宋体" w:hAnsi="宋体" w:eastAsia="宋体" w:cs="宋体"/>
          <w:color w:val="auto"/>
          <w:highlight w:val="none"/>
        </w:rPr>
      </w:pPr>
    </w:p>
    <w:p w14:paraId="20107BC7">
      <w:pPr>
        <w:spacing w:before="120" w:beforeLines="50" w:after="120" w:afterLines="50" w:line="440" w:lineRule="exact"/>
        <w:jc w:val="left"/>
        <w:rPr>
          <w:rFonts w:hint="eastAsia" w:ascii="宋体" w:hAnsi="宋体" w:eastAsia="宋体" w:cs="宋体"/>
          <w:color w:val="auto"/>
          <w:sz w:val="32"/>
          <w:szCs w:val="32"/>
          <w:highlight w:val="none"/>
        </w:rPr>
      </w:pPr>
      <w:r>
        <w:rPr>
          <w:rFonts w:hint="eastAsia" w:ascii="宋体" w:hAnsi="宋体" w:eastAsia="宋体" w:cs="宋体"/>
          <w:color w:val="auto"/>
          <w:sz w:val="30"/>
          <w:szCs w:val="30"/>
          <w:highlight w:val="none"/>
        </w:rPr>
        <w:br w:type="page"/>
      </w:r>
      <w:r>
        <w:rPr>
          <w:rFonts w:hint="eastAsia" w:ascii="宋体" w:hAnsi="宋体" w:eastAsia="宋体" w:cs="宋体"/>
          <w:color w:val="auto"/>
          <w:sz w:val="30"/>
          <w:szCs w:val="30"/>
          <w:highlight w:val="none"/>
        </w:rPr>
        <w:t>附件8：预付款保函示范文本</w:t>
      </w:r>
    </w:p>
    <w:p w14:paraId="2093C831">
      <w:pPr>
        <w:spacing w:line="360" w:lineRule="auto"/>
        <w:jc w:val="left"/>
        <w:rPr>
          <w:rFonts w:hint="eastAsia" w:ascii="宋体" w:hAnsi="宋体" w:eastAsia="宋体" w:cs="宋体"/>
          <w:b/>
          <w:bCs/>
          <w:color w:val="auto"/>
          <w:sz w:val="32"/>
          <w:szCs w:val="32"/>
          <w:highlight w:val="none"/>
        </w:rPr>
      </w:pPr>
    </w:p>
    <w:p w14:paraId="57867F4E">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预付款保函示范文本</w:t>
      </w:r>
    </w:p>
    <w:p w14:paraId="4CB8F423">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（独立保函）</w:t>
      </w:r>
    </w:p>
    <w:p w14:paraId="4E02C6C7">
      <w:pPr>
        <w:wordWrap w:val="0"/>
        <w:spacing w:line="360" w:lineRule="auto"/>
        <w:jc w:val="right"/>
        <w:rPr>
          <w:rFonts w:hint="eastAsia" w:ascii="宋体" w:hAnsi="宋体" w:eastAsia="宋体" w:cs="宋体"/>
          <w:color w:val="auto"/>
          <w:highlight w:val="none"/>
        </w:rPr>
      </w:pPr>
      <w:r>
        <w:rPr>
          <w:rFonts w:hint="eastAsia" w:ascii="宋体" w:hAnsi="宋体" w:eastAsia="宋体" w:cs="宋体"/>
          <w:color w:val="auto"/>
          <w:highlight w:val="none"/>
        </w:rPr>
        <w:t xml:space="preserve">编号：           </w:t>
      </w:r>
    </w:p>
    <w:p w14:paraId="336A9560">
      <w:pPr>
        <w:spacing w:line="360" w:lineRule="auto"/>
        <w:rPr>
          <w:rFonts w:hint="eastAsia" w:ascii="宋体" w:hAnsi="宋体" w:eastAsia="宋体" w:cs="宋体"/>
          <w:color w:val="auto"/>
          <w:sz w:val="24"/>
          <w:szCs w:val="24"/>
          <w:highlight w:val="none"/>
        </w:rPr>
      </w:pPr>
    </w:p>
    <w:p w14:paraId="3FEEBFF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申请人：</w:t>
      </w:r>
    </w:p>
    <w:p w14:paraId="7D90128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地址：</w:t>
      </w:r>
    </w:p>
    <w:p w14:paraId="1E37B5A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受益人：</w:t>
      </w:r>
    </w:p>
    <w:p w14:paraId="5E2BE3F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地址：</w:t>
      </w:r>
    </w:p>
    <w:p w14:paraId="1E363EB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开立人：</w:t>
      </w:r>
    </w:p>
    <w:p w14:paraId="0D41971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地址：</w:t>
      </w:r>
    </w:p>
    <w:p w14:paraId="5E058AA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0083505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（受益人名称）： </w:t>
      </w:r>
    </w:p>
    <w:p w14:paraId="0F936AD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鉴于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受益人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申请人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工程（以下简称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本工程</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）施工和有关事项协商一致共同签订</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（以下简称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基础合同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），我方（即</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开立人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根据主合同了解到申请人为主合同项下之承包人，受益人为主合同项下之发包人，基于申请人的请求，我方同意就申请人按照合同约定正确和合理地为合同目的使用预付款，向贵方提供不可撤销、不可转让的见索即付独立保函（以下简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本保函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p>
    <w:p w14:paraId="4CB5F12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一、本保函担保范围：申请人未按照合同约定正确和合理地为合同目的使用预付款，应当向贵方</w:t>
      </w:r>
      <w:r>
        <w:rPr>
          <w:rFonts w:hint="eastAsia" w:ascii="宋体" w:hAnsi="宋体" w:eastAsia="宋体" w:cs="宋体"/>
          <w:color w:val="auto"/>
          <w:sz w:val="24"/>
          <w:szCs w:val="24"/>
          <w:highlight w:val="none"/>
          <w:lang w:eastAsia="zh-CN"/>
        </w:rPr>
        <w:t>承担</w:t>
      </w:r>
      <w:r>
        <w:rPr>
          <w:rFonts w:hint="eastAsia" w:ascii="宋体" w:hAnsi="宋体" w:eastAsia="宋体" w:cs="宋体"/>
          <w:color w:val="auto"/>
          <w:sz w:val="24"/>
          <w:szCs w:val="24"/>
          <w:highlight w:val="none"/>
        </w:rPr>
        <w:t>违约责任和赔偿因此造成的损失、利息、律师费、诉讼费用等实现债权的费用。</w:t>
      </w:r>
    </w:p>
    <w:p w14:paraId="0A4E6DA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二、本保函担保金额最高不超过人民币（大写）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1FB092F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三、本保函有效期自开立之日起至发包人全额扣回预付款后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日止，最迟不超过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25281A1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四、我方承诺，在收到受益人发来的书面付款通知后的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日内无条件支付，前述书面付款通知即为付款要求之单据，且应满足以下要求：</w:t>
      </w:r>
    </w:p>
    <w:p w14:paraId="3EDAF15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（1）付款通知到达的日期在本保函的有效期内；</w:t>
      </w:r>
    </w:p>
    <w:p w14:paraId="4A2DACA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（2）载明要求支付的金额；</w:t>
      </w:r>
    </w:p>
    <w:p w14:paraId="2934B00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（3）载明申请人违反合同义务的条款和内容；</w:t>
      </w:r>
    </w:p>
    <w:p w14:paraId="13D40EF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（4）声明不存在合同文件约定或我国法律规定免除申请人或开立人支付责任的情形；</w:t>
      </w:r>
    </w:p>
    <w:p w14:paraId="50FF17C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（5）付款通知应在本保函有效期内到达的地址是：</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300EE63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受益人发出的书面付款通知应由其为鉴明受益人法定代表人（负责人）或授权代理人签字并加盖公章。</w:t>
      </w:r>
    </w:p>
    <w:p w14:paraId="28EE9EB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五、本保函项下的权利不得转让，不得设定担保。贵方未经我方书面同意转 让本保函或其项下任何权利，对我方不发生法律效力。 </w:t>
      </w:r>
    </w:p>
    <w:p w14:paraId="4E36327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六、与本保函有关的基础合同不成立、不生效、无效、被撤销、被解除，不影响本保函的独立有效。 </w:t>
      </w:r>
    </w:p>
    <w:p w14:paraId="6E507AD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1A9BEAF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八、本保函适用的法律为中华人民共和国法律，争议裁判管辖地为中华人民共和国</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64129D4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九、本保函自我方法定代表人或授权代表签字并加盖公章之日起生效。 </w:t>
      </w:r>
    </w:p>
    <w:p w14:paraId="66E2E422">
      <w:pPr>
        <w:spacing w:line="360" w:lineRule="auto"/>
        <w:ind w:firstLine="480" w:firstLineChars="200"/>
        <w:rPr>
          <w:rFonts w:hint="eastAsia" w:ascii="宋体" w:hAnsi="宋体" w:eastAsia="宋体" w:cs="宋体"/>
          <w:color w:val="auto"/>
          <w:sz w:val="24"/>
          <w:szCs w:val="24"/>
          <w:highlight w:val="none"/>
        </w:rPr>
      </w:pPr>
    </w:p>
    <w:p w14:paraId="25548DB7">
      <w:pPr>
        <w:spacing w:line="360" w:lineRule="auto"/>
        <w:ind w:firstLine="480" w:firstLineChars="200"/>
        <w:rPr>
          <w:rFonts w:hint="eastAsia" w:ascii="宋体" w:hAnsi="宋体" w:eastAsia="宋体" w:cs="宋体"/>
          <w:color w:val="auto"/>
          <w:sz w:val="24"/>
          <w:szCs w:val="24"/>
          <w:highlight w:val="none"/>
        </w:rPr>
      </w:pPr>
    </w:p>
    <w:p w14:paraId="6EEAD3E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开 立 人：                              （公章） </w:t>
      </w:r>
    </w:p>
    <w:p w14:paraId="70F077C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法定代表人（或授权代表）：               （签字） </w:t>
      </w:r>
    </w:p>
    <w:p w14:paraId="0D99845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    址：                                       </w:t>
      </w:r>
    </w:p>
    <w:p w14:paraId="4DCD844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邮政编码：                 </w:t>
      </w:r>
    </w:p>
    <w:p w14:paraId="7FD0692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    话：                 </w:t>
      </w:r>
    </w:p>
    <w:p w14:paraId="65190DF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传    真：                 </w:t>
      </w:r>
    </w:p>
    <w:p w14:paraId="0E497499">
      <w:pPr>
        <w:rPr>
          <w:rFonts w:hint="eastAsia" w:ascii="宋体" w:hAnsi="宋体" w:eastAsia="宋体" w:cs="宋体"/>
          <w:color w:val="auto"/>
          <w:highlight w:val="none"/>
        </w:rPr>
      </w:pPr>
      <w:r>
        <w:rPr>
          <w:rFonts w:hint="eastAsia" w:ascii="宋体" w:hAnsi="宋体" w:eastAsia="宋体" w:cs="宋体"/>
          <w:color w:val="auto"/>
          <w:sz w:val="24"/>
          <w:szCs w:val="24"/>
          <w:highlight w:val="none"/>
        </w:rPr>
        <w:t xml:space="preserve">    开立时间：      年      月        日</w:t>
      </w:r>
    </w:p>
    <w:p w14:paraId="08DF2481">
      <w:pPr>
        <w:spacing w:line="360" w:lineRule="auto"/>
        <w:jc w:val="center"/>
        <w:rPr>
          <w:rFonts w:hint="eastAsia" w:ascii="宋体" w:hAnsi="宋体" w:eastAsia="宋体" w:cs="宋体"/>
          <w:b/>
          <w:bCs/>
          <w:color w:val="auto"/>
          <w:sz w:val="32"/>
          <w:szCs w:val="32"/>
          <w:highlight w:val="none"/>
        </w:rPr>
      </w:pPr>
    </w:p>
    <w:p w14:paraId="33BE2AD5">
      <w:pPr>
        <w:spacing w:line="360" w:lineRule="auto"/>
        <w:jc w:val="center"/>
        <w:rPr>
          <w:rFonts w:hint="eastAsia" w:ascii="宋体" w:hAnsi="宋体" w:eastAsia="宋体" w:cs="宋体"/>
          <w:b/>
          <w:bCs/>
          <w:color w:val="auto"/>
          <w:sz w:val="32"/>
          <w:szCs w:val="32"/>
          <w:highlight w:val="none"/>
        </w:rPr>
      </w:pPr>
    </w:p>
    <w:p w14:paraId="136FB9A5">
      <w:pPr>
        <w:spacing w:line="360" w:lineRule="auto"/>
        <w:jc w:val="center"/>
        <w:rPr>
          <w:rFonts w:hint="eastAsia" w:ascii="宋体" w:hAnsi="宋体" w:eastAsia="宋体" w:cs="宋体"/>
          <w:b/>
          <w:bCs/>
          <w:color w:val="auto"/>
          <w:sz w:val="32"/>
          <w:szCs w:val="32"/>
          <w:highlight w:val="none"/>
        </w:rPr>
      </w:pPr>
    </w:p>
    <w:p w14:paraId="17CB2E06">
      <w:pPr>
        <w:spacing w:before="120" w:beforeLines="50" w:after="120" w:afterLines="50" w:line="440" w:lineRule="exact"/>
        <w:jc w:val="left"/>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rPr>
        <w:br w:type="page"/>
      </w:r>
      <w:r>
        <w:rPr>
          <w:rFonts w:hint="eastAsia" w:ascii="宋体" w:hAnsi="宋体" w:eastAsia="宋体" w:cs="宋体"/>
          <w:color w:val="auto"/>
          <w:sz w:val="30"/>
          <w:szCs w:val="30"/>
          <w:highlight w:val="none"/>
        </w:rPr>
        <w:t>附件8</w:t>
      </w:r>
      <w:r>
        <w:rPr>
          <w:rFonts w:hint="eastAsia" w:ascii="宋体" w:hAnsi="宋体" w:eastAsia="宋体" w:cs="宋体"/>
          <w:color w:val="auto"/>
          <w:sz w:val="30"/>
          <w:szCs w:val="30"/>
          <w:highlight w:val="none"/>
          <w:lang w:eastAsia="zh-CN"/>
        </w:rPr>
        <w:t>：预付款保函示范文本</w:t>
      </w:r>
    </w:p>
    <w:p w14:paraId="56F506F1">
      <w:pPr>
        <w:spacing w:line="360" w:lineRule="auto"/>
        <w:jc w:val="left"/>
        <w:rPr>
          <w:rFonts w:hint="eastAsia" w:ascii="宋体" w:hAnsi="宋体" w:eastAsia="宋体" w:cs="宋体"/>
          <w:b/>
          <w:bCs/>
          <w:color w:val="auto"/>
          <w:sz w:val="32"/>
          <w:szCs w:val="32"/>
          <w:highlight w:val="none"/>
        </w:rPr>
      </w:pPr>
    </w:p>
    <w:p w14:paraId="223DCCE1">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预付款保函示范文本</w:t>
      </w:r>
    </w:p>
    <w:p w14:paraId="1C11BFDA">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（非独立保函）</w:t>
      </w:r>
    </w:p>
    <w:p w14:paraId="55BE48EF">
      <w:pPr>
        <w:wordWrap w:val="0"/>
        <w:spacing w:line="360" w:lineRule="auto"/>
        <w:jc w:val="right"/>
        <w:rPr>
          <w:rFonts w:hint="eastAsia" w:ascii="宋体" w:hAnsi="宋体" w:eastAsia="宋体" w:cs="宋体"/>
          <w:color w:val="auto"/>
          <w:highlight w:val="none"/>
        </w:rPr>
      </w:pPr>
      <w:r>
        <w:rPr>
          <w:rFonts w:hint="eastAsia" w:ascii="宋体" w:hAnsi="宋体" w:eastAsia="宋体" w:cs="宋体"/>
          <w:color w:val="auto"/>
          <w:highlight w:val="none"/>
        </w:rPr>
        <w:t xml:space="preserve">编号：           </w:t>
      </w:r>
    </w:p>
    <w:p w14:paraId="603BE855">
      <w:pPr>
        <w:spacing w:line="360" w:lineRule="auto"/>
        <w:rPr>
          <w:rFonts w:hint="eastAsia" w:ascii="宋体" w:hAnsi="宋体" w:eastAsia="宋体" w:cs="宋体"/>
          <w:color w:val="auto"/>
          <w:sz w:val="24"/>
          <w:szCs w:val="24"/>
          <w:highlight w:val="none"/>
        </w:rPr>
      </w:pPr>
    </w:p>
    <w:p w14:paraId="6FCE923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担保权人/发包人：</w:t>
      </w:r>
    </w:p>
    <w:p w14:paraId="4B7B2D5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1B6328B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承包人： </w:t>
      </w:r>
    </w:p>
    <w:p w14:paraId="367DF6C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224A758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保证人：</w:t>
      </w:r>
    </w:p>
    <w:p w14:paraId="59BB078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2D4CC007">
      <w:pPr>
        <w:spacing w:line="360" w:lineRule="auto"/>
        <w:rPr>
          <w:rFonts w:hint="eastAsia" w:ascii="宋体" w:hAnsi="宋体" w:eastAsia="宋体" w:cs="宋体"/>
          <w:color w:val="auto"/>
          <w:sz w:val="24"/>
          <w:szCs w:val="24"/>
          <w:highlight w:val="none"/>
        </w:rPr>
      </w:pPr>
    </w:p>
    <w:p w14:paraId="40CC50E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（发包人名称）： </w:t>
      </w:r>
    </w:p>
    <w:p w14:paraId="19F7A1D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鉴于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发包人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承包人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工程（以下简称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本工程</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）施工和有关事项协商一致共同签订</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（以下简称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主合同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），我方即保证人基于承包人的请求，同意就承包人按照合同约定正确和合理地为合同目的使用预付款，不将预付款挪作他用，向贵方提供如下保证担保（以下简称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本保证担保</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p>
    <w:p w14:paraId="3946470C">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一、保证担保的范围及保证担保金额</w:t>
      </w:r>
    </w:p>
    <w:p w14:paraId="0928F1B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1.保证担保范围：申请人未按照合同约定正确和合理地为合同目的使用预付款，应当向贵方</w:t>
      </w:r>
      <w:r>
        <w:rPr>
          <w:rFonts w:hint="eastAsia" w:ascii="宋体" w:hAnsi="宋体" w:eastAsia="宋体" w:cs="宋体"/>
          <w:color w:val="auto"/>
          <w:sz w:val="24"/>
          <w:szCs w:val="24"/>
          <w:highlight w:val="none"/>
          <w:lang w:eastAsia="zh-CN"/>
        </w:rPr>
        <w:t>承担</w:t>
      </w:r>
      <w:r>
        <w:rPr>
          <w:rFonts w:hint="eastAsia" w:ascii="宋体" w:hAnsi="宋体" w:eastAsia="宋体" w:cs="宋体"/>
          <w:color w:val="auto"/>
          <w:sz w:val="24"/>
          <w:szCs w:val="24"/>
          <w:highlight w:val="none"/>
        </w:rPr>
        <w:t>违约责任和赔偿因此造成的损失、利息、律师费、诉讼费用等实现债权的费用。</w:t>
      </w:r>
    </w:p>
    <w:p w14:paraId="4710A9E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2.保证担保金额最高不超过人民币（大写）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763F4C03">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二、保证担保的方式及保证期间 </w:t>
      </w:r>
    </w:p>
    <w:p w14:paraId="4B84C7A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1.保证担保方式：连带责任保证。</w:t>
      </w:r>
    </w:p>
    <w:p w14:paraId="1151F80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2.保证期间：自出具之日起至发包人全额扣回预付款后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日止，最迟不超过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日。 </w:t>
      </w:r>
    </w:p>
    <w:p w14:paraId="0DBDBD3E">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三、承担保证担保责任的形式</w:t>
      </w:r>
    </w:p>
    <w:p w14:paraId="632223C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发生应承担保证责任情形的，我方在保证金额内向贵方支付，并赔偿因此给贵方造成的损失，以及利息和律师费、诉讼费用等实现债权的费用。</w:t>
      </w:r>
    </w:p>
    <w:p w14:paraId="372D8AB1">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四、代偿的安排 </w:t>
      </w:r>
    </w:p>
    <w:p w14:paraId="3903F2E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1.贵方要求我方承担保证责任的，应向我方发出书面索赔通知及承包人未履行主合同约定义务的证明材料。索赔通知应写明要求索赔的金额，支付款项应到达的</w:t>
      </w:r>
      <w:r>
        <w:rPr>
          <w:rFonts w:hint="eastAsia" w:ascii="宋体" w:hAnsi="宋体" w:eastAsia="宋体" w:cs="宋体"/>
          <w:color w:val="auto"/>
          <w:sz w:val="24"/>
          <w:szCs w:val="24"/>
          <w:highlight w:val="none"/>
          <w:lang w:eastAsia="zh-CN"/>
        </w:rPr>
        <w:t>账</w:t>
      </w:r>
      <w:r>
        <w:rPr>
          <w:rFonts w:hint="eastAsia" w:ascii="宋体" w:hAnsi="宋体" w:eastAsia="宋体" w:cs="宋体"/>
          <w:color w:val="auto"/>
          <w:sz w:val="24"/>
          <w:szCs w:val="24"/>
          <w:highlight w:val="none"/>
        </w:rPr>
        <w:t>号，并附有说明承包人违反主合同造成贵方损失情况的证明材料。</w:t>
      </w:r>
    </w:p>
    <w:p w14:paraId="31A82F9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2.我方收到贵方的书面索赔通知及相应证明材料后，在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工作日内进行核定后按照本保函的承诺承担保证责任。</w:t>
      </w:r>
    </w:p>
    <w:p w14:paraId="152F14B0">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五、保证担保责任的解除 </w:t>
      </w:r>
    </w:p>
    <w:p w14:paraId="6FEFAF5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1.保证期间届满贵方未向我方书面主张保证责任的，自保证期间届满次日起，我方解除保证责任。 </w:t>
      </w:r>
    </w:p>
    <w:p w14:paraId="132E600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2.我方按照本保证担保向贵方履行了保证担保责任后，自我方向贵方支付的金额达到最高保证担保金额之日起，保证担保责任解除。 </w:t>
      </w:r>
    </w:p>
    <w:p w14:paraId="230AF36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3.按照法律法规的规定应解除我方保证担保责任的</w:t>
      </w:r>
      <w:r>
        <w:rPr>
          <w:rFonts w:hint="eastAsia" w:ascii="宋体" w:hAnsi="宋体" w:eastAsia="宋体" w:cs="宋体"/>
          <w:color w:val="auto"/>
          <w:sz w:val="24"/>
          <w:szCs w:val="24"/>
          <w:highlight w:val="none"/>
          <w:lang w:eastAsia="zh-CN"/>
        </w:rPr>
        <w:t>其他情形的</w:t>
      </w:r>
      <w:r>
        <w:rPr>
          <w:rFonts w:hint="eastAsia" w:ascii="宋体" w:hAnsi="宋体" w:eastAsia="宋体" w:cs="宋体"/>
          <w:color w:val="auto"/>
          <w:sz w:val="24"/>
          <w:szCs w:val="24"/>
          <w:highlight w:val="none"/>
        </w:rPr>
        <w:t xml:space="preserve">，我方在本保证担保项下的保证担保责任亦解除。 </w:t>
      </w:r>
    </w:p>
    <w:p w14:paraId="312BD9A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279147B3">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六、免责条款 </w:t>
      </w:r>
    </w:p>
    <w:p w14:paraId="09C96B1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1.因贵方原因致使发生应承担保证责任情形的，我方不承担保证担保责任。 </w:t>
      </w:r>
    </w:p>
    <w:p w14:paraId="41741B1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2.依照法律规定或贵方与承包人的另行约定，免除承包人部分或全部义务的，我方亦免除其相应的保证担保责任。 </w:t>
      </w:r>
    </w:p>
    <w:p w14:paraId="25C5D65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3.因不可抗力造成发生应承担保证责任情形的，我方不承担保证担保责任。</w:t>
      </w:r>
    </w:p>
    <w:p w14:paraId="37F7F07B">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七、其他</w:t>
      </w:r>
    </w:p>
    <w:p w14:paraId="4B9DA44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1.本保证担保项下的权利不得转让，不得设定担保。贵方未经我方书面同意转让本保证担保或其项下任何权利，对我方不发生法律效力。 </w:t>
      </w:r>
    </w:p>
    <w:p w14:paraId="01DF5DD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2.本保证担保适用的法律为中华人民共和国法律，争议裁判管辖地为中华人民共和国</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17B8EAD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3.本保证担保自我方法定代表人或授权代表签字并加盖公章之日起生效。 </w:t>
      </w:r>
    </w:p>
    <w:p w14:paraId="24B8B238">
      <w:pPr>
        <w:spacing w:line="360" w:lineRule="auto"/>
        <w:ind w:firstLine="480" w:firstLineChars="200"/>
        <w:rPr>
          <w:rFonts w:hint="eastAsia" w:ascii="宋体" w:hAnsi="宋体" w:eastAsia="宋体" w:cs="宋体"/>
          <w:color w:val="auto"/>
          <w:sz w:val="24"/>
          <w:szCs w:val="24"/>
          <w:highlight w:val="none"/>
        </w:rPr>
      </w:pPr>
    </w:p>
    <w:p w14:paraId="4A83182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保 证 人：                              （公章） </w:t>
      </w:r>
    </w:p>
    <w:p w14:paraId="64A5E80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法定代表人（或授权代表）：               （签字） </w:t>
      </w:r>
    </w:p>
    <w:p w14:paraId="172E695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    址：                                       </w:t>
      </w:r>
    </w:p>
    <w:p w14:paraId="5B10BAF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邮政编码：                 </w:t>
      </w:r>
    </w:p>
    <w:p w14:paraId="3E390CD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    话：                 </w:t>
      </w:r>
    </w:p>
    <w:p w14:paraId="1F6DD58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传    真：                 </w:t>
      </w:r>
    </w:p>
    <w:p w14:paraId="6A5C76C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    间：      年      月        日</w:t>
      </w:r>
    </w:p>
    <w:p w14:paraId="3318E082">
      <w:pPr>
        <w:spacing w:line="360" w:lineRule="auto"/>
        <w:jc w:val="center"/>
        <w:rPr>
          <w:rFonts w:hint="eastAsia" w:ascii="宋体" w:hAnsi="宋体" w:eastAsia="宋体" w:cs="宋体"/>
          <w:b/>
          <w:bCs/>
          <w:color w:val="auto"/>
          <w:sz w:val="32"/>
          <w:szCs w:val="32"/>
          <w:highlight w:val="none"/>
        </w:rPr>
      </w:pPr>
    </w:p>
    <w:p w14:paraId="5121D300">
      <w:pPr>
        <w:spacing w:line="360" w:lineRule="auto"/>
        <w:jc w:val="center"/>
        <w:rPr>
          <w:rFonts w:hint="eastAsia" w:ascii="宋体" w:hAnsi="宋体" w:eastAsia="宋体" w:cs="宋体"/>
          <w:b/>
          <w:bCs/>
          <w:color w:val="auto"/>
          <w:sz w:val="32"/>
          <w:szCs w:val="32"/>
          <w:highlight w:val="none"/>
        </w:rPr>
      </w:pPr>
    </w:p>
    <w:p w14:paraId="617202ED">
      <w:pPr>
        <w:spacing w:line="360" w:lineRule="auto"/>
        <w:jc w:val="center"/>
        <w:rPr>
          <w:rFonts w:hint="eastAsia" w:ascii="宋体" w:hAnsi="宋体" w:eastAsia="宋体" w:cs="宋体"/>
          <w:b/>
          <w:bCs/>
          <w:color w:val="auto"/>
          <w:sz w:val="32"/>
          <w:szCs w:val="32"/>
          <w:highlight w:val="none"/>
        </w:rPr>
      </w:pPr>
    </w:p>
    <w:p w14:paraId="54DE33A8">
      <w:pPr>
        <w:spacing w:line="360" w:lineRule="auto"/>
        <w:jc w:val="center"/>
        <w:rPr>
          <w:rFonts w:hint="eastAsia" w:ascii="宋体" w:hAnsi="宋体" w:eastAsia="宋体" w:cs="宋体"/>
          <w:b/>
          <w:bCs/>
          <w:color w:val="auto"/>
          <w:sz w:val="32"/>
          <w:szCs w:val="32"/>
          <w:highlight w:val="none"/>
        </w:rPr>
      </w:pPr>
    </w:p>
    <w:p w14:paraId="3056E4AE">
      <w:pPr>
        <w:spacing w:line="360" w:lineRule="auto"/>
        <w:jc w:val="center"/>
        <w:rPr>
          <w:rFonts w:hint="eastAsia" w:ascii="宋体" w:hAnsi="宋体" w:eastAsia="宋体" w:cs="宋体"/>
          <w:b/>
          <w:bCs/>
          <w:color w:val="auto"/>
          <w:sz w:val="32"/>
          <w:szCs w:val="32"/>
          <w:highlight w:val="none"/>
        </w:rPr>
      </w:pPr>
    </w:p>
    <w:p w14:paraId="35CAF6F5">
      <w:pPr>
        <w:spacing w:line="360" w:lineRule="auto"/>
        <w:jc w:val="center"/>
        <w:rPr>
          <w:rFonts w:hint="eastAsia" w:ascii="宋体" w:hAnsi="宋体" w:eastAsia="宋体" w:cs="宋体"/>
          <w:b/>
          <w:bCs/>
          <w:color w:val="auto"/>
          <w:sz w:val="32"/>
          <w:szCs w:val="32"/>
          <w:highlight w:val="none"/>
        </w:rPr>
      </w:pPr>
    </w:p>
    <w:p w14:paraId="72B42212">
      <w:pPr>
        <w:spacing w:line="360" w:lineRule="auto"/>
        <w:jc w:val="center"/>
        <w:rPr>
          <w:rFonts w:hint="eastAsia" w:ascii="宋体" w:hAnsi="宋体" w:eastAsia="宋体" w:cs="宋体"/>
          <w:b/>
          <w:bCs/>
          <w:color w:val="auto"/>
          <w:sz w:val="32"/>
          <w:szCs w:val="32"/>
          <w:highlight w:val="none"/>
        </w:rPr>
      </w:pPr>
    </w:p>
    <w:p w14:paraId="3C50501B">
      <w:pPr>
        <w:spacing w:line="360" w:lineRule="auto"/>
        <w:jc w:val="center"/>
        <w:rPr>
          <w:rFonts w:hint="eastAsia" w:ascii="宋体" w:hAnsi="宋体" w:eastAsia="宋体" w:cs="宋体"/>
          <w:b/>
          <w:bCs/>
          <w:color w:val="auto"/>
          <w:sz w:val="32"/>
          <w:szCs w:val="32"/>
          <w:highlight w:val="none"/>
        </w:rPr>
      </w:pPr>
    </w:p>
    <w:p w14:paraId="625A59D7">
      <w:pPr>
        <w:spacing w:line="360" w:lineRule="auto"/>
        <w:jc w:val="center"/>
        <w:rPr>
          <w:rFonts w:hint="eastAsia" w:ascii="宋体" w:hAnsi="宋体" w:eastAsia="宋体" w:cs="宋体"/>
          <w:b/>
          <w:bCs/>
          <w:color w:val="auto"/>
          <w:sz w:val="32"/>
          <w:szCs w:val="32"/>
          <w:highlight w:val="none"/>
        </w:rPr>
      </w:pPr>
    </w:p>
    <w:p w14:paraId="6DC46D3E">
      <w:pPr>
        <w:spacing w:line="360" w:lineRule="auto"/>
        <w:jc w:val="center"/>
        <w:rPr>
          <w:rFonts w:hint="eastAsia" w:ascii="宋体" w:hAnsi="宋体" w:eastAsia="宋体" w:cs="宋体"/>
          <w:b/>
          <w:bCs/>
          <w:color w:val="auto"/>
          <w:sz w:val="32"/>
          <w:szCs w:val="32"/>
          <w:highlight w:val="none"/>
        </w:rPr>
      </w:pPr>
    </w:p>
    <w:p w14:paraId="55495700">
      <w:pPr>
        <w:spacing w:line="360" w:lineRule="auto"/>
        <w:jc w:val="center"/>
        <w:rPr>
          <w:rFonts w:hint="eastAsia" w:ascii="宋体" w:hAnsi="宋体" w:eastAsia="宋体" w:cs="宋体"/>
          <w:b/>
          <w:bCs/>
          <w:color w:val="auto"/>
          <w:sz w:val="32"/>
          <w:szCs w:val="32"/>
          <w:highlight w:val="none"/>
        </w:rPr>
      </w:pPr>
    </w:p>
    <w:p w14:paraId="1660CE3E">
      <w:pPr>
        <w:spacing w:line="360" w:lineRule="auto"/>
        <w:jc w:val="center"/>
        <w:rPr>
          <w:rFonts w:hint="eastAsia" w:ascii="宋体" w:hAnsi="宋体" w:eastAsia="宋体" w:cs="宋体"/>
          <w:b/>
          <w:bCs/>
          <w:color w:val="auto"/>
          <w:sz w:val="32"/>
          <w:szCs w:val="32"/>
          <w:highlight w:val="none"/>
        </w:rPr>
      </w:pPr>
    </w:p>
    <w:p w14:paraId="1419DEEB">
      <w:pPr>
        <w:spacing w:before="120" w:beforeLines="50" w:after="120" w:afterLines="50" w:line="440" w:lineRule="exact"/>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r>
        <w:rPr>
          <w:rFonts w:hint="eastAsia" w:ascii="宋体" w:hAnsi="宋体" w:eastAsia="宋体" w:cs="宋体"/>
          <w:color w:val="auto"/>
          <w:sz w:val="30"/>
          <w:szCs w:val="30"/>
          <w:highlight w:val="none"/>
        </w:rPr>
        <w:t>附件9：支付保函示范文本</w:t>
      </w:r>
    </w:p>
    <w:p w14:paraId="45627EF3">
      <w:pPr>
        <w:spacing w:line="360" w:lineRule="auto"/>
        <w:jc w:val="left"/>
        <w:rPr>
          <w:rFonts w:hint="eastAsia" w:ascii="宋体" w:hAnsi="宋体" w:eastAsia="宋体" w:cs="宋体"/>
          <w:b/>
          <w:bCs/>
          <w:color w:val="auto"/>
          <w:sz w:val="32"/>
          <w:szCs w:val="32"/>
          <w:highlight w:val="none"/>
        </w:rPr>
      </w:pPr>
    </w:p>
    <w:p w14:paraId="5E8DEFA1">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支付保函示范文本</w:t>
      </w:r>
    </w:p>
    <w:p w14:paraId="12B5DF0D">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（独立保函）</w:t>
      </w:r>
    </w:p>
    <w:p w14:paraId="639F53E2">
      <w:pPr>
        <w:wordWrap w:val="0"/>
        <w:spacing w:line="360" w:lineRule="auto"/>
        <w:jc w:val="right"/>
        <w:rPr>
          <w:rFonts w:hint="eastAsia" w:ascii="宋体" w:hAnsi="宋体" w:eastAsia="宋体" w:cs="宋体"/>
          <w:color w:val="auto"/>
          <w:highlight w:val="none"/>
        </w:rPr>
      </w:pPr>
      <w:r>
        <w:rPr>
          <w:rFonts w:hint="eastAsia" w:ascii="宋体" w:hAnsi="宋体" w:eastAsia="宋体" w:cs="宋体"/>
          <w:color w:val="auto"/>
          <w:highlight w:val="none"/>
        </w:rPr>
        <w:t xml:space="preserve">编号：           </w:t>
      </w:r>
    </w:p>
    <w:p w14:paraId="564B3C2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申请人：</w:t>
      </w:r>
    </w:p>
    <w:p w14:paraId="4F04B8D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地址：</w:t>
      </w:r>
    </w:p>
    <w:p w14:paraId="27173B3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受益人：</w:t>
      </w:r>
    </w:p>
    <w:p w14:paraId="6EAFF82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地址：</w:t>
      </w:r>
    </w:p>
    <w:p w14:paraId="321008A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开立人：</w:t>
      </w:r>
    </w:p>
    <w:p w14:paraId="2109D67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地址：</w:t>
      </w:r>
    </w:p>
    <w:p w14:paraId="28CE2C5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3B93624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（受益人名称）： </w:t>
      </w:r>
    </w:p>
    <w:p w14:paraId="54EDE8B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鉴于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受益人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申请人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工程（以下简称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本工程</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）施工和有关事项协商一致共同签订</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（以下简称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基础合同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），我方（即</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开立人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根据基础合同了解到申请人为基础合同项下之发包人，受益人为基础合同项下之承包人，基于申请人的请求，我方同意就申请人履行与贵方签订的基础合同项下的工程款（指基础合同约定的除工程质量保修金以外的工程款）付款义务，向贵方提供不可撤销、不可转让的见索即付独立保函（以下简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本保函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p>
    <w:p w14:paraId="0F48BBF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一、本保函担保范围：申请人未履行基础合同约定的工程款支付义务，应当向贵方</w:t>
      </w:r>
      <w:r>
        <w:rPr>
          <w:rFonts w:hint="eastAsia" w:ascii="宋体" w:hAnsi="宋体" w:eastAsia="宋体" w:cs="宋体"/>
          <w:color w:val="auto"/>
          <w:sz w:val="24"/>
          <w:szCs w:val="24"/>
          <w:highlight w:val="none"/>
          <w:lang w:eastAsia="zh-CN"/>
        </w:rPr>
        <w:t>承担</w:t>
      </w:r>
      <w:r>
        <w:rPr>
          <w:rFonts w:hint="eastAsia" w:ascii="宋体" w:hAnsi="宋体" w:eastAsia="宋体" w:cs="宋体"/>
          <w:color w:val="auto"/>
          <w:sz w:val="24"/>
          <w:szCs w:val="24"/>
          <w:highlight w:val="none"/>
        </w:rPr>
        <w:t>违约责任和赔偿因此造成的损失、利息、律师费、诉讼费用等实现债权的费用。</w:t>
      </w:r>
    </w:p>
    <w:p w14:paraId="55D7284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二、本保函担保金额最高不超过人民币（大写）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1F9C86A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三、本保函有效期自开立之日起至基础合同约定的除工程质量保修金以外的全部工程结算款项支付之日后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日止，最迟不超过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日。 </w:t>
      </w:r>
    </w:p>
    <w:p w14:paraId="57FC5880">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四、我方承诺，在收到受益人发来的书面付款通知后的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日内无条件支付，前述书面付款通知即为付款要求之单据，且应满足以下要求：</w:t>
      </w:r>
    </w:p>
    <w:p w14:paraId="16455C4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（1）付款通知到达的日期在本保函的有效期内；</w:t>
      </w:r>
    </w:p>
    <w:p w14:paraId="2D18028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（2）载明要求支付的金额；</w:t>
      </w:r>
    </w:p>
    <w:p w14:paraId="42075C0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（3）载明申请人违反合同义务的条款和内容；</w:t>
      </w:r>
    </w:p>
    <w:p w14:paraId="514771F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（4）声明不存在合同文件约定或我国法律规定免除申请人或开立人支付责任的情形；</w:t>
      </w:r>
    </w:p>
    <w:p w14:paraId="00D8D67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（5）付款通知应在本保函有效期内到达的地址是：</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1D6CFF7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受益人发出的书面付款通知应由其为鉴明受益人法定代表人（负责人）或授权代理人签字并加盖公章。</w:t>
      </w:r>
    </w:p>
    <w:p w14:paraId="0070F6E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五、本保函项下的权利不得转让，不得设定担保。贵方未经我方书面同意转 让本保函或其项下任何权利，对我方不发生法律效力。 </w:t>
      </w:r>
    </w:p>
    <w:p w14:paraId="5DA8AA8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六、与本保函有关的基础合同不成立、不生效、无效、被撤销、被解除，不影响本保函的独立有效。 </w:t>
      </w:r>
    </w:p>
    <w:p w14:paraId="333BD37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315B2A8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八、本保函适用的法律为中华人民共和国法律，争议裁判管辖地为中华人民共和国</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6E7D171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九、本保函自我方法定代表人或授权代表签字并加盖公章之日起生效。 </w:t>
      </w:r>
    </w:p>
    <w:p w14:paraId="64BAD009">
      <w:pPr>
        <w:spacing w:line="360" w:lineRule="auto"/>
        <w:ind w:firstLine="480" w:firstLineChars="200"/>
        <w:rPr>
          <w:rFonts w:hint="eastAsia" w:ascii="宋体" w:hAnsi="宋体" w:eastAsia="宋体" w:cs="宋体"/>
          <w:color w:val="auto"/>
          <w:sz w:val="24"/>
          <w:szCs w:val="24"/>
          <w:highlight w:val="none"/>
        </w:rPr>
      </w:pPr>
    </w:p>
    <w:p w14:paraId="11122918">
      <w:pPr>
        <w:spacing w:line="360" w:lineRule="auto"/>
        <w:ind w:firstLine="480" w:firstLineChars="200"/>
        <w:rPr>
          <w:rFonts w:hint="eastAsia" w:ascii="宋体" w:hAnsi="宋体" w:eastAsia="宋体" w:cs="宋体"/>
          <w:color w:val="auto"/>
          <w:sz w:val="24"/>
          <w:szCs w:val="24"/>
          <w:highlight w:val="none"/>
        </w:rPr>
      </w:pPr>
    </w:p>
    <w:p w14:paraId="381FFE7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开 立 人：                              （公章） </w:t>
      </w:r>
    </w:p>
    <w:p w14:paraId="071FB5D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法定代表人（或授权代表）：               （签字） </w:t>
      </w:r>
    </w:p>
    <w:p w14:paraId="036F2F3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    址：                                       </w:t>
      </w:r>
    </w:p>
    <w:p w14:paraId="0F70507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邮政编码：                 </w:t>
      </w:r>
    </w:p>
    <w:p w14:paraId="42F9155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    话：                 </w:t>
      </w:r>
    </w:p>
    <w:p w14:paraId="4C09D05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传    真：                 </w:t>
      </w:r>
    </w:p>
    <w:p w14:paraId="046BE3E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开立时间：      年      月        日</w:t>
      </w:r>
    </w:p>
    <w:p w14:paraId="25E01D6A">
      <w:pPr>
        <w:spacing w:line="360" w:lineRule="auto"/>
        <w:ind w:firstLine="480" w:firstLineChars="200"/>
        <w:rPr>
          <w:rFonts w:hint="eastAsia" w:ascii="宋体" w:hAnsi="宋体" w:eastAsia="宋体" w:cs="宋体"/>
          <w:color w:val="auto"/>
          <w:sz w:val="24"/>
          <w:szCs w:val="24"/>
          <w:highlight w:val="none"/>
        </w:rPr>
      </w:pPr>
    </w:p>
    <w:p w14:paraId="26F5C9AC">
      <w:pPr>
        <w:spacing w:line="360" w:lineRule="auto"/>
        <w:ind w:firstLine="480" w:firstLineChars="200"/>
        <w:rPr>
          <w:rFonts w:hint="eastAsia" w:ascii="宋体" w:hAnsi="宋体" w:eastAsia="宋体" w:cs="宋体"/>
          <w:color w:val="auto"/>
          <w:sz w:val="24"/>
          <w:szCs w:val="24"/>
          <w:highlight w:val="none"/>
        </w:rPr>
      </w:pPr>
    </w:p>
    <w:p w14:paraId="36BD2B73">
      <w:pPr>
        <w:spacing w:line="360" w:lineRule="auto"/>
        <w:ind w:firstLine="480" w:firstLineChars="200"/>
        <w:rPr>
          <w:rFonts w:hint="eastAsia" w:ascii="宋体" w:hAnsi="宋体" w:eastAsia="宋体" w:cs="宋体"/>
          <w:color w:val="auto"/>
          <w:sz w:val="24"/>
          <w:szCs w:val="24"/>
          <w:highlight w:val="none"/>
        </w:rPr>
      </w:pPr>
    </w:p>
    <w:p w14:paraId="656C0EB2">
      <w:pPr>
        <w:spacing w:line="360" w:lineRule="auto"/>
        <w:jc w:val="left"/>
        <w:rPr>
          <w:rFonts w:hint="eastAsia" w:ascii="宋体" w:hAnsi="宋体" w:eastAsia="宋体" w:cs="宋体"/>
          <w:b/>
          <w:bCs/>
          <w:color w:val="auto"/>
          <w:sz w:val="32"/>
          <w:szCs w:val="32"/>
          <w:highlight w:val="none"/>
          <w:lang w:eastAsia="zh-CN"/>
        </w:rPr>
      </w:pPr>
      <w:r>
        <w:rPr>
          <w:rFonts w:hint="eastAsia" w:ascii="宋体" w:hAnsi="宋体" w:eastAsia="宋体" w:cs="宋体"/>
          <w:color w:val="auto"/>
          <w:sz w:val="30"/>
          <w:szCs w:val="30"/>
          <w:highlight w:val="none"/>
          <w:lang w:val="en-US" w:eastAsia="zh-CN"/>
        </w:rPr>
        <w:t xml:space="preserve"> </w:t>
      </w:r>
    </w:p>
    <w:p w14:paraId="3C835ED9">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r>
        <w:rPr>
          <w:rFonts w:hint="eastAsia" w:ascii="宋体" w:hAnsi="宋体" w:eastAsia="宋体" w:cs="宋体"/>
          <w:b/>
          <w:bCs/>
          <w:color w:val="auto"/>
          <w:sz w:val="32"/>
          <w:szCs w:val="32"/>
          <w:highlight w:val="none"/>
        </w:rPr>
        <w:t>支付保函示范文本</w:t>
      </w:r>
    </w:p>
    <w:p w14:paraId="6FA4AE28">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（非独立保函）</w:t>
      </w:r>
    </w:p>
    <w:p w14:paraId="2ABD2981">
      <w:pPr>
        <w:wordWrap w:val="0"/>
        <w:spacing w:line="360" w:lineRule="auto"/>
        <w:jc w:val="right"/>
        <w:rPr>
          <w:rFonts w:hint="eastAsia" w:ascii="宋体" w:hAnsi="宋体" w:eastAsia="宋体" w:cs="宋体"/>
          <w:color w:val="auto"/>
          <w:highlight w:val="none"/>
        </w:rPr>
      </w:pPr>
      <w:r>
        <w:rPr>
          <w:rFonts w:hint="eastAsia" w:ascii="宋体" w:hAnsi="宋体" w:eastAsia="宋体" w:cs="宋体"/>
          <w:color w:val="auto"/>
          <w:highlight w:val="none"/>
        </w:rPr>
        <w:t xml:space="preserve">编号：      </w:t>
      </w:r>
    </w:p>
    <w:p w14:paraId="5F4D7A68">
      <w:pPr>
        <w:wordWrap w:val="0"/>
        <w:spacing w:line="360" w:lineRule="auto"/>
        <w:jc w:val="righ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4DA20A4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w:t>
      </w:r>
    </w:p>
    <w:p w14:paraId="28D1437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74DD495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担保权人/承包人： </w:t>
      </w:r>
    </w:p>
    <w:p w14:paraId="3CE5286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3037774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保证人：</w:t>
      </w:r>
    </w:p>
    <w:p w14:paraId="59D8F86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702506E0">
      <w:pPr>
        <w:spacing w:line="360" w:lineRule="auto"/>
        <w:rPr>
          <w:rFonts w:hint="eastAsia" w:ascii="宋体" w:hAnsi="宋体" w:eastAsia="宋体" w:cs="宋体"/>
          <w:color w:val="auto"/>
          <w:sz w:val="24"/>
          <w:szCs w:val="24"/>
          <w:highlight w:val="none"/>
        </w:rPr>
      </w:pPr>
    </w:p>
    <w:p w14:paraId="6A98946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（承包人名称）： </w:t>
      </w:r>
    </w:p>
    <w:p w14:paraId="329F357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鉴于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发包人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承包人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工程（以下简称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本工程</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）施工和有关事项协商一致共同签订</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（以下简称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主合同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），我方即保证人基于发包人的请求，同意就发包人履行与贵方签订的主合同项下的工程款（指主合同约定的除工程质量保修金以外的全部工程结算款项）付款义务，向贵方提供如下保证担保（以下简称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本保证担保</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p>
    <w:p w14:paraId="367037E3">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一、保证担保的范围及保证担保金额</w:t>
      </w:r>
    </w:p>
    <w:p w14:paraId="38A234D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1.保证担保范围：申请人未履行主合同约定的工程款支付义务，应当向贵方</w:t>
      </w:r>
      <w:r>
        <w:rPr>
          <w:rFonts w:hint="eastAsia" w:ascii="宋体" w:hAnsi="宋体" w:eastAsia="宋体" w:cs="宋体"/>
          <w:color w:val="auto"/>
          <w:sz w:val="24"/>
          <w:szCs w:val="24"/>
          <w:highlight w:val="none"/>
          <w:lang w:eastAsia="zh-CN"/>
        </w:rPr>
        <w:t>承担</w:t>
      </w:r>
      <w:r>
        <w:rPr>
          <w:rFonts w:hint="eastAsia" w:ascii="宋体" w:hAnsi="宋体" w:eastAsia="宋体" w:cs="宋体"/>
          <w:color w:val="auto"/>
          <w:sz w:val="24"/>
          <w:szCs w:val="24"/>
          <w:highlight w:val="none"/>
        </w:rPr>
        <w:t>违约责任和赔偿因此造成的损失、利息、律师费、诉讼费用等实现债权的费用。</w:t>
      </w:r>
    </w:p>
    <w:p w14:paraId="70B479B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2.保证担保金额最高不超过人民币（大写）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1825A893">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二、保证担保的方式及保证期间 </w:t>
      </w:r>
    </w:p>
    <w:p w14:paraId="3EBAB3C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1.保证担保方式：连带责任保证。</w:t>
      </w:r>
    </w:p>
    <w:p w14:paraId="22F5384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2.保证期间：自出具之日起至主合同约定的除工程质量保修金以外的工程款支付之日后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日止，最迟不超过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日。 </w:t>
      </w:r>
    </w:p>
    <w:p w14:paraId="098E8D2A">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三、承担保证担保责任的形式</w:t>
      </w:r>
    </w:p>
    <w:p w14:paraId="270A96F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发包人未按合同约定向贵方支付主合同项下工程款的，由我方在保证金额内代为支付，并赔偿因此给贵方造成的损失，以及利息和律师费、诉讼费用等实现债权的费用。</w:t>
      </w:r>
    </w:p>
    <w:p w14:paraId="4F2A040C">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四、代偿的安排 </w:t>
      </w:r>
    </w:p>
    <w:p w14:paraId="5A0324B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1.贵方要求我方承担保证责任的，应向我方发出书面索赔通知及发包人未支付主合同约定工程款的证明材料。索赔通知应写明要求索赔的金额，支付款项应到达的</w:t>
      </w:r>
      <w:r>
        <w:rPr>
          <w:rFonts w:hint="eastAsia" w:ascii="宋体" w:hAnsi="宋体" w:eastAsia="宋体" w:cs="宋体"/>
          <w:color w:val="auto"/>
          <w:sz w:val="24"/>
          <w:szCs w:val="24"/>
          <w:highlight w:val="none"/>
          <w:lang w:eastAsia="zh-CN"/>
        </w:rPr>
        <w:t>账</w:t>
      </w:r>
      <w:r>
        <w:rPr>
          <w:rFonts w:hint="eastAsia" w:ascii="宋体" w:hAnsi="宋体" w:eastAsia="宋体" w:cs="宋体"/>
          <w:color w:val="auto"/>
          <w:sz w:val="24"/>
          <w:szCs w:val="24"/>
          <w:highlight w:val="none"/>
        </w:rPr>
        <w:t>号。</w:t>
      </w:r>
    </w:p>
    <w:p w14:paraId="37B0393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出现贵方与发包人因工程质量发生争议，发包人拒绝向贵方支付工程款的情形时，贵方要求我方履行保证责任代为支付的，还需提供项目总监理工程师、监理单位或符合相应条件要求的工程质量检测机构出具的质量说明材料。</w:t>
      </w:r>
    </w:p>
    <w:p w14:paraId="4206E1D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3.我方收到贵方的书面索赔通知及相应证明材料后，在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工作日内进行核定后按照本保函的承诺承担保证责任。</w:t>
      </w:r>
    </w:p>
    <w:p w14:paraId="36553F28">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五、保证担保责任的解除 </w:t>
      </w:r>
    </w:p>
    <w:p w14:paraId="5ACD87B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1.保证期间届满贵方未向我方书面主张保证责任的，自保证期间届满次日起，我方解除保证责任。 </w:t>
      </w:r>
    </w:p>
    <w:p w14:paraId="6ED2BBD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2.我方按照本保证担保向贵方履行了保证担保责任后，自我方向贵方支付的金额达到最高保证担保金额之日起，保证担保责任解除。 </w:t>
      </w:r>
    </w:p>
    <w:p w14:paraId="492E713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3.按照法律法规的规定应解除我方保证担保责任的</w:t>
      </w:r>
      <w:r>
        <w:rPr>
          <w:rFonts w:hint="eastAsia" w:ascii="宋体" w:hAnsi="宋体" w:eastAsia="宋体" w:cs="宋体"/>
          <w:color w:val="auto"/>
          <w:sz w:val="24"/>
          <w:szCs w:val="24"/>
          <w:highlight w:val="none"/>
          <w:lang w:eastAsia="zh-CN"/>
        </w:rPr>
        <w:t>其他情形的</w:t>
      </w:r>
      <w:r>
        <w:rPr>
          <w:rFonts w:hint="eastAsia" w:ascii="宋体" w:hAnsi="宋体" w:eastAsia="宋体" w:cs="宋体"/>
          <w:color w:val="auto"/>
          <w:sz w:val="24"/>
          <w:szCs w:val="24"/>
          <w:highlight w:val="none"/>
        </w:rPr>
        <w:t xml:space="preserve">，我方在本保证担保项下的保证担保责任亦解除。 </w:t>
      </w:r>
    </w:p>
    <w:p w14:paraId="3E3D1E5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59B1B7D9">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六、免责条款 </w:t>
      </w:r>
    </w:p>
    <w:p w14:paraId="0A2E0C1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1.因贵方原因致使发包人未履行主合同项下工程款付款义务的，我方不承担保证担保责任。 </w:t>
      </w:r>
    </w:p>
    <w:p w14:paraId="221EF45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2.依照法律规定或贵方与发包人的另行约定，免除发包人部分或全部义务的，我方亦免除其相应的保证担保责任。 </w:t>
      </w:r>
    </w:p>
    <w:p w14:paraId="51EBE8D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3.因不可抗力造成发包人未履行主合同项下工程款付款义务的，我方不承担保证担保责任。</w:t>
      </w:r>
    </w:p>
    <w:p w14:paraId="6C089072">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七、其他</w:t>
      </w:r>
    </w:p>
    <w:p w14:paraId="69C23AB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1.本保证担保项下的权利不得转让，不得设定担保。贵方未经我方书面同意转让本保证担保或其项下任何权利，对我方不发生法律效力。 </w:t>
      </w:r>
    </w:p>
    <w:p w14:paraId="10BA343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2.本保证担保适用的法律为中华人民共和国法律，争议裁判管辖地为中华人民共和国</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7B0324B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3.本保证担保自我方法定代表人或授权代表签字并加盖公章之日起生效。 </w:t>
      </w:r>
    </w:p>
    <w:p w14:paraId="6257FB98">
      <w:pPr>
        <w:spacing w:line="360" w:lineRule="auto"/>
        <w:ind w:firstLine="480" w:firstLineChars="200"/>
        <w:rPr>
          <w:rFonts w:hint="eastAsia" w:ascii="宋体" w:hAnsi="宋体" w:eastAsia="宋体" w:cs="宋体"/>
          <w:color w:val="auto"/>
          <w:sz w:val="24"/>
          <w:szCs w:val="24"/>
          <w:highlight w:val="none"/>
        </w:rPr>
      </w:pPr>
    </w:p>
    <w:p w14:paraId="3BE3B34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保 证 人：                              （公章） </w:t>
      </w:r>
    </w:p>
    <w:p w14:paraId="2FCCF6E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法定代表人（或授权代表）：               （签字） </w:t>
      </w:r>
    </w:p>
    <w:p w14:paraId="4323661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    址：                                       </w:t>
      </w:r>
    </w:p>
    <w:p w14:paraId="6DB291D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邮政编码：                 </w:t>
      </w:r>
    </w:p>
    <w:p w14:paraId="5F3D142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    话：                 </w:t>
      </w:r>
    </w:p>
    <w:p w14:paraId="4D3958A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传    真：                 </w:t>
      </w:r>
    </w:p>
    <w:p w14:paraId="6632699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    间：      年      月        日</w:t>
      </w:r>
    </w:p>
    <w:p w14:paraId="03363013">
      <w:pPr>
        <w:spacing w:line="360" w:lineRule="auto"/>
        <w:ind w:firstLine="420" w:firstLineChars="200"/>
        <w:rPr>
          <w:rFonts w:hint="eastAsia" w:ascii="宋体" w:hAnsi="宋体" w:eastAsia="宋体" w:cs="宋体"/>
          <w:color w:val="auto"/>
          <w:highlight w:val="none"/>
        </w:rPr>
        <w:sectPr>
          <w:pgSz w:w="11907" w:h="16840"/>
          <w:pgMar w:top="1440" w:right="1080" w:bottom="1440" w:left="1080" w:header="851" w:footer="851" w:gutter="0"/>
          <w:pgNumType w:fmt="decimal"/>
          <w:cols w:space="720" w:num="1"/>
          <w:docGrid w:linePitch="312" w:charSpace="0"/>
        </w:sectPr>
      </w:pPr>
    </w:p>
    <w:p w14:paraId="69186C29">
      <w:pPr>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附件10：预付款支付申请（核准）表</w:t>
      </w:r>
    </w:p>
    <w:p w14:paraId="5AF3C65D">
      <w:pPr>
        <w:jc w:val="center"/>
        <w:outlineLvl w:val="9"/>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预付款支付申请（核准）表</w:t>
      </w:r>
    </w:p>
    <w:p w14:paraId="78C80CCB">
      <w:pPr>
        <w:jc w:val="center"/>
        <w:outlineLvl w:val="9"/>
        <w:rPr>
          <w:rFonts w:hint="eastAsia" w:ascii="宋体" w:hAnsi="宋体" w:eastAsia="宋体" w:cs="宋体"/>
          <w:b/>
          <w:color w:val="auto"/>
          <w:sz w:val="30"/>
          <w:szCs w:val="30"/>
          <w:highlight w:val="none"/>
          <w:lang w:val="en-US" w:eastAsia="zh-CN"/>
        </w:rPr>
      </w:pPr>
      <w:r>
        <w:rPr>
          <w:rFonts w:hint="eastAsia" w:ascii="宋体" w:hAnsi="宋体" w:eastAsia="宋体" w:cs="宋体"/>
          <w:b/>
          <w:color w:val="auto"/>
          <w:sz w:val="30"/>
          <w:szCs w:val="30"/>
          <w:highlight w:val="none"/>
          <w:lang w:eastAsia="zh-CN"/>
        </w:rPr>
        <w:t>（适用于分年度支付）</w:t>
      </w:r>
    </w:p>
    <w:p w14:paraId="341121C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工程名称：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编号：</w:t>
      </w:r>
    </w:p>
    <w:tbl>
      <w:tblPr>
        <w:tblStyle w:val="3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9"/>
        <w:gridCol w:w="4543"/>
      </w:tblGrid>
      <w:tr w14:paraId="14EDD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25DB22A7">
            <w:pPr>
              <w:keepNext w:val="0"/>
              <w:keepLines w:val="0"/>
              <w:suppressLineNumbers w:val="0"/>
              <w:spacing w:before="0" w:beforeAutospacing="0" w:after="0" w:afterAutospacing="0" w:line="480" w:lineRule="exact"/>
              <w:ind w:left="525" w:leftChars="149" w:right="0" w:hanging="212" w:hangingChars="101"/>
              <w:rPr>
                <w:rFonts w:hint="eastAsia" w:ascii="宋体" w:hAnsi="宋体" w:eastAsia="宋体" w:cs="宋体"/>
                <w:color w:val="auto"/>
                <w:highlight w:val="none"/>
                <w:u w:val="single"/>
              </w:rPr>
            </w:pPr>
            <w:r>
              <w:rPr>
                <w:rFonts w:hint="eastAsia" w:ascii="宋体" w:hAnsi="宋体" w:eastAsia="宋体" w:cs="宋体"/>
                <w:color w:val="auto"/>
                <w:highlight w:val="none"/>
              </w:rPr>
              <w:t>致：</w:t>
            </w:r>
            <w:r>
              <w:rPr>
                <w:rFonts w:hint="eastAsia" w:ascii="宋体" w:hAnsi="宋体" w:eastAsia="宋体" w:cs="宋体"/>
                <w:color w:val="auto"/>
                <w:highlight w:val="none"/>
                <w:u w:val="single"/>
              </w:rPr>
              <w:t xml:space="preserve">                                   （发包人全称）</w:t>
            </w:r>
          </w:p>
          <w:p w14:paraId="16BD45D4">
            <w:pPr>
              <w:keepNext w:val="0"/>
              <w:keepLines w:val="0"/>
              <w:suppressLineNumbers w:val="0"/>
              <w:spacing w:before="0" w:beforeAutospacing="0" w:after="0" w:afterAutospacing="0" w:line="400" w:lineRule="exact"/>
              <w:ind w:left="-4" w:leftChars="-2" w:right="0" w:firstLine="315" w:firstLineChars="150"/>
              <w:rPr>
                <w:rFonts w:hint="eastAsia" w:ascii="宋体" w:hAnsi="宋体" w:eastAsia="宋体" w:cs="宋体"/>
                <w:color w:val="auto"/>
                <w:highlight w:val="none"/>
              </w:rPr>
            </w:pPr>
            <w:r>
              <w:rPr>
                <w:rFonts w:hint="eastAsia" w:ascii="宋体" w:hAnsi="宋体" w:eastAsia="宋体" w:cs="宋体"/>
                <w:color w:val="auto"/>
                <w:highlight w:val="none"/>
              </w:rPr>
              <w:t>我方根据施工合同的约定</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现申请支付</w:t>
            </w:r>
            <w:r>
              <w:rPr>
                <w:rFonts w:hint="eastAsia" w:ascii="宋体" w:hAnsi="宋体" w:eastAsia="宋体" w:cs="宋体"/>
                <w:color w:val="auto"/>
                <w:highlight w:val="none"/>
                <w:u w:val="none"/>
                <w:lang w:eastAsia="zh-CN"/>
              </w:rPr>
              <w:t>第</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none"/>
                <w:lang w:val="en-US" w:eastAsia="zh-CN"/>
              </w:rPr>
              <w:t>年</w:t>
            </w:r>
            <w:r>
              <w:rPr>
                <w:rFonts w:hint="eastAsia" w:ascii="宋体" w:hAnsi="宋体" w:eastAsia="宋体" w:cs="宋体"/>
                <w:color w:val="auto"/>
                <w:highlight w:val="none"/>
              </w:rPr>
              <w:t>工程预付款额为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大写</w:t>
            </w:r>
            <w:r>
              <w:rPr>
                <w:rFonts w:hint="eastAsia" w:ascii="宋体" w:hAnsi="宋体" w:eastAsia="宋体" w:cs="宋体"/>
                <w:color w:val="auto"/>
                <w:highlight w:val="non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小写</w:t>
            </w:r>
            <w:r>
              <w:rPr>
                <w:rFonts w:hint="eastAsia" w:ascii="宋体" w:hAnsi="宋体" w:eastAsia="宋体" w:cs="宋体"/>
                <w:color w:val="auto"/>
                <w:highlight w:val="non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请予核准。</w:t>
            </w:r>
          </w:p>
          <w:tbl>
            <w:tblPr>
              <w:tblStyle w:val="37"/>
              <w:tblW w:w="8842"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2176"/>
              <w:gridCol w:w="1791"/>
              <w:gridCol w:w="1296"/>
              <w:gridCol w:w="1470"/>
              <w:gridCol w:w="1473"/>
            </w:tblGrid>
            <w:tr w14:paraId="52F22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tcBorders>
                    <w:top w:val="single" w:color="auto" w:sz="4" w:space="0"/>
                    <w:left w:val="single" w:color="auto" w:sz="4" w:space="0"/>
                    <w:bottom w:val="single" w:color="auto" w:sz="4" w:space="0"/>
                    <w:right w:val="single" w:color="auto" w:sz="4" w:space="0"/>
                  </w:tcBorders>
                  <w:noWrap w:val="0"/>
                  <w:vAlign w:val="center"/>
                </w:tcPr>
                <w:p w14:paraId="6C7AD887">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2322" w:type="dxa"/>
                  <w:tcBorders>
                    <w:top w:val="single" w:color="auto" w:sz="4" w:space="0"/>
                    <w:left w:val="single" w:color="auto" w:sz="4" w:space="0"/>
                    <w:bottom w:val="single" w:color="auto" w:sz="4" w:space="0"/>
                    <w:right w:val="single" w:color="auto" w:sz="4" w:space="0"/>
                  </w:tcBorders>
                  <w:noWrap w:val="0"/>
                  <w:vAlign w:val="center"/>
                </w:tcPr>
                <w:p w14:paraId="758CF5FC">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名      称</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0CC1BDFE">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rPr>
                    <w:t>计算基数</w:t>
                  </w:r>
                  <w:r>
                    <w:rPr>
                      <w:rFonts w:hint="eastAsia" w:ascii="宋体" w:hAnsi="宋体" w:eastAsia="宋体" w:cs="宋体"/>
                      <w:color w:val="auto"/>
                      <w:highlight w:val="none"/>
                      <w:lang w:eastAsia="zh-CN"/>
                    </w:rPr>
                    <w:t>（元）</w:t>
                  </w:r>
                </w:p>
              </w:tc>
              <w:tc>
                <w:tcPr>
                  <w:tcW w:w="1392" w:type="dxa"/>
                  <w:tcBorders>
                    <w:top w:val="single" w:color="auto" w:sz="4" w:space="0"/>
                    <w:left w:val="single" w:color="auto" w:sz="4" w:space="0"/>
                    <w:bottom w:val="single" w:color="auto" w:sz="4" w:space="0"/>
                    <w:right w:val="single" w:color="auto" w:sz="4" w:space="0"/>
                  </w:tcBorders>
                  <w:noWrap w:val="0"/>
                  <w:vAlign w:val="center"/>
                </w:tcPr>
                <w:p w14:paraId="3FD07DEA">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支付比例</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0CE494AB">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申请金额（元）</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024394B1">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复核金额（元）</w:t>
                  </w:r>
                </w:p>
              </w:tc>
            </w:tr>
            <w:tr w14:paraId="3D0C1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7F279E85">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476B1EFD">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rPr>
                  </w:pPr>
                  <w:r>
                    <w:rPr>
                      <w:rFonts w:hint="eastAsia" w:ascii="宋体" w:hAnsi="宋体" w:eastAsia="宋体" w:cs="宋体"/>
                      <w:color w:val="auto"/>
                      <w:highlight w:val="none"/>
                    </w:rPr>
                    <w:t>签约合同价款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17953804">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5341C6D0">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346304BC">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59C0A7AA">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r>
            <w:tr w14:paraId="63583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36CC4C57">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1.1</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06F835CA">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rPr>
                  </w:pPr>
                  <w:r>
                    <w:rPr>
                      <w:rFonts w:hint="eastAsia" w:ascii="宋体" w:hAnsi="宋体" w:eastAsia="宋体" w:cs="宋体"/>
                      <w:color w:val="auto"/>
                      <w:highlight w:val="none"/>
                    </w:rPr>
                    <w:t>暂列金额</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45B6444F">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07F53F35">
                  <w:pPr>
                    <w:keepNext w:val="0"/>
                    <w:keepLines w:val="0"/>
                    <w:suppressLineNumbers w:val="0"/>
                    <w:spacing w:before="0" w:beforeAutospacing="0" w:after="0" w:afterAutospacing="0" w:line="280" w:lineRule="exact"/>
                    <w:ind w:left="0" w:leftChars="0" w:right="0" w:rightChars="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4378108E">
                  <w:pPr>
                    <w:keepNext w:val="0"/>
                    <w:keepLines w:val="0"/>
                    <w:suppressLineNumbers w:val="0"/>
                    <w:spacing w:before="0" w:beforeAutospacing="0" w:after="0" w:afterAutospacing="0" w:line="280" w:lineRule="exact"/>
                    <w:ind w:left="0" w:leftChars="0" w:right="0" w:rightChars="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0CADE174">
                  <w:pPr>
                    <w:keepNext w:val="0"/>
                    <w:keepLines w:val="0"/>
                    <w:suppressLineNumbers w:val="0"/>
                    <w:spacing w:before="0" w:beforeAutospacing="0" w:after="0" w:afterAutospacing="0" w:line="280" w:lineRule="exact"/>
                    <w:ind w:left="0" w:leftChars="0" w:right="0" w:rightChars="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r>
            <w:tr w14:paraId="3464C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13A44A1E">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2</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7A73F7BF">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rPr>
                  </w:pPr>
                  <w:r>
                    <w:rPr>
                      <w:rFonts w:hint="eastAsia" w:ascii="宋体" w:hAnsi="宋体" w:eastAsia="宋体" w:cs="宋体"/>
                      <w:color w:val="auto"/>
                      <w:highlight w:val="none"/>
                    </w:rPr>
                    <w:t>专业工程暂估价</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50778404">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2A29236E">
                  <w:pPr>
                    <w:keepNext w:val="0"/>
                    <w:keepLines w:val="0"/>
                    <w:suppressLineNumbers w:val="0"/>
                    <w:spacing w:before="0" w:beforeAutospacing="0" w:after="0" w:afterAutospacing="0" w:line="280" w:lineRule="exact"/>
                    <w:ind w:left="0" w:leftChars="0" w:right="0" w:rightChars="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08F6F8F9">
                  <w:pPr>
                    <w:keepNext w:val="0"/>
                    <w:keepLines w:val="0"/>
                    <w:suppressLineNumbers w:val="0"/>
                    <w:spacing w:before="0" w:beforeAutospacing="0" w:after="0" w:afterAutospacing="0" w:line="280" w:lineRule="exact"/>
                    <w:ind w:left="0" w:leftChars="0" w:right="0" w:rightChars="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39F2571C">
                  <w:pPr>
                    <w:keepNext w:val="0"/>
                    <w:keepLines w:val="0"/>
                    <w:suppressLineNumbers w:val="0"/>
                    <w:spacing w:before="0" w:beforeAutospacing="0" w:after="0" w:afterAutospacing="0" w:line="280" w:lineRule="exact"/>
                    <w:ind w:left="0" w:leftChars="0" w:right="0" w:rightChars="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r>
            <w:tr w14:paraId="0733D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38E38981">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3</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20273671">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lang w:val="en"/>
                    </w:rPr>
                  </w:pPr>
                  <w:r>
                    <w:rPr>
                      <w:rFonts w:hint="eastAsia" w:ascii="宋体" w:hAnsi="宋体" w:eastAsia="宋体" w:cs="宋体"/>
                      <w:color w:val="auto"/>
                      <w:highlight w:val="none"/>
                      <w:lang w:val="en"/>
                    </w:rPr>
                    <w:t>安全生产费</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6ECF33E4">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1EE2900C">
                  <w:pPr>
                    <w:keepNext w:val="0"/>
                    <w:keepLines w:val="0"/>
                    <w:suppressLineNumbers w:val="0"/>
                    <w:spacing w:before="0" w:beforeAutospacing="0" w:after="0" w:afterAutospacing="0" w:line="280" w:lineRule="exact"/>
                    <w:ind w:left="0" w:leftChars="0" w:right="0" w:rightChars="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60C288ED">
                  <w:pPr>
                    <w:keepNext w:val="0"/>
                    <w:keepLines w:val="0"/>
                    <w:suppressLineNumbers w:val="0"/>
                    <w:spacing w:before="0" w:beforeAutospacing="0" w:after="0" w:afterAutospacing="0" w:line="280" w:lineRule="exact"/>
                    <w:ind w:left="0" w:leftChars="0" w:right="0" w:rightChars="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1D025963">
                  <w:pPr>
                    <w:keepNext w:val="0"/>
                    <w:keepLines w:val="0"/>
                    <w:suppressLineNumbers w:val="0"/>
                    <w:spacing w:before="0" w:beforeAutospacing="0" w:after="0" w:afterAutospacing="0" w:line="280" w:lineRule="exact"/>
                    <w:ind w:left="0" w:leftChars="0" w:right="0" w:rightChars="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r>
            <w:tr w14:paraId="695ED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26AE68B2">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077AE514">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应付预付款支付基数</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117F2583">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1-(1.1+1.2+1.3)</w:t>
                  </w:r>
                </w:p>
              </w:tc>
              <w:tc>
                <w:tcPr>
                  <w:tcW w:w="1392" w:type="dxa"/>
                  <w:tcBorders>
                    <w:top w:val="single" w:color="auto" w:sz="4" w:space="0"/>
                    <w:left w:val="single" w:color="auto" w:sz="4" w:space="0"/>
                    <w:bottom w:val="single" w:color="auto" w:sz="4" w:space="0"/>
                    <w:right w:val="single" w:color="auto" w:sz="4" w:space="0"/>
                  </w:tcBorders>
                  <w:noWrap w:val="0"/>
                  <w:vAlign w:val="center"/>
                </w:tcPr>
                <w:p w14:paraId="003CB369">
                  <w:pPr>
                    <w:keepNext w:val="0"/>
                    <w:keepLines w:val="0"/>
                    <w:suppressLineNumbers w:val="0"/>
                    <w:spacing w:before="0" w:beforeAutospacing="0" w:after="0" w:afterAutospacing="0" w:line="280" w:lineRule="exact"/>
                    <w:ind w:left="0" w:leftChars="0" w:right="0" w:rightChars="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324C07F9">
                  <w:pPr>
                    <w:keepNext w:val="0"/>
                    <w:keepLines w:val="0"/>
                    <w:suppressLineNumbers w:val="0"/>
                    <w:spacing w:before="0" w:beforeAutospacing="0" w:after="0" w:afterAutospacing="0" w:line="280" w:lineRule="exact"/>
                    <w:ind w:left="0" w:leftChars="0" w:right="0" w:rightChars="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179BB3FE">
                  <w:pPr>
                    <w:keepNext w:val="0"/>
                    <w:keepLines w:val="0"/>
                    <w:suppressLineNumbers w:val="0"/>
                    <w:spacing w:before="0" w:beforeAutospacing="0" w:after="0" w:afterAutospacing="0" w:line="280" w:lineRule="exact"/>
                    <w:ind w:left="0" w:leftChars="0" w:right="0" w:rightChars="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r>
            <w:tr w14:paraId="44AA2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02E62935">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4E814A7A">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第一年应付预付款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7BC075F8">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2F15ECCE">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2E69F1D2">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7BE14FF0">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r>
            <w:tr w14:paraId="389D2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34478208">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348B9763">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第二年应付预付款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2D7EBBC3">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7506F706">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04A092E1">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7100C547">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r>
            <w:tr w14:paraId="05251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6404B72A">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25EF06EA">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rPr>
                  </w:pPr>
                  <w:r>
                    <w:rPr>
                      <w:rFonts w:hint="eastAsia" w:ascii="宋体" w:hAnsi="宋体" w:eastAsia="宋体" w:cs="宋体"/>
                      <w:color w:val="auto"/>
                      <w:highlight w:val="none"/>
                      <w:lang w:eastAsia="zh-CN"/>
                    </w:rPr>
                    <w:t>第……年应付预付款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39296B6B">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66649654">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0B9A14B0">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7DA1F0C2">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r>
            <w:tr w14:paraId="7EF4F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66B337BC">
                  <w:pPr>
                    <w:keepNext w:val="0"/>
                    <w:keepLines w:val="0"/>
                    <w:suppressLineNumbers w:val="0"/>
                    <w:spacing w:before="0" w:beforeAutospacing="0" w:after="0" w:afterAutospacing="0" w:line="280" w:lineRule="exact"/>
                    <w:ind w:left="0" w:leftChars="0" w:right="0" w:rightChars="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44FFD7E3">
                  <w:pPr>
                    <w:keepNext w:val="0"/>
                    <w:keepLines w:val="0"/>
                    <w:suppressLineNumbers w:val="0"/>
                    <w:spacing w:before="0" w:beforeAutospacing="0" w:after="0" w:afterAutospacing="0" w:line="280" w:lineRule="exact"/>
                    <w:ind w:left="0" w:leftChars="0" w:right="0" w:rightChars="0"/>
                    <w:rPr>
                      <w:rFonts w:hint="eastAsia" w:ascii="宋体" w:hAnsi="宋体" w:eastAsia="宋体" w:cs="宋体"/>
                      <w:color w:val="auto"/>
                      <w:highlight w:val="none"/>
                    </w:rPr>
                  </w:pPr>
                  <w:r>
                    <w:rPr>
                      <w:rFonts w:hint="eastAsia" w:ascii="宋体" w:hAnsi="宋体" w:eastAsia="宋体" w:cs="宋体"/>
                      <w:color w:val="auto"/>
                      <w:highlight w:val="none"/>
                    </w:rPr>
                    <w:t>累计</w:t>
                  </w:r>
                  <w:r>
                    <w:rPr>
                      <w:rFonts w:hint="eastAsia" w:ascii="宋体" w:hAnsi="宋体" w:eastAsia="宋体" w:cs="宋体"/>
                      <w:color w:val="auto"/>
                      <w:highlight w:val="none"/>
                      <w:lang w:eastAsia="zh-CN"/>
                    </w:rPr>
                    <w:t>应</w:t>
                  </w:r>
                  <w:r>
                    <w:rPr>
                      <w:rFonts w:hint="eastAsia" w:ascii="宋体" w:hAnsi="宋体" w:eastAsia="宋体" w:cs="宋体"/>
                      <w:color w:val="auto"/>
                      <w:highlight w:val="none"/>
                    </w:rPr>
                    <w:t>支付的预付款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30F49920">
                  <w:pPr>
                    <w:keepNext w:val="0"/>
                    <w:keepLines w:val="0"/>
                    <w:suppressLineNumbers w:val="0"/>
                    <w:spacing w:before="0" w:beforeAutospacing="0" w:after="0" w:afterAutospacing="0" w:line="280" w:lineRule="exact"/>
                    <w:ind w:left="0" w:leftChars="0" w:right="0" w:rightChars="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c>
                <w:tcPr>
                  <w:tcW w:w="1392" w:type="dxa"/>
                  <w:tcBorders>
                    <w:top w:val="single" w:color="auto" w:sz="4" w:space="0"/>
                    <w:left w:val="single" w:color="auto" w:sz="4" w:space="0"/>
                    <w:bottom w:val="single" w:color="auto" w:sz="4" w:space="0"/>
                    <w:right w:val="single" w:color="auto" w:sz="4" w:space="0"/>
                  </w:tcBorders>
                  <w:noWrap w:val="0"/>
                  <w:vAlign w:val="center"/>
                </w:tcPr>
                <w:p w14:paraId="3CA1D386">
                  <w:pPr>
                    <w:keepNext w:val="0"/>
                    <w:keepLines w:val="0"/>
                    <w:suppressLineNumbers w:val="0"/>
                    <w:spacing w:before="0" w:beforeAutospacing="0" w:after="0" w:afterAutospacing="0" w:line="280" w:lineRule="exact"/>
                    <w:ind w:left="0" w:leftChars="0" w:right="0" w:rightChars="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6CD061DA">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3DF12B39">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r>
            <w:tr w14:paraId="169C9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7CF0D7E5">
                  <w:pPr>
                    <w:keepNext w:val="0"/>
                    <w:keepLines w:val="0"/>
                    <w:suppressLineNumbers w:val="0"/>
                    <w:spacing w:before="0" w:beforeAutospacing="0" w:after="0" w:afterAutospacing="0" w:line="280" w:lineRule="exact"/>
                    <w:ind w:left="0" w:leftChars="0" w:right="0" w:rightChars="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w:t>
                  </w:r>
                </w:p>
              </w:tc>
              <w:tc>
                <w:tcPr>
                  <w:tcW w:w="2322" w:type="dxa"/>
                  <w:tcBorders>
                    <w:top w:val="single" w:color="auto" w:sz="4" w:space="0"/>
                    <w:left w:val="single" w:color="auto" w:sz="4" w:space="0"/>
                    <w:bottom w:val="single" w:color="auto" w:sz="4" w:space="0"/>
                    <w:right w:val="single" w:color="auto" w:sz="4" w:space="0"/>
                  </w:tcBorders>
                  <w:noWrap w:val="0"/>
                  <w:vAlign w:val="top"/>
                </w:tcPr>
                <w:p w14:paraId="15D10A81">
                  <w:pPr>
                    <w:keepNext w:val="0"/>
                    <w:keepLines w:val="0"/>
                    <w:suppressLineNumbers w:val="0"/>
                    <w:spacing w:before="0" w:beforeAutospacing="0" w:after="0" w:afterAutospacing="0" w:line="280" w:lineRule="exact"/>
                    <w:ind w:left="0" w:leftChars="0" w:right="0" w:rightChars="0"/>
                    <w:rPr>
                      <w:rFonts w:hint="eastAsia" w:ascii="宋体" w:hAnsi="宋体" w:eastAsia="宋体" w:cs="宋体"/>
                      <w:color w:val="auto"/>
                      <w:highlight w:val="none"/>
                    </w:rPr>
                  </w:pPr>
                  <w:r>
                    <w:rPr>
                      <w:rFonts w:hint="eastAsia" w:ascii="宋体" w:hAnsi="宋体" w:eastAsia="宋体" w:cs="宋体"/>
                      <w:color w:val="auto"/>
                      <w:highlight w:val="none"/>
                    </w:rPr>
                    <w:t>累计</w:t>
                  </w:r>
                  <w:r>
                    <w:rPr>
                      <w:rFonts w:hint="eastAsia" w:ascii="宋体" w:hAnsi="宋体" w:eastAsia="宋体" w:cs="宋体"/>
                      <w:color w:val="auto"/>
                      <w:highlight w:val="none"/>
                      <w:lang w:eastAsia="zh-CN"/>
                    </w:rPr>
                    <w:t>已</w:t>
                  </w:r>
                  <w:r>
                    <w:rPr>
                      <w:rFonts w:hint="eastAsia" w:ascii="宋体" w:hAnsi="宋体" w:eastAsia="宋体" w:cs="宋体"/>
                      <w:color w:val="auto"/>
                      <w:highlight w:val="none"/>
                    </w:rPr>
                    <w:t>支付的预付款</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417AEDF4">
                  <w:pPr>
                    <w:keepNext w:val="0"/>
                    <w:keepLines w:val="0"/>
                    <w:suppressLineNumbers w:val="0"/>
                    <w:spacing w:before="0" w:beforeAutospacing="0" w:after="0" w:afterAutospacing="0" w:line="280" w:lineRule="exact"/>
                    <w:ind w:left="0" w:leftChars="0" w:right="0" w:rightChars="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c>
                <w:tcPr>
                  <w:tcW w:w="1392" w:type="dxa"/>
                  <w:tcBorders>
                    <w:top w:val="single" w:color="auto" w:sz="4" w:space="0"/>
                    <w:left w:val="single" w:color="auto" w:sz="4" w:space="0"/>
                    <w:bottom w:val="single" w:color="auto" w:sz="4" w:space="0"/>
                    <w:right w:val="single" w:color="auto" w:sz="4" w:space="0"/>
                  </w:tcBorders>
                  <w:noWrap w:val="0"/>
                  <w:vAlign w:val="center"/>
                </w:tcPr>
                <w:p w14:paraId="46223FBF">
                  <w:pPr>
                    <w:keepNext w:val="0"/>
                    <w:keepLines w:val="0"/>
                    <w:suppressLineNumbers w:val="0"/>
                    <w:spacing w:before="0" w:beforeAutospacing="0" w:after="0" w:afterAutospacing="0" w:line="280" w:lineRule="exact"/>
                    <w:ind w:left="0" w:leftChars="0" w:right="0" w:rightChars="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4AAB91BB">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7D97AB5B">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r>
            <w:tr w14:paraId="67D1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68FB9EC5">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2322" w:type="dxa"/>
                  <w:tcBorders>
                    <w:top w:val="single" w:color="auto" w:sz="4" w:space="0"/>
                    <w:left w:val="single" w:color="auto" w:sz="4" w:space="0"/>
                    <w:bottom w:val="single" w:color="auto" w:sz="4" w:space="0"/>
                    <w:right w:val="single" w:color="auto" w:sz="4" w:space="0"/>
                  </w:tcBorders>
                  <w:noWrap w:val="0"/>
                  <w:vAlign w:val="top"/>
                </w:tcPr>
                <w:p w14:paraId="2B93BBE5">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rPr>
                  </w:pPr>
                </w:p>
              </w:tc>
              <w:tc>
                <w:tcPr>
                  <w:tcW w:w="1412" w:type="dxa"/>
                  <w:tcBorders>
                    <w:top w:val="single" w:color="auto" w:sz="4" w:space="0"/>
                    <w:left w:val="single" w:color="auto" w:sz="4" w:space="0"/>
                    <w:bottom w:val="single" w:color="auto" w:sz="4" w:space="0"/>
                    <w:right w:val="single" w:color="auto" w:sz="4" w:space="0"/>
                  </w:tcBorders>
                  <w:noWrap w:val="0"/>
                  <w:vAlign w:val="center"/>
                </w:tcPr>
                <w:p w14:paraId="5B05C461">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5FFC7EBD">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5C4156AE">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6A02117A">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r>
            <w:tr w14:paraId="6C52B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5D789E4D">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2322" w:type="dxa"/>
                  <w:tcBorders>
                    <w:top w:val="single" w:color="auto" w:sz="4" w:space="0"/>
                    <w:left w:val="single" w:color="auto" w:sz="4" w:space="0"/>
                    <w:bottom w:val="single" w:color="auto" w:sz="4" w:space="0"/>
                    <w:right w:val="single" w:color="auto" w:sz="4" w:space="0"/>
                  </w:tcBorders>
                  <w:noWrap w:val="0"/>
                  <w:vAlign w:val="top"/>
                </w:tcPr>
                <w:p w14:paraId="42D299D6">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rPr>
                  </w:pPr>
                </w:p>
              </w:tc>
              <w:tc>
                <w:tcPr>
                  <w:tcW w:w="1412" w:type="dxa"/>
                  <w:tcBorders>
                    <w:top w:val="single" w:color="auto" w:sz="4" w:space="0"/>
                    <w:left w:val="single" w:color="auto" w:sz="4" w:space="0"/>
                    <w:bottom w:val="single" w:color="auto" w:sz="4" w:space="0"/>
                    <w:right w:val="single" w:color="auto" w:sz="4" w:space="0"/>
                  </w:tcBorders>
                  <w:noWrap w:val="0"/>
                  <w:vAlign w:val="center"/>
                </w:tcPr>
                <w:p w14:paraId="1E73948F">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392" w:type="dxa"/>
                  <w:tcBorders>
                    <w:top w:val="single" w:color="auto" w:sz="4" w:space="0"/>
                    <w:left w:val="single" w:color="auto" w:sz="4" w:space="0"/>
                    <w:bottom w:val="single" w:color="auto" w:sz="4" w:space="0"/>
                    <w:right w:val="single" w:color="auto" w:sz="4" w:space="0"/>
                  </w:tcBorders>
                  <w:noWrap w:val="0"/>
                  <w:vAlign w:val="center"/>
                </w:tcPr>
                <w:p w14:paraId="1AC059BB">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14:paraId="7D2D876D">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20CEC00B">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r>
          </w:tbl>
          <w:p w14:paraId="50FBC7CC">
            <w:pPr>
              <w:keepNext w:val="0"/>
              <w:keepLines w:val="0"/>
              <w:suppressLineNumbers w:val="0"/>
              <w:wordWrap w:val="0"/>
              <w:spacing w:before="0" w:beforeAutospacing="0" w:after="0" w:afterAutospacing="0" w:line="400" w:lineRule="exact"/>
              <w:ind w:left="0" w:right="42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75B43990">
            <w:pPr>
              <w:keepNext w:val="0"/>
              <w:keepLines w:val="0"/>
              <w:suppressLineNumbers w:val="0"/>
              <w:wordWrap w:val="0"/>
              <w:spacing w:before="0" w:beforeAutospacing="0" w:after="0" w:afterAutospacing="0" w:line="400" w:lineRule="exact"/>
              <w:ind w:left="0" w:right="420"/>
              <w:rPr>
                <w:rFonts w:hint="eastAsia" w:ascii="宋体" w:hAnsi="宋体" w:eastAsia="宋体" w:cs="宋体"/>
                <w:color w:val="auto"/>
                <w:highlight w:val="none"/>
              </w:rPr>
            </w:pPr>
            <w:r>
              <w:rPr>
                <w:rFonts w:hint="eastAsia" w:ascii="宋体" w:hAnsi="宋体" w:eastAsia="宋体" w:cs="宋体"/>
                <w:color w:val="auto"/>
                <w:highlight w:val="none"/>
              </w:rPr>
              <w:t xml:space="preserve">                                                    承包人（章）             </w:t>
            </w:r>
          </w:p>
          <w:p w14:paraId="3920D771">
            <w:pPr>
              <w:keepNext w:val="0"/>
              <w:keepLines w:val="0"/>
              <w:suppressLineNumbers w:val="0"/>
              <w:spacing w:before="0" w:beforeAutospacing="0" w:after="0" w:afterAutospacing="0" w:line="400" w:lineRule="exact"/>
              <w:ind w:left="0" w:right="420" w:firstLine="435"/>
              <w:rPr>
                <w:rFonts w:hint="eastAsia" w:ascii="宋体" w:hAnsi="宋体" w:eastAsia="宋体" w:cs="宋体"/>
                <w:color w:val="auto"/>
                <w:highlight w:val="none"/>
              </w:rPr>
            </w:pPr>
            <w:r>
              <w:rPr>
                <w:rFonts w:hint="eastAsia" w:ascii="宋体" w:hAnsi="宋体" w:eastAsia="宋体" w:cs="宋体"/>
                <w:color w:val="auto"/>
                <w:highlight w:val="none"/>
              </w:rPr>
              <w:t>造价人员</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承包人代表</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tc>
      </w:tr>
      <w:tr w14:paraId="6BBC8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9" w:hRule="atLeast"/>
          <w:jc w:val="center"/>
        </w:trPr>
        <w:tc>
          <w:tcPr>
            <w:tcW w:w="4529" w:type="dxa"/>
            <w:tcBorders>
              <w:top w:val="single" w:color="auto" w:sz="4" w:space="0"/>
              <w:left w:val="single" w:color="auto" w:sz="4" w:space="0"/>
              <w:bottom w:val="single" w:color="auto" w:sz="4" w:space="0"/>
              <w:right w:val="single" w:color="auto" w:sz="4" w:space="0"/>
            </w:tcBorders>
            <w:noWrap w:val="0"/>
            <w:vAlign w:val="top"/>
          </w:tcPr>
          <w:p w14:paraId="362482D7">
            <w:pPr>
              <w:keepNext w:val="0"/>
              <w:keepLines w:val="0"/>
              <w:suppressLineNumbers w:val="0"/>
              <w:spacing w:before="0" w:beforeAutospacing="0" w:after="0" w:afterAutospacing="0" w:line="360" w:lineRule="exact"/>
              <w:ind w:left="0" w:right="0"/>
              <w:rPr>
                <w:rFonts w:hint="eastAsia" w:ascii="宋体" w:hAnsi="宋体" w:eastAsia="宋体" w:cs="宋体"/>
                <w:color w:val="auto"/>
                <w:highlight w:val="none"/>
              </w:rPr>
            </w:pPr>
            <w:r>
              <w:rPr>
                <w:rFonts w:hint="eastAsia" w:ascii="宋体" w:hAnsi="宋体" w:eastAsia="宋体" w:cs="宋体"/>
                <w:color w:val="auto"/>
                <w:highlight w:val="none"/>
              </w:rPr>
              <w:t>复核意见：</w:t>
            </w:r>
          </w:p>
          <w:p w14:paraId="721AB5B6">
            <w:pPr>
              <w:keepNext w:val="0"/>
              <w:keepLines w:val="0"/>
              <w:suppressLineNumbers w:val="0"/>
              <w:spacing w:before="0" w:beforeAutospacing="0" w:after="0" w:afterAutospacing="0" w:line="360" w:lineRule="exact"/>
              <w:ind w:left="0" w:right="0"/>
              <w:rPr>
                <w:rFonts w:hint="eastAsia" w:ascii="宋体" w:hAnsi="宋体" w:eastAsia="宋体" w:cs="宋体"/>
                <w:color w:val="auto"/>
                <w:highlight w:val="none"/>
              </w:rPr>
            </w:pPr>
            <w:r>
              <w:rPr>
                <w:rFonts w:hint="eastAsia" w:ascii="宋体" w:hAnsi="宋体" w:eastAsia="宋体" w:cs="宋体"/>
                <w:color w:val="auto"/>
                <w:highlight w:val="none"/>
              </w:rPr>
              <w:t>□与合同约定不相符</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修改意见见附件。</w:t>
            </w:r>
          </w:p>
          <w:p w14:paraId="548EA979">
            <w:pPr>
              <w:keepNext w:val="0"/>
              <w:keepLines w:val="0"/>
              <w:suppressLineNumbers w:val="0"/>
              <w:spacing w:before="0" w:beforeAutospacing="0" w:after="0" w:afterAutospacing="0" w:line="360" w:lineRule="exact"/>
              <w:ind w:left="0" w:right="0"/>
              <w:rPr>
                <w:rFonts w:hint="eastAsia" w:ascii="宋体" w:hAnsi="宋体" w:eastAsia="宋体" w:cs="宋体"/>
                <w:color w:val="auto"/>
                <w:highlight w:val="none"/>
              </w:rPr>
            </w:pPr>
            <w:r>
              <w:rPr>
                <w:rFonts w:hint="eastAsia" w:ascii="宋体" w:hAnsi="宋体" w:eastAsia="宋体" w:cs="宋体"/>
                <w:color w:val="auto"/>
                <w:highlight w:val="none"/>
              </w:rPr>
              <w:t>□与合同约定相符</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具体金额由造价工程师复核。</w:t>
            </w:r>
          </w:p>
          <w:p w14:paraId="2C07EADC">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监理工程师</w:t>
            </w:r>
            <w:r>
              <w:rPr>
                <w:rFonts w:hint="eastAsia" w:ascii="宋体" w:hAnsi="宋体" w:eastAsia="宋体" w:cs="宋体"/>
                <w:color w:val="auto"/>
                <w:highlight w:val="none"/>
                <w:u w:val="single"/>
              </w:rPr>
              <w:t xml:space="preserve">           </w:t>
            </w:r>
          </w:p>
          <w:p w14:paraId="5DDDB4A8">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日      期</w:t>
            </w:r>
            <w:r>
              <w:rPr>
                <w:rFonts w:hint="eastAsia" w:ascii="宋体" w:hAnsi="宋体" w:eastAsia="宋体" w:cs="宋体"/>
                <w:color w:val="auto"/>
                <w:highlight w:val="none"/>
                <w:u w:val="single"/>
              </w:rPr>
              <w:t xml:space="preserve">           </w:t>
            </w:r>
          </w:p>
        </w:tc>
        <w:tc>
          <w:tcPr>
            <w:tcW w:w="4543" w:type="dxa"/>
            <w:tcBorders>
              <w:top w:val="single" w:color="auto" w:sz="4" w:space="0"/>
              <w:left w:val="single" w:color="auto" w:sz="4" w:space="0"/>
              <w:bottom w:val="single" w:color="auto" w:sz="4" w:space="0"/>
              <w:right w:val="single" w:color="auto" w:sz="4" w:space="0"/>
            </w:tcBorders>
            <w:noWrap w:val="0"/>
            <w:vAlign w:val="top"/>
          </w:tcPr>
          <w:p w14:paraId="050B7242">
            <w:pPr>
              <w:keepNext w:val="0"/>
              <w:keepLines w:val="0"/>
              <w:suppressLineNumbers w:val="0"/>
              <w:spacing w:before="0" w:beforeAutospacing="0" w:after="0" w:afterAutospacing="0" w:line="360" w:lineRule="exact"/>
              <w:ind w:left="0" w:right="0"/>
              <w:rPr>
                <w:rFonts w:hint="eastAsia" w:ascii="宋体" w:hAnsi="宋体" w:eastAsia="宋体" w:cs="宋体"/>
                <w:color w:val="auto"/>
                <w:highlight w:val="none"/>
              </w:rPr>
            </w:pPr>
            <w:r>
              <w:rPr>
                <w:rFonts w:hint="eastAsia" w:ascii="宋体" w:hAnsi="宋体" w:eastAsia="宋体" w:cs="宋体"/>
                <w:color w:val="auto"/>
                <w:highlight w:val="none"/>
              </w:rPr>
              <w:t>复核意见：</w:t>
            </w:r>
          </w:p>
          <w:p w14:paraId="5AAF9946">
            <w:pPr>
              <w:keepNext w:val="0"/>
              <w:keepLines w:val="0"/>
              <w:suppressLineNumbers w:val="0"/>
              <w:spacing w:before="0" w:beforeAutospacing="0" w:after="0" w:afterAutospacing="0" w:line="360" w:lineRule="exact"/>
              <w:ind w:left="0" w:right="0" w:firstLine="435"/>
              <w:rPr>
                <w:rFonts w:hint="eastAsia" w:ascii="宋体" w:hAnsi="宋体" w:eastAsia="宋体" w:cs="宋体"/>
                <w:color w:val="auto"/>
                <w:highlight w:val="none"/>
              </w:rPr>
            </w:pPr>
            <w:r>
              <w:rPr>
                <w:rFonts w:hint="eastAsia" w:ascii="宋体" w:hAnsi="宋体" w:eastAsia="宋体" w:cs="宋体"/>
                <w:color w:val="auto"/>
                <w:highlight w:val="none"/>
              </w:rPr>
              <w:t>你方提出的支付申请经复核</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应支付预付款金额为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大写</w:t>
            </w:r>
            <w:r>
              <w:rPr>
                <w:rFonts w:hint="eastAsia" w:ascii="宋体" w:hAnsi="宋体" w:eastAsia="宋体" w:cs="宋体"/>
                <w:color w:val="auto"/>
                <w:highlight w:val="non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（小写）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元。</w:t>
            </w:r>
          </w:p>
          <w:p w14:paraId="5757D14C">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造价工程师</w:t>
            </w:r>
            <w:r>
              <w:rPr>
                <w:rFonts w:hint="eastAsia" w:ascii="宋体" w:hAnsi="宋体" w:eastAsia="宋体" w:cs="宋体"/>
                <w:color w:val="auto"/>
                <w:highlight w:val="none"/>
                <w:u w:val="single"/>
              </w:rPr>
              <w:t xml:space="preserve">           </w:t>
            </w:r>
          </w:p>
          <w:p w14:paraId="564D7691">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日      期</w:t>
            </w:r>
            <w:r>
              <w:rPr>
                <w:rFonts w:hint="eastAsia" w:ascii="宋体" w:hAnsi="宋体" w:eastAsia="宋体" w:cs="宋体"/>
                <w:color w:val="auto"/>
                <w:highlight w:val="none"/>
                <w:u w:val="single"/>
              </w:rPr>
              <w:t xml:space="preserve">           </w:t>
            </w:r>
          </w:p>
        </w:tc>
      </w:tr>
      <w:tr w14:paraId="221F7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43891773">
            <w:pPr>
              <w:keepNext w:val="0"/>
              <w:keepLines w:val="0"/>
              <w:suppressLineNumbers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highlight w:val="none"/>
              </w:rPr>
              <w:t>审核意见：</w:t>
            </w:r>
          </w:p>
          <w:p w14:paraId="5B6F58BF">
            <w:pPr>
              <w:keepNext w:val="0"/>
              <w:keepLines w:val="0"/>
              <w:suppressLineNumbers w:val="0"/>
              <w:spacing w:before="0" w:beforeAutospacing="0" w:after="0" w:afterAutospacing="0"/>
              <w:ind w:left="0" w:right="0" w:firstLine="435"/>
              <w:rPr>
                <w:rFonts w:hint="eastAsia" w:ascii="宋体" w:hAnsi="宋体" w:eastAsia="宋体" w:cs="宋体"/>
                <w:color w:val="auto"/>
                <w:highlight w:val="none"/>
              </w:rPr>
            </w:pPr>
            <w:r>
              <w:rPr>
                <w:rFonts w:hint="eastAsia" w:ascii="宋体" w:hAnsi="宋体" w:eastAsia="宋体" w:cs="宋体"/>
                <w:color w:val="auto"/>
                <w:highlight w:val="none"/>
              </w:rPr>
              <w:t>□不同意。</w:t>
            </w:r>
          </w:p>
          <w:p w14:paraId="354BA45A">
            <w:pPr>
              <w:keepNext w:val="0"/>
              <w:keepLines w:val="0"/>
              <w:suppressLineNumbers w:val="0"/>
              <w:spacing w:before="0" w:beforeAutospacing="0" w:after="0" w:afterAutospacing="0"/>
              <w:ind w:left="0" w:righ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□同意</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支付时间为本表签发后的15天内。</w:t>
            </w:r>
          </w:p>
          <w:p w14:paraId="078E548A">
            <w:pPr>
              <w:keepNext w:val="0"/>
              <w:keepLines w:val="0"/>
              <w:suppressLineNumbers w:val="0"/>
              <w:spacing w:before="0" w:beforeAutospacing="0" w:after="0" w:afterAutospacing="0"/>
              <w:ind w:left="0" w:right="735" w:firstLine="6195" w:firstLineChars="2950"/>
              <w:rPr>
                <w:rFonts w:hint="eastAsia" w:ascii="宋体" w:hAnsi="宋体" w:eastAsia="宋体" w:cs="宋体"/>
                <w:color w:val="auto"/>
                <w:highlight w:val="none"/>
              </w:rPr>
            </w:pPr>
            <w:r>
              <w:rPr>
                <w:rFonts w:hint="eastAsia" w:ascii="宋体" w:hAnsi="宋体" w:eastAsia="宋体" w:cs="宋体"/>
                <w:color w:val="auto"/>
                <w:highlight w:val="none"/>
              </w:rPr>
              <w:t xml:space="preserve">发包人（章）           </w:t>
            </w:r>
          </w:p>
          <w:p w14:paraId="39E68512">
            <w:pPr>
              <w:keepNext w:val="0"/>
              <w:keepLines w:val="0"/>
              <w:suppressLineNumbers w:val="0"/>
              <w:spacing w:before="0" w:beforeAutospacing="0" w:after="0" w:afterAutospacing="0"/>
              <w:ind w:left="0" w:right="420" w:firstLine="6195" w:firstLineChars="2950"/>
              <w:rPr>
                <w:rFonts w:hint="eastAsia" w:ascii="宋体" w:hAnsi="宋体" w:eastAsia="宋体" w:cs="宋体"/>
                <w:color w:val="auto"/>
                <w:highlight w:val="none"/>
                <w:u w:val="single"/>
              </w:rPr>
            </w:pPr>
            <w:r>
              <w:rPr>
                <w:rFonts w:hint="eastAsia" w:ascii="宋体" w:hAnsi="宋体" w:eastAsia="宋体" w:cs="宋体"/>
                <w:color w:val="auto"/>
                <w:highlight w:val="none"/>
              </w:rPr>
              <w:t>发包人代表</w:t>
            </w:r>
            <w:r>
              <w:rPr>
                <w:rFonts w:hint="eastAsia" w:ascii="宋体" w:hAnsi="宋体" w:eastAsia="宋体" w:cs="宋体"/>
                <w:color w:val="auto"/>
                <w:highlight w:val="none"/>
                <w:u w:val="single"/>
              </w:rPr>
              <w:t xml:space="preserve">             </w:t>
            </w:r>
          </w:p>
          <w:p w14:paraId="7E2C47E5">
            <w:pPr>
              <w:keepNext w:val="0"/>
              <w:keepLines w:val="0"/>
              <w:suppressLineNumbers w:val="0"/>
              <w:spacing w:before="0" w:beforeAutospacing="0" w:after="0" w:afterAutospacing="0"/>
              <w:ind w:left="0" w:right="420" w:firstLine="6195" w:firstLineChars="2950"/>
              <w:rPr>
                <w:rFonts w:hint="eastAsia" w:ascii="宋体" w:hAnsi="宋体" w:eastAsia="宋体" w:cs="宋体"/>
                <w:color w:val="auto"/>
                <w:highlight w:val="none"/>
                <w:u w:val="singl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tc>
      </w:tr>
    </w:tbl>
    <w:p w14:paraId="5B122F2C">
      <w:pPr>
        <w:ind w:firstLine="360" w:firstLineChars="20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注：1.在选择栏中的</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内作标识</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 xml:space="preserve">。 </w:t>
      </w:r>
    </w:p>
    <w:p w14:paraId="236334CC">
      <w:pPr>
        <w:ind w:left="720" w:hanging="720" w:hangingChars="40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        2.本表一式四份</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由承包人填报</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发包人、监理人、工程造价咨询人、承包人各存一份。</w:t>
      </w:r>
    </w:p>
    <w:p w14:paraId="362C4E6E">
      <w:pPr>
        <w:widowControl/>
        <w:ind w:firstLine="720" w:firstLineChars="4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18"/>
          <w:szCs w:val="18"/>
          <w:highlight w:val="none"/>
          <w:lang w:val="en-US" w:eastAsia="zh-CN"/>
        </w:rPr>
        <w:t>3.</w:t>
      </w:r>
      <w:r>
        <w:rPr>
          <w:rFonts w:hint="eastAsia" w:ascii="宋体" w:hAnsi="宋体" w:eastAsia="宋体" w:cs="宋体"/>
          <w:color w:val="auto"/>
          <w:sz w:val="18"/>
          <w:szCs w:val="18"/>
          <w:highlight w:val="none"/>
        </w:rPr>
        <w:t>应付预付款计算基数=签约合同价款-暂列金额-专业工程暂估价-安全生产费</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lang w:val="en-US" w:eastAsia="zh-CN"/>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1"/>
          <w:szCs w:val="21"/>
          <w:highlight w:val="none"/>
          <w:lang w:val="en-US" w:eastAsia="zh-CN"/>
        </w:rPr>
        <w:t xml:space="preserve"> </w:t>
      </w:r>
    </w:p>
    <w:p w14:paraId="42657DFC">
      <w:pPr>
        <w:jc w:val="center"/>
        <w:outlineLvl w:val="9"/>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br w:type="page"/>
      </w:r>
      <w:r>
        <w:rPr>
          <w:rFonts w:hint="eastAsia" w:ascii="宋体" w:hAnsi="宋体" w:eastAsia="宋体" w:cs="宋体"/>
          <w:b/>
          <w:color w:val="auto"/>
          <w:sz w:val="30"/>
          <w:szCs w:val="30"/>
          <w:highlight w:val="none"/>
        </w:rPr>
        <w:t>预付款支付申请（核准）表</w:t>
      </w:r>
    </w:p>
    <w:p w14:paraId="4674911D">
      <w:pPr>
        <w:jc w:val="center"/>
        <w:outlineLvl w:val="9"/>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sz w:val="30"/>
          <w:szCs w:val="30"/>
          <w:highlight w:val="none"/>
          <w:lang w:val="en-US" w:eastAsia="zh-CN"/>
        </w:rPr>
        <w:t>（适用一次性支付）</w:t>
      </w:r>
    </w:p>
    <w:p w14:paraId="23536C6F">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工程名称：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编号：</w:t>
      </w:r>
    </w:p>
    <w:tbl>
      <w:tblPr>
        <w:tblStyle w:val="37"/>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96"/>
        <w:gridCol w:w="4543"/>
      </w:tblGrid>
      <w:tr w14:paraId="3A50E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8" w:hRule="atLeast"/>
          <w:jc w:val="center"/>
        </w:trPr>
        <w:tc>
          <w:tcPr>
            <w:tcW w:w="9639" w:type="dxa"/>
            <w:gridSpan w:val="2"/>
            <w:tcBorders>
              <w:top w:val="single" w:color="auto" w:sz="4" w:space="0"/>
              <w:left w:val="single" w:color="auto" w:sz="4" w:space="0"/>
              <w:bottom w:val="single" w:color="auto" w:sz="4" w:space="0"/>
              <w:right w:val="single" w:color="auto" w:sz="4" w:space="0"/>
            </w:tcBorders>
            <w:noWrap w:val="0"/>
            <w:vAlign w:val="top"/>
          </w:tcPr>
          <w:p w14:paraId="28D51A1D">
            <w:pPr>
              <w:keepNext w:val="0"/>
              <w:keepLines w:val="0"/>
              <w:suppressLineNumbers w:val="0"/>
              <w:spacing w:before="0" w:beforeAutospacing="0" w:after="0" w:afterAutospacing="0" w:line="480" w:lineRule="exact"/>
              <w:ind w:left="525" w:leftChars="149" w:right="0" w:hanging="212" w:hangingChars="101"/>
              <w:rPr>
                <w:rFonts w:hint="eastAsia" w:ascii="宋体" w:hAnsi="宋体" w:eastAsia="宋体" w:cs="宋体"/>
                <w:color w:val="auto"/>
                <w:highlight w:val="none"/>
                <w:u w:val="single"/>
              </w:rPr>
            </w:pPr>
            <w:r>
              <w:rPr>
                <w:rFonts w:hint="eastAsia" w:ascii="宋体" w:hAnsi="宋体" w:eastAsia="宋体" w:cs="宋体"/>
                <w:color w:val="auto"/>
                <w:highlight w:val="none"/>
              </w:rPr>
              <w:t>致：</w:t>
            </w:r>
            <w:r>
              <w:rPr>
                <w:rFonts w:hint="eastAsia" w:ascii="宋体" w:hAnsi="宋体" w:eastAsia="宋体" w:cs="宋体"/>
                <w:color w:val="auto"/>
                <w:highlight w:val="none"/>
                <w:u w:val="single"/>
              </w:rPr>
              <w:t xml:space="preserve">                                   （发包人全称）</w:t>
            </w:r>
          </w:p>
          <w:p w14:paraId="7B9C47AE">
            <w:pPr>
              <w:keepNext w:val="0"/>
              <w:keepLines w:val="0"/>
              <w:suppressLineNumbers w:val="0"/>
              <w:spacing w:before="0" w:beforeAutospacing="0" w:after="0" w:afterAutospacing="0" w:line="400" w:lineRule="exact"/>
              <w:ind w:left="-4" w:leftChars="-2" w:right="0" w:firstLine="315" w:firstLineChars="150"/>
              <w:rPr>
                <w:rFonts w:hint="eastAsia" w:ascii="宋体" w:hAnsi="宋体" w:eastAsia="宋体" w:cs="宋体"/>
                <w:color w:val="auto"/>
                <w:highlight w:val="none"/>
              </w:rPr>
            </w:pPr>
            <w:r>
              <w:rPr>
                <w:rFonts w:hint="eastAsia" w:ascii="宋体" w:hAnsi="宋体" w:eastAsia="宋体" w:cs="宋体"/>
                <w:color w:val="auto"/>
                <w:highlight w:val="none"/>
              </w:rPr>
              <w:t>我方根据施工合同的约定</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现申请支付工程预付款额为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大写</w:t>
            </w:r>
            <w:r>
              <w:rPr>
                <w:rFonts w:hint="eastAsia" w:ascii="宋体" w:hAnsi="宋体" w:eastAsia="宋体" w:cs="宋体"/>
                <w:color w:val="auto"/>
                <w:highlight w:val="non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小写</w:t>
            </w:r>
            <w:r>
              <w:rPr>
                <w:rFonts w:hint="eastAsia" w:ascii="宋体" w:hAnsi="宋体" w:eastAsia="宋体" w:cs="宋体"/>
                <w:color w:val="auto"/>
                <w:highlight w:val="non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请予核准。</w:t>
            </w:r>
          </w:p>
          <w:tbl>
            <w:tblPr>
              <w:tblStyle w:val="37"/>
              <w:tblW w:w="8842"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2154"/>
              <w:gridCol w:w="1791"/>
              <w:gridCol w:w="1307"/>
              <w:gridCol w:w="1477"/>
              <w:gridCol w:w="1480"/>
            </w:tblGrid>
            <w:tr w14:paraId="05B7E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tcBorders>
                    <w:top w:val="single" w:color="auto" w:sz="4" w:space="0"/>
                    <w:left w:val="single" w:color="auto" w:sz="4" w:space="0"/>
                    <w:bottom w:val="single" w:color="auto" w:sz="4" w:space="0"/>
                    <w:right w:val="single" w:color="auto" w:sz="4" w:space="0"/>
                  </w:tcBorders>
                  <w:noWrap w:val="0"/>
                  <w:vAlign w:val="center"/>
                </w:tcPr>
                <w:p w14:paraId="7196661E">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58B5D2C4">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名      称</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25CF3B6C">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计算基数</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16041CE9">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支付比例</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17A0BC67">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申请金额（元）</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3DC80A14">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复核金额（元）</w:t>
                  </w:r>
                </w:p>
              </w:tc>
            </w:tr>
            <w:tr w14:paraId="3024F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14D073FA">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2211" w:type="dxa"/>
                  <w:tcBorders>
                    <w:top w:val="single" w:color="auto" w:sz="4" w:space="0"/>
                    <w:left w:val="single" w:color="auto" w:sz="4" w:space="0"/>
                    <w:bottom w:val="single" w:color="auto" w:sz="4" w:space="0"/>
                    <w:right w:val="single" w:color="auto" w:sz="4" w:space="0"/>
                  </w:tcBorders>
                  <w:noWrap w:val="0"/>
                  <w:vAlign w:val="top"/>
                </w:tcPr>
                <w:p w14:paraId="5E3815F5">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rPr>
                  </w:pPr>
                  <w:r>
                    <w:rPr>
                      <w:rFonts w:hint="eastAsia" w:ascii="宋体" w:hAnsi="宋体" w:eastAsia="宋体" w:cs="宋体"/>
                      <w:color w:val="auto"/>
                      <w:highlight w:val="none"/>
                    </w:rPr>
                    <w:t>签约合同价款</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6634DA31">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4D0B55B8">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352924D6">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1D9CAB3">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r>
            <w:tr w14:paraId="26ED5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29A57351">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1.1</w:t>
                  </w:r>
                </w:p>
              </w:tc>
              <w:tc>
                <w:tcPr>
                  <w:tcW w:w="2211" w:type="dxa"/>
                  <w:tcBorders>
                    <w:top w:val="single" w:color="auto" w:sz="4" w:space="0"/>
                    <w:left w:val="single" w:color="auto" w:sz="4" w:space="0"/>
                    <w:bottom w:val="single" w:color="auto" w:sz="4" w:space="0"/>
                    <w:right w:val="single" w:color="auto" w:sz="4" w:space="0"/>
                  </w:tcBorders>
                  <w:noWrap w:val="0"/>
                  <w:vAlign w:val="top"/>
                </w:tcPr>
                <w:p w14:paraId="67D90178">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rPr>
                  </w:pPr>
                  <w:r>
                    <w:rPr>
                      <w:rFonts w:hint="eastAsia" w:ascii="宋体" w:hAnsi="宋体" w:eastAsia="宋体" w:cs="宋体"/>
                      <w:color w:val="auto"/>
                      <w:highlight w:val="none"/>
                    </w:rPr>
                    <w:t>暂列金额</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64E0932D">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6FF1344B">
                  <w:pPr>
                    <w:keepNext w:val="0"/>
                    <w:keepLines w:val="0"/>
                    <w:suppressLineNumbers w:val="0"/>
                    <w:spacing w:before="0" w:beforeAutospacing="0" w:after="0" w:afterAutospacing="0" w:line="280" w:lineRule="exact"/>
                    <w:ind w:left="0" w:leftChars="0" w:right="0" w:rightChars="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0A62DC71">
                  <w:pPr>
                    <w:keepNext w:val="0"/>
                    <w:keepLines w:val="0"/>
                    <w:suppressLineNumbers w:val="0"/>
                    <w:spacing w:before="0" w:beforeAutospacing="0" w:after="0" w:afterAutospacing="0" w:line="280" w:lineRule="exact"/>
                    <w:ind w:left="0" w:leftChars="0" w:right="0" w:rightChars="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112A5F3B">
                  <w:pPr>
                    <w:keepNext w:val="0"/>
                    <w:keepLines w:val="0"/>
                    <w:suppressLineNumbers w:val="0"/>
                    <w:spacing w:before="0" w:beforeAutospacing="0" w:after="0" w:afterAutospacing="0" w:line="280" w:lineRule="exact"/>
                    <w:ind w:left="0" w:leftChars="0" w:right="0" w:rightChars="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r>
            <w:tr w14:paraId="37442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20F486F7">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2</w:t>
                  </w:r>
                </w:p>
              </w:tc>
              <w:tc>
                <w:tcPr>
                  <w:tcW w:w="2211" w:type="dxa"/>
                  <w:tcBorders>
                    <w:top w:val="single" w:color="auto" w:sz="4" w:space="0"/>
                    <w:left w:val="single" w:color="auto" w:sz="4" w:space="0"/>
                    <w:bottom w:val="single" w:color="auto" w:sz="4" w:space="0"/>
                    <w:right w:val="single" w:color="auto" w:sz="4" w:space="0"/>
                  </w:tcBorders>
                  <w:noWrap w:val="0"/>
                  <w:vAlign w:val="top"/>
                </w:tcPr>
                <w:p w14:paraId="1866A9FE">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rPr>
                  </w:pPr>
                  <w:r>
                    <w:rPr>
                      <w:rFonts w:hint="eastAsia" w:ascii="宋体" w:hAnsi="宋体" w:eastAsia="宋体" w:cs="宋体"/>
                      <w:color w:val="auto"/>
                      <w:highlight w:val="none"/>
                    </w:rPr>
                    <w:t>专业工程暂估价</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1DFCE83B">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052C955D">
                  <w:pPr>
                    <w:keepNext w:val="0"/>
                    <w:keepLines w:val="0"/>
                    <w:suppressLineNumbers w:val="0"/>
                    <w:spacing w:before="0" w:beforeAutospacing="0" w:after="0" w:afterAutospacing="0" w:line="280" w:lineRule="exact"/>
                    <w:ind w:left="0" w:leftChars="0" w:right="0" w:rightChars="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3C445EE1">
                  <w:pPr>
                    <w:keepNext w:val="0"/>
                    <w:keepLines w:val="0"/>
                    <w:suppressLineNumbers w:val="0"/>
                    <w:spacing w:before="0" w:beforeAutospacing="0" w:after="0" w:afterAutospacing="0" w:line="280" w:lineRule="exact"/>
                    <w:ind w:left="0" w:leftChars="0" w:right="0" w:rightChars="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5939AD4">
                  <w:pPr>
                    <w:keepNext w:val="0"/>
                    <w:keepLines w:val="0"/>
                    <w:suppressLineNumbers w:val="0"/>
                    <w:spacing w:before="0" w:beforeAutospacing="0" w:after="0" w:afterAutospacing="0" w:line="280" w:lineRule="exact"/>
                    <w:ind w:left="0" w:leftChars="0" w:right="0" w:rightChars="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r>
            <w:tr w14:paraId="6BB9A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761F3CF0">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3</w:t>
                  </w:r>
                </w:p>
              </w:tc>
              <w:tc>
                <w:tcPr>
                  <w:tcW w:w="2211" w:type="dxa"/>
                  <w:tcBorders>
                    <w:top w:val="single" w:color="auto" w:sz="4" w:space="0"/>
                    <w:left w:val="single" w:color="auto" w:sz="4" w:space="0"/>
                    <w:bottom w:val="single" w:color="auto" w:sz="4" w:space="0"/>
                    <w:right w:val="single" w:color="auto" w:sz="4" w:space="0"/>
                  </w:tcBorders>
                  <w:noWrap w:val="0"/>
                  <w:vAlign w:val="top"/>
                </w:tcPr>
                <w:p w14:paraId="7D841FA5">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lang w:val="en"/>
                    </w:rPr>
                  </w:pPr>
                  <w:r>
                    <w:rPr>
                      <w:rFonts w:hint="eastAsia" w:ascii="宋体" w:hAnsi="宋体" w:eastAsia="宋体" w:cs="宋体"/>
                      <w:color w:val="auto"/>
                      <w:highlight w:val="none"/>
                      <w:lang w:val="en"/>
                    </w:rPr>
                    <w:t>安全生产费</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77123977">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1618D00F">
                  <w:pPr>
                    <w:keepNext w:val="0"/>
                    <w:keepLines w:val="0"/>
                    <w:suppressLineNumbers w:val="0"/>
                    <w:spacing w:before="0" w:beforeAutospacing="0" w:after="0" w:afterAutospacing="0" w:line="280" w:lineRule="exact"/>
                    <w:ind w:left="0" w:leftChars="0" w:right="0" w:rightChars="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0D1BD9EE">
                  <w:pPr>
                    <w:keepNext w:val="0"/>
                    <w:keepLines w:val="0"/>
                    <w:suppressLineNumbers w:val="0"/>
                    <w:spacing w:before="0" w:beforeAutospacing="0" w:after="0" w:afterAutospacing="0" w:line="280" w:lineRule="exact"/>
                    <w:ind w:left="0" w:leftChars="0" w:right="0" w:rightChars="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2519B93">
                  <w:pPr>
                    <w:keepNext w:val="0"/>
                    <w:keepLines w:val="0"/>
                    <w:suppressLineNumbers w:val="0"/>
                    <w:spacing w:before="0" w:beforeAutospacing="0" w:after="0" w:afterAutospacing="0" w:line="280" w:lineRule="exact"/>
                    <w:ind w:left="0" w:leftChars="0" w:right="0" w:rightChars="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r>
            <w:tr w14:paraId="081FA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52829375">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p>
              </w:tc>
              <w:tc>
                <w:tcPr>
                  <w:tcW w:w="2211" w:type="dxa"/>
                  <w:tcBorders>
                    <w:top w:val="single" w:color="auto" w:sz="4" w:space="0"/>
                    <w:left w:val="single" w:color="auto" w:sz="4" w:space="0"/>
                    <w:bottom w:val="single" w:color="auto" w:sz="4" w:space="0"/>
                    <w:right w:val="single" w:color="auto" w:sz="4" w:space="0"/>
                  </w:tcBorders>
                  <w:noWrap w:val="0"/>
                  <w:vAlign w:val="top"/>
                </w:tcPr>
                <w:p w14:paraId="0003303C">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应付</w:t>
                  </w:r>
                  <w:r>
                    <w:rPr>
                      <w:rFonts w:hint="eastAsia" w:ascii="宋体" w:hAnsi="宋体" w:eastAsia="宋体" w:cs="宋体"/>
                      <w:color w:val="auto"/>
                      <w:highlight w:val="none"/>
                      <w:lang w:eastAsia="zh-CN"/>
                    </w:rPr>
                    <w:t>预付款</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64E77F54">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1-(1.1+1.2+1.3)</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743F0262">
                  <w:pPr>
                    <w:keepNext w:val="0"/>
                    <w:keepLines w:val="0"/>
                    <w:suppressLineNumbers w:val="0"/>
                    <w:spacing w:before="0" w:beforeAutospacing="0" w:after="0" w:afterAutospacing="0" w:line="280" w:lineRule="exact"/>
                    <w:ind w:left="0" w:leftChars="0" w:right="0" w:rightChars="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c>
                <w:tcPr>
                  <w:tcW w:w="1498" w:type="dxa"/>
                  <w:tcBorders>
                    <w:top w:val="single" w:color="auto" w:sz="4" w:space="0"/>
                    <w:left w:val="single" w:color="auto" w:sz="4" w:space="0"/>
                    <w:bottom w:val="single" w:color="auto" w:sz="4" w:space="0"/>
                    <w:right w:val="single" w:color="auto" w:sz="4" w:space="0"/>
                  </w:tcBorders>
                  <w:noWrap w:val="0"/>
                  <w:vAlign w:val="center"/>
                </w:tcPr>
                <w:p w14:paraId="383C0923">
                  <w:pPr>
                    <w:keepNext w:val="0"/>
                    <w:keepLines w:val="0"/>
                    <w:suppressLineNumbers w:val="0"/>
                    <w:spacing w:before="0" w:beforeAutospacing="0" w:after="0" w:afterAutospacing="0" w:line="280" w:lineRule="exact"/>
                    <w:ind w:left="0" w:leftChars="0" w:right="0" w:rightChars="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5CA4BE3">
                  <w:pPr>
                    <w:keepNext w:val="0"/>
                    <w:keepLines w:val="0"/>
                    <w:suppressLineNumbers w:val="0"/>
                    <w:spacing w:before="0" w:beforeAutospacing="0" w:after="0" w:afterAutospacing="0" w:line="280" w:lineRule="exact"/>
                    <w:ind w:left="0" w:leftChars="0" w:right="0" w:rightChars="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w:t>
                  </w:r>
                </w:p>
              </w:tc>
            </w:tr>
            <w:tr w14:paraId="5433E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16E706A7">
                  <w:pPr>
                    <w:keepNext w:val="0"/>
                    <w:keepLines w:val="0"/>
                    <w:suppressLineNumbers w:val="0"/>
                    <w:spacing w:before="0" w:beforeAutospacing="0" w:after="0" w:afterAutospacing="0" w:line="280" w:lineRule="exact"/>
                    <w:ind w:left="0" w:leftChars="0" w:right="0" w:rightChars="0"/>
                    <w:jc w:val="center"/>
                    <w:rPr>
                      <w:rFonts w:hint="eastAsia" w:ascii="宋体" w:hAnsi="宋体" w:eastAsia="宋体" w:cs="宋体"/>
                      <w:color w:val="auto"/>
                      <w:highlight w:val="none"/>
                      <w:lang w:val="en-US" w:eastAsia="zh-CN"/>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68973887">
                  <w:pPr>
                    <w:keepNext w:val="0"/>
                    <w:keepLines w:val="0"/>
                    <w:suppressLineNumbers w:val="0"/>
                    <w:spacing w:before="0" w:beforeAutospacing="0" w:after="0" w:afterAutospacing="0" w:line="280" w:lineRule="exact"/>
                    <w:ind w:left="0" w:leftChars="0" w:right="0" w:rightChars="0"/>
                    <w:rPr>
                      <w:rFonts w:hint="eastAsia" w:ascii="宋体" w:hAnsi="宋体" w:eastAsia="宋体" w:cs="宋体"/>
                      <w:color w:val="auto"/>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630BD54D">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453BFC03">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7213CFE7">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FFAE4CA">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r>
            <w:tr w14:paraId="41FE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378ADDC4">
                  <w:pPr>
                    <w:keepNext w:val="0"/>
                    <w:keepLines w:val="0"/>
                    <w:suppressLineNumbers w:val="0"/>
                    <w:spacing w:before="0" w:beforeAutospacing="0" w:after="0" w:afterAutospacing="0" w:line="280" w:lineRule="exact"/>
                    <w:ind w:left="0" w:leftChars="0" w:right="0" w:rightChars="0"/>
                    <w:jc w:val="center"/>
                    <w:rPr>
                      <w:rFonts w:hint="eastAsia" w:ascii="宋体" w:hAnsi="宋体" w:eastAsia="宋体" w:cs="宋体"/>
                      <w:color w:val="auto"/>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52A7E115">
                  <w:pPr>
                    <w:keepNext w:val="0"/>
                    <w:keepLines w:val="0"/>
                    <w:suppressLineNumbers w:val="0"/>
                    <w:spacing w:before="0" w:beforeAutospacing="0" w:after="0" w:afterAutospacing="0" w:line="280" w:lineRule="exact"/>
                    <w:ind w:left="0" w:leftChars="0" w:right="0" w:rightChars="0"/>
                    <w:rPr>
                      <w:rFonts w:hint="eastAsia" w:ascii="宋体" w:hAnsi="宋体" w:eastAsia="宋体" w:cs="宋体"/>
                      <w:color w:val="auto"/>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32EF13B0">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5B0DE9E4">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0292B247">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0CA3D964">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r>
            <w:tr w14:paraId="1F64C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78BB4344">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66F0072B">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2F47873C">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18F39224">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0A395D98">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01A3E19B">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r>
            <w:tr w14:paraId="5C95E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264D43C7">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366A4DCA">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4DCCD5EE">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7B5198E3">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577F9004">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3794CBC4">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r>
            <w:tr w14:paraId="29B72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636" w:type="dxa"/>
                  <w:tcBorders>
                    <w:top w:val="single" w:color="auto" w:sz="4" w:space="0"/>
                    <w:left w:val="single" w:color="auto" w:sz="4" w:space="0"/>
                    <w:bottom w:val="single" w:color="auto" w:sz="4" w:space="0"/>
                    <w:right w:val="single" w:color="auto" w:sz="4" w:space="0"/>
                  </w:tcBorders>
                  <w:noWrap w:val="0"/>
                  <w:vAlign w:val="top"/>
                </w:tcPr>
                <w:p w14:paraId="63A7D714">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6DE12A40">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5311581E">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7B789350">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694C7382">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096C4927">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r>
            <w:tr w14:paraId="233FD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noWrap w:val="0"/>
                  <w:vAlign w:val="top"/>
                </w:tcPr>
                <w:p w14:paraId="6900B1B2">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2211" w:type="dxa"/>
                  <w:tcBorders>
                    <w:top w:val="single" w:color="auto" w:sz="4" w:space="0"/>
                    <w:left w:val="single" w:color="auto" w:sz="4" w:space="0"/>
                    <w:bottom w:val="single" w:color="auto" w:sz="4" w:space="0"/>
                    <w:right w:val="single" w:color="auto" w:sz="4" w:space="0"/>
                  </w:tcBorders>
                  <w:noWrap w:val="0"/>
                  <w:vAlign w:val="top"/>
                </w:tcPr>
                <w:p w14:paraId="44B86C98">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7EB22B8A">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6BAEACD3">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14:paraId="1C48111E">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6139AC19">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r>
          </w:tbl>
          <w:p w14:paraId="6589154F">
            <w:pPr>
              <w:keepNext w:val="0"/>
              <w:keepLines w:val="0"/>
              <w:suppressLineNumbers w:val="0"/>
              <w:wordWrap w:val="0"/>
              <w:spacing w:before="0" w:beforeAutospacing="0" w:after="0" w:afterAutospacing="0" w:line="400" w:lineRule="exact"/>
              <w:ind w:left="0" w:right="42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7A8E7655">
            <w:pPr>
              <w:keepNext w:val="0"/>
              <w:keepLines w:val="0"/>
              <w:suppressLineNumbers w:val="0"/>
              <w:wordWrap w:val="0"/>
              <w:spacing w:before="0" w:beforeAutospacing="0" w:after="0" w:afterAutospacing="0" w:line="400" w:lineRule="exact"/>
              <w:ind w:left="0" w:right="420"/>
              <w:rPr>
                <w:rFonts w:hint="eastAsia" w:ascii="宋体" w:hAnsi="宋体" w:eastAsia="宋体" w:cs="宋体"/>
                <w:color w:val="auto"/>
                <w:highlight w:val="none"/>
              </w:rPr>
            </w:pPr>
          </w:p>
          <w:p w14:paraId="3D5ECC2F">
            <w:pPr>
              <w:keepNext w:val="0"/>
              <w:keepLines w:val="0"/>
              <w:suppressLineNumbers w:val="0"/>
              <w:wordWrap w:val="0"/>
              <w:spacing w:before="0" w:beforeAutospacing="0" w:after="0" w:afterAutospacing="0" w:line="400" w:lineRule="exact"/>
              <w:ind w:left="0" w:right="420"/>
              <w:rPr>
                <w:rFonts w:hint="eastAsia" w:ascii="宋体" w:hAnsi="宋体" w:eastAsia="宋体" w:cs="宋体"/>
                <w:color w:val="auto"/>
                <w:highlight w:val="none"/>
              </w:rPr>
            </w:pPr>
            <w:r>
              <w:rPr>
                <w:rFonts w:hint="eastAsia" w:ascii="宋体" w:hAnsi="宋体" w:eastAsia="宋体" w:cs="宋体"/>
                <w:color w:val="auto"/>
                <w:highlight w:val="none"/>
              </w:rPr>
              <w:t xml:space="preserve">                                                    承包人（章）             </w:t>
            </w:r>
          </w:p>
          <w:p w14:paraId="340D13D2">
            <w:pPr>
              <w:keepNext w:val="0"/>
              <w:keepLines w:val="0"/>
              <w:suppressLineNumbers w:val="0"/>
              <w:spacing w:before="0" w:beforeAutospacing="0" w:after="0" w:afterAutospacing="0" w:line="400" w:lineRule="exact"/>
              <w:ind w:left="0" w:right="420" w:firstLine="435"/>
              <w:rPr>
                <w:rFonts w:hint="eastAsia" w:ascii="宋体" w:hAnsi="宋体" w:eastAsia="宋体" w:cs="宋体"/>
                <w:color w:val="auto"/>
                <w:highlight w:val="none"/>
              </w:rPr>
            </w:pPr>
            <w:r>
              <w:rPr>
                <w:rFonts w:hint="eastAsia" w:ascii="宋体" w:hAnsi="宋体" w:eastAsia="宋体" w:cs="宋体"/>
                <w:color w:val="auto"/>
                <w:highlight w:val="none"/>
              </w:rPr>
              <w:t>造价人员</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承包人代表</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tc>
      </w:tr>
      <w:tr w14:paraId="47DBD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9" w:hRule="atLeast"/>
          <w:jc w:val="center"/>
        </w:trPr>
        <w:tc>
          <w:tcPr>
            <w:tcW w:w="5096" w:type="dxa"/>
            <w:tcBorders>
              <w:top w:val="single" w:color="auto" w:sz="4" w:space="0"/>
              <w:left w:val="single" w:color="auto" w:sz="4" w:space="0"/>
              <w:bottom w:val="single" w:color="auto" w:sz="4" w:space="0"/>
              <w:right w:val="single" w:color="auto" w:sz="4" w:space="0"/>
            </w:tcBorders>
            <w:noWrap w:val="0"/>
            <w:vAlign w:val="top"/>
          </w:tcPr>
          <w:p w14:paraId="65AB2598">
            <w:pPr>
              <w:keepNext w:val="0"/>
              <w:keepLines w:val="0"/>
              <w:suppressLineNumbers w:val="0"/>
              <w:spacing w:before="0" w:beforeAutospacing="0" w:after="0" w:afterAutospacing="0" w:line="360" w:lineRule="exact"/>
              <w:ind w:left="0" w:right="0"/>
              <w:rPr>
                <w:rFonts w:hint="eastAsia" w:ascii="宋体" w:hAnsi="宋体" w:eastAsia="宋体" w:cs="宋体"/>
                <w:color w:val="auto"/>
                <w:highlight w:val="none"/>
              </w:rPr>
            </w:pPr>
            <w:r>
              <w:rPr>
                <w:rFonts w:hint="eastAsia" w:ascii="宋体" w:hAnsi="宋体" w:eastAsia="宋体" w:cs="宋体"/>
                <w:color w:val="auto"/>
                <w:highlight w:val="none"/>
              </w:rPr>
              <w:t>复核意见：</w:t>
            </w:r>
          </w:p>
          <w:p w14:paraId="1DEC11FB">
            <w:pPr>
              <w:keepNext w:val="0"/>
              <w:keepLines w:val="0"/>
              <w:suppressLineNumbers w:val="0"/>
              <w:spacing w:before="0" w:beforeAutospacing="0" w:after="0" w:afterAutospacing="0" w:line="360" w:lineRule="exact"/>
              <w:ind w:left="0" w:right="0"/>
              <w:rPr>
                <w:rFonts w:hint="eastAsia" w:ascii="宋体" w:hAnsi="宋体" w:eastAsia="宋体" w:cs="宋体"/>
                <w:color w:val="auto"/>
                <w:highlight w:val="none"/>
              </w:rPr>
            </w:pPr>
            <w:r>
              <w:rPr>
                <w:rFonts w:hint="eastAsia" w:ascii="宋体" w:hAnsi="宋体" w:eastAsia="宋体" w:cs="宋体"/>
                <w:color w:val="auto"/>
                <w:highlight w:val="none"/>
              </w:rPr>
              <w:t>□与合同约定不相符</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修改意见见附件。</w:t>
            </w:r>
          </w:p>
          <w:p w14:paraId="42D6F8A5">
            <w:pPr>
              <w:keepNext w:val="0"/>
              <w:keepLines w:val="0"/>
              <w:suppressLineNumbers w:val="0"/>
              <w:spacing w:before="0" w:beforeAutospacing="0" w:after="0" w:afterAutospacing="0" w:line="360" w:lineRule="exact"/>
              <w:ind w:left="0" w:right="0"/>
              <w:rPr>
                <w:rFonts w:hint="eastAsia" w:ascii="宋体" w:hAnsi="宋体" w:eastAsia="宋体" w:cs="宋体"/>
                <w:color w:val="auto"/>
                <w:highlight w:val="none"/>
              </w:rPr>
            </w:pPr>
            <w:r>
              <w:rPr>
                <w:rFonts w:hint="eastAsia" w:ascii="宋体" w:hAnsi="宋体" w:eastAsia="宋体" w:cs="宋体"/>
                <w:color w:val="auto"/>
                <w:highlight w:val="none"/>
              </w:rPr>
              <w:t>□与合同约定相符</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具体金额由造价工程师复核。</w:t>
            </w:r>
          </w:p>
          <w:p w14:paraId="7F7CB8D0">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监理工程师</w:t>
            </w:r>
            <w:r>
              <w:rPr>
                <w:rFonts w:hint="eastAsia" w:ascii="宋体" w:hAnsi="宋体" w:eastAsia="宋体" w:cs="宋体"/>
                <w:color w:val="auto"/>
                <w:highlight w:val="none"/>
                <w:u w:val="single"/>
              </w:rPr>
              <w:t xml:space="preserve">           </w:t>
            </w:r>
          </w:p>
          <w:p w14:paraId="56F76604">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日      期</w:t>
            </w:r>
            <w:r>
              <w:rPr>
                <w:rFonts w:hint="eastAsia" w:ascii="宋体" w:hAnsi="宋体" w:eastAsia="宋体" w:cs="宋体"/>
                <w:color w:val="auto"/>
                <w:highlight w:val="none"/>
                <w:u w:val="single"/>
              </w:rPr>
              <w:t xml:space="preserve">           </w:t>
            </w:r>
          </w:p>
        </w:tc>
        <w:tc>
          <w:tcPr>
            <w:tcW w:w="4543" w:type="dxa"/>
            <w:tcBorders>
              <w:top w:val="single" w:color="auto" w:sz="4" w:space="0"/>
              <w:left w:val="single" w:color="auto" w:sz="4" w:space="0"/>
              <w:bottom w:val="single" w:color="auto" w:sz="4" w:space="0"/>
              <w:right w:val="single" w:color="auto" w:sz="4" w:space="0"/>
            </w:tcBorders>
            <w:noWrap w:val="0"/>
            <w:vAlign w:val="top"/>
          </w:tcPr>
          <w:p w14:paraId="1B0E3749">
            <w:pPr>
              <w:keepNext w:val="0"/>
              <w:keepLines w:val="0"/>
              <w:suppressLineNumbers w:val="0"/>
              <w:spacing w:before="0" w:beforeAutospacing="0" w:after="0" w:afterAutospacing="0" w:line="360" w:lineRule="exact"/>
              <w:ind w:left="0" w:right="0"/>
              <w:rPr>
                <w:rFonts w:hint="eastAsia" w:ascii="宋体" w:hAnsi="宋体" w:eastAsia="宋体" w:cs="宋体"/>
                <w:color w:val="auto"/>
                <w:highlight w:val="none"/>
              </w:rPr>
            </w:pPr>
            <w:r>
              <w:rPr>
                <w:rFonts w:hint="eastAsia" w:ascii="宋体" w:hAnsi="宋体" w:eastAsia="宋体" w:cs="宋体"/>
                <w:color w:val="auto"/>
                <w:highlight w:val="none"/>
              </w:rPr>
              <w:t>复核意见：</w:t>
            </w:r>
          </w:p>
          <w:p w14:paraId="0F2E7102">
            <w:pPr>
              <w:keepNext w:val="0"/>
              <w:keepLines w:val="0"/>
              <w:suppressLineNumbers w:val="0"/>
              <w:spacing w:before="0" w:beforeAutospacing="0" w:after="0" w:afterAutospacing="0" w:line="360" w:lineRule="exact"/>
              <w:ind w:left="0" w:right="0" w:firstLine="435"/>
              <w:rPr>
                <w:rFonts w:hint="eastAsia" w:ascii="宋体" w:hAnsi="宋体" w:eastAsia="宋体" w:cs="宋体"/>
                <w:color w:val="auto"/>
                <w:highlight w:val="none"/>
              </w:rPr>
            </w:pPr>
            <w:r>
              <w:rPr>
                <w:rFonts w:hint="eastAsia" w:ascii="宋体" w:hAnsi="宋体" w:eastAsia="宋体" w:cs="宋体"/>
                <w:color w:val="auto"/>
                <w:highlight w:val="none"/>
              </w:rPr>
              <w:t>你方提出的支付申请经复核</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应支付预付款金额为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大写</w:t>
            </w:r>
            <w:r>
              <w:rPr>
                <w:rFonts w:hint="eastAsia" w:ascii="宋体" w:hAnsi="宋体" w:eastAsia="宋体" w:cs="宋体"/>
                <w:color w:val="auto"/>
                <w:highlight w:val="non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（小写）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元。</w:t>
            </w:r>
          </w:p>
          <w:p w14:paraId="48B36BFF">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造价工程师</w:t>
            </w:r>
            <w:r>
              <w:rPr>
                <w:rFonts w:hint="eastAsia" w:ascii="宋体" w:hAnsi="宋体" w:eastAsia="宋体" w:cs="宋体"/>
                <w:color w:val="auto"/>
                <w:highlight w:val="none"/>
                <w:u w:val="single"/>
              </w:rPr>
              <w:t xml:space="preserve">           </w:t>
            </w:r>
          </w:p>
          <w:p w14:paraId="2E28C5CF">
            <w:pPr>
              <w:keepNext w:val="0"/>
              <w:keepLines w:val="0"/>
              <w:suppressLineNumbers w:val="0"/>
              <w:spacing w:before="0" w:beforeAutospacing="0" w:after="0" w:afterAutospacing="0" w:line="360" w:lineRule="exact"/>
              <w:ind w:left="0" w:right="0" w:firstLine="435"/>
              <w:jc w:val="center"/>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日      期</w:t>
            </w:r>
            <w:r>
              <w:rPr>
                <w:rFonts w:hint="eastAsia" w:ascii="宋体" w:hAnsi="宋体" w:eastAsia="宋体" w:cs="宋体"/>
                <w:color w:val="auto"/>
                <w:highlight w:val="none"/>
                <w:u w:val="single"/>
              </w:rPr>
              <w:t xml:space="preserve">           </w:t>
            </w:r>
          </w:p>
        </w:tc>
      </w:tr>
      <w:tr w14:paraId="4A12D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atLeast"/>
          <w:jc w:val="center"/>
        </w:trPr>
        <w:tc>
          <w:tcPr>
            <w:tcW w:w="9639" w:type="dxa"/>
            <w:gridSpan w:val="2"/>
            <w:tcBorders>
              <w:top w:val="single" w:color="auto" w:sz="4" w:space="0"/>
              <w:left w:val="single" w:color="auto" w:sz="4" w:space="0"/>
              <w:bottom w:val="single" w:color="auto" w:sz="4" w:space="0"/>
              <w:right w:val="single" w:color="auto" w:sz="4" w:space="0"/>
            </w:tcBorders>
            <w:noWrap w:val="0"/>
            <w:vAlign w:val="top"/>
          </w:tcPr>
          <w:p w14:paraId="6029D9DC">
            <w:pPr>
              <w:keepNext w:val="0"/>
              <w:keepLines w:val="0"/>
              <w:suppressLineNumbers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highlight w:val="none"/>
              </w:rPr>
              <w:t>审核意见：</w:t>
            </w:r>
          </w:p>
          <w:p w14:paraId="3DAABA27">
            <w:pPr>
              <w:keepNext w:val="0"/>
              <w:keepLines w:val="0"/>
              <w:suppressLineNumbers w:val="0"/>
              <w:spacing w:before="0" w:beforeAutospacing="0" w:after="0" w:afterAutospacing="0"/>
              <w:ind w:left="0" w:right="0" w:firstLine="435"/>
              <w:rPr>
                <w:rFonts w:hint="eastAsia" w:ascii="宋体" w:hAnsi="宋体" w:eastAsia="宋体" w:cs="宋体"/>
                <w:color w:val="auto"/>
                <w:highlight w:val="none"/>
              </w:rPr>
            </w:pPr>
            <w:r>
              <w:rPr>
                <w:rFonts w:hint="eastAsia" w:ascii="宋体" w:hAnsi="宋体" w:eastAsia="宋体" w:cs="宋体"/>
                <w:color w:val="auto"/>
                <w:highlight w:val="none"/>
              </w:rPr>
              <w:t>□不同意。</w:t>
            </w:r>
          </w:p>
          <w:p w14:paraId="253E86AB">
            <w:pPr>
              <w:keepNext w:val="0"/>
              <w:keepLines w:val="0"/>
              <w:suppressLineNumbers w:val="0"/>
              <w:spacing w:before="0" w:beforeAutospacing="0" w:after="0" w:afterAutospacing="0"/>
              <w:ind w:left="0" w:righ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□同意</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支付时间为本表签发后的15天内。</w:t>
            </w:r>
          </w:p>
          <w:p w14:paraId="14B8F3C8">
            <w:pPr>
              <w:keepNext w:val="0"/>
              <w:keepLines w:val="0"/>
              <w:suppressLineNumbers w:val="0"/>
              <w:spacing w:before="0" w:beforeAutospacing="0" w:after="0" w:afterAutospacing="0"/>
              <w:ind w:left="0" w:right="735" w:firstLine="6195" w:firstLineChars="2950"/>
              <w:rPr>
                <w:rFonts w:hint="eastAsia" w:ascii="宋体" w:hAnsi="宋体" w:eastAsia="宋体" w:cs="宋体"/>
                <w:color w:val="auto"/>
                <w:highlight w:val="none"/>
              </w:rPr>
            </w:pPr>
            <w:r>
              <w:rPr>
                <w:rFonts w:hint="eastAsia" w:ascii="宋体" w:hAnsi="宋体" w:eastAsia="宋体" w:cs="宋体"/>
                <w:color w:val="auto"/>
                <w:highlight w:val="none"/>
              </w:rPr>
              <w:t xml:space="preserve">发包人（章）           </w:t>
            </w:r>
          </w:p>
          <w:p w14:paraId="3786A206">
            <w:pPr>
              <w:keepNext w:val="0"/>
              <w:keepLines w:val="0"/>
              <w:suppressLineNumbers w:val="0"/>
              <w:spacing w:before="0" w:beforeAutospacing="0" w:after="0" w:afterAutospacing="0"/>
              <w:ind w:left="0" w:right="420" w:firstLine="6195" w:firstLineChars="2950"/>
              <w:rPr>
                <w:rFonts w:hint="eastAsia" w:ascii="宋体" w:hAnsi="宋体" w:eastAsia="宋体" w:cs="宋体"/>
                <w:color w:val="auto"/>
                <w:highlight w:val="none"/>
                <w:u w:val="single"/>
              </w:rPr>
            </w:pPr>
            <w:r>
              <w:rPr>
                <w:rFonts w:hint="eastAsia" w:ascii="宋体" w:hAnsi="宋体" w:eastAsia="宋体" w:cs="宋体"/>
                <w:color w:val="auto"/>
                <w:highlight w:val="none"/>
              </w:rPr>
              <w:t>发包人代表</w:t>
            </w:r>
            <w:r>
              <w:rPr>
                <w:rFonts w:hint="eastAsia" w:ascii="宋体" w:hAnsi="宋体" w:eastAsia="宋体" w:cs="宋体"/>
                <w:color w:val="auto"/>
                <w:highlight w:val="none"/>
                <w:u w:val="single"/>
              </w:rPr>
              <w:t xml:space="preserve">             </w:t>
            </w:r>
          </w:p>
          <w:p w14:paraId="1F65D120">
            <w:pPr>
              <w:keepNext w:val="0"/>
              <w:keepLines w:val="0"/>
              <w:suppressLineNumbers w:val="0"/>
              <w:spacing w:before="0" w:beforeAutospacing="0" w:after="0" w:afterAutospacing="0"/>
              <w:ind w:left="0" w:right="420" w:firstLine="6195" w:firstLineChars="2950"/>
              <w:rPr>
                <w:rFonts w:hint="eastAsia" w:ascii="宋体" w:hAnsi="宋体" w:eastAsia="宋体" w:cs="宋体"/>
                <w:color w:val="auto"/>
                <w:highlight w:val="none"/>
                <w:u w:val="singl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tc>
      </w:tr>
    </w:tbl>
    <w:p w14:paraId="134CE6F1">
      <w:pPr>
        <w:ind w:firstLine="360" w:firstLineChars="20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注：1.在选择栏中的</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内作标识</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 xml:space="preserve">。 </w:t>
      </w:r>
    </w:p>
    <w:p w14:paraId="329AFADA">
      <w:pPr>
        <w:ind w:left="720" w:hanging="720" w:hangingChars="40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        2.本表一式四份</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由承包人填报</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发包人、监理人、工程造价咨询人、承包人各存一份。</w:t>
      </w:r>
    </w:p>
    <w:p w14:paraId="0BA7F4BB">
      <w:pPr>
        <w:spacing w:before="0" w:beforeLines="0"/>
        <w:ind w:left="714" w:leftChars="340" w:firstLine="0" w:firstLineChars="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3.应付预付款计算基数=签约合同价款-暂列金额-专业工程暂估价-安全生产费</w:t>
      </w:r>
      <w:r>
        <w:rPr>
          <w:rFonts w:hint="eastAsia" w:ascii="宋体" w:hAnsi="宋体" w:eastAsia="宋体" w:cs="宋体"/>
          <w:color w:val="auto"/>
          <w:sz w:val="18"/>
          <w:szCs w:val="18"/>
          <w:highlight w:val="none"/>
          <w:lang w:eastAsia="zh-CN"/>
        </w:rPr>
        <w:t>。</w:t>
      </w:r>
    </w:p>
    <w:p w14:paraId="618A7734">
      <w:pPr>
        <w:spacing w:before="120" w:beforeLines="50"/>
        <w:ind w:left="1200" w:hanging="1200" w:hangingChars="400"/>
        <w:rPr>
          <w:rFonts w:hint="eastAsia" w:ascii="宋体" w:hAnsi="宋体" w:eastAsia="宋体" w:cs="宋体"/>
          <w:color w:val="auto"/>
          <w:sz w:val="30"/>
          <w:szCs w:val="30"/>
          <w:highlight w:val="none"/>
        </w:rPr>
      </w:pPr>
    </w:p>
    <w:p w14:paraId="6324C6D9">
      <w:pPr>
        <w:pStyle w:val="35"/>
        <w:rPr>
          <w:rFonts w:hint="eastAsia" w:ascii="宋体" w:hAnsi="宋体" w:eastAsia="宋体" w:cs="宋体"/>
          <w:color w:val="auto"/>
          <w:sz w:val="30"/>
          <w:szCs w:val="30"/>
          <w:highlight w:val="none"/>
        </w:rPr>
      </w:pPr>
    </w:p>
    <w:p w14:paraId="0C2B6E29">
      <w:pPr>
        <w:pStyle w:val="35"/>
        <w:rPr>
          <w:rFonts w:hint="eastAsia" w:ascii="宋体" w:hAnsi="宋体" w:eastAsia="宋体" w:cs="宋体"/>
          <w:color w:val="auto"/>
          <w:sz w:val="30"/>
          <w:szCs w:val="30"/>
          <w:highlight w:val="none"/>
        </w:rPr>
      </w:pPr>
    </w:p>
    <w:p w14:paraId="53677BFE">
      <w:pPr>
        <w:spacing w:before="120" w:beforeLines="50" w:after="120" w:afterLines="50" w:line="440" w:lineRule="exact"/>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附件11：进度款支付申请（核准）表</w:t>
      </w:r>
    </w:p>
    <w:p w14:paraId="1858B52D">
      <w:pPr>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进度款支付申请（核准）表</w:t>
      </w:r>
    </w:p>
    <w:p w14:paraId="588938ED">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工程名称：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编号：</w:t>
      </w:r>
    </w:p>
    <w:tbl>
      <w:tblPr>
        <w:tblStyle w:val="37"/>
        <w:tblW w:w="95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9"/>
        <w:gridCol w:w="4552"/>
      </w:tblGrid>
      <w:tr w14:paraId="32C26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511" w:type="dxa"/>
            <w:gridSpan w:val="2"/>
            <w:tcBorders>
              <w:top w:val="single" w:color="auto" w:sz="4" w:space="0"/>
              <w:left w:val="single" w:color="auto" w:sz="4" w:space="0"/>
              <w:bottom w:val="single" w:color="auto" w:sz="4" w:space="0"/>
              <w:right w:val="single" w:color="auto" w:sz="4" w:space="0"/>
            </w:tcBorders>
            <w:noWrap w:val="0"/>
            <w:vAlign w:val="top"/>
          </w:tcPr>
          <w:p w14:paraId="57F3F512">
            <w:pPr>
              <w:keepNext w:val="0"/>
              <w:keepLines w:val="0"/>
              <w:suppressLineNumbers w:val="0"/>
              <w:spacing w:before="0" w:beforeAutospacing="0" w:after="0" w:afterAutospacing="0" w:line="480" w:lineRule="exact"/>
              <w:ind w:left="525" w:leftChars="149" w:right="0" w:hanging="212" w:hangingChars="101"/>
              <w:rPr>
                <w:rFonts w:hint="eastAsia" w:ascii="宋体" w:hAnsi="宋体" w:eastAsia="宋体" w:cs="宋体"/>
                <w:color w:val="auto"/>
                <w:highlight w:val="none"/>
                <w:u w:val="single"/>
              </w:rPr>
            </w:pPr>
            <w:r>
              <w:rPr>
                <w:rFonts w:hint="eastAsia" w:ascii="宋体" w:hAnsi="宋体" w:eastAsia="宋体" w:cs="宋体"/>
                <w:color w:val="auto"/>
                <w:highlight w:val="none"/>
              </w:rPr>
              <w:t>致：</w:t>
            </w:r>
            <w:r>
              <w:rPr>
                <w:rFonts w:hint="eastAsia" w:ascii="宋体" w:hAnsi="宋体" w:eastAsia="宋体" w:cs="宋体"/>
                <w:color w:val="auto"/>
                <w:highlight w:val="none"/>
                <w:u w:val="single"/>
              </w:rPr>
              <w:t xml:space="preserve">                                   （发包人全称）</w:t>
            </w:r>
          </w:p>
          <w:p w14:paraId="2C245CCD">
            <w:pPr>
              <w:keepNext w:val="0"/>
              <w:keepLines w:val="0"/>
              <w:suppressLineNumbers w:val="0"/>
              <w:spacing w:before="0" w:beforeAutospacing="0" w:after="0" w:afterAutospacing="0" w:line="400" w:lineRule="exact"/>
              <w:ind w:left="-4" w:leftChars="-2" w:right="0" w:firstLine="315" w:firstLineChars="150"/>
              <w:rPr>
                <w:rFonts w:hint="eastAsia" w:ascii="宋体" w:hAnsi="宋体" w:eastAsia="宋体" w:cs="宋体"/>
                <w:color w:val="auto"/>
                <w:highlight w:val="none"/>
              </w:rPr>
            </w:pPr>
            <w:r>
              <w:rPr>
                <w:rFonts w:hint="eastAsia" w:ascii="宋体" w:hAnsi="宋体" w:eastAsia="宋体" w:cs="宋体"/>
                <w:color w:val="auto"/>
                <w:highlight w:val="none"/>
              </w:rPr>
              <w:t>我方于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至</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期间已完成了</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工作，根据施工合同的约定，现申请支付本期的进度款额为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大写</w:t>
            </w:r>
            <w:r>
              <w:rPr>
                <w:rFonts w:hint="eastAsia" w:ascii="宋体" w:hAnsi="宋体" w:eastAsia="宋体" w:cs="宋体"/>
                <w:color w:val="auto"/>
                <w:highlight w:val="non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小写</w:t>
            </w:r>
            <w:r>
              <w:rPr>
                <w:rFonts w:hint="eastAsia" w:ascii="宋体" w:hAnsi="宋体" w:eastAsia="宋体" w:cs="宋体"/>
                <w:color w:val="auto"/>
                <w:highlight w:val="non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元，请予核准。</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738"/>
              <w:gridCol w:w="4656"/>
              <w:gridCol w:w="1328"/>
              <w:gridCol w:w="1291"/>
              <w:gridCol w:w="572"/>
            </w:tblGrid>
            <w:tr w14:paraId="08EF8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699" w:type="dxa"/>
                  <w:tcBorders>
                    <w:top w:val="single" w:color="auto" w:sz="4" w:space="0"/>
                    <w:left w:val="single" w:color="auto" w:sz="4" w:space="0"/>
                    <w:bottom w:val="single" w:color="auto" w:sz="4" w:space="0"/>
                    <w:right w:val="single" w:color="auto" w:sz="4" w:space="0"/>
                  </w:tcBorders>
                  <w:noWrap w:val="0"/>
                  <w:vAlign w:val="center"/>
                </w:tcPr>
                <w:p w14:paraId="3EB7E184">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5394" w:type="dxa"/>
                  <w:gridSpan w:val="2"/>
                  <w:tcBorders>
                    <w:top w:val="single" w:color="auto" w:sz="4" w:space="0"/>
                    <w:left w:val="single" w:color="auto" w:sz="4" w:space="0"/>
                    <w:bottom w:val="single" w:color="auto" w:sz="4" w:space="0"/>
                    <w:right w:val="single" w:color="auto" w:sz="4" w:space="0"/>
                  </w:tcBorders>
                  <w:noWrap w:val="0"/>
                  <w:vAlign w:val="center"/>
                </w:tcPr>
                <w:p w14:paraId="515C8EED">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名      称</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066E4DBD">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申请金额（元）</w:t>
                  </w:r>
                </w:p>
              </w:tc>
              <w:tc>
                <w:tcPr>
                  <w:tcW w:w="1291" w:type="dxa"/>
                  <w:tcBorders>
                    <w:top w:val="single" w:color="auto" w:sz="4" w:space="0"/>
                    <w:left w:val="single" w:color="auto" w:sz="4" w:space="0"/>
                    <w:bottom w:val="single" w:color="auto" w:sz="4" w:space="0"/>
                    <w:right w:val="single" w:color="auto" w:sz="4" w:space="0"/>
                  </w:tcBorders>
                  <w:noWrap w:val="0"/>
                  <w:vAlign w:val="center"/>
                </w:tcPr>
                <w:p w14:paraId="23B751C0">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核定金额（元）</w:t>
                  </w:r>
                </w:p>
              </w:tc>
              <w:tc>
                <w:tcPr>
                  <w:tcW w:w="572" w:type="dxa"/>
                  <w:tcBorders>
                    <w:top w:val="single" w:color="auto" w:sz="4" w:space="0"/>
                    <w:left w:val="single" w:color="auto" w:sz="4" w:space="0"/>
                    <w:bottom w:val="single" w:color="auto" w:sz="4" w:space="0"/>
                    <w:right w:val="single" w:color="auto" w:sz="4" w:space="0"/>
                  </w:tcBorders>
                  <w:noWrap w:val="0"/>
                  <w:vAlign w:val="center"/>
                </w:tcPr>
                <w:p w14:paraId="3A1849BD">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备注</w:t>
                  </w:r>
                </w:p>
              </w:tc>
            </w:tr>
            <w:tr w14:paraId="5ABD6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99" w:type="dxa"/>
                  <w:tcBorders>
                    <w:top w:val="single" w:color="auto" w:sz="4" w:space="0"/>
                    <w:left w:val="single" w:color="auto" w:sz="4" w:space="0"/>
                    <w:bottom w:val="single" w:color="auto" w:sz="4" w:space="0"/>
                    <w:right w:val="single" w:color="auto" w:sz="4" w:space="0"/>
                  </w:tcBorders>
                  <w:noWrap w:val="0"/>
                  <w:vAlign w:val="top"/>
                </w:tcPr>
                <w:p w14:paraId="1F8C638F">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1610D7D0">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rPr>
                  </w:pPr>
                  <w:r>
                    <w:rPr>
                      <w:rFonts w:hint="eastAsia" w:ascii="宋体" w:hAnsi="宋体" w:eastAsia="宋体" w:cs="宋体"/>
                      <w:color w:val="auto"/>
                      <w:highlight w:val="none"/>
                    </w:rPr>
                    <w:t>累计已完成的工程价款（不含本期）</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4110E8CF">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19A6DCEA">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1BCF7BD3">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rPr>
                  </w:pPr>
                </w:p>
              </w:tc>
            </w:tr>
            <w:tr w14:paraId="6C3A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546BE7FE">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5A704372">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lang w:eastAsia="zh-CN"/>
                    </w:rPr>
                  </w:pPr>
                  <w:r>
                    <w:rPr>
                      <w:rFonts w:hint="eastAsia" w:ascii="宋体" w:hAnsi="宋体" w:eastAsia="宋体" w:cs="宋体"/>
                      <w:color w:val="auto"/>
                      <w:highlight w:val="none"/>
                    </w:rPr>
                    <w:t>累计已实际支付的工程价款</w:t>
                  </w:r>
                  <w:r>
                    <w:rPr>
                      <w:rFonts w:hint="eastAsia" w:ascii="宋体" w:hAnsi="宋体" w:eastAsia="宋体" w:cs="宋体"/>
                      <w:color w:val="auto"/>
                      <w:highlight w:val="none"/>
                      <w:lang w:eastAsia="zh-CN"/>
                    </w:rPr>
                    <w:t>（含预付款）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1457A909">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6C83E567">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0BA076F5">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rPr>
                  </w:pPr>
                </w:p>
              </w:tc>
            </w:tr>
            <w:tr w14:paraId="20628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595A3684">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2.1</w:t>
                  </w:r>
                </w:p>
              </w:tc>
              <w:tc>
                <w:tcPr>
                  <w:tcW w:w="738" w:type="dxa"/>
                  <w:tcBorders>
                    <w:top w:val="nil"/>
                    <w:left w:val="single" w:color="auto" w:sz="4" w:space="0"/>
                    <w:bottom w:val="single" w:color="auto" w:sz="4" w:space="0"/>
                    <w:right w:val="single" w:color="auto" w:sz="4" w:space="0"/>
                  </w:tcBorders>
                  <w:noWrap w:val="0"/>
                  <w:vAlign w:val="center"/>
                </w:tcPr>
                <w:p w14:paraId="6922C098">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其中</w:t>
                  </w:r>
                </w:p>
              </w:tc>
              <w:tc>
                <w:tcPr>
                  <w:tcW w:w="4656" w:type="dxa"/>
                  <w:tcBorders>
                    <w:top w:val="single" w:color="auto" w:sz="4" w:space="0"/>
                    <w:left w:val="single" w:color="auto" w:sz="4" w:space="0"/>
                    <w:bottom w:val="single" w:color="auto" w:sz="4" w:space="0"/>
                    <w:right w:val="single" w:color="auto" w:sz="4" w:space="0"/>
                  </w:tcBorders>
                  <w:noWrap w:val="0"/>
                  <w:vAlign w:val="top"/>
                </w:tcPr>
                <w:p w14:paraId="7A21BAFC">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rPr>
                  </w:pPr>
                  <w:r>
                    <w:rPr>
                      <w:rFonts w:hint="eastAsia" w:ascii="宋体" w:hAnsi="宋体" w:eastAsia="宋体" w:cs="宋体"/>
                      <w:color w:val="auto"/>
                      <w:highlight w:val="none"/>
                    </w:rPr>
                    <w:t>预付款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63D64D9E">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67549EAF">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6195A000">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rPr>
                  </w:pPr>
                </w:p>
              </w:tc>
            </w:tr>
            <w:tr w14:paraId="4A0CF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5467B883">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57879CFA">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rPr>
                  </w:pPr>
                  <w:r>
                    <w:rPr>
                      <w:rFonts w:hint="eastAsia" w:ascii="宋体" w:hAnsi="宋体" w:eastAsia="宋体" w:cs="宋体"/>
                      <w:color w:val="auto"/>
                      <w:highlight w:val="none"/>
                      <w:lang w:eastAsia="zh-CN"/>
                    </w:rPr>
                    <w:t>本</w:t>
                  </w:r>
                  <w:r>
                    <w:rPr>
                      <w:rFonts w:hint="eastAsia" w:ascii="宋体" w:hAnsi="宋体" w:eastAsia="宋体" w:cs="宋体"/>
                      <w:color w:val="auto"/>
                      <w:highlight w:val="none"/>
                    </w:rPr>
                    <w:t>期完成的工程价款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2B3F95A2">
                  <w:pPr>
                    <w:keepNext w:val="0"/>
                    <w:keepLines w:val="0"/>
                    <w:suppressLineNumbers w:val="0"/>
                    <w:spacing w:before="0" w:beforeAutospacing="0" w:after="0" w:afterAutospacing="0" w:line="280" w:lineRule="exact"/>
                    <w:ind w:left="0" w:right="0"/>
                    <w:jc w:val="center"/>
                    <w:rPr>
                      <w:rFonts w:hint="eastAsia" w:ascii="宋体" w:hAnsi="宋体" w:eastAsia="宋体" w:cs="宋体"/>
                      <w:b/>
                      <w:bCs/>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51A2C1BB">
                  <w:pPr>
                    <w:keepNext w:val="0"/>
                    <w:keepLines w:val="0"/>
                    <w:suppressLineNumbers w:val="0"/>
                    <w:spacing w:before="0" w:beforeAutospacing="0" w:after="0" w:afterAutospacing="0" w:line="280" w:lineRule="exact"/>
                    <w:ind w:left="0" w:right="0"/>
                    <w:jc w:val="center"/>
                    <w:rPr>
                      <w:rFonts w:hint="eastAsia" w:ascii="宋体" w:hAnsi="宋体" w:eastAsia="宋体" w:cs="宋体"/>
                      <w:b/>
                      <w:bCs/>
                      <w:color w:val="auto"/>
                      <w:highlight w:val="none"/>
                      <w:lang w:val="en-US" w:eastAsia="zh-CN"/>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6544933F">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rPr>
                  </w:pPr>
                </w:p>
              </w:tc>
            </w:tr>
            <w:tr w14:paraId="489FD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center"/>
                </w:tcPr>
                <w:p w14:paraId="4AAC9EE4">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3.1</w:t>
                  </w:r>
                </w:p>
              </w:tc>
              <w:tc>
                <w:tcPr>
                  <w:tcW w:w="738" w:type="dxa"/>
                  <w:tcBorders>
                    <w:top w:val="nil"/>
                    <w:left w:val="single" w:color="auto" w:sz="4" w:space="0"/>
                    <w:bottom w:val="single" w:color="auto" w:sz="4" w:space="0"/>
                    <w:right w:val="single" w:color="auto" w:sz="4" w:space="0"/>
                  </w:tcBorders>
                  <w:noWrap w:val="0"/>
                  <w:vAlign w:val="center"/>
                </w:tcPr>
                <w:p w14:paraId="6BDC9863">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其中</w:t>
                  </w:r>
                </w:p>
              </w:tc>
              <w:tc>
                <w:tcPr>
                  <w:tcW w:w="4656" w:type="dxa"/>
                  <w:tcBorders>
                    <w:top w:val="single" w:color="auto" w:sz="4" w:space="0"/>
                    <w:left w:val="single" w:color="auto" w:sz="4" w:space="0"/>
                    <w:bottom w:val="single" w:color="auto" w:sz="4" w:space="0"/>
                    <w:right w:val="single" w:color="auto" w:sz="4" w:space="0"/>
                  </w:tcBorders>
                  <w:noWrap w:val="0"/>
                  <w:vAlign w:val="top"/>
                </w:tcPr>
                <w:p w14:paraId="4A4F2599">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rPr>
                  </w:pPr>
                  <w:r>
                    <w:rPr>
                      <w:rFonts w:hint="eastAsia" w:ascii="宋体" w:hAnsi="宋体" w:eastAsia="宋体" w:cs="宋体"/>
                      <w:color w:val="auto"/>
                      <w:highlight w:val="none"/>
                    </w:rPr>
                    <w:t>人工费</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13E6E942">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1B3958BD">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6D7AB702">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rPr>
                  </w:pPr>
                </w:p>
              </w:tc>
            </w:tr>
            <w:tr w14:paraId="0462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35FFFA52">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015AF5A5">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rPr>
                  </w:pPr>
                  <w:r>
                    <w:rPr>
                      <w:rFonts w:hint="eastAsia" w:ascii="宋体" w:hAnsi="宋体" w:eastAsia="宋体" w:cs="宋体"/>
                      <w:color w:val="auto"/>
                      <w:highlight w:val="none"/>
                      <w:lang w:eastAsia="zh-CN"/>
                    </w:rPr>
                    <w:t>本</w:t>
                  </w:r>
                  <w:r>
                    <w:rPr>
                      <w:rFonts w:hint="eastAsia" w:ascii="宋体" w:hAnsi="宋体" w:eastAsia="宋体" w:cs="宋体"/>
                      <w:color w:val="auto"/>
                      <w:highlight w:val="none"/>
                    </w:rPr>
                    <w:t>期应扣除的工程价款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053FDC72">
                  <w:pPr>
                    <w:keepNext w:val="0"/>
                    <w:keepLines w:val="0"/>
                    <w:suppressLineNumbers w:val="0"/>
                    <w:spacing w:before="0" w:beforeAutospacing="0" w:after="0" w:afterAutospacing="0" w:line="280" w:lineRule="exact"/>
                    <w:ind w:left="0" w:right="0"/>
                    <w:jc w:val="center"/>
                    <w:rPr>
                      <w:rFonts w:hint="eastAsia" w:ascii="宋体" w:hAnsi="宋体" w:eastAsia="宋体" w:cs="宋体"/>
                      <w:b/>
                      <w:bCs/>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45D7537E">
                  <w:pPr>
                    <w:keepNext w:val="0"/>
                    <w:keepLines w:val="0"/>
                    <w:suppressLineNumbers w:val="0"/>
                    <w:spacing w:before="0" w:beforeAutospacing="0" w:after="0" w:afterAutospacing="0" w:line="280" w:lineRule="exact"/>
                    <w:ind w:left="0" w:right="0"/>
                    <w:jc w:val="center"/>
                    <w:rPr>
                      <w:rFonts w:hint="eastAsia" w:ascii="宋体" w:hAnsi="宋体" w:eastAsia="宋体" w:cs="宋体"/>
                      <w:b/>
                      <w:bCs/>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13E1196C">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rPr>
                  </w:pPr>
                </w:p>
              </w:tc>
            </w:tr>
            <w:tr w14:paraId="069E3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699" w:type="dxa"/>
                  <w:tcBorders>
                    <w:top w:val="single" w:color="auto" w:sz="4" w:space="0"/>
                    <w:left w:val="single" w:color="auto" w:sz="4" w:space="0"/>
                    <w:bottom w:val="single" w:color="auto" w:sz="4" w:space="0"/>
                    <w:right w:val="single" w:color="auto" w:sz="4" w:space="0"/>
                  </w:tcBorders>
                  <w:noWrap w:val="0"/>
                  <w:vAlign w:val="top"/>
                </w:tcPr>
                <w:p w14:paraId="3898A73E">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rPr>
                    <w:t>4.</w:t>
                  </w:r>
                  <w:r>
                    <w:rPr>
                      <w:rFonts w:hint="eastAsia" w:ascii="宋体" w:hAnsi="宋体" w:eastAsia="宋体" w:cs="宋体"/>
                      <w:color w:val="auto"/>
                      <w:highlight w:val="none"/>
                      <w:lang w:val="en-US" w:eastAsia="zh-CN"/>
                    </w:rPr>
                    <w:t>1</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0FE2F4E9">
                  <w:pPr>
                    <w:keepNext w:val="0"/>
                    <w:keepLines w:val="0"/>
                    <w:suppressLineNumbers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highlight w:val="none"/>
                    </w:rPr>
                    <w:t>扣除</w:t>
                  </w:r>
                  <w:r>
                    <w:rPr>
                      <w:rFonts w:hint="eastAsia" w:ascii="宋体" w:hAnsi="宋体" w:eastAsia="宋体" w:cs="宋体"/>
                      <w:color w:val="auto"/>
                      <w:highlight w:val="none"/>
                      <w:lang w:eastAsia="zh-CN"/>
                    </w:rPr>
                    <w:t>本</w:t>
                  </w:r>
                  <w:r>
                    <w:rPr>
                      <w:rFonts w:hint="eastAsia" w:ascii="宋体" w:hAnsi="宋体" w:eastAsia="宋体" w:cs="宋体"/>
                      <w:color w:val="auto"/>
                      <w:highlight w:val="none"/>
                    </w:rPr>
                    <w:t>期应抵扣的预付款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303B5378">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65538493">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0CEFC777">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rPr>
                  </w:pPr>
                </w:p>
              </w:tc>
            </w:tr>
            <w:tr w14:paraId="36AB9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212339DC">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rPr>
                    <w:t>4.</w:t>
                  </w:r>
                  <w:r>
                    <w:rPr>
                      <w:rFonts w:hint="eastAsia" w:ascii="宋体" w:hAnsi="宋体" w:eastAsia="宋体" w:cs="宋体"/>
                      <w:color w:val="auto"/>
                      <w:highlight w:val="none"/>
                      <w:lang w:val="en-US" w:eastAsia="zh-CN"/>
                    </w:rPr>
                    <w:t>2</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612F347C">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rPr>
                  </w:pPr>
                  <w:r>
                    <w:rPr>
                      <w:rFonts w:hint="eastAsia" w:ascii="宋体" w:hAnsi="宋体" w:eastAsia="宋体" w:cs="宋体"/>
                      <w:color w:val="auto"/>
                      <w:highlight w:val="none"/>
                    </w:rPr>
                    <w:t>扣除</w:t>
                  </w:r>
                  <w:r>
                    <w:rPr>
                      <w:rFonts w:hint="eastAsia" w:ascii="宋体" w:hAnsi="宋体" w:eastAsia="宋体" w:cs="宋体"/>
                      <w:color w:val="auto"/>
                      <w:highlight w:val="none"/>
                      <w:lang w:eastAsia="zh-CN"/>
                    </w:rPr>
                    <w:t>本</w:t>
                  </w:r>
                  <w:r>
                    <w:rPr>
                      <w:rFonts w:hint="eastAsia" w:ascii="宋体" w:hAnsi="宋体" w:eastAsia="宋体" w:cs="宋体"/>
                      <w:color w:val="auto"/>
                      <w:highlight w:val="none"/>
                    </w:rPr>
                    <w:t>期应预留的质量保证金（如有）</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3C6D5BEA">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16539AEE">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7B089D39">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rPr>
                  </w:pPr>
                </w:p>
              </w:tc>
            </w:tr>
            <w:tr w14:paraId="69112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9" w:type="dxa"/>
                  <w:tcBorders>
                    <w:top w:val="single" w:color="auto" w:sz="4" w:space="0"/>
                    <w:left w:val="single" w:color="auto" w:sz="4" w:space="0"/>
                    <w:bottom w:val="single" w:color="auto" w:sz="4" w:space="0"/>
                    <w:right w:val="single" w:color="auto" w:sz="4" w:space="0"/>
                  </w:tcBorders>
                  <w:noWrap w:val="0"/>
                  <w:vAlign w:val="center"/>
                </w:tcPr>
                <w:p w14:paraId="4B0D2BD2">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32C48047">
                  <w:pPr>
                    <w:keepNext w:val="0"/>
                    <w:keepLines w:val="0"/>
                    <w:suppressLineNumbers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highlight w:val="none"/>
                    </w:rPr>
                    <w:t>已签发的进度款支付证书中出现错误需在当期中支付或扣除的工程价款；</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34E89465">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lang w:val="en-US" w:eastAsia="zh-CN"/>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174518AF">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1F39ADEC">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rPr>
                  </w:pPr>
                </w:p>
              </w:tc>
            </w:tr>
            <w:tr w14:paraId="2D08E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center"/>
                </w:tcPr>
                <w:p w14:paraId="4D3DF923">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198448D7">
                  <w:pPr>
                    <w:keepNext w:val="0"/>
                    <w:keepLines w:val="0"/>
                    <w:suppressLineNumbers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highlight w:val="none"/>
                      <w:lang w:eastAsia="zh-CN"/>
                    </w:rPr>
                    <w:t>本</w:t>
                  </w:r>
                  <w:r>
                    <w:rPr>
                      <w:rFonts w:hint="eastAsia" w:ascii="宋体" w:hAnsi="宋体" w:eastAsia="宋体" w:cs="宋体"/>
                      <w:color w:val="auto"/>
                      <w:highlight w:val="none"/>
                    </w:rPr>
                    <w:t>期应支付工程价款</w:t>
                  </w:r>
                  <w:r>
                    <w:rPr>
                      <w:rFonts w:hint="eastAsia" w:ascii="宋体" w:hAnsi="宋体" w:eastAsia="宋体" w:cs="宋体"/>
                      <w:strike w:val="0"/>
                      <w:color w:val="auto"/>
                      <w:highlight w:val="none"/>
                    </w:rPr>
                    <w:t>=&lt;3&gt;</w:t>
                  </w:r>
                </w:p>
                <w:p w14:paraId="587827EF">
                  <w:pPr>
                    <w:keepNext w:val="0"/>
                    <w:keepLines w:val="0"/>
                    <w:suppressLineNumbers w:val="0"/>
                    <w:spacing w:before="0" w:beforeAutospacing="0" w:after="0" w:afterAutospacing="0" w:line="280" w:lineRule="exact"/>
                    <w:ind w:left="0" w:right="0" w:firstLine="210"/>
                    <w:rPr>
                      <w:rFonts w:hint="eastAsia" w:ascii="宋体" w:hAnsi="宋体" w:eastAsia="宋体" w:cs="宋体"/>
                      <w:color w:val="auto"/>
                      <w:highlight w:val="none"/>
                    </w:rPr>
                  </w:pPr>
                  <w:r>
                    <w:rPr>
                      <w:rFonts w:hint="eastAsia" w:ascii="宋体" w:hAnsi="宋体" w:eastAsia="宋体" w:cs="宋体"/>
                      <w:strike w:val="0"/>
                      <w:color w:val="auto"/>
                      <w:highlight w:val="none"/>
                    </w:rPr>
                    <w:t>×支付比例</w:t>
                  </w:r>
                  <w:r>
                    <w:rPr>
                      <w:rFonts w:hint="eastAsia" w:ascii="宋体" w:hAnsi="宋体" w:eastAsia="宋体" w:cs="宋体"/>
                      <w:strike w:val="0"/>
                      <w:color w:val="auto"/>
                      <w:highlight w:val="none"/>
                      <w:lang w:eastAsia="zh-CN"/>
                    </w:rPr>
                    <w:t>－</w:t>
                  </w:r>
                  <w:r>
                    <w:rPr>
                      <w:rFonts w:hint="eastAsia" w:ascii="宋体" w:hAnsi="宋体" w:eastAsia="宋体" w:cs="宋体"/>
                      <w:strike w:val="0"/>
                      <w:color w:val="auto"/>
                      <w:highlight w:val="none"/>
                      <w:lang w:val="en-US" w:eastAsia="zh-CN"/>
                    </w:rPr>
                    <w:t>&lt;4&gt;</w:t>
                  </w:r>
                  <w:r>
                    <w:rPr>
                      <w:rFonts w:hint="eastAsia" w:ascii="宋体" w:hAnsi="宋体" w:eastAsia="宋体" w:cs="宋体"/>
                      <w:strike w:val="0"/>
                      <w:color w:val="auto"/>
                      <w:highlight w:val="none"/>
                    </w:rPr>
                    <w:t>＋&lt;5&gt;</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6078FCE9">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11B65F40">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210DE4BE">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rPr>
                  </w:pPr>
                </w:p>
              </w:tc>
            </w:tr>
            <w:tr w14:paraId="2FFE9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99" w:type="dxa"/>
                  <w:tcBorders>
                    <w:top w:val="single" w:color="auto" w:sz="4" w:space="0"/>
                    <w:left w:val="single" w:color="auto" w:sz="4" w:space="0"/>
                    <w:bottom w:val="single" w:color="auto" w:sz="4" w:space="0"/>
                    <w:right w:val="single" w:color="auto" w:sz="4" w:space="0"/>
                  </w:tcBorders>
                  <w:noWrap w:val="0"/>
                  <w:vAlign w:val="center"/>
                </w:tcPr>
                <w:p w14:paraId="72DEEE97">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6.1</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46518334">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其中：本期应支付</w:t>
                  </w:r>
                  <w:r>
                    <w:rPr>
                      <w:rFonts w:hint="eastAsia" w:ascii="宋体" w:hAnsi="宋体" w:eastAsia="宋体" w:cs="宋体"/>
                      <w:color w:val="auto"/>
                      <w:highlight w:val="none"/>
                    </w:rPr>
                    <w:t>人工费=&lt;3.1&gt;×支付比例</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18DD3551">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03E899C2">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75612640">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rPr>
                  </w:pPr>
                </w:p>
              </w:tc>
            </w:tr>
            <w:tr w14:paraId="443AF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4" w:space="0"/>
                    <w:bottom w:val="single" w:color="auto" w:sz="4" w:space="0"/>
                    <w:right w:val="single" w:color="auto" w:sz="4" w:space="0"/>
                  </w:tcBorders>
                  <w:noWrap w:val="0"/>
                  <w:vAlign w:val="top"/>
                </w:tcPr>
                <w:p w14:paraId="636E68DD">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7</w:t>
                  </w:r>
                </w:p>
              </w:tc>
              <w:tc>
                <w:tcPr>
                  <w:tcW w:w="5394" w:type="dxa"/>
                  <w:gridSpan w:val="2"/>
                  <w:tcBorders>
                    <w:top w:val="single" w:color="auto" w:sz="4" w:space="0"/>
                    <w:left w:val="single" w:color="auto" w:sz="4" w:space="0"/>
                    <w:bottom w:val="single" w:color="auto" w:sz="4" w:space="0"/>
                    <w:right w:val="single" w:color="auto" w:sz="4" w:space="0"/>
                  </w:tcBorders>
                  <w:noWrap w:val="0"/>
                  <w:vAlign w:val="top"/>
                </w:tcPr>
                <w:p w14:paraId="45A87E09">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rPr>
                  </w:pPr>
                  <w:r>
                    <w:rPr>
                      <w:rFonts w:hint="eastAsia" w:ascii="宋体" w:hAnsi="宋体" w:eastAsia="宋体" w:cs="宋体"/>
                      <w:color w:val="auto"/>
                      <w:highlight w:val="none"/>
                    </w:rPr>
                    <w:t>累计已完成的工程价款（含本期）=&lt;1&gt;＋&lt;3&gt;</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76065B1D">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14:paraId="759F7863">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highlight w:val="none"/>
                    </w:rPr>
                  </w:pPr>
                </w:p>
              </w:tc>
              <w:tc>
                <w:tcPr>
                  <w:tcW w:w="572" w:type="dxa"/>
                  <w:tcBorders>
                    <w:top w:val="single" w:color="auto" w:sz="4" w:space="0"/>
                    <w:left w:val="single" w:color="auto" w:sz="4" w:space="0"/>
                    <w:bottom w:val="single" w:color="auto" w:sz="4" w:space="0"/>
                    <w:right w:val="single" w:color="auto" w:sz="4" w:space="0"/>
                  </w:tcBorders>
                  <w:noWrap w:val="0"/>
                  <w:vAlign w:val="top"/>
                </w:tcPr>
                <w:p w14:paraId="2BE94D57">
                  <w:pPr>
                    <w:keepNext w:val="0"/>
                    <w:keepLines w:val="0"/>
                    <w:suppressLineNumbers w:val="0"/>
                    <w:spacing w:before="0" w:beforeAutospacing="0" w:after="0" w:afterAutospacing="0" w:line="280" w:lineRule="exact"/>
                    <w:ind w:left="0" w:right="0"/>
                    <w:rPr>
                      <w:rFonts w:hint="eastAsia" w:ascii="宋体" w:hAnsi="宋体" w:eastAsia="宋体" w:cs="宋体"/>
                      <w:color w:val="auto"/>
                      <w:highlight w:val="none"/>
                    </w:rPr>
                  </w:pPr>
                </w:p>
              </w:tc>
            </w:tr>
          </w:tbl>
          <w:p w14:paraId="081B6E32">
            <w:pPr>
              <w:keepNext w:val="0"/>
              <w:keepLines w:val="0"/>
              <w:suppressLineNumbers w:val="0"/>
              <w:wordWrap w:val="0"/>
              <w:spacing w:before="0" w:beforeAutospacing="0" w:after="0" w:afterAutospacing="0" w:line="400" w:lineRule="exact"/>
              <w:ind w:left="0" w:right="420"/>
              <w:rPr>
                <w:rFonts w:hint="eastAsia" w:ascii="宋体" w:hAnsi="宋体" w:eastAsia="宋体" w:cs="宋体"/>
                <w:color w:val="auto"/>
                <w:highlight w:val="none"/>
              </w:rPr>
            </w:pPr>
            <w:r>
              <w:rPr>
                <w:rFonts w:hint="eastAsia" w:ascii="宋体" w:hAnsi="宋体" w:eastAsia="宋体" w:cs="宋体"/>
                <w:color w:val="auto"/>
                <w:highlight w:val="none"/>
              </w:rPr>
              <w:t>附：上述</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详见附件清单。</w:t>
            </w:r>
          </w:p>
          <w:p w14:paraId="34BD1A93">
            <w:pPr>
              <w:keepNext w:val="0"/>
              <w:keepLines w:val="0"/>
              <w:suppressLineNumbers w:val="0"/>
              <w:wordWrap w:val="0"/>
              <w:spacing w:before="0" w:beforeAutospacing="0" w:after="0" w:afterAutospacing="0" w:line="400" w:lineRule="exact"/>
              <w:ind w:left="0" w:right="420"/>
              <w:rPr>
                <w:rFonts w:hint="eastAsia" w:ascii="宋体" w:hAnsi="宋体" w:eastAsia="宋体" w:cs="宋体"/>
                <w:color w:val="auto"/>
                <w:highlight w:val="none"/>
              </w:rPr>
            </w:pPr>
            <w:r>
              <w:rPr>
                <w:rFonts w:hint="eastAsia" w:ascii="宋体" w:hAnsi="宋体" w:eastAsia="宋体" w:cs="宋体"/>
                <w:color w:val="auto"/>
                <w:highlight w:val="none"/>
              </w:rPr>
              <w:t xml:space="preserve">                                            承包人（章）             </w:t>
            </w:r>
          </w:p>
          <w:p w14:paraId="6C53D77E">
            <w:pPr>
              <w:keepNext w:val="0"/>
              <w:keepLines w:val="0"/>
              <w:suppressLineNumbers w:val="0"/>
              <w:spacing w:before="0" w:beforeAutospacing="0" w:after="0" w:afterAutospacing="0" w:line="400" w:lineRule="exact"/>
              <w:ind w:left="0" w:right="420" w:firstLine="435"/>
              <w:rPr>
                <w:rFonts w:hint="eastAsia" w:ascii="宋体" w:hAnsi="宋体" w:eastAsia="宋体" w:cs="宋体"/>
                <w:color w:val="auto"/>
                <w:highlight w:val="none"/>
              </w:rPr>
            </w:pPr>
            <w:r>
              <w:rPr>
                <w:rFonts w:hint="eastAsia" w:ascii="宋体" w:hAnsi="宋体" w:eastAsia="宋体" w:cs="宋体"/>
                <w:color w:val="auto"/>
                <w:highlight w:val="none"/>
              </w:rPr>
              <w:t>造价人员</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承包人代表</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tc>
      </w:tr>
      <w:tr w14:paraId="2E7D2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8" w:hRule="atLeast"/>
          <w:jc w:val="center"/>
        </w:trPr>
        <w:tc>
          <w:tcPr>
            <w:tcW w:w="4959" w:type="dxa"/>
            <w:tcBorders>
              <w:top w:val="single" w:color="auto" w:sz="4" w:space="0"/>
              <w:left w:val="single" w:color="auto" w:sz="4" w:space="0"/>
              <w:bottom w:val="single" w:color="auto" w:sz="4" w:space="0"/>
              <w:right w:val="single" w:color="auto" w:sz="4" w:space="0"/>
            </w:tcBorders>
            <w:noWrap w:val="0"/>
            <w:vAlign w:val="top"/>
          </w:tcPr>
          <w:p w14:paraId="6FE33EA2">
            <w:pPr>
              <w:keepNext w:val="0"/>
              <w:keepLines w:val="0"/>
              <w:suppressLineNumbers w:val="0"/>
              <w:spacing w:before="0" w:beforeAutospacing="0" w:after="0" w:afterAutospacing="0" w:line="360" w:lineRule="exact"/>
              <w:ind w:left="0" w:right="0"/>
              <w:rPr>
                <w:rFonts w:hint="eastAsia" w:ascii="宋体" w:hAnsi="宋体" w:eastAsia="宋体" w:cs="宋体"/>
                <w:color w:val="auto"/>
                <w:highlight w:val="none"/>
              </w:rPr>
            </w:pPr>
            <w:r>
              <w:rPr>
                <w:rFonts w:hint="eastAsia" w:ascii="宋体" w:hAnsi="宋体" w:eastAsia="宋体" w:cs="宋体"/>
                <w:color w:val="auto"/>
                <w:highlight w:val="none"/>
              </w:rPr>
              <w:t>复核意见：</w:t>
            </w:r>
          </w:p>
          <w:p w14:paraId="3367C6BF">
            <w:pPr>
              <w:keepNext w:val="0"/>
              <w:keepLines w:val="0"/>
              <w:suppressLineNumbers w:val="0"/>
              <w:spacing w:before="0" w:beforeAutospacing="0" w:after="0" w:afterAutospacing="0" w:line="360" w:lineRule="exact"/>
              <w:ind w:left="0" w:right="0" w:firstLine="312"/>
              <w:rPr>
                <w:rFonts w:hint="eastAsia" w:ascii="宋体" w:hAnsi="宋体" w:eastAsia="宋体" w:cs="宋体"/>
                <w:color w:val="auto"/>
                <w:highlight w:val="none"/>
              </w:rPr>
            </w:pPr>
            <w:r>
              <w:rPr>
                <w:rFonts w:hint="eastAsia" w:ascii="宋体" w:hAnsi="宋体" w:eastAsia="宋体" w:cs="宋体"/>
                <w:color w:val="auto"/>
                <w:highlight w:val="none"/>
              </w:rPr>
              <w:t>□与实际施工情况不相符，修改意见见附件。</w:t>
            </w:r>
          </w:p>
          <w:p w14:paraId="7C77B05F">
            <w:pPr>
              <w:keepNext w:val="0"/>
              <w:keepLines w:val="0"/>
              <w:suppressLineNumbers w:val="0"/>
              <w:spacing w:before="0" w:beforeAutospacing="0" w:after="0" w:afterAutospacing="0" w:line="360" w:lineRule="exact"/>
              <w:ind w:left="0" w:right="0" w:firstLine="312"/>
              <w:rPr>
                <w:rFonts w:hint="eastAsia" w:ascii="宋体" w:hAnsi="宋体" w:eastAsia="宋体" w:cs="宋体"/>
                <w:color w:val="auto"/>
                <w:highlight w:val="none"/>
              </w:rPr>
            </w:pPr>
            <w:r>
              <w:rPr>
                <w:rFonts w:hint="eastAsia" w:ascii="宋体" w:hAnsi="宋体" w:eastAsia="宋体" w:cs="宋体"/>
                <w:color w:val="auto"/>
                <w:highlight w:val="none"/>
              </w:rPr>
              <w:t>□与实际施工情况相符，具体金额由造价工程师复核。</w:t>
            </w:r>
          </w:p>
          <w:p w14:paraId="0825BFB4">
            <w:pPr>
              <w:keepNext w:val="0"/>
              <w:keepLines w:val="0"/>
              <w:suppressLineNumbers w:val="0"/>
              <w:spacing w:before="0" w:beforeAutospacing="0" w:after="0" w:afterAutospacing="0" w:line="360" w:lineRule="exact"/>
              <w:ind w:left="0" w:right="0" w:firstLine="435"/>
              <w:jc w:val="right"/>
              <w:rPr>
                <w:rFonts w:hint="eastAsia" w:ascii="宋体" w:hAnsi="宋体" w:eastAsia="宋体" w:cs="宋体"/>
                <w:color w:val="auto"/>
                <w:highlight w:val="none"/>
              </w:rPr>
            </w:pPr>
          </w:p>
          <w:p w14:paraId="5F278ECA">
            <w:pPr>
              <w:keepNext w:val="0"/>
              <w:keepLines w:val="0"/>
              <w:suppressLineNumbers w:val="0"/>
              <w:spacing w:before="0" w:beforeAutospacing="0" w:after="0" w:afterAutospacing="0" w:line="360" w:lineRule="exact"/>
              <w:ind w:left="0" w:right="0"/>
              <w:jc w:val="both"/>
              <w:rPr>
                <w:rFonts w:hint="eastAsia" w:ascii="宋体" w:hAnsi="宋体" w:eastAsia="宋体" w:cs="宋体"/>
                <w:color w:val="auto"/>
                <w:highlight w:val="none"/>
                <w:u w:val="single"/>
              </w:rPr>
            </w:pPr>
            <w:r>
              <w:rPr>
                <w:rFonts w:hint="eastAsia" w:ascii="宋体" w:hAnsi="宋体" w:eastAsia="宋体" w:cs="宋体"/>
                <w:color w:val="auto"/>
                <w:highlight w:val="none"/>
                <w:lang w:eastAsia="zh-CN"/>
              </w:rPr>
              <w:t>监理</w:t>
            </w:r>
            <w:r>
              <w:rPr>
                <w:rFonts w:hint="eastAsia" w:ascii="宋体" w:hAnsi="宋体" w:eastAsia="宋体" w:cs="宋体"/>
                <w:color w:val="auto"/>
                <w:highlight w:val="none"/>
              </w:rPr>
              <w:t>工程师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日      期</w:t>
            </w:r>
            <w:r>
              <w:rPr>
                <w:rFonts w:hint="eastAsia" w:ascii="宋体" w:hAnsi="宋体" w:eastAsia="宋体" w:cs="宋体"/>
                <w:color w:val="auto"/>
                <w:highlight w:val="none"/>
                <w:u w:val="single"/>
              </w:rPr>
              <w:t xml:space="preserve">           </w:t>
            </w:r>
          </w:p>
        </w:tc>
        <w:tc>
          <w:tcPr>
            <w:tcW w:w="4552" w:type="dxa"/>
            <w:tcBorders>
              <w:top w:val="single" w:color="auto" w:sz="4" w:space="0"/>
              <w:left w:val="single" w:color="auto" w:sz="4" w:space="0"/>
              <w:bottom w:val="single" w:color="auto" w:sz="4" w:space="0"/>
              <w:right w:val="single" w:color="auto" w:sz="4" w:space="0"/>
            </w:tcBorders>
            <w:noWrap w:val="0"/>
            <w:vAlign w:val="top"/>
          </w:tcPr>
          <w:p w14:paraId="76076FC6">
            <w:pPr>
              <w:keepNext w:val="0"/>
              <w:keepLines w:val="0"/>
              <w:suppressLineNumbers w:val="0"/>
              <w:spacing w:before="0" w:beforeAutospacing="0" w:after="0" w:afterAutospacing="0" w:line="360" w:lineRule="exact"/>
              <w:ind w:left="0" w:right="0"/>
              <w:rPr>
                <w:rFonts w:hint="eastAsia" w:ascii="宋体" w:hAnsi="宋体" w:eastAsia="宋体" w:cs="宋体"/>
                <w:color w:val="auto"/>
                <w:highlight w:val="none"/>
              </w:rPr>
            </w:pPr>
            <w:r>
              <w:rPr>
                <w:rFonts w:hint="eastAsia" w:ascii="宋体" w:hAnsi="宋体" w:eastAsia="宋体" w:cs="宋体"/>
                <w:color w:val="auto"/>
                <w:highlight w:val="none"/>
              </w:rPr>
              <w:t>复核意见：</w:t>
            </w:r>
          </w:p>
          <w:p w14:paraId="402A7B8A">
            <w:pPr>
              <w:keepNext w:val="0"/>
              <w:keepLines w:val="0"/>
              <w:suppressLineNumbers w:val="0"/>
              <w:spacing w:before="0" w:beforeAutospacing="0" w:after="0" w:afterAutospacing="0" w:line="360" w:lineRule="exact"/>
              <w:ind w:left="0" w:right="0" w:firstLine="435"/>
              <w:rPr>
                <w:rFonts w:hint="eastAsia" w:ascii="宋体" w:hAnsi="宋体" w:eastAsia="宋体" w:cs="宋体"/>
                <w:color w:val="auto"/>
                <w:highlight w:val="none"/>
                <w:u w:val="single"/>
              </w:rPr>
            </w:pPr>
            <w:r>
              <w:rPr>
                <w:rFonts w:hint="eastAsia" w:ascii="宋体" w:hAnsi="宋体" w:eastAsia="宋体" w:cs="宋体"/>
                <w:color w:val="auto"/>
                <w:highlight w:val="none"/>
              </w:rPr>
              <w:t>你方提出的支付申请经复核，本周期已完成工程价款为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大写</w:t>
            </w:r>
            <w:r>
              <w:rPr>
                <w:rFonts w:hint="eastAsia" w:ascii="宋体" w:hAnsi="宋体" w:eastAsia="宋体" w:cs="宋体"/>
                <w:color w:val="auto"/>
                <w:highlight w:val="non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元，（小写）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元，本期间应支付金额为（大写）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元，（小写）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p>
          <w:p w14:paraId="45D8555E">
            <w:pPr>
              <w:keepNext w:val="0"/>
              <w:keepLines w:val="0"/>
              <w:suppressLineNumbers w:val="0"/>
              <w:spacing w:before="0" w:beforeAutospacing="0" w:after="0" w:afterAutospacing="0" w:line="360" w:lineRule="exact"/>
              <w:ind w:left="0" w:right="0"/>
              <w:jc w:val="both"/>
              <w:rPr>
                <w:rFonts w:hint="eastAsia" w:ascii="宋体" w:hAnsi="宋体" w:eastAsia="宋体" w:cs="宋体"/>
                <w:color w:val="auto"/>
                <w:highlight w:val="none"/>
                <w:u w:val="single"/>
              </w:rPr>
            </w:pPr>
            <w:r>
              <w:rPr>
                <w:rFonts w:hint="eastAsia" w:ascii="宋体" w:hAnsi="宋体" w:eastAsia="宋体" w:cs="宋体"/>
                <w:color w:val="auto"/>
                <w:highlight w:val="none"/>
              </w:rPr>
              <w:t>造价工程师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日      期</w:t>
            </w:r>
            <w:r>
              <w:rPr>
                <w:rFonts w:hint="eastAsia" w:ascii="宋体" w:hAnsi="宋体" w:eastAsia="宋体" w:cs="宋体"/>
                <w:color w:val="auto"/>
                <w:highlight w:val="none"/>
                <w:u w:val="single"/>
              </w:rPr>
              <w:t xml:space="preserve">           </w:t>
            </w:r>
          </w:p>
        </w:tc>
      </w:tr>
      <w:tr w14:paraId="040B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1" w:hRule="atLeast"/>
          <w:jc w:val="center"/>
        </w:trPr>
        <w:tc>
          <w:tcPr>
            <w:tcW w:w="9511" w:type="dxa"/>
            <w:gridSpan w:val="2"/>
            <w:tcBorders>
              <w:top w:val="single" w:color="auto" w:sz="4" w:space="0"/>
              <w:left w:val="single" w:color="auto" w:sz="4" w:space="0"/>
              <w:bottom w:val="single" w:color="auto" w:sz="4" w:space="0"/>
              <w:right w:val="single" w:color="auto" w:sz="4" w:space="0"/>
            </w:tcBorders>
            <w:noWrap w:val="0"/>
            <w:vAlign w:val="top"/>
          </w:tcPr>
          <w:p w14:paraId="3524C4AB">
            <w:pPr>
              <w:keepNext w:val="0"/>
              <w:keepLines w:val="0"/>
              <w:suppressLineNumbers w:val="0"/>
              <w:spacing w:before="0" w:beforeAutospacing="0" w:after="0" w:afterAutospacing="0" w:line="400" w:lineRule="exact"/>
              <w:ind w:left="0" w:right="0"/>
              <w:rPr>
                <w:rFonts w:hint="eastAsia" w:ascii="宋体" w:hAnsi="宋体" w:eastAsia="宋体" w:cs="宋体"/>
                <w:color w:val="auto"/>
                <w:highlight w:val="none"/>
              </w:rPr>
            </w:pPr>
            <w:r>
              <w:rPr>
                <w:rFonts w:hint="eastAsia" w:ascii="宋体" w:hAnsi="宋体" w:eastAsia="宋体" w:cs="宋体"/>
                <w:color w:val="auto"/>
                <w:highlight w:val="none"/>
              </w:rPr>
              <w:t>审核意见：</w:t>
            </w:r>
          </w:p>
          <w:p w14:paraId="4185BCB4">
            <w:pPr>
              <w:keepNext w:val="0"/>
              <w:keepLines w:val="0"/>
              <w:suppressLineNumbers w:val="0"/>
              <w:spacing w:before="0" w:beforeAutospacing="0" w:after="0" w:afterAutospacing="0" w:line="400" w:lineRule="exact"/>
              <w:ind w:left="0" w:right="0" w:firstLine="435"/>
              <w:rPr>
                <w:rFonts w:hint="eastAsia" w:ascii="宋体" w:hAnsi="宋体" w:eastAsia="宋体" w:cs="宋体"/>
                <w:color w:val="auto"/>
                <w:highlight w:val="none"/>
              </w:rPr>
            </w:pPr>
            <w:r>
              <w:rPr>
                <w:rFonts w:hint="eastAsia" w:ascii="宋体" w:hAnsi="宋体" w:eastAsia="宋体" w:cs="宋体"/>
                <w:color w:val="auto"/>
                <w:highlight w:val="none"/>
              </w:rPr>
              <w:t>□不同意。</w:t>
            </w:r>
          </w:p>
          <w:p w14:paraId="4384889A">
            <w:pPr>
              <w:keepNext w:val="0"/>
              <w:keepLines w:val="0"/>
              <w:suppressLineNumbers w:val="0"/>
              <w:spacing w:before="0" w:beforeAutospacing="0" w:after="0" w:afterAutospacing="0" w:line="400" w:lineRule="exact"/>
              <w:ind w:left="0" w:righ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□同意，支付时间为本表签发后的15天内。</w:t>
            </w:r>
          </w:p>
          <w:p w14:paraId="78885ECC">
            <w:pPr>
              <w:keepNext w:val="0"/>
              <w:keepLines w:val="0"/>
              <w:suppressLineNumbers w:val="0"/>
              <w:wordWrap w:val="0"/>
              <w:spacing w:before="0" w:beforeAutospacing="0" w:after="0" w:afterAutospacing="0" w:line="400" w:lineRule="exact"/>
              <w:ind w:left="0" w:right="0" w:firstLine="420" w:firstLineChars="200"/>
              <w:jc w:val="right"/>
              <w:rPr>
                <w:rFonts w:hint="eastAsia" w:ascii="宋体" w:hAnsi="宋体" w:eastAsia="宋体" w:cs="宋体"/>
                <w:color w:val="auto"/>
                <w:highlight w:val="none"/>
              </w:rPr>
            </w:pPr>
            <w:r>
              <w:rPr>
                <w:rFonts w:hint="eastAsia" w:ascii="宋体" w:hAnsi="宋体" w:eastAsia="宋体" w:cs="宋体"/>
                <w:color w:val="auto"/>
                <w:highlight w:val="none"/>
              </w:rPr>
              <w:t xml:space="preserve">发包人（章）           </w:t>
            </w:r>
          </w:p>
          <w:p w14:paraId="2CD454DE">
            <w:pPr>
              <w:keepNext w:val="0"/>
              <w:keepLines w:val="0"/>
              <w:suppressLineNumbers w:val="0"/>
              <w:wordWrap w:val="0"/>
              <w:spacing w:before="0" w:beforeAutospacing="0" w:after="0" w:afterAutospacing="0" w:line="400" w:lineRule="exact"/>
              <w:ind w:left="0" w:right="0" w:firstLine="420" w:firstLineChars="200"/>
              <w:jc w:val="right"/>
              <w:rPr>
                <w:rFonts w:hint="eastAsia" w:ascii="宋体" w:hAnsi="宋体" w:eastAsia="宋体" w:cs="宋体"/>
                <w:color w:val="auto"/>
                <w:highlight w:val="none"/>
                <w:u w:val="single"/>
              </w:rPr>
            </w:pPr>
            <w:r>
              <w:rPr>
                <w:rFonts w:hint="eastAsia" w:ascii="宋体" w:hAnsi="宋体" w:eastAsia="宋体" w:cs="宋体"/>
                <w:color w:val="auto"/>
                <w:highlight w:val="none"/>
              </w:rPr>
              <w:t>发包人代表</w:t>
            </w:r>
            <w:r>
              <w:rPr>
                <w:rFonts w:hint="eastAsia" w:ascii="宋体" w:hAnsi="宋体" w:eastAsia="宋体" w:cs="宋体"/>
                <w:color w:val="auto"/>
                <w:highlight w:val="none"/>
                <w:u w:val="single"/>
              </w:rPr>
              <w:t xml:space="preserve">             </w:t>
            </w:r>
          </w:p>
          <w:p w14:paraId="22BC1F1B">
            <w:pPr>
              <w:keepNext w:val="0"/>
              <w:keepLines w:val="0"/>
              <w:suppressLineNumbers w:val="0"/>
              <w:wordWrap w:val="0"/>
              <w:spacing w:before="0" w:beforeAutospacing="0" w:after="0" w:afterAutospacing="0" w:line="400" w:lineRule="exact"/>
              <w:ind w:left="0" w:right="0" w:firstLine="420" w:firstLineChars="200"/>
              <w:jc w:val="right"/>
              <w:rPr>
                <w:rFonts w:hint="eastAsia" w:ascii="宋体" w:hAnsi="宋体" w:eastAsia="宋体" w:cs="宋体"/>
                <w:color w:val="auto"/>
                <w:highlight w:val="none"/>
                <w:u w:val="singl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tc>
      </w:tr>
    </w:tbl>
    <w:p w14:paraId="6842A3E0">
      <w:pPr>
        <w:spacing w:beforeLines="50"/>
        <w:ind w:firstLine="360" w:firstLineChars="20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注：1.在选择栏中的</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内作标识</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 xml:space="preserve">。 </w:t>
      </w:r>
    </w:p>
    <w:p w14:paraId="25B78B34">
      <w:pPr>
        <w:spacing w:beforeLines="50"/>
        <w:ind w:firstLine="720" w:firstLineChars="40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2.本表一式四份，由承包人填报，发包人、监理人、造价咨询人、承包人各存一份。</w:t>
      </w:r>
    </w:p>
    <w:p w14:paraId="5298A91E">
      <w:pPr>
        <w:spacing w:before="120" w:beforeLines="50" w:after="120" w:afterLines="50" w:line="440" w:lineRule="exact"/>
        <w:jc w:val="left"/>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rPr>
        <w:t>附件12</w:t>
      </w:r>
      <w:r>
        <w:rPr>
          <w:rFonts w:hint="eastAsia" w:ascii="宋体" w:hAnsi="宋体" w:eastAsia="宋体" w:cs="宋体"/>
          <w:color w:val="auto"/>
          <w:sz w:val="30"/>
          <w:szCs w:val="30"/>
          <w:highlight w:val="none"/>
          <w:lang w:eastAsia="zh-CN"/>
        </w:rPr>
        <w:t>：竣工（施工过程）结算款支付申请（核准）表</w:t>
      </w:r>
    </w:p>
    <w:p w14:paraId="6E43B3D7">
      <w:pPr>
        <w:wordWrap w:val="0"/>
        <w:jc w:val="center"/>
        <w:outlineLvl w:val="9"/>
        <w:rPr>
          <w:rFonts w:hint="eastAsia" w:ascii="宋体" w:hAnsi="宋体" w:eastAsia="宋体" w:cs="宋体"/>
          <w:b/>
          <w:color w:val="auto"/>
          <w:sz w:val="36"/>
          <w:szCs w:val="36"/>
          <w:highlight w:val="none"/>
        </w:rPr>
      </w:pPr>
      <w:r>
        <w:rPr>
          <w:rFonts w:hint="eastAsia" w:ascii="宋体" w:hAnsi="宋体" w:eastAsia="宋体" w:cs="宋体"/>
          <w:b/>
          <w:color w:val="auto"/>
          <w:sz w:val="30"/>
          <w:szCs w:val="30"/>
          <w:highlight w:val="none"/>
          <w:lang w:val="en"/>
        </w:rPr>
        <w:t>竣工</w:t>
      </w:r>
      <w:r>
        <w:rPr>
          <w:rFonts w:hint="eastAsia" w:ascii="宋体" w:hAnsi="宋体" w:eastAsia="宋体" w:cs="宋体"/>
          <w:b/>
          <w:color w:val="auto"/>
          <w:sz w:val="30"/>
          <w:szCs w:val="30"/>
          <w:highlight w:val="none"/>
          <w:lang w:val="en" w:eastAsia="zh-CN"/>
        </w:rPr>
        <w:t>（施工过程）</w:t>
      </w:r>
      <w:r>
        <w:rPr>
          <w:rFonts w:hint="eastAsia" w:ascii="宋体" w:hAnsi="宋体" w:eastAsia="宋体" w:cs="宋体"/>
          <w:b/>
          <w:color w:val="auto"/>
          <w:sz w:val="30"/>
          <w:szCs w:val="30"/>
          <w:highlight w:val="none"/>
          <w:lang w:val="en"/>
        </w:rPr>
        <w:t>结算款支付申请（核准）表</w:t>
      </w:r>
    </w:p>
    <w:p w14:paraId="1C902E60">
      <w:pPr>
        <w:ind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rPr>
        <w:t xml:space="preserve">工程名称：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编号：</w:t>
      </w:r>
    </w:p>
    <w:tbl>
      <w:tblPr>
        <w:tblStyle w:val="267"/>
        <w:tblW w:w="92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49"/>
        <w:gridCol w:w="4280"/>
      </w:tblGrid>
      <w:tr w14:paraId="46383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8" w:hRule="atLeast"/>
          <w:jc w:val="center"/>
        </w:trPr>
        <w:tc>
          <w:tcPr>
            <w:tcW w:w="9229" w:type="dxa"/>
            <w:gridSpan w:val="2"/>
            <w:noWrap w:val="0"/>
            <w:vAlign w:val="top"/>
          </w:tcPr>
          <w:p w14:paraId="0ECBBE52">
            <w:pPr>
              <w:pStyle w:val="270"/>
              <w:autoSpaceDE w:val="0"/>
              <w:autoSpaceDN w:val="0"/>
              <w:spacing w:before="234" w:line="220" w:lineRule="auto"/>
              <w:ind w:left="85"/>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rPr>
              <w:t>致</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3"/>
                <w:sz w:val="21"/>
                <w:szCs w:val="21"/>
                <w:highlight w:val="none"/>
                <w:u w:val="single"/>
              </w:rPr>
              <w:t xml:space="preserve">                   </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发包人全称</w:t>
            </w:r>
            <w:r>
              <w:rPr>
                <w:rFonts w:hint="eastAsia" w:ascii="宋体" w:hAnsi="宋体" w:eastAsia="宋体" w:cs="宋体"/>
                <w:color w:val="auto"/>
                <w:spacing w:val="1"/>
                <w:sz w:val="21"/>
                <w:szCs w:val="21"/>
                <w:highlight w:val="none"/>
                <w:lang w:eastAsia="zh-CN"/>
              </w:rPr>
              <w:t>）</w:t>
            </w:r>
          </w:p>
          <w:p w14:paraId="41D9F95E">
            <w:pPr>
              <w:pStyle w:val="270"/>
              <w:autoSpaceDE w:val="0"/>
              <w:autoSpaceDN w:val="0"/>
              <w:spacing w:before="59" w:line="248" w:lineRule="auto"/>
              <w:ind w:left="124" w:firstLine="399"/>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我方于</w:t>
            </w:r>
            <w:r>
              <w:rPr>
                <w:rFonts w:hint="eastAsia" w:ascii="宋体" w:hAnsi="宋体" w:eastAsia="宋体" w:cs="宋体"/>
                <w:color w:val="auto"/>
                <w:spacing w:val="11"/>
                <w:sz w:val="21"/>
                <w:szCs w:val="21"/>
                <w:highlight w:val="none"/>
                <w:u w:val="single" w:color="auto"/>
              </w:rPr>
              <w:t xml:space="preserve">      </w:t>
            </w:r>
            <w:r>
              <w:rPr>
                <w:rFonts w:hint="eastAsia" w:ascii="宋体" w:hAnsi="宋体" w:eastAsia="宋体" w:cs="宋体"/>
                <w:color w:val="auto"/>
                <w:spacing w:val="-5"/>
                <w:sz w:val="21"/>
                <w:szCs w:val="21"/>
                <w:highlight w:val="none"/>
              </w:rPr>
              <w:t>至</w:t>
            </w:r>
            <w:r>
              <w:rPr>
                <w:rFonts w:hint="eastAsia" w:ascii="宋体" w:hAnsi="宋体" w:eastAsia="宋体" w:cs="宋体"/>
                <w:color w:val="auto"/>
                <w:spacing w:val="-93"/>
                <w:sz w:val="21"/>
                <w:szCs w:val="21"/>
                <w:highlight w:val="none"/>
              </w:rPr>
              <w:t xml:space="preserve"> </w:t>
            </w:r>
            <w:r>
              <w:rPr>
                <w:rFonts w:hint="eastAsia" w:ascii="宋体" w:hAnsi="宋体" w:eastAsia="宋体" w:cs="宋体"/>
                <w:color w:val="auto"/>
                <w:spacing w:val="16"/>
                <w:sz w:val="21"/>
                <w:szCs w:val="21"/>
                <w:highlight w:val="none"/>
                <w:u w:val="single" w:color="auto"/>
              </w:rPr>
              <w:t xml:space="preserve">     </w:t>
            </w:r>
            <w:r>
              <w:rPr>
                <w:rFonts w:hint="eastAsia" w:ascii="宋体" w:hAnsi="宋体" w:eastAsia="宋体" w:cs="宋体"/>
                <w:color w:val="auto"/>
                <w:spacing w:val="-101"/>
                <w:sz w:val="21"/>
                <w:szCs w:val="21"/>
                <w:highlight w:val="none"/>
              </w:rPr>
              <w:t xml:space="preserve"> </w:t>
            </w:r>
            <w:r>
              <w:rPr>
                <w:rFonts w:hint="eastAsia" w:ascii="宋体" w:hAnsi="宋体" w:eastAsia="宋体" w:cs="宋体"/>
                <w:color w:val="auto"/>
                <w:spacing w:val="-5"/>
                <w:sz w:val="21"/>
                <w:szCs w:val="21"/>
                <w:highlight w:val="none"/>
              </w:rPr>
              <w:t>期间已完成合同约定的工作</w:t>
            </w:r>
            <w:r>
              <w:rPr>
                <w:rFonts w:hint="eastAsia" w:ascii="宋体" w:hAnsi="宋体" w:eastAsia="宋体" w:cs="宋体"/>
                <w:color w:val="auto"/>
                <w:spacing w:val="-5"/>
                <w:sz w:val="21"/>
                <w:szCs w:val="21"/>
                <w:highlight w:val="none"/>
                <w:lang w:eastAsia="zh-CN"/>
              </w:rPr>
              <w:t>，</w:t>
            </w:r>
            <w:r>
              <w:rPr>
                <w:rFonts w:hint="eastAsia" w:ascii="宋体" w:hAnsi="宋体" w:eastAsia="宋体" w:cs="宋体"/>
                <w:color w:val="auto"/>
                <w:spacing w:val="-5"/>
                <w:sz w:val="21"/>
                <w:szCs w:val="21"/>
                <w:highlight w:val="none"/>
              </w:rPr>
              <w:t>工程已经完工</w:t>
            </w:r>
            <w:r>
              <w:rPr>
                <w:rFonts w:hint="eastAsia" w:ascii="宋体" w:hAnsi="宋体" w:eastAsia="宋体" w:cs="宋体"/>
                <w:color w:val="auto"/>
                <w:spacing w:val="-5"/>
                <w:sz w:val="21"/>
                <w:szCs w:val="21"/>
                <w:highlight w:val="none"/>
                <w:lang w:eastAsia="zh-CN"/>
              </w:rPr>
              <w:t>，</w:t>
            </w:r>
            <w:r>
              <w:rPr>
                <w:rFonts w:hint="eastAsia" w:ascii="宋体" w:hAnsi="宋体" w:eastAsia="宋体" w:cs="宋体"/>
                <w:color w:val="auto"/>
                <w:spacing w:val="-5"/>
                <w:sz w:val="21"/>
                <w:szCs w:val="21"/>
                <w:highlight w:val="none"/>
              </w:rPr>
              <w:t>根据施工合同的约</w:t>
            </w:r>
            <w:r>
              <w:rPr>
                <w:rFonts w:hint="eastAsia" w:ascii="宋体" w:hAnsi="宋体" w:eastAsia="宋体" w:cs="宋体"/>
                <w:color w:val="auto"/>
                <w:spacing w:val="-6"/>
                <w:sz w:val="21"/>
                <w:szCs w:val="21"/>
                <w:highlight w:val="none"/>
              </w:rPr>
              <w:t>定</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现申</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请支付竣工结算合同款额为</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大写</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3"/>
                <w:sz w:val="21"/>
                <w:szCs w:val="21"/>
                <w:highlight w:val="none"/>
                <w:u w:val="single" w:color="auto"/>
                <w:lang w:eastAsia="zh-CN"/>
              </w:rPr>
              <w:t>（</w:t>
            </w:r>
            <w:r>
              <w:rPr>
                <w:rFonts w:hint="eastAsia" w:ascii="宋体" w:hAnsi="宋体" w:eastAsia="宋体" w:cs="宋体"/>
                <w:color w:val="auto"/>
                <w:spacing w:val="3"/>
                <w:sz w:val="21"/>
                <w:szCs w:val="21"/>
                <w:highlight w:val="none"/>
                <w:u w:val="single" w:color="auto"/>
              </w:rPr>
              <w:t>小</w:t>
            </w:r>
            <w:r>
              <w:rPr>
                <w:rFonts w:hint="eastAsia" w:ascii="宋体" w:hAnsi="宋体" w:eastAsia="宋体" w:cs="宋体"/>
                <w:color w:val="auto"/>
                <w:spacing w:val="3"/>
                <w:sz w:val="21"/>
                <w:szCs w:val="21"/>
                <w:highlight w:val="none"/>
              </w:rPr>
              <w:t xml:space="preserve">写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请予核准。</w:t>
            </w:r>
          </w:p>
          <w:p w14:paraId="4F38DE50">
            <w:pPr>
              <w:autoSpaceDE w:val="0"/>
              <w:autoSpaceDN w:val="0"/>
              <w:spacing w:line="21" w:lineRule="exact"/>
              <w:rPr>
                <w:rFonts w:hint="eastAsia" w:ascii="宋体" w:hAnsi="宋体" w:eastAsia="宋体" w:cs="宋体"/>
                <w:color w:val="auto"/>
                <w:highlight w:val="none"/>
              </w:rPr>
            </w:pPr>
          </w:p>
          <w:tbl>
            <w:tblPr>
              <w:tblStyle w:val="267"/>
              <w:tblW w:w="8710" w:type="dxa"/>
              <w:tblInd w:w="2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5"/>
              <w:gridCol w:w="3396"/>
              <w:gridCol w:w="1588"/>
              <w:gridCol w:w="1558"/>
              <w:gridCol w:w="1593"/>
            </w:tblGrid>
            <w:tr w14:paraId="65498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75" w:type="dxa"/>
                  <w:noWrap w:val="0"/>
                  <w:vAlign w:val="top"/>
                </w:tcPr>
                <w:p w14:paraId="36C3BD4C">
                  <w:pPr>
                    <w:pStyle w:val="270"/>
                    <w:autoSpaceDE w:val="0"/>
                    <w:autoSpaceDN w:val="0"/>
                    <w:spacing w:before="73" w:line="221" w:lineRule="auto"/>
                    <w:ind w:left="85"/>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序号</w:t>
                  </w:r>
                </w:p>
              </w:tc>
              <w:tc>
                <w:tcPr>
                  <w:tcW w:w="3396" w:type="dxa"/>
                  <w:noWrap w:val="0"/>
                  <w:vAlign w:val="top"/>
                </w:tcPr>
                <w:p w14:paraId="3453F121">
                  <w:pPr>
                    <w:pStyle w:val="270"/>
                    <w:autoSpaceDE w:val="0"/>
                    <w:autoSpaceDN w:val="0"/>
                    <w:spacing w:before="75" w:line="221" w:lineRule="auto"/>
                    <w:ind w:left="149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名称</w:t>
                  </w:r>
                </w:p>
              </w:tc>
              <w:tc>
                <w:tcPr>
                  <w:tcW w:w="1588" w:type="dxa"/>
                  <w:noWrap w:val="0"/>
                  <w:vAlign w:val="top"/>
                </w:tcPr>
                <w:p w14:paraId="79097056">
                  <w:pPr>
                    <w:pStyle w:val="270"/>
                    <w:autoSpaceDE w:val="0"/>
                    <w:autoSpaceDN w:val="0"/>
                    <w:spacing w:before="72" w:line="219" w:lineRule="auto"/>
                    <w:ind w:left="204"/>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rPr>
                    <w:t>申请金额</w:t>
                  </w:r>
                  <w:r>
                    <w:rPr>
                      <w:rFonts w:hint="eastAsia" w:ascii="宋体" w:hAnsi="宋体" w:eastAsia="宋体" w:cs="宋体"/>
                      <w:color w:val="auto"/>
                      <w:spacing w:val="5"/>
                      <w:sz w:val="21"/>
                      <w:szCs w:val="21"/>
                      <w:highlight w:val="none"/>
                      <w:lang w:eastAsia="zh-CN"/>
                    </w:rPr>
                    <w:t>（</w:t>
                  </w:r>
                  <w:r>
                    <w:rPr>
                      <w:rFonts w:hint="eastAsia" w:ascii="宋体" w:hAnsi="宋体" w:eastAsia="宋体" w:cs="宋体"/>
                      <w:color w:val="auto"/>
                      <w:spacing w:val="5"/>
                      <w:sz w:val="21"/>
                      <w:szCs w:val="21"/>
                      <w:highlight w:val="none"/>
                    </w:rPr>
                    <w:t>元</w:t>
                  </w:r>
                  <w:r>
                    <w:rPr>
                      <w:rFonts w:hint="eastAsia" w:ascii="宋体" w:hAnsi="宋体" w:eastAsia="宋体" w:cs="宋体"/>
                      <w:color w:val="auto"/>
                      <w:spacing w:val="5"/>
                      <w:sz w:val="21"/>
                      <w:szCs w:val="21"/>
                      <w:highlight w:val="none"/>
                      <w:lang w:eastAsia="zh-CN"/>
                    </w:rPr>
                    <w:t>）</w:t>
                  </w:r>
                </w:p>
              </w:tc>
              <w:tc>
                <w:tcPr>
                  <w:tcW w:w="1558" w:type="dxa"/>
                  <w:noWrap w:val="0"/>
                  <w:vAlign w:val="top"/>
                </w:tcPr>
                <w:p w14:paraId="49966A89">
                  <w:pPr>
                    <w:pStyle w:val="270"/>
                    <w:autoSpaceDE w:val="0"/>
                    <w:autoSpaceDN w:val="0"/>
                    <w:spacing w:before="72" w:line="219" w:lineRule="auto"/>
                    <w:ind w:left="205"/>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rPr>
                    <w:t>复核金额</w:t>
                  </w:r>
                  <w:r>
                    <w:rPr>
                      <w:rFonts w:hint="eastAsia" w:ascii="宋体" w:hAnsi="宋体" w:eastAsia="宋体" w:cs="宋体"/>
                      <w:color w:val="auto"/>
                      <w:spacing w:val="5"/>
                      <w:sz w:val="21"/>
                      <w:szCs w:val="21"/>
                      <w:highlight w:val="none"/>
                      <w:lang w:eastAsia="zh-CN"/>
                    </w:rPr>
                    <w:t>（</w:t>
                  </w:r>
                  <w:r>
                    <w:rPr>
                      <w:rFonts w:hint="eastAsia" w:ascii="宋体" w:hAnsi="宋体" w:eastAsia="宋体" w:cs="宋体"/>
                      <w:color w:val="auto"/>
                      <w:spacing w:val="5"/>
                      <w:sz w:val="21"/>
                      <w:szCs w:val="21"/>
                      <w:highlight w:val="none"/>
                    </w:rPr>
                    <w:t>元</w:t>
                  </w:r>
                  <w:r>
                    <w:rPr>
                      <w:rFonts w:hint="eastAsia" w:ascii="宋体" w:hAnsi="宋体" w:eastAsia="宋体" w:cs="宋体"/>
                      <w:color w:val="auto"/>
                      <w:spacing w:val="5"/>
                      <w:sz w:val="21"/>
                      <w:szCs w:val="21"/>
                      <w:highlight w:val="none"/>
                      <w:lang w:eastAsia="zh-CN"/>
                    </w:rPr>
                    <w:t>）</w:t>
                  </w:r>
                </w:p>
              </w:tc>
              <w:tc>
                <w:tcPr>
                  <w:tcW w:w="1593" w:type="dxa"/>
                  <w:noWrap w:val="0"/>
                  <w:vAlign w:val="top"/>
                </w:tcPr>
                <w:p w14:paraId="01293663">
                  <w:pPr>
                    <w:pStyle w:val="270"/>
                    <w:autoSpaceDE w:val="0"/>
                    <w:autoSpaceDN w:val="0"/>
                    <w:spacing w:before="73" w:line="221" w:lineRule="auto"/>
                    <w:ind w:left="628"/>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备注</w:t>
                  </w:r>
                </w:p>
              </w:tc>
            </w:tr>
            <w:tr w14:paraId="382E4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75" w:type="dxa"/>
                  <w:noWrap w:val="0"/>
                  <w:vAlign w:val="top"/>
                </w:tcPr>
                <w:p w14:paraId="21BF7B86">
                  <w:pPr>
                    <w:pStyle w:val="270"/>
                    <w:autoSpaceDE w:val="0"/>
                    <w:autoSpaceDN w:val="0"/>
                    <w:spacing w:before="117" w:line="184" w:lineRule="auto"/>
                    <w:ind w:left="22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396" w:type="dxa"/>
                  <w:noWrap w:val="0"/>
                  <w:vAlign w:val="top"/>
                </w:tcPr>
                <w:p w14:paraId="2FB529F7">
                  <w:pPr>
                    <w:pStyle w:val="270"/>
                    <w:autoSpaceDE w:val="0"/>
                    <w:autoSpaceDN w:val="0"/>
                    <w:spacing w:before="68" w:line="218" w:lineRule="auto"/>
                    <w:ind w:left="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工程竣工</w:t>
                  </w:r>
                  <w:r>
                    <w:rPr>
                      <w:rFonts w:hint="eastAsia" w:ascii="宋体" w:hAnsi="宋体" w:eastAsia="宋体" w:cs="宋体"/>
                      <w:color w:val="auto"/>
                      <w:spacing w:val="-1"/>
                      <w:sz w:val="21"/>
                      <w:szCs w:val="21"/>
                      <w:highlight w:val="none"/>
                      <w:lang w:eastAsia="zh-CN"/>
                    </w:rPr>
                    <w:t>（施工过程）</w:t>
                  </w:r>
                  <w:r>
                    <w:rPr>
                      <w:rFonts w:hint="eastAsia" w:ascii="宋体" w:hAnsi="宋体" w:eastAsia="宋体" w:cs="宋体"/>
                      <w:color w:val="auto"/>
                      <w:spacing w:val="-1"/>
                      <w:sz w:val="21"/>
                      <w:szCs w:val="21"/>
                      <w:highlight w:val="none"/>
                    </w:rPr>
                    <w:t>结算价款总额</w:t>
                  </w:r>
                </w:p>
              </w:tc>
              <w:tc>
                <w:tcPr>
                  <w:tcW w:w="1588" w:type="dxa"/>
                  <w:noWrap w:val="0"/>
                  <w:vAlign w:val="top"/>
                </w:tcPr>
                <w:p w14:paraId="0CE52799">
                  <w:pPr>
                    <w:autoSpaceDE w:val="0"/>
                    <w:autoSpaceDN w:val="0"/>
                    <w:rPr>
                      <w:rFonts w:hint="eastAsia" w:ascii="宋体" w:hAnsi="宋体" w:eastAsia="宋体" w:cs="宋体"/>
                      <w:color w:val="auto"/>
                      <w:sz w:val="21"/>
                      <w:highlight w:val="none"/>
                    </w:rPr>
                  </w:pPr>
                </w:p>
              </w:tc>
              <w:tc>
                <w:tcPr>
                  <w:tcW w:w="1558" w:type="dxa"/>
                  <w:noWrap w:val="0"/>
                  <w:vAlign w:val="top"/>
                </w:tcPr>
                <w:p w14:paraId="129201EF">
                  <w:pPr>
                    <w:autoSpaceDE w:val="0"/>
                    <w:autoSpaceDN w:val="0"/>
                    <w:rPr>
                      <w:rFonts w:hint="eastAsia" w:ascii="宋体" w:hAnsi="宋体" w:eastAsia="宋体" w:cs="宋体"/>
                      <w:color w:val="auto"/>
                      <w:sz w:val="21"/>
                      <w:highlight w:val="none"/>
                    </w:rPr>
                  </w:pPr>
                </w:p>
              </w:tc>
              <w:tc>
                <w:tcPr>
                  <w:tcW w:w="1593" w:type="dxa"/>
                  <w:noWrap w:val="0"/>
                  <w:vAlign w:val="top"/>
                </w:tcPr>
                <w:p w14:paraId="13320C3E">
                  <w:pPr>
                    <w:autoSpaceDE w:val="0"/>
                    <w:autoSpaceDN w:val="0"/>
                    <w:rPr>
                      <w:rFonts w:hint="eastAsia" w:ascii="宋体" w:hAnsi="宋体" w:eastAsia="宋体" w:cs="宋体"/>
                      <w:color w:val="auto"/>
                      <w:sz w:val="21"/>
                      <w:highlight w:val="none"/>
                    </w:rPr>
                  </w:pPr>
                </w:p>
              </w:tc>
            </w:tr>
            <w:tr w14:paraId="48279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575" w:type="dxa"/>
                  <w:noWrap w:val="0"/>
                  <w:vAlign w:val="top"/>
                </w:tcPr>
                <w:p w14:paraId="17698E4C">
                  <w:pPr>
                    <w:pStyle w:val="270"/>
                    <w:autoSpaceDE w:val="0"/>
                    <w:autoSpaceDN w:val="0"/>
                    <w:spacing w:before="130" w:line="183" w:lineRule="auto"/>
                    <w:ind w:left="22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396" w:type="dxa"/>
                  <w:noWrap w:val="0"/>
                  <w:vAlign w:val="top"/>
                </w:tcPr>
                <w:p w14:paraId="4AF07324">
                  <w:pPr>
                    <w:pStyle w:val="270"/>
                    <w:autoSpaceDE w:val="0"/>
                    <w:autoSpaceDN w:val="0"/>
                    <w:spacing w:before="80" w:line="218" w:lineRule="auto"/>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累计已实际支付的价款</w:t>
                  </w:r>
                </w:p>
              </w:tc>
              <w:tc>
                <w:tcPr>
                  <w:tcW w:w="1588" w:type="dxa"/>
                  <w:noWrap w:val="0"/>
                  <w:vAlign w:val="top"/>
                </w:tcPr>
                <w:p w14:paraId="0E6946B9">
                  <w:pPr>
                    <w:autoSpaceDE w:val="0"/>
                    <w:autoSpaceDN w:val="0"/>
                    <w:rPr>
                      <w:rFonts w:hint="eastAsia" w:ascii="宋体" w:hAnsi="宋体" w:eastAsia="宋体" w:cs="宋体"/>
                      <w:color w:val="auto"/>
                      <w:sz w:val="21"/>
                      <w:highlight w:val="none"/>
                    </w:rPr>
                  </w:pPr>
                </w:p>
              </w:tc>
              <w:tc>
                <w:tcPr>
                  <w:tcW w:w="1558" w:type="dxa"/>
                  <w:noWrap w:val="0"/>
                  <w:vAlign w:val="top"/>
                </w:tcPr>
                <w:p w14:paraId="7679348E">
                  <w:pPr>
                    <w:autoSpaceDE w:val="0"/>
                    <w:autoSpaceDN w:val="0"/>
                    <w:rPr>
                      <w:rFonts w:hint="eastAsia" w:ascii="宋体" w:hAnsi="宋体" w:eastAsia="宋体" w:cs="宋体"/>
                      <w:color w:val="auto"/>
                      <w:sz w:val="21"/>
                      <w:highlight w:val="none"/>
                    </w:rPr>
                  </w:pPr>
                </w:p>
              </w:tc>
              <w:tc>
                <w:tcPr>
                  <w:tcW w:w="1593" w:type="dxa"/>
                  <w:noWrap w:val="0"/>
                  <w:vAlign w:val="top"/>
                </w:tcPr>
                <w:p w14:paraId="3FB5A87E">
                  <w:pPr>
                    <w:autoSpaceDE w:val="0"/>
                    <w:autoSpaceDN w:val="0"/>
                    <w:rPr>
                      <w:rFonts w:hint="eastAsia" w:ascii="宋体" w:hAnsi="宋体" w:eastAsia="宋体" w:cs="宋体"/>
                      <w:color w:val="auto"/>
                      <w:sz w:val="21"/>
                      <w:highlight w:val="none"/>
                    </w:rPr>
                  </w:pPr>
                </w:p>
              </w:tc>
            </w:tr>
            <w:tr w14:paraId="2434B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575" w:type="dxa"/>
                  <w:noWrap w:val="0"/>
                  <w:vAlign w:val="top"/>
                </w:tcPr>
                <w:p w14:paraId="6EBCE042">
                  <w:pPr>
                    <w:pStyle w:val="270"/>
                    <w:autoSpaceDE w:val="0"/>
                    <w:autoSpaceDN w:val="0"/>
                    <w:spacing w:before="123" w:line="183" w:lineRule="auto"/>
                    <w:ind w:left="22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3396" w:type="dxa"/>
                  <w:noWrap w:val="0"/>
                  <w:vAlign w:val="top"/>
                </w:tcPr>
                <w:p w14:paraId="7E304608">
                  <w:pPr>
                    <w:pStyle w:val="270"/>
                    <w:autoSpaceDE w:val="0"/>
                    <w:autoSpaceDN w:val="0"/>
                    <w:spacing w:before="75" w:line="220" w:lineRule="auto"/>
                    <w:ind w:left="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应预留的质量保证金</w:t>
                  </w:r>
                </w:p>
              </w:tc>
              <w:tc>
                <w:tcPr>
                  <w:tcW w:w="1588" w:type="dxa"/>
                  <w:noWrap w:val="0"/>
                  <w:vAlign w:val="top"/>
                </w:tcPr>
                <w:p w14:paraId="4CBDD332">
                  <w:pPr>
                    <w:autoSpaceDE w:val="0"/>
                    <w:autoSpaceDN w:val="0"/>
                    <w:rPr>
                      <w:rFonts w:hint="eastAsia" w:ascii="宋体" w:hAnsi="宋体" w:eastAsia="宋体" w:cs="宋体"/>
                      <w:color w:val="auto"/>
                      <w:sz w:val="21"/>
                      <w:highlight w:val="none"/>
                    </w:rPr>
                  </w:pPr>
                </w:p>
              </w:tc>
              <w:tc>
                <w:tcPr>
                  <w:tcW w:w="1558" w:type="dxa"/>
                  <w:noWrap w:val="0"/>
                  <w:vAlign w:val="top"/>
                </w:tcPr>
                <w:p w14:paraId="77C5E9A4">
                  <w:pPr>
                    <w:autoSpaceDE w:val="0"/>
                    <w:autoSpaceDN w:val="0"/>
                    <w:rPr>
                      <w:rFonts w:hint="eastAsia" w:ascii="宋体" w:hAnsi="宋体" w:eastAsia="宋体" w:cs="宋体"/>
                      <w:color w:val="auto"/>
                      <w:sz w:val="21"/>
                      <w:highlight w:val="none"/>
                    </w:rPr>
                  </w:pPr>
                </w:p>
              </w:tc>
              <w:tc>
                <w:tcPr>
                  <w:tcW w:w="1593" w:type="dxa"/>
                  <w:noWrap w:val="0"/>
                  <w:vAlign w:val="top"/>
                </w:tcPr>
                <w:p w14:paraId="525DF17B">
                  <w:pPr>
                    <w:autoSpaceDE w:val="0"/>
                    <w:autoSpaceDN w:val="0"/>
                    <w:rPr>
                      <w:rFonts w:hint="eastAsia" w:ascii="宋体" w:hAnsi="宋体" w:eastAsia="宋体" w:cs="宋体"/>
                      <w:color w:val="auto"/>
                      <w:sz w:val="21"/>
                      <w:highlight w:val="none"/>
                    </w:rPr>
                  </w:pPr>
                </w:p>
              </w:tc>
            </w:tr>
            <w:tr w14:paraId="32EE2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75" w:type="dxa"/>
                  <w:noWrap w:val="0"/>
                  <w:vAlign w:val="top"/>
                </w:tcPr>
                <w:p w14:paraId="4393528F">
                  <w:pPr>
                    <w:pStyle w:val="270"/>
                    <w:autoSpaceDE w:val="0"/>
                    <w:autoSpaceDN w:val="0"/>
                    <w:spacing w:before="125" w:line="182" w:lineRule="auto"/>
                    <w:ind w:left="22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3396" w:type="dxa"/>
                  <w:noWrap w:val="0"/>
                  <w:vAlign w:val="top"/>
                </w:tcPr>
                <w:p w14:paraId="713BA962">
                  <w:pPr>
                    <w:pStyle w:val="270"/>
                    <w:autoSpaceDE w:val="0"/>
                    <w:autoSpaceDN w:val="0"/>
                    <w:spacing w:before="76" w:line="219" w:lineRule="auto"/>
                    <w:ind w:left="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实际应支付的竣工</w:t>
                  </w:r>
                  <w:r>
                    <w:rPr>
                      <w:rFonts w:hint="eastAsia" w:ascii="宋体" w:hAnsi="宋体" w:eastAsia="宋体" w:cs="宋体"/>
                      <w:color w:val="auto"/>
                      <w:spacing w:val="-1"/>
                      <w:sz w:val="21"/>
                      <w:szCs w:val="21"/>
                      <w:highlight w:val="none"/>
                      <w:lang w:eastAsia="zh-CN"/>
                    </w:rPr>
                    <w:t>（施工过程）</w:t>
                  </w:r>
                  <w:r>
                    <w:rPr>
                      <w:rFonts w:hint="eastAsia" w:ascii="宋体" w:hAnsi="宋体" w:eastAsia="宋体" w:cs="宋体"/>
                      <w:color w:val="auto"/>
                      <w:spacing w:val="-1"/>
                      <w:sz w:val="21"/>
                      <w:szCs w:val="21"/>
                      <w:highlight w:val="none"/>
                    </w:rPr>
                    <w:t>结算款金额</w:t>
                  </w:r>
                </w:p>
              </w:tc>
              <w:tc>
                <w:tcPr>
                  <w:tcW w:w="1588" w:type="dxa"/>
                  <w:noWrap w:val="0"/>
                  <w:vAlign w:val="top"/>
                </w:tcPr>
                <w:p w14:paraId="46FADDAA">
                  <w:pPr>
                    <w:autoSpaceDE w:val="0"/>
                    <w:autoSpaceDN w:val="0"/>
                    <w:rPr>
                      <w:rFonts w:hint="eastAsia" w:ascii="宋体" w:hAnsi="宋体" w:eastAsia="宋体" w:cs="宋体"/>
                      <w:color w:val="auto"/>
                      <w:sz w:val="21"/>
                      <w:highlight w:val="none"/>
                    </w:rPr>
                  </w:pPr>
                </w:p>
              </w:tc>
              <w:tc>
                <w:tcPr>
                  <w:tcW w:w="1558" w:type="dxa"/>
                  <w:noWrap w:val="0"/>
                  <w:vAlign w:val="top"/>
                </w:tcPr>
                <w:p w14:paraId="56BAF86F">
                  <w:pPr>
                    <w:autoSpaceDE w:val="0"/>
                    <w:autoSpaceDN w:val="0"/>
                    <w:rPr>
                      <w:rFonts w:hint="eastAsia" w:ascii="宋体" w:hAnsi="宋体" w:eastAsia="宋体" w:cs="宋体"/>
                      <w:color w:val="auto"/>
                      <w:sz w:val="21"/>
                      <w:highlight w:val="none"/>
                    </w:rPr>
                  </w:pPr>
                </w:p>
              </w:tc>
              <w:tc>
                <w:tcPr>
                  <w:tcW w:w="1593" w:type="dxa"/>
                  <w:noWrap w:val="0"/>
                  <w:vAlign w:val="top"/>
                </w:tcPr>
                <w:p w14:paraId="2E83AC6A">
                  <w:pPr>
                    <w:autoSpaceDE w:val="0"/>
                    <w:autoSpaceDN w:val="0"/>
                    <w:rPr>
                      <w:rFonts w:hint="eastAsia" w:ascii="宋体" w:hAnsi="宋体" w:eastAsia="宋体" w:cs="宋体"/>
                      <w:color w:val="auto"/>
                      <w:sz w:val="21"/>
                      <w:highlight w:val="none"/>
                    </w:rPr>
                  </w:pPr>
                </w:p>
              </w:tc>
            </w:tr>
          </w:tbl>
          <w:p w14:paraId="27EE82FD">
            <w:pPr>
              <w:autoSpaceDE w:val="0"/>
              <w:autoSpaceDN w:val="0"/>
              <w:spacing w:line="330" w:lineRule="auto"/>
              <w:rPr>
                <w:rFonts w:hint="eastAsia" w:ascii="宋体" w:hAnsi="宋体" w:eastAsia="宋体" w:cs="宋体"/>
                <w:color w:val="auto"/>
                <w:sz w:val="21"/>
                <w:highlight w:val="none"/>
              </w:rPr>
            </w:pPr>
          </w:p>
          <w:p w14:paraId="788AE267">
            <w:pPr>
              <w:autoSpaceDE w:val="0"/>
              <w:autoSpaceDN w:val="0"/>
              <w:spacing w:line="330" w:lineRule="auto"/>
              <w:rPr>
                <w:rFonts w:hint="eastAsia" w:ascii="宋体" w:hAnsi="宋体" w:eastAsia="宋体" w:cs="宋体"/>
                <w:color w:val="auto"/>
                <w:sz w:val="21"/>
                <w:highlight w:val="none"/>
              </w:rPr>
            </w:pPr>
          </w:p>
          <w:p w14:paraId="42B4AFC4">
            <w:pPr>
              <w:pStyle w:val="270"/>
              <w:autoSpaceDE w:val="0"/>
              <w:autoSpaceDN w:val="0"/>
              <w:spacing w:before="68" w:line="219" w:lineRule="auto"/>
              <w:ind w:left="6824"/>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rPr>
              <w:t>承包人</w:t>
            </w:r>
            <w:r>
              <w:rPr>
                <w:rFonts w:hint="eastAsia" w:ascii="宋体" w:hAnsi="宋体" w:eastAsia="宋体" w:cs="宋体"/>
                <w:color w:val="auto"/>
                <w:spacing w:val="7"/>
                <w:sz w:val="21"/>
                <w:szCs w:val="21"/>
                <w:highlight w:val="none"/>
                <w:lang w:eastAsia="zh-CN"/>
              </w:rPr>
              <w:t>（</w:t>
            </w:r>
            <w:r>
              <w:rPr>
                <w:rFonts w:hint="eastAsia" w:ascii="宋体" w:hAnsi="宋体" w:eastAsia="宋体" w:cs="宋体"/>
                <w:color w:val="auto"/>
                <w:spacing w:val="7"/>
                <w:sz w:val="21"/>
                <w:szCs w:val="21"/>
                <w:highlight w:val="none"/>
              </w:rPr>
              <w:t>章</w:t>
            </w:r>
            <w:r>
              <w:rPr>
                <w:rFonts w:hint="eastAsia" w:ascii="宋体" w:hAnsi="宋体" w:eastAsia="宋体" w:cs="宋体"/>
                <w:color w:val="auto"/>
                <w:spacing w:val="7"/>
                <w:sz w:val="21"/>
                <w:szCs w:val="21"/>
                <w:highlight w:val="none"/>
                <w:lang w:eastAsia="zh-CN"/>
              </w:rPr>
              <w:t>）</w:t>
            </w:r>
          </w:p>
          <w:p w14:paraId="5ECE6FEC">
            <w:pPr>
              <w:pStyle w:val="270"/>
              <w:autoSpaceDE w:val="0"/>
              <w:autoSpaceDN w:val="0"/>
              <w:spacing w:before="142" w:line="226" w:lineRule="auto"/>
              <w:ind w:left="104"/>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u w:val="none"/>
              </w:rPr>
              <w:t>编制人员</w:t>
            </w:r>
            <w:r>
              <w:rPr>
                <w:rFonts w:hint="eastAsia" w:ascii="宋体" w:hAnsi="宋体" w:eastAsia="宋体" w:cs="宋体"/>
                <w:color w:val="auto"/>
                <w:spacing w:val="3"/>
                <w:sz w:val="21"/>
                <w:szCs w:val="21"/>
                <w:highlight w:val="none"/>
                <w:u w:val="none"/>
              </w:rPr>
              <w:t xml:space="preserve">                 </w:t>
            </w:r>
            <w:r>
              <w:rPr>
                <w:rFonts w:hint="eastAsia" w:ascii="宋体" w:hAnsi="宋体" w:eastAsia="宋体" w:cs="宋体"/>
                <w:color w:val="auto"/>
                <w:spacing w:val="-3"/>
                <w:sz w:val="21"/>
                <w:szCs w:val="21"/>
                <w:highlight w:val="none"/>
                <w:u w:val="none"/>
              </w:rPr>
              <w:t>承包人代表</w:t>
            </w:r>
            <w:r>
              <w:rPr>
                <w:rFonts w:hint="eastAsia" w:ascii="宋体" w:hAnsi="宋体" w:eastAsia="宋体" w:cs="宋体"/>
                <w:color w:val="auto"/>
                <w:spacing w:val="3"/>
                <w:sz w:val="21"/>
                <w:szCs w:val="21"/>
                <w:highlight w:val="none"/>
                <w:u w:val="none"/>
              </w:rPr>
              <w:t xml:space="preserve">                      </w:t>
            </w:r>
            <w:r>
              <w:rPr>
                <w:rFonts w:hint="eastAsia" w:ascii="宋体" w:hAnsi="宋体" w:eastAsia="宋体" w:cs="宋体"/>
                <w:color w:val="auto"/>
                <w:spacing w:val="-3"/>
                <w:position w:val="1"/>
                <w:sz w:val="21"/>
                <w:szCs w:val="21"/>
                <w:highlight w:val="none"/>
                <w:u w:val="none"/>
              </w:rPr>
              <w:t>日</w:t>
            </w:r>
            <w:r>
              <w:rPr>
                <w:rFonts w:hint="eastAsia" w:ascii="宋体" w:hAnsi="宋体" w:eastAsia="宋体" w:cs="宋体"/>
                <w:color w:val="auto"/>
                <w:spacing w:val="-31"/>
                <w:position w:val="1"/>
                <w:sz w:val="21"/>
                <w:szCs w:val="21"/>
                <w:highlight w:val="none"/>
                <w:u w:val="none"/>
              </w:rPr>
              <w:t xml:space="preserve"> </w:t>
            </w:r>
            <w:r>
              <w:rPr>
                <w:rFonts w:hint="eastAsia" w:ascii="宋体" w:hAnsi="宋体" w:eastAsia="宋体" w:cs="宋体"/>
                <w:color w:val="auto"/>
                <w:spacing w:val="-3"/>
                <w:position w:val="1"/>
                <w:sz w:val="21"/>
                <w:szCs w:val="21"/>
                <w:highlight w:val="none"/>
                <w:u w:val="none"/>
              </w:rPr>
              <w:t>期</w:t>
            </w:r>
          </w:p>
        </w:tc>
      </w:tr>
      <w:tr w14:paraId="0E637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9" w:hRule="atLeast"/>
          <w:jc w:val="center"/>
        </w:trPr>
        <w:tc>
          <w:tcPr>
            <w:tcW w:w="4949" w:type="dxa"/>
            <w:noWrap w:val="0"/>
            <w:vAlign w:val="top"/>
          </w:tcPr>
          <w:p w14:paraId="6B527A6D">
            <w:pPr>
              <w:autoSpaceDE w:val="0"/>
              <w:autoSpaceDN w:val="0"/>
              <w:spacing w:line="251" w:lineRule="auto"/>
              <w:jc w:val="lef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复核意见：</w:t>
            </w:r>
          </w:p>
          <w:p w14:paraId="79D7CA55">
            <w:pPr>
              <w:autoSpaceDE w:val="0"/>
              <w:autoSpaceDN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32"/>
                <w:szCs w:val="32"/>
                <w:highlight w:val="none"/>
              </w:rPr>
              <w:t>□</w:t>
            </w:r>
            <w:r>
              <w:rPr>
                <w:rFonts w:hint="eastAsia" w:ascii="宋体" w:hAnsi="宋体" w:eastAsia="宋体" w:cs="宋体"/>
                <w:color w:val="auto"/>
                <w:sz w:val="21"/>
                <w:szCs w:val="21"/>
                <w:highlight w:val="none"/>
              </w:rPr>
              <w:t>与实际施工情况不相符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修改意见见附件</w:t>
            </w:r>
          </w:p>
          <w:p w14:paraId="7AC46E55">
            <w:pPr>
              <w:autoSpaceDE w:val="0"/>
              <w:autoSpaceDN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32"/>
                <w:szCs w:val="32"/>
                <w:highlight w:val="none"/>
              </w:rPr>
              <w:t>□</w:t>
            </w:r>
            <w:r>
              <w:rPr>
                <w:rFonts w:hint="eastAsia" w:ascii="宋体" w:hAnsi="宋体" w:eastAsia="宋体" w:cs="宋体"/>
                <w:color w:val="auto"/>
                <w:spacing w:val="-8"/>
                <w:sz w:val="21"/>
                <w:szCs w:val="21"/>
                <w:highlight w:val="none"/>
              </w:rPr>
              <w:t>与实际施工情况相符</w:t>
            </w:r>
            <w:r>
              <w:rPr>
                <w:rFonts w:hint="eastAsia" w:ascii="宋体" w:hAnsi="宋体" w:eastAsia="宋体" w:cs="宋体"/>
                <w:color w:val="auto"/>
                <w:spacing w:val="-8"/>
                <w:sz w:val="21"/>
                <w:szCs w:val="21"/>
                <w:highlight w:val="none"/>
                <w:lang w:eastAsia="zh-CN"/>
              </w:rPr>
              <w:t>，</w:t>
            </w:r>
            <w:r>
              <w:rPr>
                <w:rFonts w:hint="eastAsia" w:ascii="宋体" w:hAnsi="宋体" w:eastAsia="宋体" w:cs="宋体"/>
                <w:color w:val="auto"/>
                <w:spacing w:val="-8"/>
                <w:sz w:val="21"/>
                <w:szCs w:val="21"/>
                <w:highlight w:val="none"/>
              </w:rPr>
              <w:t>具体金额应由造价工程师复核</w:t>
            </w:r>
          </w:p>
          <w:p w14:paraId="647A2FCE">
            <w:pPr>
              <w:autoSpaceDE w:val="0"/>
              <w:autoSpaceDN w:val="0"/>
              <w:spacing w:line="251" w:lineRule="auto"/>
              <w:jc w:val="left"/>
              <w:rPr>
                <w:rFonts w:hint="eastAsia" w:ascii="宋体" w:hAnsi="宋体" w:eastAsia="宋体" w:cs="宋体"/>
                <w:color w:val="auto"/>
                <w:sz w:val="21"/>
                <w:highlight w:val="none"/>
              </w:rPr>
            </w:pPr>
          </w:p>
          <w:p w14:paraId="1B8471CF">
            <w:pPr>
              <w:autoSpaceDE w:val="0"/>
              <w:autoSpaceDN w:val="0"/>
              <w:spacing w:line="251" w:lineRule="auto"/>
              <w:jc w:val="left"/>
              <w:rPr>
                <w:rFonts w:hint="eastAsia" w:ascii="宋体" w:hAnsi="宋体" w:eastAsia="宋体" w:cs="宋体"/>
                <w:color w:val="auto"/>
                <w:sz w:val="21"/>
                <w:highlight w:val="none"/>
              </w:rPr>
            </w:pPr>
          </w:p>
          <w:p w14:paraId="259E701C">
            <w:pPr>
              <w:autoSpaceDE w:val="0"/>
              <w:autoSpaceDN w:val="0"/>
              <w:spacing w:line="251" w:lineRule="auto"/>
              <w:jc w:val="left"/>
              <w:rPr>
                <w:rFonts w:hint="eastAsia" w:ascii="宋体" w:hAnsi="宋体" w:eastAsia="宋体" w:cs="宋体"/>
                <w:color w:val="auto"/>
                <w:sz w:val="21"/>
                <w:highlight w:val="none"/>
              </w:rPr>
            </w:pPr>
          </w:p>
          <w:p w14:paraId="2E843879">
            <w:pPr>
              <w:autoSpaceDE w:val="0"/>
              <w:autoSpaceDN w:val="0"/>
              <w:spacing w:line="251" w:lineRule="auto"/>
              <w:jc w:val="left"/>
              <w:rPr>
                <w:rFonts w:hint="eastAsia" w:ascii="宋体" w:hAnsi="宋体" w:eastAsia="宋体" w:cs="宋体"/>
                <w:color w:val="auto"/>
                <w:sz w:val="21"/>
                <w:highlight w:val="none"/>
              </w:rPr>
            </w:pPr>
          </w:p>
          <w:p w14:paraId="27075D0C">
            <w:pPr>
              <w:autoSpaceDE w:val="0"/>
              <w:autoSpaceDN w:val="0"/>
              <w:spacing w:line="251" w:lineRule="auto"/>
              <w:ind w:firstLine="0"/>
              <w:jc w:val="left"/>
              <w:rPr>
                <w:rFonts w:hint="eastAsia" w:ascii="宋体" w:hAnsi="宋体" w:eastAsia="宋体" w:cs="宋体"/>
                <w:color w:val="auto"/>
                <w:highlight w:val="none"/>
              </w:rPr>
            </w:pPr>
          </w:p>
          <w:p w14:paraId="05956ACB">
            <w:pPr>
              <w:autoSpaceDE w:val="0"/>
              <w:autoSpaceDN w:val="0"/>
              <w:spacing w:line="251" w:lineRule="auto"/>
              <w:ind w:firstLine="2310" w:firstLineChars="1100"/>
              <w:jc w:val="left"/>
              <w:rPr>
                <w:rFonts w:hint="eastAsia" w:ascii="宋体" w:hAnsi="宋体" w:eastAsia="宋体" w:cs="宋体"/>
                <w:color w:val="auto"/>
                <w:highlight w:val="none"/>
                <w:u w:val="single"/>
              </w:rPr>
            </w:pPr>
            <w:r>
              <w:rPr>
                <w:rFonts w:hint="eastAsia" w:ascii="宋体" w:hAnsi="宋体" w:eastAsia="宋体" w:cs="宋体"/>
                <w:color w:val="auto"/>
                <w:highlight w:val="none"/>
                <w:lang w:eastAsia="zh-CN"/>
              </w:rPr>
              <w:t>监理</w:t>
            </w:r>
            <w:r>
              <w:rPr>
                <w:rFonts w:hint="eastAsia" w:ascii="宋体" w:hAnsi="宋体" w:eastAsia="宋体" w:cs="宋体"/>
                <w:color w:val="auto"/>
                <w:highlight w:val="none"/>
              </w:rPr>
              <w:t>工程师</w:t>
            </w:r>
            <w:r>
              <w:rPr>
                <w:rFonts w:hint="eastAsia" w:ascii="宋体" w:hAnsi="宋体" w:eastAsia="宋体" w:cs="宋体"/>
                <w:color w:val="auto"/>
                <w:highlight w:val="none"/>
                <w:u w:val="single"/>
              </w:rPr>
              <w:t xml:space="preserve">           </w:t>
            </w:r>
          </w:p>
          <w:p w14:paraId="4D6C6850">
            <w:pPr>
              <w:autoSpaceDE w:val="0"/>
              <w:autoSpaceDN w:val="0"/>
              <w:spacing w:line="251" w:lineRule="auto"/>
              <w:jc w:val="left"/>
              <w:rPr>
                <w:rFonts w:hint="eastAsia" w:ascii="宋体" w:hAnsi="宋体" w:eastAsia="宋体" w:cs="宋体"/>
                <w:color w:val="auto"/>
                <w:sz w:val="21"/>
                <w:szCs w:val="21"/>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日</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  期</w:t>
            </w:r>
            <w:r>
              <w:rPr>
                <w:rFonts w:hint="eastAsia" w:ascii="宋体" w:hAnsi="宋体" w:eastAsia="宋体" w:cs="宋体"/>
                <w:color w:val="auto"/>
                <w:highlight w:val="none"/>
                <w:u w:val="single"/>
              </w:rPr>
              <w:t xml:space="preserve">           </w:t>
            </w:r>
          </w:p>
        </w:tc>
        <w:tc>
          <w:tcPr>
            <w:tcW w:w="4280" w:type="dxa"/>
            <w:noWrap w:val="0"/>
            <w:vAlign w:val="top"/>
          </w:tcPr>
          <w:p w14:paraId="22BBF40F">
            <w:pPr>
              <w:pStyle w:val="270"/>
              <w:autoSpaceDE w:val="0"/>
              <w:autoSpaceDN w:val="0"/>
              <w:spacing w:before="68" w:line="219" w:lineRule="auto"/>
              <w:ind w:left="115"/>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复核意见：</w:t>
            </w:r>
          </w:p>
          <w:p w14:paraId="67029F1C">
            <w:pPr>
              <w:pStyle w:val="270"/>
              <w:autoSpaceDE w:val="0"/>
              <w:autoSpaceDN w:val="0"/>
              <w:spacing w:before="60" w:line="233" w:lineRule="auto"/>
              <w:ind w:left="115" w:firstLine="41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你方提出的竣工（施工过程）结算款支付申请经复核</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1"/>
                <w:sz w:val="21"/>
                <w:szCs w:val="21"/>
                <w:highlight w:val="none"/>
              </w:rPr>
              <w:t>竣工（施工过程）结算款总额为</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大写</w:t>
            </w:r>
            <w:r>
              <w:rPr>
                <w:rFonts w:hint="eastAsia" w:ascii="宋体" w:hAnsi="宋体" w:eastAsia="宋体" w:cs="宋体"/>
                <w:color w:val="auto"/>
                <w:spacing w:val="1"/>
                <w:sz w:val="21"/>
                <w:szCs w:val="21"/>
                <w:highlight w:val="none"/>
                <w:u w:val="single" w:color="auto"/>
                <w:lang w:eastAsia="zh-CN"/>
              </w:rPr>
              <w:t>）</w:t>
            </w:r>
            <w:r>
              <w:rPr>
                <w:rFonts w:hint="eastAsia" w:ascii="宋体" w:hAnsi="宋体" w:eastAsia="宋体" w:cs="宋体"/>
                <w:color w:val="auto"/>
                <w:spacing w:val="28"/>
                <w:sz w:val="21"/>
                <w:szCs w:val="21"/>
                <w:highlight w:val="none"/>
                <w:u w:val="single" w:color="auto"/>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小写</w:t>
            </w:r>
            <w:r>
              <w:rPr>
                <w:rFonts w:hint="eastAsia" w:ascii="宋体" w:hAnsi="宋体" w:eastAsia="宋体" w:cs="宋体"/>
                <w:color w:val="auto"/>
                <w:spacing w:val="11"/>
                <w:sz w:val="21"/>
                <w:szCs w:val="21"/>
                <w:highlight w:val="none"/>
                <w:u w:val="single" w:color="auto"/>
              </w:rPr>
              <w:t xml:space="preserve">        </w:t>
            </w:r>
            <w:r>
              <w:rPr>
                <w:rFonts w:hint="eastAsia" w:ascii="宋体" w:hAnsi="宋体" w:eastAsia="宋体" w:cs="宋体"/>
                <w:color w:val="auto"/>
                <w:spacing w:val="-98"/>
                <w:sz w:val="21"/>
                <w:szCs w:val="21"/>
                <w:highlight w:val="none"/>
              </w:rPr>
              <w:t xml:space="preserve"> </w:t>
            </w:r>
            <w:r>
              <w:rPr>
                <w:rFonts w:hint="eastAsia" w:ascii="宋体" w:hAnsi="宋体" w:eastAsia="宋体" w:cs="宋体"/>
                <w:color w:val="auto"/>
                <w:sz w:val="21"/>
                <w:szCs w:val="21"/>
                <w:highlight w:val="none"/>
                <w:lang w:eastAsia="zh-CN"/>
              </w:rPr>
              <w:t>），</w:t>
            </w:r>
          </w:p>
          <w:p w14:paraId="630462B9">
            <w:pPr>
              <w:pStyle w:val="270"/>
              <w:autoSpaceDE w:val="0"/>
              <w:autoSpaceDN w:val="0"/>
              <w:spacing w:before="67" w:line="216" w:lineRule="auto"/>
              <w:ind w:left="115"/>
              <w:rPr>
                <w:rFonts w:hint="eastAsia" w:ascii="宋体" w:hAnsi="宋体" w:eastAsia="宋体" w:cs="宋体"/>
                <w:color w:val="auto"/>
                <w:sz w:val="21"/>
                <w:highlight w:val="none"/>
              </w:rPr>
            </w:pPr>
            <w:r>
              <w:rPr>
                <w:rFonts w:hint="eastAsia" w:ascii="宋体" w:hAnsi="宋体" w:eastAsia="宋体" w:cs="宋体"/>
                <w:color w:val="auto"/>
                <w:sz w:val="21"/>
                <w:szCs w:val="21"/>
                <w:highlight w:val="none"/>
              </w:rPr>
              <w:t>扣除前期支付以及质量</w:t>
            </w:r>
            <w:r>
              <w:rPr>
                <w:rFonts w:hint="eastAsia" w:ascii="宋体" w:hAnsi="宋体" w:eastAsia="宋体" w:cs="宋体"/>
                <w:color w:val="auto"/>
                <w:spacing w:val="2"/>
                <w:sz w:val="21"/>
                <w:szCs w:val="21"/>
                <w:highlight w:val="none"/>
              </w:rPr>
              <w:t>保证金后应支付金额为</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大写</w:t>
            </w:r>
            <w:r>
              <w:rPr>
                <w:rFonts w:hint="eastAsia" w:ascii="宋体" w:hAnsi="宋体" w:eastAsia="宋体" w:cs="宋体"/>
                <w:color w:val="auto"/>
                <w:spacing w:val="7"/>
                <w:sz w:val="21"/>
                <w:szCs w:val="21"/>
                <w:highlight w:val="none"/>
                <w:lang w:eastAsia="zh-CN"/>
              </w:rPr>
              <w:t>）</w:t>
            </w:r>
            <w:r>
              <w:rPr>
                <w:rFonts w:hint="eastAsia" w:ascii="宋体" w:hAnsi="宋体" w:eastAsia="宋体" w:cs="宋体"/>
                <w:color w:val="auto"/>
                <w:spacing w:val="2"/>
                <w:sz w:val="21"/>
                <w:szCs w:val="21"/>
                <w:highlight w:val="none"/>
                <w:u w:val="single"/>
                <w:lang w:val="en-US" w:eastAsia="zh-CN"/>
              </w:rPr>
              <w:t xml:space="preserve">       </w:t>
            </w:r>
            <w:r>
              <w:rPr>
                <w:rFonts w:hint="eastAsia" w:ascii="宋体" w:hAnsi="宋体" w:eastAsia="宋体" w:cs="宋体"/>
                <w:color w:val="auto"/>
                <w:spacing w:val="-39"/>
                <w:sz w:val="21"/>
                <w:szCs w:val="21"/>
                <w:highlight w:val="none"/>
                <w:u w:val="single" w:color="auto"/>
              </w:rPr>
              <w:t xml:space="preserve"> </w:t>
            </w:r>
            <w:r>
              <w:rPr>
                <w:rFonts w:hint="eastAsia" w:ascii="宋体" w:hAnsi="宋体" w:eastAsia="宋体" w:cs="宋体"/>
                <w:color w:val="auto"/>
                <w:spacing w:val="-100"/>
                <w:sz w:val="21"/>
                <w:szCs w:val="21"/>
                <w:highlight w:val="none"/>
              </w:rPr>
              <w:t xml:space="preserve"> </w:t>
            </w:r>
            <w:r>
              <w:rPr>
                <w:rFonts w:hint="eastAsia"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18"/>
                <w:sz w:val="21"/>
                <w:szCs w:val="21"/>
                <w:highlight w:val="none"/>
                <w:lang w:eastAsia="zh-CN"/>
              </w:rPr>
              <w:t>（</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18"/>
                <w:sz w:val="21"/>
                <w:szCs w:val="21"/>
                <w:highlight w:val="none"/>
              </w:rPr>
              <w:t>小</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8"/>
                <w:sz w:val="21"/>
                <w:szCs w:val="21"/>
                <w:highlight w:val="none"/>
              </w:rPr>
              <w:t>写</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18"/>
                <w:sz w:val="21"/>
                <w:szCs w:val="21"/>
                <w:highlight w:val="none"/>
                <w:lang w:eastAsia="zh-CN"/>
              </w:rPr>
              <w:t>）</w:t>
            </w:r>
            <w:r>
              <w:rPr>
                <w:rFonts w:hint="eastAsia" w:ascii="宋体" w:hAnsi="宋体" w:eastAsia="宋体" w:cs="宋体"/>
                <w:color w:val="auto"/>
                <w:spacing w:val="-18"/>
                <w:sz w:val="21"/>
                <w:szCs w:val="21"/>
                <w:highlight w:val="none"/>
              </w:rPr>
              <w:t>。</w:t>
            </w:r>
          </w:p>
          <w:p w14:paraId="4BF9A5BD">
            <w:pPr>
              <w:autoSpaceDE w:val="0"/>
              <w:autoSpaceDN w:val="0"/>
              <w:spacing w:line="360" w:lineRule="exact"/>
              <w:ind w:firstLine="435"/>
              <w:jc w:val="center"/>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造价工程师</w:t>
            </w:r>
            <w:r>
              <w:rPr>
                <w:rFonts w:hint="eastAsia" w:ascii="宋体" w:hAnsi="宋体" w:eastAsia="宋体" w:cs="宋体"/>
                <w:color w:val="auto"/>
                <w:highlight w:val="none"/>
                <w:u w:val="single"/>
              </w:rPr>
              <w:t xml:space="preserve">           </w:t>
            </w:r>
          </w:p>
          <w:p w14:paraId="3F568F2B">
            <w:pPr>
              <w:pStyle w:val="270"/>
              <w:autoSpaceDE w:val="0"/>
              <w:autoSpaceDN w:val="0"/>
              <w:spacing w:before="69" w:line="227" w:lineRule="auto"/>
              <w:ind w:left="2792" w:hanging="1387"/>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4"/>
                <w:highlight w:val="none"/>
                <w:lang w:val="en-US" w:eastAsia="zh-CN" w:bidi="ar-SA"/>
              </w:rPr>
              <w:t xml:space="preserve">     日     期</w:t>
            </w:r>
            <w:r>
              <w:rPr>
                <w:rFonts w:hint="eastAsia" w:ascii="宋体" w:hAnsi="宋体" w:eastAsia="宋体" w:cs="宋体"/>
                <w:color w:val="auto"/>
                <w:kern w:val="2"/>
                <w:sz w:val="21"/>
                <w:szCs w:val="24"/>
                <w:highlight w:val="none"/>
                <w:u w:val="single"/>
                <w:lang w:val="en-US" w:eastAsia="zh-CN" w:bidi="ar-SA"/>
              </w:rPr>
              <w:t xml:space="preserve">          </w:t>
            </w:r>
          </w:p>
        </w:tc>
      </w:tr>
      <w:tr w14:paraId="24A70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8" w:hRule="atLeast"/>
          <w:jc w:val="center"/>
        </w:trPr>
        <w:tc>
          <w:tcPr>
            <w:tcW w:w="9229" w:type="dxa"/>
            <w:gridSpan w:val="2"/>
            <w:noWrap w:val="0"/>
            <w:vAlign w:val="top"/>
          </w:tcPr>
          <w:p w14:paraId="5679D809">
            <w:pPr>
              <w:pStyle w:val="270"/>
              <w:autoSpaceDE w:val="0"/>
              <w:autoSpaceDN w:val="0"/>
              <w:spacing w:before="264" w:line="257" w:lineRule="auto"/>
              <w:ind w:left="14" w:right="8058" w:firstLine="99"/>
              <w:rPr>
                <w:rFonts w:hint="eastAsia" w:ascii="宋体" w:hAnsi="宋体" w:eastAsia="宋体" w:cs="宋体"/>
                <w:color w:val="auto"/>
                <w:sz w:val="21"/>
                <w:highlight w:val="none"/>
              </w:rPr>
            </w:pPr>
            <w:r>
              <w:rPr>
                <w:rFonts w:hint="eastAsia" w:ascii="宋体" w:hAnsi="宋体" w:eastAsia="宋体" w:cs="宋体"/>
                <w:color w:val="auto"/>
                <w:spacing w:val="-1"/>
                <w:sz w:val="21"/>
                <w:szCs w:val="21"/>
                <w:highlight w:val="none"/>
              </w:rPr>
              <w:t>审核意见：</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pacing w:val="4"/>
                <w:sz w:val="21"/>
                <w:szCs w:val="21"/>
                <w:highlight w:val="none"/>
              </w:rPr>
              <w:t>口</w:t>
            </w:r>
            <w:r>
              <w:rPr>
                <w:rFonts w:hint="eastAsia" w:ascii="宋体" w:hAnsi="宋体" w:eastAsia="宋体" w:cs="宋体"/>
                <w:color w:val="auto"/>
                <w:spacing w:val="4"/>
                <w:sz w:val="21"/>
                <w:szCs w:val="21"/>
                <w:highlight w:val="none"/>
                <w:lang w:eastAsia="zh-CN"/>
              </w:rPr>
              <w:t>不同意</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口同意</w:t>
            </w:r>
          </w:p>
          <w:p w14:paraId="764F9F22">
            <w:pPr>
              <w:pStyle w:val="270"/>
              <w:autoSpaceDE w:val="0"/>
              <w:autoSpaceDN w:val="0"/>
              <w:spacing w:before="68" w:line="219" w:lineRule="auto"/>
              <w:ind w:left="0" w:firstLine="6379" w:firstLineChars="2848"/>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rPr>
              <w:t>发包人</w:t>
            </w:r>
            <w:r>
              <w:rPr>
                <w:rFonts w:hint="eastAsia" w:ascii="宋体" w:hAnsi="宋体" w:eastAsia="宋体" w:cs="宋体"/>
                <w:color w:val="auto"/>
                <w:spacing w:val="7"/>
                <w:sz w:val="21"/>
                <w:szCs w:val="21"/>
                <w:highlight w:val="none"/>
                <w:lang w:eastAsia="zh-CN"/>
              </w:rPr>
              <w:t>（</w:t>
            </w:r>
            <w:r>
              <w:rPr>
                <w:rFonts w:hint="eastAsia" w:ascii="宋体" w:hAnsi="宋体" w:eastAsia="宋体" w:cs="宋体"/>
                <w:color w:val="auto"/>
                <w:spacing w:val="7"/>
                <w:sz w:val="21"/>
                <w:szCs w:val="21"/>
                <w:highlight w:val="none"/>
              </w:rPr>
              <w:t>章</w:t>
            </w:r>
            <w:r>
              <w:rPr>
                <w:rFonts w:hint="eastAsia" w:ascii="宋体" w:hAnsi="宋体" w:eastAsia="宋体" w:cs="宋体"/>
                <w:color w:val="auto"/>
                <w:spacing w:val="7"/>
                <w:sz w:val="21"/>
                <w:szCs w:val="21"/>
                <w:highlight w:val="none"/>
                <w:lang w:eastAsia="zh-CN"/>
              </w:rPr>
              <w:t>）</w:t>
            </w:r>
          </w:p>
          <w:p w14:paraId="4589772F">
            <w:pPr>
              <w:wordWrap w:val="0"/>
              <w:autoSpaceDE w:val="0"/>
              <w:autoSpaceDN w:val="0"/>
              <w:spacing w:line="400" w:lineRule="exact"/>
              <w:ind w:firstLine="420" w:firstLineChars="200"/>
              <w:jc w:val="center"/>
              <w:rPr>
                <w:rFonts w:hint="eastAsia" w:ascii="宋体" w:hAnsi="宋体" w:eastAsia="宋体" w:cs="宋体"/>
                <w:color w:val="auto"/>
                <w:highlight w:val="none"/>
                <w:u w:val="single"/>
              </w:rPr>
            </w:pPr>
            <w:r>
              <w:rPr>
                <w:rFonts w:hint="eastAsia" w:ascii="宋体" w:hAnsi="宋体" w:eastAsia="宋体" w:cs="宋体"/>
                <w:color w:val="auto"/>
                <w:highlight w:val="none"/>
                <w:lang w:val="en-US" w:eastAsia="zh-CN"/>
              </w:rPr>
              <w:t xml:space="preserve">                                                      </w:t>
            </w:r>
            <w:r>
              <w:rPr>
                <w:rFonts w:hint="eastAsia" w:ascii="宋体" w:hAnsi="宋体" w:eastAsia="宋体" w:cs="宋体"/>
                <w:color w:val="auto"/>
                <w:spacing w:val="7"/>
                <w:kern w:val="2"/>
                <w:sz w:val="21"/>
                <w:szCs w:val="21"/>
                <w:highlight w:val="none"/>
                <w:lang w:val="en-US" w:eastAsia="en-US" w:bidi="ar-SA"/>
              </w:rPr>
              <w:t>发包人代表</w:t>
            </w:r>
            <w:r>
              <w:rPr>
                <w:rFonts w:hint="eastAsia" w:ascii="宋体" w:hAnsi="宋体" w:eastAsia="宋体" w:cs="宋体"/>
                <w:color w:val="auto"/>
                <w:highlight w:val="none"/>
                <w:u w:val="single"/>
              </w:rPr>
              <w:t xml:space="preserve">          </w:t>
            </w:r>
          </w:p>
          <w:p w14:paraId="4BA4E4FD">
            <w:pPr>
              <w:pStyle w:val="270"/>
              <w:autoSpaceDE w:val="0"/>
              <w:autoSpaceDN w:val="0"/>
              <w:spacing w:before="51" w:line="243" w:lineRule="auto"/>
              <w:ind w:left="0" w:firstLine="5700" w:firstLineChars="250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u w:val="single" w:color="auto"/>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5"/>
                <w:sz w:val="21"/>
                <w:szCs w:val="21"/>
                <w:highlight w:val="none"/>
                <w:u w:val="single" w:color="auto"/>
              </w:rPr>
              <w:t>日期</w:t>
            </w:r>
            <w:r>
              <w:rPr>
                <w:rFonts w:hint="eastAsia" w:ascii="宋体" w:hAnsi="宋体" w:eastAsia="宋体" w:cs="宋体"/>
                <w:color w:val="auto"/>
                <w:spacing w:val="-21"/>
                <w:sz w:val="21"/>
                <w:szCs w:val="21"/>
                <w:highlight w:val="none"/>
                <w:u w:val="single" w:color="auto"/>
              </w:rPr>
              <w:t xml:space="preserve"> </w:t>
            </w:r>
            <w:r>
              <w:rPr>
                <w:rFonts w:hint="eastAsia" w:ascii="宋体" w:hAnsi="宋体" w:eastAsia="宋体" w:cs="宋体"/>
                <w:color w:val="auto"/>
                <w:spacing w:val="-100"/>
                <w:sz w:val="21"/>
                <w:szCs w:val="21"/>
                <w:highlight w:val="none"/>
              </w:rPr>
              <w:t xml:space="preserve"> </w:t>
            </w:r>
            <w:r>
              <w:rPr>
                <w:rFonts w:hint="eastAsia" w:ascii="宋体" w:hAnsi="宋体" w:eastAsia="宋体" w:cs="宋体"/>
                <w:color w:val="auto"/>
                <w:sz w:val="21"/>
                <w:szCs w:val="21"/>
                <w:highlight w:val="none"/>
                <w:u w:val="single" w:color="auto"/>
              </w:rPr>
              <w:t xml:space="preserve">            </w:t>
            </w:r>
          </w:p>
        </w:tc>
      </w:tr>
    </w:tbl>
    <w:p w14:paraId="5D14564D">
      <w:pPr>
        <w:pStyle w:val="16"/>
        <w:spacing w:before="153" w:line="200" w:lineRule="exact"/>
        <w:ind w:left="424"/>
        <w:jc w:val="left"/>
        <w:rPr>
          <w:rFonts w:hint="eastAsia" w:ascii="宋体" w:hAnsi="宋体" w:eastAsia="宋体" w:cs="宋体"/>
          <w:color w:val="auto"/>
          <w:sz w:val="19"/>
          <w:szCs w:val="19"/>
          <w:highlight w:val="none"/>
        </w:rPr>
      </w:pPr>
      <w:r>
        <w:rPr>
          <w:rFonts w:hint="eastAsia" w:ascii="宋体" w:hAnsi="宋体" w:eastAsia="宋体" w:cs="宋体"/>
          <w:color w:val="auto"/>
          <w:spacing w:val="-13"/>
          <w:sz w:val="19"/>
          <w:szCs w:val="19"/>
          <w:highlight w:val="none"/>
        </w:rPr>
        <w:t>注：1</w:t>
      </w:r>
      <w:r>
        <w:rPr>
          <w:rFonts w:hint="eastAsia" w:ascii="宋体" w:hAnsi="宋体" w:eastAsia="宋体" w:cs="宋体"/>
          <w:color w:val="auto"/>
          <w:spacing w:val="70"/>
          <w:sz w:val="19"/>
          <w:szCs w:val="19"/>
          <w:highlight w:val="none"/>
          <w:lang w:val="en-US" w:eastAsia="zh-CN"/>
        </w:rPr>
        <w:t>.</w:t>
      </w:r>
      <w:r>
        <w:rPr>
          <w:rFonts w:hint="eastAsia" w:ascii="宋体" w:hAnsi="宋体" w:eastAsia="宋体" w:cs="宋体"/>
          <w:color w:val="auto"/>
          <w:spacing w:val="-13"/>
          <w:sz w:val="19"/>
          <w:szCs w:val="19"/>
          <w:highlight w:val="none"/>
        </w:rPr>
        <w:t>应在选择栏中的</w:t>
      </w:r>
      <w:r>
        <w:rPr>
          <w:rFonts w:hint="eastAsia" w:ascii="宋体" w:hAnsi="宋体" w:eastAsia="宋体" w:cs="宋体"/>
          <w:color w:val="auto"/>
          <w:spacing w:val="-13"/>
          <w:sz w:val="19"/>
          <w:szCs w:val="19"/>
          <w:highlight w:val="none"/>
          <w:lang w:eastAsia="zh-CN"/>
        </w:rPr>
        <w:t>“</w:t>
      </w:r>
      <w:r>
        <w:rPr>
          <w:rFonts w:hint="eastAsia" w:ascii="宋体" w:hAnsi="宋体" w:eastAsia="宋体" w:cs="宋体"/>
          <w:color w:val="auto"/>
          <w:spacing w:val="-13"/>
          <w:sz w:val="19"/>
          <w:szCs w:val="19"/>
          <w:highlight w:val="none"/>
        </w:rPr>
        <w:t>□</w:t>
      </w:r>
      <w:r>
        <w:rPr>
          <w:rFonts w:hint="eastAsia" w:ascii="宋体" w:hAnsi="宋体" w:eastAsia="宋体" w:cs="宋体"/>
          <w:color w:val="auto"/>
          <w:spacing w:val="-13"/>
          <w:sz w:val="19"/>
          <w:szCs w:val="19"/>
          <w:highlight w:val="none"/>
          <w:lang w:eastAsia="zh-CN"/>
        </w:rPr>
        <w:t>”</w:t>
      </w:r>
      <w:r>
        <w:rPr>
          <w:rFonts w:hint="eastAsia" w:ascii="宋体" w:hAnsi="宋体" w:eastAsia="宋体" w:cs="宋体"/>
          <w:color w:val="auto"/>
          <w:spacing w:val="-13"/>
          <w:sz w:val="19"/>
          <w:szCs w:val="19"/>
          <w:highlight w:val="none"/>
        </w:rPr>
        <w:t>内作标识</w:t>
      </w:r>
      <w:r>
        <w:rPr>
          <w:rFonts w:hint="eastAsia" w:ascii="宋体" w:hAnsi="宋体" w:eastAsia="宋体" w:cs="宋体"/>
          <w:color w:val="auto"/>
          <w:spacing w:val="-13"/>
          <w:sz w:val="19"/>
          <w:szCs w:val="19"/>
          <w:highlight w:val="none"/>
          <w:lang w:eastAsia="zh-CN"/>
        </w:rPr>
        <w:t>“</w:t>
      </w:r>
      <w:r>
        <w:rPr>
          <w:rFonts w:hint="eastAsia" w:ascii="宋体" w:hAnsi="宋体" w:eastAsia="宋体" w:cs="宋体"/>
          <w:color w:val="auto"/>
          <w:spacing w:val="-70"/>
          <w:sz w:val="19"/>
          <w:szCs w:val="19"/>
          <w:highlight w:val="none"/>
        </w:rPr>
        <w:t xml:space="preserve"> </w:t>
      </w:r>
      <w:r>
        <w:rPr>
          <w:rFonts w:hint="eastAsia" w:ascii="宋体" w:hAnsi="宋体" w:eastAsia="宋体" w:cs="宋体"/>
          <w:color w:val="auto"/>
          <w:spacing w:val="-13"/>
          <w:sz w:val="19"/>
          <w:szCs w:val="19"/>
          <w:highlight w:val="none"/>
        </w:rPr>
        <w:t>√</w:t>
      </w:r>
      <w:r>
        <w:rPr>
          <w:rFonts w:hint="eastAsia" w:ascii="宋体" w:hAnsi="宋体" w:eastAsia="宋体" w:cs="宋体"/>
          <w:color w:val="auto"/>
          <w:spacing w:val="-13"/>
          <w:sz w:val="19"/>
          <w:szCs w:val="19"/>
          <w:highlight w:val="none"/>
          <w:lang w:eastAsia="zh-CN"/>
        </w:rPr>
        <w:t>”；</w:t>
      </w:r>
    </w:p>
    <w:p w14:paraId="61353CC8">
      <w:pPr>
        <w:spacing w:line="200" w:lineRule="exact"/>
        <w:ind w:firstLine="372" w:firstLineChars="200"/>
        <w:jc w:val="both"/>
        <w:outlineLvl w:val="9"/>
        <w:rPr>
          <w:rFonts w:hint="eastAsia" w:ascii="宋体" w:hAnsi="宋体" w:eastAsia="宋体" w:cs="宋体"/>
          <w:color w:val="auto"/>
          <w:spacing w:val="-3"/>
          <w:sz w:val="19"/>
          <w:szCs w:val="19"/>
          <w:highlight w:val="none"/>
          <w:lang w:eastAsia="zh-CN"/>
        </w:rPr>
      </w:pPr>
      <w:r>
        <w:rPr>
          <w:rFonts w:hint="eastAsia" w:ascii="宋体" w:hAnsi="宋体" w:eastAsia="宋体" w:cs="宋体"/>
          <w:color w:val="auto"/>
          <w:spacing w:val="-2"/>
          <w:sz w:val="19"/>
          <w:szCs w:val="19"/>
          <w:highlight w:val="none"/>
        </w:rPr>
        <w:t>2</w:t>
      </w:r>
      <w:r>
        <w:rPr>
          <w:rFonts w:hint="eastAsia" w:ascii="宋体" w:hAnsi="宋体" w:eastAsia="宋体" w:cs="宋体"/>
          <w:color w:val="auto"/>
          <w:spacing w:val="-2"/>
          <w:sz w:val="19"/>
          <w:szCs w:val="19"/>
          <w:highlight w:val="none"/>
          <w:lang w:val="en-US" w:eastAsia="zh-CN"/>
        </w:rPr>
        <w:t>.</w:t>
      </w:r>
      <w:r>
        <w:rPr>
          <w:rFonts w:hint="eastAsia" w:ascii="宋体" w:hAnsi="宋体" w:eastAsia="宋体" w:cs="宋体"/>
          <w:color w:val="auto"/>
          <w:spacing w:val="-2"/>
          <w:sz w:val="19"/>
          <w:szCs w:val="19"/>
          <w:highlight w:val="none"/>
        </w:rPr>
        <w:t>本表应一式四份</w:t>
      </w:r>
      <w:r>
        <w:rPr>
          <w:rFonts w:hint="eastAsia" w:ascii="宋体" w:hAnsi="宋体" w:eastAsia="宋体" w:cs="宋体"/>
          <w:color w:val="auto"/>
          <w:spacing w:val="-2"/>
          <w:sz w:val="19"/>
          <w:szCs w:val="19"/>
          <w:highlight w:val="none"/>
          <w:lang w:eastAsia="zh-CN"/>
        </w:rPr>
        <w:t>，</w:t>
      </w:r>
      <w:r>
        <w:rPr>
          <w:rFonts w:hint="eastAsia" w:ascii="宋体" w:hAnsi="宋体" w:eastAsia="宋体" w:cs="宋体"/>
          <w:color w:val="auto"/>
          <w:spacing w:val="-2"/>
          <w:sz w:val="19"/>
          <w:szCs w:val="19"/>
          <w:highlight w:val="none"/>
        </w:rPr>
        <w:t>由承包人填报</w:t>
      </w:r>
      <w:r>
        <w:rPr>
          <w:rFonts w:hint="eastAsia" w:ascii="宋体" w:hAnsi="宋体" w:eastAsia="宋体" w:cs="宋体"/>
          <w:color w:val="auto"/>
          <w:spacing w:val="-2"/>
          <w:sz w:val="19"/>
          <w:szCs w:val="19"/>
          <w:highlight w:val="none"/>
          <w:lang w:eastAsia="zh-CN"/>
        </w:rPr>
        <w:t>，</w:t>
      </w:r>
      <w:r>
        <w:rPr>
          <w:rFonts w:hint="eastAsia" w:ascii="宋体" w:hAnsi="宋体" w:eastAsia="宋体" w:cs="宋体"/>
          <w:color w:val="auto"/>
          <w:spacing w:val="-2"/>
          <w:sz w:val="19"/>
          <w:szCs w:val="19"/>
          <w:highlight w:val="none"/>
        </w:rPr>
        <w:t>发包人、监理人、工程</w:t>
      </w:r>
      <w:r>
        <w:rPr>
          <w:rFonts w:hint="eastAsia" w:ascii="宋体" w:hAnsi="宋体" w:eastAsia="宋体" w:cs="宋体"/>
          <w:color w:val="auto"/>
          <w:spacing w:val="-3"/>
          <w:sz w:val="19"/>
          <w:szCs w:val="19"/>
          <w:highlight w:val="none"/>
        </w:rPr>
        <w:t>造价咨询人、承包人各存一份</w:t>
      </w:r>
      <w:r>
        <w:rPr>
          <w:rFonts w:hint="eastAsia" w:ascii="宋体" w:hAnsi="宋体" w:eastAsia="宋体" w:cs="宋体"/>
          <w:color w:val="auto"/>
          <w:spacing w:val="-3"/>
          <w:sz w:val="19"/>
          <w:szCs w:val="19"/>
          <w:highlight w:val="none"/>
          <w:lang w:eastAsia="zh-CN"/>
        </w:rPr>
        <w:t>。</w:t>
      </w:r>
    </w:p>
    <w:p w14:paraId="6366AAAF">
      <w:pPr>
        <w:pStyle w:val="35"/>
        <w:rPr>
          <w:rFonts w:hint="eastAsia" w:ascii="宋体" w:hAnsi="宋体" w:eastAsia="宋体" w:cs="宋体"/>
          <w:color w:val="auto"/>
          <w:highlight w:val="none"/>
        </w:rPr>
      </w:pPr>
    </w:p>
    <w:p w14:paraId="4C04C700">
      <w:pPr>
        <w:jc w:val="left"/>
        <w:rPr>
          <w:rFonts w:hint="eastAsia" w:ascii="宋体" w:hAnsi="宋体" w:eastAsia="宋体" w:cs="宋体"/>
          <w:color w:val="auto"/>
          <w:sz w:val="30"/>
          <w:szCs w:val="30"/>
          <w:highlight w:val="none"/>
        </w:rPr>
      </w:pPr>
    </w:p>
    <w:p w14:paraId="32E98058">
      <w:pPr>
        <w:jc w:val="left"/>
        <w:rPr>
          <w:rFonts w:hint="eastAsia" w:ascii="宋体" w:hAnsi="宋体" w:eastAsia="宋体" w:cs="宋体"/>
          <w:b/>
          <w:color w:val="auto"/>
          <w:sz w:val="30"/>
          <w:szCs w:val="30"/>
          <w:highlight w:val="none"/>
        </w:rPr>
      </w:pPr>
      <w:r>
        <w:rPr>
          <w:rFonts w:hint="eastAsia" w:ascii="宋体" w:hAnsi="宋体" w:eastAsia="宋体" w:cs="宋体"/>
          <w:color w:val="auto"/>
          <w:sz w:val="30"/>
          <w:szCs w:val="30"/>
          <w:highlight w:val="none"/>
        </w:rPr>
        <w:t>附件13：工程保修与结清结算支付申请（核准）表</w:t>
      </w:r>
    </w:p>
    <w:p w14:paraId="329B8FF8">
      <w:pPr>
        <w:wordWrap w:val="0"/>
        <w:spacing w:before="0" w:after="0"/>
        <w:jc w:val="center"/>
        <w:outlineLvl w:val="9"/>
        <w:rPr>
          <w:rFonts w:hint="eastAsia" w:ascii="宋体" w:hAnsi="宋体" w:eastAsia="宋体" w:cs="宋体"/>
          <w:b/>
          <w:color w:val="auto"/>
          <w:sz w:val="30"/>
          <w:szCs w:val="30"/>
          <w:highlight w:val="none"/>
          <w:lang w:val="en"/>
        </w:rPr>
      </w:pPr>
      <w:r>
        <w:rPr>
          <w:rFonts w:hint="eastAsia" w:ascii="宋体" w:hAnsi="宋体" w:eastAsia="宋体" w:cs="宋体"/>
          <w:b/>
          <w:bCs w:val="0"/>
          <w:color w:val="auto"/>
          <w:kern w:val="2"/>
          <w:sz w:val="30"/>
          <w:szCs w:val="30"/>
          <w:highlight w:val="none"/>
          <w:lang w:val="en"/>
        </w:rPr>
        <w:t>工程保修与结清结算支付申请</w:t>
      </w:r>
      <w:r>
        <w:rPr>
          <w:rFonts w:hint="eastAsia" w:ascii="宋体" w:hAnsi="宋体" w:eastAsia="宋体" w:cs="宋体"/>
          <w:b/>
          <w:bCs w:val="0"/>
          <w:color w:val="auto"/>
          <w:kern w:val="2"/>
          <w:sz w:val="30"/>
          <w:szCs w:val="30"/>
          <w:highlight w:val="none"/>
          <w:lang w:val="en" w:eastAsia="zh-CN"/>
        </w:rPr>
        <w:t>（</w:t>
      </w:r>
      <w:r>
        <w:rPr>
          <w:rFonts w:hint="eastAsia" w:ascii="宋体" w:hAnsi="宋体" w:eastAsia="宋体" w:cs="宋体"/>
          <w:b/>
          <w:bCs w:val="0"/>
          <w:color w:val="auto"/>
          <w:kern w:val="2"/>
          <w:sz w:val="30"/>
          <w:szCs w:val="30"/>
          <w:highlight w:val="none"/>
          <w:lang w:val="en"/>
        </w:rPr>
        <w:t>核准</w:t>
      </w:r>
      <w:r>
        <w:rPr>
          <w:rFonts w:hint="eastAsia" w:ascii="宋体" w:hAnsi="宋体" w:eastAsia="宋体" w:cs="宋体"/>
          <w:b/>
          <w:bCs w:val="0"/>
          <w:color w:val="auto"/>
          <w:kern w:val="2"/>
          <w:sz w:val="30"/>
          <w:szCs w:val="30"/>
          <w:highlight w:val="none"/>
          <w:lang w:val="en" w:eastAsia="zh-CN"/>
        </w:rPr>
        <w:t>）</w:t>
      </w:r>
      <w:r>
        <w:rPr>
          <w:rFonts w:hint="eastAsia" w:ascii="宋体" w:hAnsi="宋体" w:eastAsia="宋体" w:cs="宋体"/>
          <w:b/>
          <w:bCs w:val="0"/>
          <w:color w:val="auto"/>
          <w:kern w:val="2"/>
          <w:sz w:val="30"/>
          <w:szCs w:val="30"/>
          <w:highlight w:val="none"/>
          <w:lang w:val="en"/>
        </w:rPr>
        <w:t>表</w:t>
      </w:r>
    </w:p>
    <w:p w14:paraId="01E650C1">
      <w:pPr>
        <w:rPr>
          <w:rFonts w:hint="eastAsia" w:ascii="宋体" w:hAnsi="宋体" w:eastAsia="宋体" w:cs="宋体"/>
          <w:color w:val="auto"/>
          <w:kern w:val="0"/>
          <w:highlight w:val="none"/>
        </w:rPr>
      </w:pPr>
      <w:r>
        <w:rPr>
          <w:rFonts w:hint="eastAsia" w:ascii="宋体" w:hAnsi="宋体" w:eastAsia="宋体" w:cs="宋体"/>
          <w:color w:val="auto"/>
          <w:kern w:val="0"/>
          <w:highlight w:val="none"/>
        </w:rPr>
        <w:t>工程</w:t>
      </w:r>
      <w:r>
        <w:rPr>
          <w:rFonts w:hint="eastAsia" w:ascii="宋体" w:hAnsi="宋体" w:eastAsia="宋体" w:cs="宋体"/>
          <w:color w:val="auto"/>
          <w:spacing w:val="-3"/>
          <w:kern w:val="0"/>
          <w:highlight w:val="none"/>
        </w:rPr>
        <w:t>名</w:t>
      </w:r>
      <w:r>
        <w:rPr>
          <w:rFonts w:hint="eastAsia" w:ascii="宋体" w:hAnsi="宋体" w:eastAsia="宋体" w:cs="宋体"/>
          <w:color w:val="auto"/>
          <w:kern w:val="0"/>
          <w:highlight w:val="none"/>
        </w:rPr>
        <w:t>称：</w:t>
      </w:r>
      <w:r>
        <w:rPr>
          <w:rFonts w:hint="eastAsia" w:ascii="宋体" w:hAnsi="宋体" w:eastAsia="宋体" w:cs="宋体"/>
          <w:color w:val="auto"/>
          <w:kern w:val="0"/>
          <w:highlight w:val="none"/>
        </w:rPr>
        <w:tab/>
      </w:r>
      <w:r>
        <w:rPr>
          <w:rFonts w:hint="eastAsia" w:ascii="宋体" w:hAnsi="宋体" w:eastAsia="宋体" w:cs="宋体"/>
          <w:color w:val="auto"/>
          <w:kern w:val="0"/>
          <w:highlight w:val="none"/>
        </w:rPr>
        <w:tab/>
      </w:r>
      <w:r>
        <w:rPr>
          <w:rFonts w:hint="eastAsia" w:ascii="宋体" w:hAnsi="宋体" w:eastAsia="宋体" w:cs="宋体"/>
          <w:color w:val="auto"/>
          <w:kern w:val="0"/>
          <w:highlight w:val="none"/>
        </w:rPr>
        <w:tab/>
      </w:r>
      <w:r>
        <w:rPr>
          <w:rFonts w:hint="eastAsia" w:ascii="宋体" w:hAnsi="宋体" w:eastAsia="宋体" w:cs="宋体"/>
          <w:color w:val="auto"/>
          <w:kern w:val="0"/>
          <w:highlight w:val="none"/>
        </w:rPr>
        <w:tab/>
      </w:r>
      <w:r>
        <w:rPr>
          <w:rFonts w:hint="eastAsia" w:ascii="宋体" w:hAnsi="宋体" w:eastAsia="宋体" w:cs="宋体"/>
          <w:color w:val="auto"/>
          <w:kern w:val="0"/>
          <w:highlight w:val="none"/>
        </w:rPr>
        <w:tab/>
      </w:r>
      <w:r>
        <w:rPr>
          <w:rFonts w:hint="eastAsia" w:ascii="宋体" w:hAnsi="宋体" w:eastAsia="宋体" w:cs="宋体"/>
          <w:color w:val="auto"/>
          <w:kern w:val="0"/>
          <w:highlight w:val="none"/>
        </w:rPr>
        <w:tab/>
      </w:r>
      <w:r>
        <w:rPr>
          <w:rFonts w:hint="eastAsia" w:ascii="宋体" w:hAnsi="宋体" w:eastAsia="宋体" w:cs="宋体"/>
          <w:color w:val="auto"/>
          <w:kern w:val="0"/>
          <w:highlight w:val="none"/>
        </w:rPr>
        <w:tab/>
      </w:r>
      <w:r>
        <w:rPr>
          <w:rFonts w:hint="eastAsia" w:ascii="宋体" w:hAnsi="宋体" w:eastAsia="宋体" w:cs="宋体"/>
          <w:color w:val="auto"/>
          <w:kern w:val="0"/>
          <w:highlight w:val="none"/>
        </w:rPr>
        <w:tab/>
      </w:r>
      <w:r>
        <w:rPr>
          <w:rFonts w:hint="eastAsia" w:ascii="宋体" w:hAnsi="宋体" w:eastAsia="宋体" w:cs="宋体"/>
          <w:color w:val="auto"/>
          <w:kern w:val="0"/>
          <w:highlight w:val="none"/>
        </w:rPr>
        <w:t>标</w:t>
      </w:r>
      <w:r>
        <w:rPr>
          <w:rFonts w:hint="eastAsia" w:ascii="宋体" w:hAnsi="宋体" w:eastAsia="宋体" w:cs="宋体"/>
          <w:color w:val="auto"/>
          <w:spacing w:val="-3"/>
          <w:kern w:val="0"/>
          <w:highlight w:val="none"/>
        </w:rPr>
        <w:t>段</w:t>
      </w:r>
      <w:r>
        <w:rPr>
          <w:rFonts w:hint="eastAsia" w:ascii="宋体" w:hAnsi="宋体" w:eastAsia="宋体" w:cs="宋体"/>
          <w:color w:val="auto"/>
          <w:kern w:val="0"/>
          <w:highlight w:val="none"/>
        </w:rPr>
        <w:t>：</w:t>
      </w:r>
      <w:r>
        <w:rPr>
          <w:rFonts w:hint="eastAsia" w:ascii="宋体" w:hAnsi="宋体" w:eastAsia="宋体" w:cs="宋体"/>
          <w:color w:val="auto"/>
          <w:kern w:val="0"/>
          <w:highlight w:val="none"/>
        </w:rPr>
        <w:tab/>
      </w:r>
      <w:r>
        <w:rPr>
          <w:rFonts w:hint="eastAsia" w:ascii="宋体" w:hAnsi="宋体" w:eastAsia="宋体" w:cs="宋体"/>
          <w:color w:val="auto"/>
          <w:kern w:val="0"/>
          <w:highlight w:val="none"/>
        </w:rPr>
        <w:tab/>
      </w:r>
      <w:r>
        <w:rPr>
          <w:rFonts w:hint="eastAsia" w:ascii="宋体" w:hAnsi="宋体" w:eastAsia="宋体" w:cs="宋体"/>
          <w:color w:val="auto"/>
          <w:kern w:val="0"/>
          <w:highlight w:val="none"/>
        </w:rPr>
        <w:tab/>
      </w:r>
      <w:r>
        <w:rPr>
          <w:rFonts w:hint="eastAsia" w:ascii="宋体" w:hAnsi="宋体" w:eastAsia="宋体" w:cs="宋体"/>
          <w:color w:val="auto"/>
          <w:kern w:val="0"/>
          <w:highlight w:val="none"/>
        </w:rPr>
        <w:tab/>
      </w:r>
      <w:r>
        <w:rPr>
          <w:rFonts w:hint="eastAsia" w:ascii="宋体" w:hAnsi="宋体" w:eastAsia="宋体" w:cs="宋体"/>
          <w:color w:val="auto"/>
          <w:kern w:val="0"/>
          <w:highlight w:val="none"/>
        </w:rPr>
        <w:tab/>
      </w:r>
      <w:r>
        <w:rPr>
          <w:rFonts w:hint="eastAsia" w:ascii="宋体" w:hAnsi="宋体" w:eastAsia="宋体" w:cs="宋体"/>
          <w:color w:val="auto"/>
          <w:kern w:val="0"/>
          <w:highlight w:val="none"/>
        </w:rPr>
        <w:tab/>
      </w:r>
      <w:r>
        <w:rPr>
          <w:rFonts w:hint="eastAsia" w:ascii="宋体" w:hAnsi="宋体" w:eastAsia="宋体" w:cs="宋体"/>
          <w:color w:val="auto"/>
          <w:kern w:val="0"/>
          <w:highlight w:val="none"/>
        </w:rPr>
        <w:tab/>
      </w:r>
      <w:r>
        <w:rPr>
          <w:rFonts w:hint="eastAsia" w:ascii="宋体" w:hAnsi="宋体" w:eastAsia="宋体" w:cs="宋体"/>
          <w:color w:val="auto"/>
          <w:kern w:val="0"/>
          <w:highlight w:val="none"/>
        </w:rPr>
        <w:tab/>
      </w:r>
      <w:r>
        <w:rPr>
          <w:rFonts w:hint="eastAsia" w:ascii="宋体" w:hAnsi="宋体" w:eastAsia="宋体" w:cs="宋体"/>
          <w:color w:val="auto"/>
          <w:spacing w:val="-3"/>
          <w:kern w:val="0"/>
          <w:highlight w:val="none"/>
        </w:rPr>
        <w:t>编</w:t>
      </w:r>
      <w:r>
        <w:rPr>
          <w:rFonts w:hint="eastAsia" w:ascii="宋体" w:hAnsi="宋体" w:eastAsia="宋体" w:cs="宋体"/>
          <w:color w:val="auto"/>
          <w:kern w:val="0"/>
          <w:highlight w:val="none"/>
        </w:rPr>
        <w:t>号：</w:t>
      </w:r>
    </w:p>
    <w:p w14:paraId="1A47A180">
      <w:pPr>
        <w:spacing w:before="9" w:line="40" w:lineRule="exact"/>
        <w:rPr>
          <w:rFonts w:hint="eastAsia" w:ascii="宋体" w:hAnsi="宋体" w:eastAsia="宋体" w:cs="宋体"/>
          <w:color w:val="auto"/>
          <w:sz w:val="4"/>
          <w:szCs w:val="4"/>
          <w:highlight w:val="none"/>
        </w:rPr>
      </w:pPr>
      <w:r>
        <w:rPr>
          <w:rFonts w:hint="eastAsia" w:ascii="宋体" w:hAnsi="宋体" w:eastAsia="宋体" w:cs="宋体"/>
          <w:color w:val="auto"/>
          <w:sz w:val="4"/>
          <w:szCs w:val="4"/>
          <w:highlight w:val="none"/>
        </w:rPr>
        <w:t xml:space="preserve"> </w:t>
      </w:r>
    </w:p>
    <w:tbl>
      <w:tblPr>
        <w:tblStyle w:val="37"/>
        <w:tblW w:w="9602" w:type="dxa"/>
        <w:jc w:val="center"/>
        <w:tblLayout w:type="fixed"/>
        <w:tblCellMar>
          <w:top w:w="0" w:type="dxa"/>
          <w:left w:w="0" w:type="dxa"/>
          <w:bottom w:w="0" w:type="dxa"/>
          <w:right w:w="0" w:type="dxa"/>
        </w:tblCellMar>
      </w:tblPr>
      <w:tblGrid>
        <w:gridCol w:w="2524"/>
        <w:gridCol w:w="2414"/>
        <w:gridCol w:w="983"/>
        <w:gridCol w:w="3681"/>
      </w:tblGrid>
      <w:tr w14:paraId="0F7B8178">
        <w:tblPrEx>
          <w:tblCellMar>
            <w:top w:w="0" w:type="dxa"/>
            <w:left w:w="0" w:type="dxa"/>
            <w:bottom w:w="0" w:type="dxa"/>
            <w:right w:w="0" w:type="dxa"/>
          </w:tblCellMar>
        </w:tblPrEx>
        <w:trPr>
          <w:trHeight w:val="401" w:hRule="atLeast"/>
          <w:jc w:val="center"/>
        </w:trPr>
        <w:tc>
          <w:tcPr>
            <w:tcW w:w="9602" w:type="dxa"/>
            <w:gridSpan w:val="4"/>
            <w:tcBorders>
              <w:top w:val="single" w:color="000000" w:sz="4" w:space="0"/>
              <w:left w:val="single" w:color="000000" w:sz="4" w:space="0"/>
              <w:bottom w:val="nil"/>
              <w:right w:val="single" w:color="000000" w:sz="4" w:space="0"/>
            </w:tcBorders>
            <w:noWrap w:val="0"/>
            <w:vAlign w:val="top"/>
          </w:tcPr>
          <w:p w14:paraId="4889AAB8">
            <w:pPr>
              <w:keepNext w:val="0"/>
              <w:keepLines w:val="0"/>
              <w:suppressLineNumbers w:val="0"/>
              <w:spacing w:before="54" w:beforeAutospacing="0" w:after="0" w:afterAutospacing="0"/>
              <w:ind w:left="0" w:right="0"/>
              <w:rPr>
                <w:rFonts w:hint="eastAsia" w:ascii="宋体" w:hAnsi="宋体" w:eastAsia="宋体" w:cs="宋体"/>
                <w:color w:val="auto"/>
                <w:kern w:val="0"/>
                <w:highlight w:val="none"/>
              </w:rPr>
            </w:pPr>
            <w:r>
              <w:rPr>
                <w:rFonts w:hint="eastAsia" w:ascii="宋体" w:hAnsi="宋体" w:eastAsia="宋体" w:cs="宋体"/>
                <w:color w:val="auto"/>
                <w:kern w:val="0"/>
                <w:highlight w:val="none"/>
              </w:rPr>
              <w:t>致：</w:t>
            </w:r>
            <w:r>
              <w:rPr>
                <w:rFonts w:hint="eastAsia" w:ascii="宋体" w:hAnsi="宋体" w:eastAsia="宋体" w:cs="宋体"/>
                <w:color w:val="auto"/>
                <w:kern w:val="0"/>
                <w:highlight w:val="none"/>
                <w:u w:val="single" w:color="000000"/>
              </w:rPr>
              <w:tab/>
            </w:r>
            <w:r>
              <w:rPr>
                <w:rFonts w:hint="eastAsia" w:ascii="宋体" w:hAnsi="宋体" w:eastAsia="宋体" w:cs="宋体"/>
                <w:color w:val="auto"/>
                <w:kern w:val="0"/>
                <w:highlight w:val="none"/>
                <w:u w:val="single" w:color="000000"/>
              </w:rPr>
              <w:t xml:space="preserve">     （发包人全称）</w:t>
            </w:r>
          </w:p>
        </w:tc>
      </w:tr>
      <w:tr w14:paraId="2B660378">
        <w:tblPrEx>
          <w:tblCellMar>
            <w:top w:w="0" w:type="dxa"/>
            <w:left w:w="0" w:type="dxa"/>
            <w:bottom w:w="0" w:type="dxa"/>
            <w:right w:w="0" w:type="dxa"/>
          </w:tblCellMar>
        </w:tblPrEx>
        <w:trPr>
          <w:trHeight w:val="631" w:hRule="atLeast"/>
          <w:jc w:val="center"/>
        </w:trPr>
        <w:tc>
          <w:tcPr>
            <w:tcW w:w="9602" w:type="dxa"/>
            <w:gridSpan w:val="4"/>
            <w:tcBorders>
              <w:top w:val="nil"/>
              <w:left w:val="single" w:color="000000" w:sz="4" w:space="0"/>
              <w:bottom w:val="nil"/>
              <w:right w:val="single" w:color="000000" w:sz="4" w:space="0"/>
            </w:tcBorders>
            <w:noWrap w:val="0"/>
            <w:vAlign w:val="top"/>
          </w:tcPr>
          <w:p w14:paraId="648BD4FF">
            <w:pPr>
              <w:keepNext w:val="0"/>
              <w:keepLines w:val="0"/>
              <w:suppressLineNumbers w:val="0"/>
              <w:spacing w:before="0" w:beforeAutospacing="0" w:after="0" w:afterAutospacing="0" w:line="246" w:lineRule="exact"/>
              <w:ind w:left="0" w:right="0" w:firstLine="428" w:firstLineChars="200"/>
              <w:rPr>
                <w:rFonts w:hint="eastAsia" w:ascii="宋体" w:hAnsi="宋体" w:eastAsia="宋体" w:cs="宋体"/>
                <w:color w:val="auto"/>
                <w:kern w:val="0"/>
                <w:highlight w:val="none"/>
              </w:rPr>
            </w:pPr>
            <w:r>
              <w:rPr>
                <w:rFonts w:hint="eastAsia" w:ascii="宋体" w:hAnsi="宋体" w:eastAsia="宋体" w:cs="宋体"/>
                <w:color w:val="auto"/>
                <w:spacing w:val="2"/>
                <w:kern w:val="0"/>
                <w:highlight w:val="none"/>
              </w:rPr>
              <w:t>我方</w:t>
            </w:r>
            <w:r>
              <w:rPr>
                <w:rFonts w:hint="eastAsia" w:ascii="宋体" w:hAnsi="宋体" w:eastAsia="宋体" w:cs="宋体"/>
                <w:color w:val="auto"/>
                <w:spacing w:val="-1"/>
                <w:kern w:val="0"/>
                <w:highlight w:val="none"/>
              </w:rPr>
              <w:t>于</w:t>
            </w:r>
            <w:r>
              <w:rPr>
                <w:rFonts w:hint="eastAsia" w:ascii="宋体" w:hAnsi="宋体" w:eastAsia="宋体" w:cs="宋体"/>
                <w:color w:val="auto"/>
                <w:spacing w:val="-1"/>
                <w:kern w:val="0"/>
                <w:highlight w:val="none"/>
                <w:u w:val="single" w:color="000000"/>
              </w:rPr>
              <w:tab/>
            </w:r>
            <w:r>
              <w:rPr>
                <w:rFonts w:hint="eastAsia" w:ascii="宋体" w:hAnsi="宋体" w:eastAsia="宋体" w:cs="宋体"/>
                <w:color w:val="auto"/>
                <w:spacing w:val="-1"/>
                <w:kern w:val="0"/>
                <w:highlight w:val="none"/>
                <w:u w:val="single" w:color="000000"/>
              </w:rPr>
              <w:t xml:space="preserve">      </w:t>
            </w:r>
            <w:r>
              <w:rPr>
                <w:rFonts w:hint="eastAsia" w:ascii="宋体" w:hAnsi="宋体" w:eastAsia="宋体" w:cs="宋体"/>
                <w:color w:val="auto"/>
                <w:kern w:val="0"/>
                <w:highlight w:val="none"/>
              </w:rPr>
              <w:t>至</w:t>
            </w:r>
            <w:r>
              <w:rPr>
                <w:rFonts w:hint="eastAsia" w:ascii="宋体" w:hAnsi="宋体" w:eastAsia="宋体" w:cs="宋体"/>
                <w:color w:val="auto"/>
                <w:kern w:val="0"/>
                <w:highlight w:val="none"/>
                <w:u w:val="single" w:color="000000"/>
              </w:rPr>
              <w:tab/>
            </w:r>
            <w:r>
              <w:rPr>
                <w:rFonts w:hint="eastAsia" w:ascii="宋体" w:hAnsi="宋体" w:eastAsia="宋体" w:cs="宋体"/>
                <w:color w:val="auto"/>
                <w:kern w:val="0"/>
                <w:highlight w:val="none"/>
                <w:u w:val="single" w:color="000000"/>
              </w:rPr>
              <w:t xml:space="preserve">       </w:t>
            </w:r>
            <w:r>
              <w:rPr>
                <w:rFonts w:hint="eastAsia" w:ascii="宋体" w:hAnsi="宋体" w:eastAsia="宋体" w:cs="宋体"/>
                <w:color w:val="auto"/>
                <w:spacing w:val="2"/>
                <w:kern w:val="0"/>
                <w:highlight w:val="none"/>
              </w:rPr>
              <w:t>期间</w:t>
            </w:r>
            <w:r>
              <w:rPr>
                <w:rFonts w:hint="eastAsia" w:ascii="宋体" w:hAnsi="宋体" w:eastAsia="宋体" w:cs="宋体"/>
                <w:color w:val="auto"/>
                <w:kern w:val="0"/>
                <w:highlight w:val="none"/>
              </w:rPr>
              <w:t>已</w:t>
            </w:r>
            <w:r>
              <w:rPr>
                <w:rFonts w:hint="eastAsia" w:ascii="宋体" w:hAnsi="宋体" w:eastAsia="宋体" w:cs="宋体"/>
                <w:color w:val="auto"/>
                <w:spacing w:val="2"/>
                <w:kern w:val="0"/>
                <w:highlight w:val="none"/>
              </w:rPr>
              <w:t>完</w:t>
            </w:r>
            <w:r>
              <w:rPr>
                <w:rFonts w:hint="eastAsia" w:ascii="宋体" w:hAnsi="宋体" w:eastAsia="宋体" w:cs="宋体"/>
                <w:color w:val="auto"/>
                <w:kern w:val="0"/>
                <w:highlight w:val="none"/>
              </w:rPr>
              <w:t>成了缺陷修复</w:t>
            </w:r>
            <w:r>
              <w:rPr>
                <w:rFonts w:hint="eastAsia" w:ascii="宋体" w:hAnsi="宋体" w:eastAsia="宋体" w:cs="宋体"/>
                <w:color w:val="auto"/>
                <w:spacing w:val="2"/>
                <w:kern w:val="0"/>
                <w:highlight w:val="none"/>
              </w:rPr>
              <w:t>工作</w:t>
            </w:r>
            <w:r>
              <w:rPr>
                <w:rFonts w:hint="eastAsia" w:ascii="宋体" w:hAnsi="宋体" w:eastAsia="宋体" w:cs="宋体"/>
                <w:color w:val="auto"/>
                <w:kern w:val="0"/>
                <w:highlight w:val="none"/>
                <w:lang w:eastAsia="zh-CN"/>
              </w:rPr>
              <w:t>，</w:t>
            </w:r>
            <w:r>
              <w:rPr>
                <w:rFonts w:hint="eastAsia" w:ascii="宋体" w:hAnsi="宋体" w:eastAsia="宋体" w:cs="宋体"/>
                <w:color w:val="auto"/>
                <w:spacing w:val="2"/>
                <w:kern w:val="0"/>
                <w:highlight w:val="none"/>
              </w:rPr>
              <w:t>根</w:t>
            </w:r>
            <w:r>
              <w:rPr>
                <w:rFonts w:hint="eastAsia" w:ascii="宋体" w:hAnsi="宋体" w:eastAsia="宋体" w:cs="宋体"/>
                <w:color w:val="auto"/>
                <w:kern w:val="0"/>
                <w:highlight w:val="none"/>
              </w:rPr>
              <w:t>据</w:t>
            </w:r>
            <w:r>
              <w:rPr>
                <w:rFonts w:hint="eastAsia" w:ascii="宋体" w:hAnsi="宋体" w:eastAsia="宋体" w:cs="宋体"/>
                <w:color w:val="auto"/>
                <w:spacing w:val="2"/>
                <w:kern w:val="0"/>
                <w:highlight w:val="none"/>
              </w:rPr>
              <w:t>施</w:t>
            </w:r>
            <w:r>
              <w:rPr>
                <w:rFonts w:hint="eastAsia" w:ascii="宋体" w:hAnsi="宋体" w:eastAsia="宋体" w:cs="宋体"/>
                <w:color w:val="auto"/>
                <w:kern w:val="0"/>
                <w:highlight w:val="none"/>
              </w:rPr>
              <w:t>工</w:t>
            </w:r>
            <w:r>
              <w:rPr>
                <w:rFonts w:hint="eastAsia" w:ascii="宋体" w:hAnsi="宋体" w:eastAsia="宋体" w:cs="宋体"/>
                <w:color w:val="auto"/>
                <w:spacing w:val="2"/>
                <w:kern w:val="0"/>
                <w:highlight w:val="none"/>
              </w:rPr>
              <w:t>合</w:t>
            </w:r>
            <w:r>
              <w:rPr>
                <w:rFonts w:hint="eastAsia" w:ascii="宋体" w:hAnsi="宋体" w:eastAsia="宋体" w:cs="宋体"/>
                <w:color w:val="auto"/>
                <w:kern w:val="0"/>
                <w:highlight w:val="none"/>
              </w:rPr>
              <w:t>同</w:t>
            </w:r>
            <w:r>
              <w:rPr>
                <w:rFonts w:hint="eastAsia" w:ascii="宋体" w:hAnsi="宋体" w:eastAsia="宋体" w:cs="宋体"/>
                <w:color w:val="auto"/>
                <w:spacing w:val="2"/>
                <w:kern w:val="0"/>
                <w:highlight w:val="none"/>
              </w:rPr>
              <w:t>的约</w:t>
            </w:r>
            <w:r>
              <w:rPr>
                <w:rFonts w:hint="eastAsia" w:ascii="宋体" w:hAnsi="宋体" w:eastAsia="宋体" w:cs="宋体"/>
                <w:color w:val="auto"/>
                <w:kern w:val="0"/>
                <w:highlight w:val="none"/>
              </w:rPr>
              <w:t>定</w:t>
            </w:r>
            <w:r>
              <w:rPr>
                <w:rFonts w:hint="eastAsia" w:ascii="宋体" w:hAnsi="宋体" w:eastAsia="宋体" w:cs="宋体"/>
                <w:color w:val="auto"/>
                <w:kern w:val="0"/>
                <w:highlight w:val="none"/>
                <w:lang w:eastAsia="zh-CN"/>
              </w:rPr>
              <w:t>，</w:t>
            </w:r>
            <w:r>
              <w:rPr>
                <w:rFonts w:hint="eastAsia" w:ascii="宋体" w:hAnsi="宋体" w:eastAsia="宋体" w:cs="宋体"/>
                <w:color w:val="auto"/>
                <w:spacing w:val="2"/>
                <w:kern w:val="0"/>
                <w:highlight w:val="none"/>
              </w:rPr>
              <w:t>现申</w:t>
            </w:r>
            <w:r>
              <w:rPr>
                <w:rFonts w:hint="eastAsia" w:ascii="宋体" w:hAnsi="宋体" w:eastAsia="宋体" w:cs="宋体"/>
                <w:color w:val="auto"/>
                <w:kern w:val="0"/>
                <w:highlight w:val="none"/>
              </w:rPr>
              <w:t>请</w:t>
            </w:r>
            <w:r>
              <w:rPr>
                <w:rFonts w:hint="eastAsia" w:ascii="宋体" w:hAnsi="宋体" w:eastAsia="宋体" w:cs="宋体"/>
                <w:color w:val="auto"/>
                <w:spacing w:val="2"/>
                <w:kern w:val="0"/>
                <w:highlight w:val="none"/>
              </w:rPr>
              <w:t>支</w:t>
            </w:r>
            <w:r>
              <w:rPr>
                <w:rFonts w:hint="eastAsia" w:ascii="宋体" w:hAnsi="宋体" w:eastAsia="宋体" w:cs="宋体"/>
                <w:color w:val="auto"/>
                <w:kern w:val="0"/>
                <w:highlight w:val="none"/>
              </w:rPr>
              <w:t>付工程保修结算</w:t>
            </w:r>
            <w:r>
              <w:rPr>
                <w:rFonts w:hint="eastAsia" w:ascii="宋体" w:hAnsi="宋体" w:eastAsia="宋体" w:cs="宋体"/>
                <w:color w:val="auto"/>
                <w:spacing w:val="2"/>
                <w:kern w:val="0"/>
                <w:highlight w:val="none"/>
              </w:rPr>
              <w:t>的</w:t>
            </w:r>
            <w:r>
              <w:rPr>
                <w:rFonts w:hint="eastAsia" w:ascii="宋体" w:hAnsi="宋体" w:eastAsia="宋体" w:cs="宋体"/>
                <w:color w:val="auto"/>
                <w:kern w:val="0"/>
                <w:highlight w:val="none"/>
              </w:rPr>
              <w:t>合同款额为（大写）</w:t>
            </w:r>
            <w:r>
              <w:rPr>
                <w:rFonts w:hint="eastAsia" w:ascii="宋体" w:hAnsi="宋体" w:eastAsia="宋体" w:cs="宋体"/>
                <w:color w:val="auto"/>
                <w:kern w:val="0"/>
                <w:highlight w:val="none"/>
                <w:u w:val="single" w:color="000000"/>
              </w:rPr>
              <w:tab/>
            </w:r>
            <w:r>
              <w:rPr>
                <w:rFonts w:hint="eastAsia" w:ascii="宋体" w:hAnsi="宋体" w:eastAsia="宋体" w:cs="宋体"/>
                <w:color w:val="auto"/>
                <w:kern w:val="0"/>
                <w:highlight w:val="none"/>
                <w:u w:val="single" w:color="000000"/>
              </w:rPr>
              <w:t xml:space="preserve">         </w:t>
            </w:r>
            <w:r>
              <w:rPr>
                <w:rFonts w:hint="eastAsia" w:ascii="宋体" w:hAnsi="宋体" w:eastAsia="宋体" w:cs="宋体"/>
                <w:color w:val="auto"/>
                <w:kern w:val="0"/>
                <w:highlight w:val="none"/>
              </w:rPr>
              <w:t>（小写</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eastAsia="zh-CN"/>
              </w:rPr>
              <w:t>，</w:t>
            </w:r>
            <w:r>
              <w:rPr>
                <w:rFonts w:hint="eastAsia" w:ascii="宋体" w:hAnsi="宋体" w:eastAsia="宋体" w:cs="宋体"/>
                <w:color w:val="auto"/>
                <w:kern w:val="0"/>
                <w:highlight w:val="none"/>
              </w:rPr>
              <w:t>请予核准。</w:t>
            </w:r>
          </w:p>
        </w:tc>
      </w:tr>
      <w:tr w14:paraId="18CAD9F3">
        <w:tblPrEx>
          <w:tblCellMar>
            <w:top w:w="0" w:type="dxa"/>
            <w:left w:w="0" w:type="dxa"/>
            <w:bottom w:w="0" w:type="dxa"/>
            <w:right w:w="0" w:type="dxa"/>
          </w:tblCellMar>
        </w:tblPrEx>
        <w:trPr>
          <w:trHeight w:val="3352" w:hRule="atLeast"/>
          <w:jc w:val="center"/>
        </w:trPr>
        <w:tc>
          <w:tcPr>
            <w:tcW w:w="9602" w:type="dxa"/>
            <w:gridSpan w:val="4"/>
            <w:tcBorders>
              <w:top w:val="nil"/>
              <w:left w:val="single" w:color="000000" w:sz="4" w:space="0"/>
              <w:bottom w:val="nil"/>
              <w:right w:val="single" w:color="000000" w:sz="4" w:space="0"/>
            </w:tcBorders>
            <w:noWrap w:val="0"/>
            <w:vAlign w:val="top"/>
          </w:tcPr>
          <w:p w14:paraId="16136621">
            <w:pPr>
              <w:keepNext w:val="0"/>
              <w:keepLines w:val="0"/>
              <w:suppressLineNumbers w:val="0"/>
              <w:spacing w:before="0" w:beforeAutospacing="0" w:after="0" w:afterAutospacing="0" w:line="200" w:lineRule="exact"/>
              <w:ind w:left="0" w:right="0"/>
              <w:rPr>
                <w:rFonts w:hint="eastAsia" w:ascii="宋体" w:hAnsi="宋体" w:eastAsia="宋体" w:cs="宋体"/>
                <w:color w:val="auto"/>
                <w:kern w:val="0"/>
                <w:highlight w:val="none"/>
              </w:rPr>
            </w:pPr>
          </w:p>
          <w:p w14:paraId="13B2CC8E">
            <w:pPr>
              <w:keepNext w:val="0"/>
              <w:keepLines w:val="0"/>
              <w:suppressLineNumbers w:val="0"/>
              <w:spacing w:before="0" w:beforeAutospacing="0" w:after="120" w:afterAutospacing="0"/>
              <w:ind w:left="0" w:right="0"/>
              <w:rPr>
                <w:rFonts w:hint="eastAsia" w:ascii="宋体" w:hAnsi="宋体" w:eastAsia="宋体" w:cs="宋体"/>
                <w:color w:val="auto"/>
                <w:highlight w:val="none"/>
              </w:rPr>
            </w:pPr>
          </w:p>
          <w:tbl>
            <w:tblPr>
              <w:tblStyle w:val="37"/>
              <w:tblW w:w="863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336"/>
              <w:gridCol w:w="3060"/>
              <w:gridCol w:w="1676"/>
              <w:gridCol w:w="1676"/>
              <w:gridCol w:w="890"/>
            </w:tblGrid>
            <w:tr w14:paraId="6D76C3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490"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4CC796AC">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序号</w:t>
                  </w:r>
                </w:p>
              </w:tc>
              <w:tc>
                <w:tcPr>
                  <w:tcW w:w="3060" w:type="dxa"/>
                  <w:tcBorders>
                    <w:top w:val="single" w:color="000000" w:sz="6" w:space="0"/>
                    <w:left w:val="nil"/>
                    <w:bottom w:val="single" w:color="000000" w:sz="6" w:space="0"/>
                    <w:right w:val="single" w:color="000000" w:sz="6" w:space="0"/>
                  </w:tcBorders>
                  <w:noWrap w:val="0"/>
                  <w:vAlign w:val="center"/>
                </w:tcPr>
                <w:p w14:paraId="3881B418">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名称</w:t>
                  </w:r>
                </w:p>
              </w:tc>
              <w:tc>
                <w:tcPr>
                  <w:tcW w:w="1676" w:type="dxa"/>
                  <w:tcBorders>
                    <w:top w:val="single" w:color="000000" w:sz="6" w:space="0"/>
                    <w:left w:val="nil"/>
                    <w:bottom w:val="single" w:color="000000" w:sz="6" w:space="0"/>
                    <w:right w:val="single" w:color="000000" w:sz="6" w:space="0"/>
                  </w:tcBorders>
                  <w:noWrap w:val="0"/>
                  <w:vAlign w:val="center"/>
                </w:tcPr>
                <w:p w14:paraId="6F022E18">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申请金额</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元</w:t>
                  </w:r>
                  <w:r>
                    <w:rPr>
                      <w:rFonts w:hint="eastAsia" w:ascii="宋体" w:hAnsi="宋体" w:eastAsia="宋体" w:cs="宋体"/>
                      <w:color w:val="auto"/>
                      <w:kern w:val="0"/>
                      <w:sz w:val="21"/>
                      <w:szCs w:val="21"/>
                      <w:highlight w:val="none"/>
                      <w:lang w:eastAsia="zh-CN"/>
                    </w:rPr>
                    <w:t>）</w:t>
                  </w:r>
                </w:p>
              </w:tc>
              <w:tc>
                <w:tcPr>
                  <w:tcW w:w="1676" w:type="dxa"/>
                  <w:tcBorders>
                    <w:top w:val="single" w:color="000000" w:sz="6" w:space="0"/>
                    <w:left w:val="nil"/>
                    <w:bottom w:val="single" w:color="000000" w:sz="6" w:space="0"/>
                    <w:right w:val="single" w:color="000000" w:sz="6" w:space="0"/>
                  </w:tcBorders>
                  <w:noWrap w:val="0"/>
                  <w:vAlign w:val="center"/>
                </w:tcPr>
                <w:p w14:paraId="02265DF6">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复核金额</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元</w:t>
                  </w:r>
                  <w:r>
                    <w:rPr>
                      <w:rFonts w:hint="eastAsia" w:ascii="宋体" w:hAnsi="宋体" w:eastAsia="宋体" w:cs="宋体"/>
                      <w:color w:val="auto"/>
                      <w:kern w:val="0"/>
                      <w:sz w:val="21"/>
                      <w:szCs w:val="21"/>
                      <w:highlight w:val="none"/>
                      <w:lang w:eastAsia="zh-CN"/>
                    </w:rPr>
                    <w:t>）</w:t>
                  </w:r>
                </w:p>
              </w:tc>
              <w:tc>
                <w:tcPr>
                  <w:tcW w:w="890" w:type="dxa"/>
                  <w:tcBorders>
                    <w:top w:val="single" w:color="000000" w:sz="6" w:space="0"/>
                    <w:left w:val="nil"/>
                    <w:bottom w:val="single" w:color="000000" w:sz="6" w:space="0"/>
                    <w:right w:val="single" w:color="000000" w:sz="6" w:space="0"/>
                  </w:tcBorders>
                  <w:noWrap w:val="0"/>
                  <w:vAlign w:val="center"/>
                </w:tcPr>
                <w:p w14:paraId="47DBAD74">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备注</w:t>
                  </w:r>
                </w:p>
              </w:tc>
            </w:tr>
            <w:tr w14:paraId="17A385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7"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1020C99F">
                  <w:pPr>
                    <w:keepNext w:val="0"/>
                    <w:keepLines w:val="0"/>
                    <w:suppressLineNumbers w:val="0"/>
                    <w:spacing w:before="0" w:beforeAutospacing="0" w:after="0" w:afterAutospacing="0" w:line="200" w:lineRule="exact"/>
                    <w:ind w:left="0" w:right="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3060" w:type="dxa"/>
                  <w:tcBorders>
                    <w:top w:val="single" w:color="000000" w:sz="6" w:space="0"/>
                    <w:left w:val="nil"/>
                    <w:bottom w:val="single" w:color="000000" w:sz="6" w:space="0"/>
                    <w:right w:val="single" w:color="000000" w:sz="6" w:space="0"/>
                  </w:tcBorders>
                  <w:noWrap w:val="0"/>
                  <w:vAlign w:val="center"/>
                </w:tcPr>
                <w:p w14:paraId="089382B4">
                  <w:pPr>
                    <w:keepNext w:val="0"/>
                    <w:keepLines w:val="0"/>
                    <w:suppressLineNumbers w:val="0"/>
                    <w:spacing w:before="0" w:beforeAutospacing="0" w:after="0" w:afterAutospacing="0" w:line="243" w:lineRule="exact"/>
                    <w:ind w:left="0" w:right="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已预留的质量保证金</w:t>
                  </w:r>
                </w:p>
              </w:tc>
              <w:tc>
                <w:tcPr>
                  <w:tcW w:w="1676" w:type="dxa"/>
                  <w:tcBorders>
                    <w:top w:val="single" w:color="000000" w:sz="6" w:space="0"/>
                    <w:left w:val="nil"/>
                    <w:bottom w:val="single" w:color="000000" w:sz="6" w:space="0"/>
                    <w:right w:val="single" w:color="000000" w:sz="6" w:space="0"/>
                  </w:tcBorders>
                  <w:noWrap w:val="0"/>
                  <w:vAlign w:val="center"/>
                </w:tcPr>
                <w:p w14:paraId="1495C57A">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rPr>
                  </w:pPr>
                </w:p>
              </w:tc>
              <w:tc>
                <w:tcPr>
                  <w:tcW w:w="1676" w:type="dxa"/>
                  <w:tcBorders>
                    <w:top w:val="single" w:color="000000" w:sz="6" w:space="0"/>
                    <w:left w:val="nil"/>
                    <w:bottom w:val="single" w:color="000000" w:sz="6" w:space="0"/>
                    <w:right w:val="single" w:color="000000" w:sz="6" w:space="0"/>
                  </w:tcBorders>
                  <w:noWrap w:val="0"/>
                  <w:vAlign w:val="center"/>
                </w:tcPr>
                <w:p w14:paraId="35917083">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rPr>
                  </w:pPr>
                </w:p>
              </w:tc>
              <w:tc>
                <w:tcPr>
                  <w:tcW w:w="890" w:type="dxa"/>
                  <w:tcBorders>
                    <w:top w:val="single" w:color="000000" w:sz="6" w:space="0"/>
                    <w:left w:val="nil"/>
                    <w:bottom w:val="single" w:color="000000" w:sz="6" w:space="0"/>
                    <w:right w:val="single" w:color="000000" w:sz="6" w:space="0"/>
                  </w:tcBorders>
                  <w:noWrap w:val="0"/>
                  <w:vAlign w:val="center"/>
                </w:tcPr>
                <w:p w14:paraId="132D241F">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rPr>
                  </w:pPr>
                </w:p>
              </w:tc>
            </w:tr>
            <w:tr w14:paraId="6ED707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8"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0681320F">
                  <w:pPr>
                    <w:keepNext w:val="0"/>
                    <w:keepLines w:val="0"/>
                    <w:suppressLineNumbers w:val="0"/>
                    <w:spacing w:before="0" w:beforeAutospacing="0" w:after="0" w:afterAutospacing="0" w:line="200" w:lineRule="exact"/>
                    <w:ind w:left="0" w:right="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3060" w:type="dxa"/>
                  <w:tcBorders>
                    <w:top w:val="single" w:color="000000" w:sz="6" w:space="0"/>
                    <w:left w:val="nil"/>
                    <w:bottom w:val="single" w:color="000000" w:sz="6" w:space="0"/>
                    <w:right w:val="single" w:color="000000" w:sz="6" w:space="0"/>
                  </w:tcBorders>
                  <w:noWrap w:val="0"/>
                  <w:vAlign w:val="center"/>
                </w:tcPr>
                <w:p w14:paraId="15CC05EA">
                  <w:pPr>
                    <w:keepNext w:val="0"/>
                    <w:keepLines w:val="0"/>
                    <w:suppressLineNumbers w:val="0"/>
                    <w:spacing w:before="0" w:beforeAutospacing="0" w:after="0" w:afterAutospacing="0" w:line="245" w:lineRule="exact"/>
                    <w:ind w:left="0" w:right="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应增加因发包人原因造成缺陷的修复金额</w:t>
                  </w:r>
                </w:p>
              </w:tc>
              <w:tc>
                <w:tcPr>
                  <w:tcW w:w="1676" w:type="dxa"/>
                  <w:tcBorders>
                    <w:top w:val="single" w:color="000000" w:sz="6" w:space="0"/>
                    <w:left w:val="nil"/>
                    <w:bottom w:val="single" w:color="000000" w:sz="6" w:space="0"/>
                    <w:right w:val="single" w:color="000000" w:sz="6" w:space="0"/>
                  </w:tcBorders>
                  <w:noWrap w:val="0"/>
                  <w:vAlign w:val="center"/>
                </w:tcPr>
                <w:p w14:paraId="453B96FF">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rPr>
                  </w:pPr>
                </w:p>
              </w:tc>
              <w:tc>
                <w:tcPr>
                  <w:tcW w:w="1676" w:type="dxa"/>
                  <w:tcBorders>
                    <w:top w:val="single" w:color="000000" w:sz="6" w:space="0"/>
                    <w:left w:val="nil"/>
                    <w:bottom w:val="single" w:color="000000" w:sz="6" w:space="0"/>
                    <w:right w:val="single" w:color="000000" w:sz="6" w:space="0"/>
                  </w:tcBorders>
                  <w:noWrap w:val="0"/>
                  <w:vAlign w:val="center"/>
                </w:tcPr>
                <w:p w14:paraId="7A57E7EB">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rPr>
                  </w:pPr>
                </w:p>
              </w:tc>
              <w:tc>
                <w:tcPr>
                  <w:tcW w:w="890" w:type="dxa"/>
                  <w:tcBorders>
                    <w:top w:val="single" w:color="000000" w:sz="6" w:space="0"/>
                    <w:left w:val="nil"/>
                    <w:bottom w:val="single" w:color="000000" w:sz="6" w:space="0"/>
                    <w:right w:val="single" w:color="000000" w:sz="6" w:space="0"/>
                  </w:tcBorders>
                  <w:noWrap w:val="0"/>
                  <w:vAlign w:val="center"/>
                </w:tcPr>
                <w:p w14:paraId="4CD34F45">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rPr>
                  </w:pPr>
                </w:p>
              </w:tc>
            </w:tr>
            <w:tr w14:paraId="5E5A95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3"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5D778B9A">
                  <w:pPr>
                    <w:keepNext w:val="0"/>
                    <w:keepLines w:val="0"/>
                    <w:suppressLineNumbers w:val="0"/>
                    <w:spacing w:before="0" w:beforeAutospacing="0" w:after="0" w:afterAutospacing="0" w:line="200" w:lineRule="exact"/>
                    <w:ind w:left="0" w:right="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3060" w:type="dxa"/>
                  <w:tcBorders>
                    <w:top w:val="single" w:color="000000" w:sz="6" w:space="0"/>
                    <w:left w:val="nil"/>
                    <w:bottom w:val="single" w:color="000000" w:sz="6" w:space="0"/>
                    <w:right w:val="single" w:color="000000" w:sz="6" w:space="0"/>
                  </w:tcBorders>
                  <w:noWrap w:val="0"/>
                  <w:vAlign w:val="center"/>
                </w:tcPr>
                <w:p w14:paraId="7FA99970">
                  <w:pPr>
                    <w:keepNext w:val="0"/>
                    <w:keepLines w:val="0"/>
                    <w:suppressLineNumbers w:val="0"/>
                    <w:spacing w:before="0" w:beforeAutospacing="0" w:after="0" w:afterAutospacing="0" w:line="243" w:lineRule="exact"/>
                    <w:ind w:left="0" w:right="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应扣减承包人不修复缺陷、发包人组织修复的金额</w:t>
                  </w:r>
                </w:p>
              </w:tc>
              <w:tc>
                <w:tcPr>
                  <w:tcW w:w="1676" w:type="dxa"/>
                  <w:tcBorders>
                    <w:top w:val="single" w:color="000000" w:sz="6" w:space="0"/>
                    <w:left w:val="nil"/>
                    <w:bottom w:val="single" w:color="000000" w:sz="6" w:space="0"/>
                    <w:right w:val="single" w:color="000000" w:sz="6" w:space="0"/>
                  </w:tcBorders>
                  <w:noWrap w:val="0"/>
                  <w:vAlign w:val="center"/>
                </w:tcPr>
                <w:p w14:paraId="061F7B46">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rPr>
                  </w:pPr>
                </w:p>
              </w:tc>
              <w:tc>
                <w:tcPr>
                  <w:tcW w:w="1676" w:type="dxa"/>
                  <w:tcBorders>
                    <w:top w:val="single" w:color="000000" w:sz="6" w:space="0"/>
                    <w:left w:val="nil"/>
                    <w:bottom w:val="single" w:color="000000" w:sz="6" w:space="0"/>
                    <w:right w:val="single" w:color="000000" w:sz="6" w:space="0"/>
                  </w:tcBorders>
                  <w:noWrap w:val="0"/>
                  <w:vAlign w:val="center"/>
                </w:tcPr>
                <w:p w14:paraId="4D95ECBD">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rPr>
                  </w:pPr>
                </w:p>
              </w:tc>
              <w:tc>
                <w:tcPr>
                  <w:tcW w:w="890" w:type="dxa"/>
                  <w:tcBorders>
                    <w:top w:val="single" w:color="000000" w:sz="6" w:space="0"/>
                    <w:left w:val="nil"/>
                    <w:bottom w:val="single" w:color="000000" w:sz="6" w:space="0"/>
                    <w:right w:val="single" w:color="000000" w:sz="6" w:space="0"/>
                  </w:tcBorders>
                  <w:noWrap w:val="0"/>
                  <w:vAlign w:val="center"/>
                </w:tcPr>
                <w:p w14:paraId="5465BBFA">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rPr>
                  </w:pPr>
                </w:p>
              </w:tc>
            </w:tr>
            <w:tr w14:paraId="301D9D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1336" w:type="dxa"/>
                  <w:tcBorders>
                    <w:top w:val="single" w:color="000000" w:sz="6" w:space="0"/>
                    <w:left w:val="single" w:color="000000" w:sz="6" w:space="0"/>
                    <w:bottom w:val="single" w:color="000000" w:sz="6" w:space="0"/>
                    <w:right w:val="single" w:color="000000" w:sz="6" w:space="0"/>
                  </w:tcBorders>
                  <w:noWrap w:val="0"/>
                  <w:vAlign w:val="center"/>
                </w:tcPr>
                <w:p w14:paraId="4D42B908">
                  <w:pPr>
                    <w:keepNext w:val="0"/>
                    <w:keepLines w:val="0"/>
                    <w:suppressLineNumbers w:val="0"/>
                    <w:spacing w:before="0" w:beforeAutospacing="0" w:after="0" w:afterAutospacing="0" w:line="200" w:lineRule="exact"/>
                    <w:ind w:left="0" w:right="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w:t>
                  </w:r>
                </w:p>
              </w:tc>
              <w:tc>
                <w:tcPr>
                  <w:tcW w:w="3060" w:type="dxa"/>
                  <w:tcBorders>
                    <w:top w:val="single" w:color="000000" w:sz="6" w:space="0"/>
                    <w:left w:val="nil"/>
                    <w:bottom w:val="single" w:color="000000" w:sz="6" w:space="0"/>
                    <w:right w:val="single" w:color="000000" w:sz="6" w:space="0"/>
                  </w:tcBorders>
                  <w:noWrap w:val="0"/>
                  <w:vAlign w:val="center"/>
                </w:tcPr>
                <w:p w14:paraId="315A45CF">
                  <w:pPr>
                    <w:keepNext w:val="0"/>
                    <w:keepLines w:val="0"/>
                    <w:suppressLineNumbers w:val="0"/>
                    <w:spacing w:before="0" w:beforeAutospacing="0" w:after="0" w:afterAutospacing="0" w:line="243" w:lineRule="exact"/>
                    <w:ind w:left="0" w:right="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最终应支付的合同价款</w:t>
                  </w:r>
                </w:p>
              </w:tc>
              <w:tc>
                <w:tcPr>
                  <w:tcW w:w="1676" w:type="dxa"/>
                  <w:tcBorders>
                    <w:top w:val="single" w:color="000000" w:sz="6" w:space="0"/>
                    <w:left w:val="nil"/>
                    <w:bottom w:val="single" w:color="000000" w:sz="6" w:space="0"/>
                    <w:right w:val="single" w:color="000000" w:sz="6" w:space="0"/>
                  </w:tcBorders>
                  <w:noWrap w:val="0"/>
                  <w:vAlign w:val="center"/>
                </w:tcPr>
                <w:p w14:paraId="2CFBAA65">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rPr>
                  </w:pPr>
                </w:p>
              </w:tc>
              <w:tc>
                <w:tcPr>
                  <w:tcW w:w="1676" w:type="dxa"/>
                  <w:tcBorders>
                    <w:top w:val="single" w:color="000000" w:sz="6" w:space="0"/>
                    <w:left w:val="nil"/>
                    <w:bottom w:val="single" w:color="000000" w:sz="6" w:space="0"/>
                    <w:right w:val="single" w:color="000000" w:sz="6" w:space="0"/>
                  </w:tcBorders>
                  <w:noWrap w:val="0"/>
                  <w:vAlign w:val="center"/>
                </w:tcPr>
                <w:p w14:paraId="154751A2">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rPr>
                  </w:pPr>
                </w:p>
              </w:tc>
              <w:tc>
                <w:tcPr>
                  <w:tcW w:w="890" w:type="dxa"/>
                  <w:tcBorders>
                    <w:top w:val="single" w:color="000000" w:sz="6" w:space="0"/>
                    <w:left w:val="nil"/>
                    <w:bottom w:val="single" w:color="000000" w:sz="6" w:space="0"/>
                    <w:right w:val="single" w:color="000000" w:sz="6" w:space="0"/>
                  </w:tcBorders>
                  <w:noWrap w:val="0"/>
                  <w:vAlign w:val="center"/>
                </w:tcPr>
                <w:p w14:paraId="155B6519">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auto"/>
                      <w:kern w:val="0"/>
                      <w:sz w:val="21"/>
                      <w:szCs w:val="21"/>
                      <w:highlight w:val="none"/>
                    </w:rPr>
                  </w:pPr>
                </w:p>
              </w:tc>
            </w:tr>
          </w:tbl>
          <w:p w14:paraId="59843CE8">
            <w:pPr>
              <w:keepNext w:val="0"/>
              <w:keepLines w:val="0"/>
              <w:suppressLineNumbers w:val="0"/>
              <w:spacing w:before="10" w:beforeAutospacing="0" w:after="0" w:afterAutospacing="0" w:line="220" w:lineRule="exact"/>
              <w:ind w:left="0" w:right="0"/>
              <w:rPr>
                <w:rFonts w:hint="eastAsia" w:ascii="宋体" w:hAnsi="宋体" w:eastAsia="宋体" w:cs="宋体"/>
                <w:color w:val="auto"/>
                <w:kern w:val="0"/>
                <w:highlight w:val="none"/>
              </w:rPr>
            </w:pPr>
          </w:p>
          <w:p w14:paraId="526B198F">
            <w:pPr>
              <w:keepNext w:val="0"/>
              <w:keepLines w:val="0"/>
              <w:suppressLineNumbers w:val="0"/>
              <w:spacing w:before="10" w:beforeAutospacing="0" w:after="0" w:afterAutospacing="0" w:line="220" w:lineRule="exact"/>
              <w:ind w:left="0" w:right="0"/>
              <w:rPr>
                <w:rFonts w:hint="eastAsia" w:ascii="宋体" w:hAnsi="宋体" w:eastAsia="宋体" w:cs="宋体"/>
                <w:color w:val="auto"/>
                <w:kern w:val="0"/>
                <w:highlight w:val="none"/>
              </w:rPr>
            </w:pPr>
            <w:r>
              <w:rPr>
                <w:rFonts w:hint="eastAsia" w:ascii="宋体" w:hAnsi="宋体" w:eastAsia="宋体" w:cs="宋体"/>
                <w:color w:val="auto"/>
                <w:kern w:val="0"/>
                <w:highlight w:val="none"/>
              </w:rPr>
              <w:t>附：上述3、4详见附件清单。</w:t>
            </w:r>
          </w:p>
          <w:p w14:paraId="17BC6B83">
            <w:pPr>
              <w:keepNext w:val="0"/>
              <w:keepLines w:val="0"/>
              <w:suppressLineNumbers w:val="0"/>
              <w:spacing w:before="0" w:beforeAutospacing="0" w:after="0" w:afterAutospacing="0"/>
              <w:ind w:left="0" w:right="0"/>
              <w:jc w:val="center"/>
              <w:rPr>
                <w:rFonts w:hint="eastAsia" w:ascii="宋体" w:hAnsi="宋体" w:eastAsia="宋体" w:cs="宋体"/>
                <w:color w:val="auto"/>
                <w:kern w:val="0"/>
                <w:highlight w:val="none"/>
              </w:rPr>
            </w:pPr>
          </w:p>
        </w:tc>
      </w:tr>
      <w:tr w14:paraId="1B2422D1">
        <w:tblPrEx>
          <w:tblCellMar>
            <w:top w:w="0" w:type="dxa"/>
            <w:left w:w="0" w:type="dxa"/>
            <w:bottom w:w="0" w:type="dxa"/>
            <w:right w:w="0" w:type="dxa"/>
          </w:tblCellMar>
        </w:tblPrEx>
        <w:trPr>
          <w:trHeight w:val="239" w:hRule="atLeast"/>
          <w:jc w:val="center"/>
        </w:trPr>
        <w:tc>
          <w:tcPr>
            <w:tcW w:w="9602" w:type="dxa"/>
            <w:gridSpan w:val="4"/>
            <w:tcBorders>
              <w:top w:val="nil"/>
              <w:left w:val="single" w:color="000000" w:sz="4" w:space="0"/>
              <w:bottom w:val="nil"/>
              <w:right w:val="single" w:color="000000" w:sz="4" w:space="0"/>
            </w:tcBorders>
            <w:noWrap w:val="0"/>
            <w:vAlign w:val="top"/>
          </w:tcPr>
          <w:p w14:paraId="5124EE05">
            <w:pPr>
              <w:keepNext w:val="0"/>
              <w:keepLines w:val="0"/>
              <w:suppressLineNumbers w:val="0"/>
              <w:wordWrap w:val="0"/>
              <w:spacing w:before="0" w:beforeAutospacing="0" w:after="0" w:afterAutospacing="0" w:line="246" w:lineRule="exact"/>
              <w:ind w:left="0" w:right="360"/>
              <w:jc w:val="righ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w:t>
            </w:r>
            <w:r>
              <w:rPr>
                <w:rFonts w:hint="eastAsia" w:ascii="宋体" w:hAnsi="宋体" w:eastAsia="宋体" w:cs="宋体"/>
                <w:color w:val="auto"/>
                <w:kern w:val="0"/>
                <w:highlight w:val="none"/>
                <w:lang w:eastAsia="zh-CN"/>
              </w:rPr>
              <w:t>（</w:t>
            </w:r>
            <w:r>
              <w:rPr>
                <w:rFonts w:hint="eastAsia" w:ascii="宋体" w:hAnsi="宋体" w:eastAsia="宋体" w:cs="宋体"/>
                <w:color w:val="auto"/>
                <w:kern w:val="0"/>
                <w:highlight w:val="none"/>
              </w:rPr>
              <w:t>章</w:t>
            </w:r>
            <w:r>
              <w:rPr>
                <w:rFonts w:hint="eastAsia" w:ascii="宋体" w:hAnsi="宋体" w:eastAsia="宋体" w:cs="宋体"/>
                <w:color w:val="auto"/>
                <w:kern w:val="0"/>
                <w:highlight w:val="none"/>
                <w:lang w:eastAsia="zh-CN"/>
              </w:rPr>
              <w:t>）</w:t>
            </w:r>
            <w:r>
              <w:rPr>
                <w:rFonts w:hint="eastAsia" w:ascii="宋体" w:hAnsi="宋体" w:eastAsia="宋体" w:cs="宋体"/>
                <w:color w:val="auto"/>
                <w:kern w:val="0"/>
                <w:highlight w:val="none"/>
              </w:rPr>
              <w:t xml:space="preserve">           </w:t>
            </w:r>
          </w:p>
        </w:tc>
      </w:tr>
      <w:tr w14:paraId="118E0C73">
        <w:tblPrEx>
          <w:tblCellMar>
            <w:top w:w="0" w:type="dxa"/>
            <w:left w:w="0" w:type="dxa"/>
            <w:bottom w:w="0" w:type="dxa"/>
            <w:right w:w="0" w:type="dxa"/>
          </w:tblCellMar>
        </w:tblPrEx>
        <w:trPr>
          <w:trHeight w:val="645" w:hRule="atLeast"/>
          <w:jc w:val="center"/>
        </w:trPr>
        <w:tc>
          <w:tcPr>
            <w:tcW w:w="2524" w:type="dxa"/>
            <w:tcBorders>
              <w:top w:val="nil"/>
              <w:left w:val="single" w:color="auto" w:sz="4" w:space="0"/>
              <w:bottom w:val="nil"/>
              <w:right w:val="nil"/>
            </w:tcBorders>
            <w:noWrap w:val="0"/>
            <w:vAlign w:val="top"/>
          </w:tcPr>
          <w:p w14:paraId="21058FF7">
            <w:pPr>
              <w:keepNext w:val="0"/>
              <w:keepLines w:val="0"/>
              <w:suppressLineNumbers w:val="0"/>
              <w:spacing w:before="0" w:beforeAutospacing="0" w:after="0" w:afterAutospacing="0" w:line="246" w:lineRule="exact"/>
              <w:ind w:left="0" w:right="0"/>
              <w:rPr>
                <w:rFonts w:hint="eastAsia" w:ascii="宋体" w:hAnsi="宋体" w:eastAsia="宋体" w:cs="宋体"/>
                <w:color w:val="auto"/>
                <w:kern w:val="0"/>
                <w:highlight w:val="none"/>
              </w:rPr>
            </w:pPr>
          </w:p>
          <w:p w14:paraId="38C8B289">
            <w:pPr>
              <w:keepNext w:val="0"/>
              <w:keepLines w:val="0"/>
              <w:suppressLineNumbers w:val="0"/>
              <w:spacing w:before="0" w:beforeAutospacing="0" w:after="0" w:afterAutospacing="0" w:line="246" w:lineRule="exact"/>
              <w:ind w:left="0" w:right="0"/>
              <w:rPr>
                <w:rFonts w:hint="eastAsia" w:ascii="宋体" w:hAnsi="宋体" w:eastAsia="宋体" w:cs="宋体"/>
                <w:color w:val="auto"/>
                <w:kern w:val="0"/>
                <w:highlight w:val="none"/>
              </w:rPr>
            </w:pPr>
            <w:r>
              <w:rPr>
                <w:rFonts w:hint="eastAsia" w:ascii="宋体" w:hAnsi="宋体" w:eastAsia="宋体" w:cs="宋体"/>
                <w:color w:val="auto"/>
                <w:kern w:val="0"/>
                <w:highlight w:val="none"/>
              </w:rPr>
              <w:t>编制人员</w:t>
            </w:r>
            <w:r>
              <w:rPr>
                <w:rFonts w:hint="eastAsia" w:ascii="宋体" w:hAnsi="宋体" w:eastAsia="宋体" w:cs="宋体"/>
                <w:color w:val="auto"/>
                <w:kern w:val="0"/>
                <w:highlight w:val="none"/>
                <w:u w:val="single"/>
              </w:rPr>
              <w:t xml:space="preserve">            </w:t>
            </w:r>
          </w:p>
        </w:tc>
        <w:tc>
          <w:tcPr>
            <w:tcW w:w="3397" w:type="dxa"/>
            <w:gridSpan w:val="2"/>
            <w:tcBorders>
              <w:top w:val="nil"/>
              <w:left w:val="nil"/>
              <w:bottom w:val="nil"/>
              <w:right w:val="nil"/>
            </w:tcBorders>
            <w:noWrap w:val="0"/>
            <w:vAlign w:val="top"/>
          </w:tcPr>
          <w:p w14:paraId="661CD46C">
            <w:pPr>
              <w:keepNext w:val="0"/>
              <w:keepLines w:val="0"/>
              <w:suppressLineNumbers w:val="0"/>
              <w:spacing w:before="0" w:beforeAutospacing="0" w:after="0" w:afterAutospacing="0" w:line="246" w:lineRule="exact"/>
              <w:ind w:left="0" w:right="0"/>
              <w:rPr>
                <w:rFonts w:hint="eastAsia" w:ascii="宋体" w:hAnsi="宋体" w:eastAsia="宋体" w:cs="宋体"/>
                <w:color w:val="auto"/>
                <w:kern w:val="0"/>
                <w:highlight w:val="none"/>
              </w:rPr>
            </w:pPr>
          </w:p>
          <w:p w14:paraId="3ADDE6F6">
            <w:pPr>
              <w:keepNext w:val="0"/>
              <w:keepLines w:val="0"/>
              <w:suppressLineNumbers w:val="0"/>
              <w:spacing w:before="0" w:beforeAutospacing="0" w:after="0" w:afterAutospacing="0" w:line="246" w:lineRule="exact"/>
              <w:ind w:left="0" w:right="0"/>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承包人代表</w:t>
            </w:r>
            <w:r>
              <w:rPr>
                <w:rFonts w:hint="eastAsia" w:ascii="宋体" w:hAnsi="宋体" w:eastAsia="宋体" w:cs="宋体"/>
                <w:color w:val="auto"/>
                <w:kern w:val="0"/>
                <w:highlight w:val="none"/>
                <w:u w:val="single"/>
              </w:rPr>
              <w:t xml:space="preserve">            </w:t>
            </w:r>
          </w:p>
        </w:tc>
        <w:tc>
          <w:tcPr>
            <w:tcW w:w="3681" w:type="dxa"/>
            <w:tcBorders>
              <w:top w:val="nil"/>
              <w:left w:val="nil"/>
              <w:bottom w:val="nil"/>
              <w:right w:val="single" w:color="auto" w:sz="4" w:space="0"/>
            </w:tcBorders>
            <w:noWrap w:val="0"/>
            <w:vAlign w:val="top"/>
          </w:tcPr>
          <w:p w14:paraId="10AFDE14">
            <w:pPr>
              <w:keepNext w:val="0"/>
              <w:keepLines w:val="0"/>
              <w:suppressLineNumbers w:val="0"/>
              <w:spacing w:before="0" w:beforeAutospacing="0" w:after="0" w:afterAutospacing="0" w:line="246" w:lineRule="exact"/>
              <w:ind w:left="0" w:right="0"/>
              <w:rPr>
                <w:rFonts w:hint="eastAsia" w:ascii="宋体" w:hAnsi="宋体" w:eastAsia="宋体" w:cs="宋体"/>
                <w:color w:val="auto"/>
                <w:kern w:val="0"/>
                <w:highlight w:val="none"/>
              </w:rPr>
            </w:pPr>
          </w:p>
          <w:p w14:paraId="309362E9">
            <w:pPr>
              <w:keepNext w:val="0"/>
              <w:keepLines w:val="0"/>
              <w:suppressLineNumbers w:val="0"/>
              <w:spacing w:before="0" w:beforeAutospacing="0" w:after="0" w:afterAutospacing="0" w:line="246" w:lineRule="exact"/>
              <w:ind w:left="0" w:right="0"/>
              <w:rPr>
                <w:rFonts w:hint="eastAsia" w:ascii="宋体" w:hAnsi="宋体" w:eastAsia="宋体" w:cs="宋体"/>
                <w:color w:val="auto"/>
                <w:kern w:val="0"/>
                <w:highlight w:val="none"/>
              </w:rPr>
            </w:pPr>
            <w:r>
              <w:rPr>
                <w:rFonts w:hint="eastAsia" w:ascii="宋体" w:hAnsi="宋体" w:eastAsia="宋体" w:cs="宋体"/>
                <w:color w:val="auto"/>
                <w:kern w:val="0"/>
                <w:highlight w:val="none"/>
              </w:rPr>
              <w:t>日期</w:t>
            </w:r>
            <w:r>
              <w:rPr>
                <w:rFonts w:hint="eastAsia" w:ascii="宋体" w:hAnsi="宋体" w:eastAsia="宋体" w:cs="宋体"/>
                <w:color w:val="auto"/>
                <w:kern w:val="0"/>
                <w:highlight w:val="none"/>
                <w:u w:val="single"/>
              </w:rPr>
              <w:t xml:space="preserve">            </w:t>
            </w:r>
          </w:p>
        </w:tc>
      </w:tr>
      <w:tr w14:paraId="4468D8BE">
        <w:tblPrEx>
          <w:tblCellMar>
            <w:top w:w="0" w:type="dxa"/>
            <w:left w:w="0" w:type="dxa"/>
            <w:bottom w:w="0" w:type="dxa"/>
            <w:right w:w="0" w:type="dxa"/>
          </w:tblCellMar>
        </w:tblPrEx>
        <w:trPr>
          <w:trHeight w:val="479" w:hRule="atLeast"/>
          <w:jc w:val="center"/>
        </w:trPr>
        <w:tc>
          <w:tcPr>
            <w:tcW w:w="4938" w:type="dxa"/>
            <w:gridSpan w:val="2"/>
            <w:tcBorders>
              <w:top w:val="single" w:color="000000" w:sz="4" w:space="0"/>
              <w:left w:val="single" w:color="000000" w:sz="4" w:space="0"/>
              <w:bottom w:val="nil"/>
              <w:right w:val="single" w:color="000000" w:sz="4" w:space="0"/>
            </w:tcBorders>
            <w:noWrap w:val="0"/>
            <w:vAlign w:val="center"/>
          </w:tcPr>
          <w:p w14:paraId="44AB36F3">
            <w:pPr>
              <w:keepNext w:val="0"/>
              <w:keepLines w:val="0"/>
              <w:suppressLineNumbers w:val="0"/>
              <w:spacing w:before="0" w:beforeAutospacing="0" w:after="0" w:afterAutospacing="0"/>
              <w:ind w:left="0" w:right="0"/>
              <w:rPr>
                <w:rFonts w:hint="eastAsia" w:ascii="宋体" w:hAnsi="宋体" w:eastAsia="宋体" w:cs="宋体"/>
                <w:color w:val="auto"/>
                <w:kern w:val="0"/>
                <w:highlight w:val="none"/>
              </w:rPr>
            </w:pPr>
            <w:r>
              <w:rPr>
                <w:rFonts w:hint="eastAsia" w:ascii="宋体" w:hAnsi="宋体" w:eastAsia="宋体" w:cs="宋体"/>
                <w:color w:val="auto"/>
                <w:kern w:val="0"/>
                <w:highlight w:val="none"/>
              </w:rPr>
              <w:t>复核意见：</w:t>
            </w:r>
          </w:p>
        </w:tc>
        <w:tc>
          <w:tcPr>
            <w:tcW w:w="4664" w:type="dxa"/>
            <w:gridSpan w:val="2"/>
            <w:tcBorders>
              <w:top w:val="single" w:color="000000" w:sz="4" w:space="0"/>
              <w:left w:val="nil"/>
              <w:bottom w:val="nil"/>
              <w:right w:val="single" w:color="000000" w:sz="4" w:space="0"/>
            </w:tcBorders>
            <w:noWrap w:val="0"/>
            <w:vAlign w:val="center"/>
          </w:tcPr>
          <w:p w14:paraId="3E1D6E8A">
            <w:pPr>
              <w:keepNext w:val="0"/>
              <w:keepLines w:val="0"/>
              <w:suppressLineNumbers w:val="0"/>
              <w:spacing w:before="0" w:beforeAutospacing="0" w:after="0" w:afterAutospacing="0"/>
              <w:ind w:left="0" w:right="0"/>
              <w:rPr>
                <w:rFonts w:hint="eastAsia" w:ascii="宋体" w:hAnsi="宋体" w:eastAsia="宋体" w:cs="宋体"/>
                <w:color w:val="auto"/>
                <w:kern w:val="0"/>
                <w:highlight w:val="none"/>
              </w:rPr>
            </w:pPr>
            <w:r>
              <w:rPr>
                <w:rFonts w:hint="eastAsia" w:ascii="宋体" w:hAnsi="宋体" w:eastAsia="宋体" w:cs="宋体"/>
                <w:color w:val="auto"/>
                <w:kern w:val="0"/>
                <w:highlight w:val="none"/>
              </w:rPr>
              <w:t>复核意见：</w:t>
            </w:r>
          </w:p>
        </w:tc>
      </w:tr>
      <w:tr w14:paraId="0CB71A59">
        <w:tblPrEx>
          <w:tblCellMar>
            <w:top w:w="0" w:type="dxa"/>
            <w:left w:w="0" w:type="dxa"/>
            <w:bottom w:w="0" w:type="dxa"/>
            <w:right w:w="0" w:type="dxa"/>
          </w:tblCellMar>
        </w:tblPrEx>
        <w:trPr>
          <w:trHeight w:val="601" w:hRule="atLeast"/>
          <w:jc w:val="center"/>
        </w:trPr>
        <w:tc>
          <w:tcPr>
            <w:tcW w:w="4938" w:type="dxa"/>
            <w:gridSpan w:val="2"/>
            <w:tcBorders>
              <w:top w:val="nil"/>
              <w:left w:val="single" w:color="000000" w:sz="4" w:space="0"/>
              <w:bottom w:val="nil"/>
              <w:right w:val="single" w:color="000000" w:sz="4" w:space="0"/>
            </w:tcBorders>
            <w:noWrap w:val="0"/>
            <w:vAlign w:val="center"/>
          </w:tcPr>
          <w:p w14:paraId="67C81784">
            <w:pPr>
              <w:keepNext w:val="0"/>
              <w:keepLines w:val="0"/>
              <w:suppressLineNumbers w:val="0"/>
              <w:spacing w:before="0" w:beforeAutospacing="0" w:after="0" w:afterAutospacing="0" w:line="246" w:lineRule="exact"/>
              <w:ind w:left="0" w:right="0"/>
              <w:rPr>
                <w:rFonts w:hint="eastAsia" w:ascii="宋体" w:hAnsi="宋体" w:eastAsia="宋体" w:cs="宋体"/>
                <w:color w:val="auto"/>
                <w:kern w:val="0"/>
                <w:highlight w:val="none"/>
              </w:rPr>
            </w:pPr>
            <w:r>
              <w:rPr>
                <w:rFonts w:hint="eastAsia" w:ascii="宋体" w:hAnsi="宋体" w:eastAsia="宋体" w:cs="宋体"/>
                <w:color w:val="auto"/>
                <w:kern w:val="0"/>
                <w:highlight w:val="none"/>
              </w:rPr>
              <w:t>□与实际施工情况不相符</w:t>
            </w:r>
            <w:r>
              <w:rPr>
                <w:rFonts w:hint="eastAsia" w:ascii="宋体" w:hAnsi="宋体" w:eastAsia="宋体" w:cs="宋体"/>
                <w:color w:val="auto"/>
                <w:kern w:val="0"/>
                <w:highlight w:val="none"/>
                <w:lang w:eastAsia="zh-CN"/>
              </w:rPr>
              <w:t>，</w:t>
            </w:r>
            <w:r>
              <w:rPr>
                <w:rFonts w:hint="eastAsia" w:ascii="宋体" w:hAnsi="宋体" w:eastAsia="宋体" w:cs="宋体"/>
                <w:color w:val="auto"/>
                <w:kern w:val="0"/>
                <w:highlight w:val="none"/>
              </w:rPr>
              <w:t>修改意见见附件</w:t>
            </w:r>
          </w:p>
        </w:tc>
        <w:tc>
          <w:tcPr>
            <w:tcW w:w="4664" w:type="dxa"/>
            <w:gridSpan w:val="2"/>
            <w:vMerge w:val="restart"/>
            <w:tcBorders>
              <w:top w:val="nil"/>
              <w:left w:val="nil"/>
              <w:bottom w:val="nil"/>
              <w:right w:val="single" w:color="000000" w:sz="4" w:space="0"/>
            </w:tcBorders>
            <w:noWrap w:val="0"/>
            <w:vAlign w:val="top"/>
          </w:tcPr>
          <w:p w14:paraId="1EF5CB55">
            <w:pPr>
              <w:keepNext w:val="0"/>
              <w:keepLines w:val="0"/>
              <w:suppressLineNumbers w:val="0"/>
              <w:spacing w:before="0" w:beforeAutospacing="0" w:after="0" w:afterAutospacing="0" w:line="246" w:lineRule="exact"/>
              <w:ind w:left="0" w:right="0" w:firstLine="428" w:firstLineChars="200"/>
              <w:rPr>
                <w:rFonts w:hint="eastAsia" w:ascii="宋体" w:hAnsi="宋体" w:eastAsia="宋体" w:cs="宋体"/>
                <w:color w:val="auto"/>
                <w:kern w:val="0"/>
                <w:highlight w:val="none"/>
              </w:rPr>
            </w:pPr>
            <w:r>
              <w:rPr>
                <w:rFonts w:hint="eastAsia" w:ascii="宋体" w:hAnsi="宋体" w:eastAsia="宋体" w:cs="宋体"/>
                <w:color w:val="auto"/>
                <w:spacing w:val="2"/>
                <w:kern w:val="0"/>
                <w:highlight w:val="none"/>
              </w:rPr>
              <w:t>你方提出的支付申请经复核</w:t>
            </w:r>
            <w:r>
              <w:rPr>
                <w:rFonts w:hint="eastAsia" w:ascii="宋体" w:hAnsi="宋体" w:eastAsia="宋体" w:cs="宋体"/>
                <w:color w:val="auto"/>
                <w:spacing w:val="2"/>
                <w:kern w:val="0"/>
                <w:highlight w:val="none"/>
                <w:lang w:eastAsia="zh-CN"/>
              </w:rPr>
              <w:t>，</w:t>
            </w:r>
            <w:r>
              <w:rPr>
                <w:rFonts w:hint="eastAsia" w:ascii="宋体" w:hAnsi="宋体" w:eastAsia="宋体" w:cs="宋体"/>
                <w:color w:val="auto"/>
                <w:spacing w:val="2"/>
                <w:kern w:val="0"/>
                <w:highlight w:val="none"/>
              </w:rPr>
              <w:t>本期间应支付金额为（大写）</w:t>
            </w:r>
            <w:r>
              <w:rPr>
                <w:rFonts w:hint="eastAsia" w:ascii="宋体" w:hAnsi="宋体" w:eastAsia="宋体" w:cs="宋体"/>
                <w:color w:val="auto"/>
                <w:spacing w:val="2"/>
                <w:kern w:val="0"/>
                <w:highlight w:val="none"/>
                <w:u w:val="single"/>
              </w:rPr>
              <w:tab/>
            </w:r>
            <w:r>
              <w:rPr>
                <w:rFonts w:hint="eastAsia" w:ascii="宋体" w:hAnsi="宋体" w:eastAsia="宋体" w:cs="宋体"/>
                <w:color w:val="auto"/>
                <w:spacing w:val="2"/>
                <w:kern w:val="0"/>
                <w:highlight w:val="none"/>
                <w:u w:val="single"/>
              </w:rPr>
              <w:tab/>
            </w:r>
            <w:r>
              <w:rPr>
                <w:rFonts w:hint="eastAsia" w:ascii="宋体" w:hAnsi="宋体" w:eastAsia="宋体" w:cs="宋体"/>
                <w:color w:val="auto"/>
                <w:spacing w:val="2"/>
                <w:kern w:val="0"/>
                <w:highlight w:val="none"/>
                <w:u w:val="single"/>
              </w:rPr>
              <w:t xml:space="preserve"> </w:t>
            </w:r>
            <w:r>
              <w:rPr>
                <w:rFonts w:hint="eastAsia" w:ascii="宋体" w:hAnsi="宋体" w:eastAsia="宋体" w:cs="宋体"/>
                <w:color w:val="auto"/>
                <w:spacing w:val="2"/>
                <w:kern w:val="0"/>
                <w:highlight w:val="none"/>
              </w:rPr>
              <w:t>（小写</w:t>
            </w:r>
            <w:r>
              <w:rPr>
                <w:rFonts w:hint="eastAsia" w:ascii="宋体" w:hAnsi="宋体" w:eastAsia="宋体" w:cs="宋体"/>
                <w:color w:val="auto"/>
                <w:spacing w:val="2"/>
                <w:kern w:val="0"/>
                <w:highlight w:val="none"/>
                <w:u w:val="single"/>
              </w:rPr>
              <w:tab/>
            </w:r>
            <w:r>
              <w:rPr>
                <w:rFonts w:hint="eastAsia" w:ascii="宋体" w:hAnsi="宋体" w:eastAsia="宋体" w:cs="宋体"/>
                <w:color w:val="auto"/>
                <w:spacing w:val="2"/>
                <w:kern w:val="0"/>
                <w:highlight w:val="none"/>
                <w:u w:val="single"/>
              </w:rPr>
              <w:tab/>
            </w:r>
            <w:r>
              <w:rPr>
                <w:rFonts w:hint="eastAsia" w:ascii="宋体" w:hAnsi="宋体" w:eastAsia="宋体" w:cs="宋体"/>
                <w:color w:val="auto"/>
                <w:spacing w:val="2"/>
                <w:kern w:val="0"/>
                <w:highlight w:val="none"/>
                <w:u w:val="single"/>
              </w:rPr>
              <w:t xml:space="preserve">      </w:t>
            </w:r>
            <w:r>
              <w:rPr>
                <w:rFonts w:hint="eastAsia" w:ascii="宋体" w:hAnsi="宋体" w:eastAsia="宋体" w:cs="宋体"/>
                <w:color w:val="auto"/>
                <w:spacing w:val="2"/>
                <w:kern w:val="0"/>
                <w:highlight w:val="none"/>
                <w:u w:val="single"/>
              </w:rPr>
              <w:tab/>
            </w:r>
            <w:r>
              <w:rPr>
                <w:rFonts w:hint="eastAsia" w:ascii="宋体" w:hAnsi="宋体" w:eastAsia="宋体" w:cs="宋体"/>
                <w:color w:val="auto"/>
                <w:spacing w:val="2"/>
                <w:kern w:val="0"/>
                <w:highlight w:val="none"/>
              </w:rPr>
              <w:t>）。</w:t>
            </w:r>
          </w:p>
        </w:tc>
      </w:tr>
      <w:tr w14:paraId="3CE430B0">
        <w:tblPrEx>
          <w:tblCellMar>
            <w:top w:w="0" w:type="dxa"/>
            <w:left w:w="0" w:type="dxa"/>
            <w:bottom w:w="0" w:type="dxa"/>
            <w:right w:w="0" w:type="dxa"/>
          </w:tblCellMar>
        </w:tblPrEx>
        <w:trPr>
          <w:trHeight w:val="623" w:hRule="atLeast"/>
          <w:jc w:val="center"/>
        </w:trPr>
        <w:tc>
          <w:tcPr>
            <w:tcW w:w="4938" w:type="dxa"/>
            <w:gridSpan w:val="2"/>
            <w:tcBorders>
              <w:top w:val="nil"/>
              <w:left w:val="single" w:color="000000" w:sz="4" w:space="0"/>
              <w:bottom w:val="nil"/>
              <w:right w:val="single" w:color="000000" w:sz="4" w:space="0"/>
            </w:tcBorders>
            <w:noWrap w:val="0"/>
            <w:vAlign w:val="center"/>
          </w:tcPr>
          <w:p w14:paraId="3EEBD878">
            <w:pPr>
              <w:keepNext w:val="0"/>
              <w:keepLines w:val="0"/>
              <w:suppressLineNumbers w:val="0"/>
              <w:spacing w:before="0" w:beforeAutospacing="0" w:after="0" w:afterAutospacing="0" w:line="246" w:lineRule="exact"/>
              <w:ind w:left="0" w:right="0"/>
              <w:rPr>
                <w:rFonts w:hint="eastAsia" w:ascii="宋体" w:hAnsi="宋体" w:eastAsia="宋体" w:cs="宋体"/>
                <w:color w:val="auto"/>
                <w:kern w:val="0"/>
                <w:highlight w:val="none"/>
              </w:rPr>
            </w:pPr>
            <w:r>
              <w:rPr>
                <w:rFonts w:hint="eastAsia" w:ascii="宋体" w:hAnsi="宋体" w:eastAsia="宋体" w:cs="宋体"/>
                <w:color w:val="auto"/>
                <w:spacing w:val="7"/>
                <w:kern w:val="0"/>
                <w:highlight w:val="none"/>
              </w:rPr>
              <w:t>□与实际施工</w:t>
            </w:r>
            <w:r>
              <w:rPr>
                <w:rFonts w:hint="eastAsia" w:ascii="宋体" w:hAnsi="宋体" w:eastAsia="宋体" w:cs="宋体"/>
                <w:color w:val="auto"/>
                <w:spacing w:val="4"/>
                <w:kern w:val="0"/>
                <w:highlight w:val="none"/>
              </w:rPr>
              <w:t>情</w:t>
            </w:r>
            <w:r>
              <w:rPr>
                <w:rFonts w:hint="eastAsia" w:ascii="宋体" w:hAnsi="宋体" w:eastAsia="宋体" w:cs="宋体"/>
                <w:color w:val="auto"/>
                <w:spacing w:val="7"/>
                <w:kern w:val="0"/>
                <w:highlight w:val="none"/>
              </w:rPr>
              <w:t>况相符</w:t>
            </w:r>
            <w:r>
              <w:rPr>
                <w:rFonts w:hint="eastAsia" w:ascii="宋体" w:hAnsi="宋体" w:eastAsia="宋体" w:cs="宋体"/>
                <w:color w:val="auto"/>
                <w:spacing w:val="7"/>
                <w:kern w:val="0"/>
                <w:highlight w:val="none"/>
                <w:lang w:eastAsia="zh-CN"/>
              </w:rPr>
              <w:t>，</w:t>
            </w:r>
            <w:r>
              <w:rPr>
                <w:rFonts w:hint="eastAsia" w:ascii="宋体" w:hAnsi="宋体" w:eastAsia="宋体" w:cs="宋体"/>
                <w:color w:val="auto"/>
                <w:spacing w:val="4"/>
                <w:kern w:val="0"/>
                <w:highlight w:val="none"/>
              </w:rPr>
              <w:t>具体</w:t>
            </w:r>
            <w:r>
              <w:rPr>
                <w:rFonts w:hint="eastAsia" w:ascii="宋体" w:hAnsi="宋体" w:eastAsia="宋体" w:cs="宋体"/>
                <w:color w:val="auto"/>
                <w:spacing w:val="7"/>
                <w:kern w:val="0"/>
                <w:highlight w:val="none"/>
              </w:rPr>
              <w:t>金额应由造价工</w:t>
            </w:r>
            <w:r>
              <w:rPr>
                <w:rFonts w:hint="eastAsia" w:ascii="宋体" w:hAnsi="宋体" w:eastAsia="宋体" w:cs="宋体"/>
                <w:color w:val="auto"/>
                <w:spacing w:val="4"/>
                <w:kern w:val="0"/>
                <w:highlight w:val="none"/>
              </w:rPr>
              <w:t>程</w:t>
            </w:r>
            <w:r>
              <w:rPr>
                <w:rFonts w:hint="eastAsia" w:ascii="宋体" w:hAnsi="宋体" w:eastAsia="宋体" w:cs="宋体"/>
                <w:color w:val="auto"/>
                <w:spacing w:val="7"/>
                <w:kern w:val="0"/>
                <w:highlight w:val="none"/>
              </w:rPr>
              <w:t>师</w:t>
            </w:r>
            <w:r>
              <w:rPr>
                <w:rFonts w:hint="eastAsia" w:ascii="宋体" w:hAnsi="宋体" w:eastAsia="宋体" w:cs="宋体"/>
                <w:color w:val="auto"/>
                <w:kern w:val="0"/>
                <w:highlight w:val="none"/>
              </w:rPr>
              <w:t>复核</w:t>
            </w:r>
          </w:p>
        </w:tc>
        <w:tc>
          <w:tcPr>
            <w:tcW w:w="4664" w:type="dxa"/>
            <w:gridSpan w:val="2"/>
            <w:vMerge w:val="continue"/>
            <w:tcBorders>
              <w:top w:val="nil"/>
              <w:left w:val="nil"/>
              <w:bottom w:val="nil"/>
              <w:right w:val="single" w:color="000000" w:sz="4" w:space="0"/>
            </w:tcBorders>
            <w:noWrap w:val="0"/>
            <w:vAlign w:val="center"/>
          </w:tcPr>
          <w:p w14:paraId="7DFAB74D">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highlight w:val="none"/>
              </w:rPr>
            </w:pPr>
          </w:p>
        </w:tc>
      </w:tr>
      <w:tr w14:paraId="7386BB45">
        <w:tblPrEx>
          <w:tblCellMar>
            <w:top w:w="0" w:type="dxa"/>
            <w:left w:w="0" w:type="dxa"/>
            <w:bottom w:w="0" w:type="dxa"/>
            <w:right w:w="0" w:type="dxa"/>
          </w:tblCellMar>
        </w:tblPrEx>
        <w:trPr>
          <w:trHeight w:val="70" w:hRule="atLeast"/>
          <w:jc w:val="center"/>
        </w:trPr>
        <w:tc>
          <w:tcPr>
            <w:tcW w:w="4938" w:type="dxa"/>
            <w:gridSpan w:val="2"/>
            <w:tcBorders>
              <w:top w:val="nil"/>
              <w:left w:val="single" w:color="000000" w:sz="4" w:space="0"/>
              <w:bottom w:val="nil"/>
              <w:right w:val="single" w:color="000000" w:sz="4" w:space="0"/>
            </w:tcBorders>
            <w:noWrap w:val="0"/>
            <w:vAlign w:val="center"/>
          </w:tcPr>
          <w:p w14:paraId="28FDBF9F">
            <w:pPr>
              <w:keepNext w:val="0"/>
              <w:keepLines w:val="0"/>
              <w:suppressLineNumbers w:val="0"/>
              <w:spacing w:before="0" w:beforeAutospacing="0" w:after="0" w:afterAutospacing="0" w:line="246" w:lineRule="exact"/>
              <w:ind w:left="0" w:right="0"/>
              <w:rPr>
                <w:rFonts w:hint="eastAsia" w:ascii="宋体" w:hAnsi="宋体" w:eastAsia="宋体" w:cs="宋体"/>
                <w:color w:val="auto"/>
                <w:kern w:val="0"/>
                <w:highlight w:val="none"/>
              </w:rPr>
            </w:pPr>
          </w:p>
        </w:tc>
        <w:tc>
          <w:tcPr>
            <w:tcW w:w="4664" w:type="dxa"/>
            <w:gridSpan w:val="2"/>
            <w:tcBorders>
              <w:top w:val="nil"/>
              <w:left w:val="nil"/>
              <w:bottom w:val="nil"/>
              <w:right w:val="single" w:color="000000" w:sz="4" w:space="0"/>
            </w:tcBorders>
            <w:noWrap w:val="0"/>
            <w:vAlign w:val="center"/>
          </w:tcPr>
          <w:p w14:paraId="26DC47DC">
            <w:pPr>
              <w:keepNext w:val="0"/>
              <w:keepLines w:val="0"/>
              <w:suppressLineNumbers w:val="0"/>
              <w:spacing w:before="0" w:beforeAutospacing="0" w:after="0" w:afterAutospacing="0" w:line="246" w:lineRule="exact"/>
              <w:ind w:left="0" w:right="0"/>
              <w:rPr>
                <w:rFonts w:hint="eastAsia" w:ascii="宋体" w:hAnsi="宋体" w:eastAsia="宋体" w:cs="宋体"/>
                <w:color w:val="auto"/>
                <w:kern w:val="0"/>
                <w:highlight w:val="none"/>
              </w:rPr>
            </w:pPr>
          </w:p>
        </w:tc>
      </w:tr>
      <w:tr w14:paraId="2AB831E1">
        <w:tblPrEx>
          <w:tblCellMar>
            <w:top w:w="0" w:type="dxa"/>
            <w:left w:w="0" w:type="dxa"/>
            <w:bottom w:w="0" w:type="dxa"/>
            <w:right w:w="0" w:type="dxa"/>
          </w:tblCellMar>
        </w:tblPrEx>
        <w:trPr>
          <w:trHeight w:val="899" w:hRule="atLeast"/>
          <w:jc w:val="center"/>
        </w:trPr>
        <w:tc>
          <w:tcPr>
            <w:tcW w:w="4938" w:type="dxa"/>
            <w:gridSpan w:val="2"/>
            <w:tcBorders>
              <w:top w:val="nil"/>
              <w:left w:val="single" w:color="000000" w:sz="4" w:space="0"/>
              <w:bottom w:val="single" w:color="000000" w:sz="4" w:space="0"/>
              <w:right w:val="single" w:color="000000" w:sz="4" w:space="0"/>
            </w:tcBorders>
            <w:noWrap w:val="0"/>
            <w:vAlign w:val="center"/>
          </w:tcPr>
          <w:p w14:paraId="1083C508">
            <w:pPr>
              <w:keepNext w:val="0"/>
              <w:keepLines w:val="0"/>
              <w:suppressLineNumbers w:val="0"/>
              <w:wordWrap w:val="0"/>
              <w:spacing w:before="0" w:beforeAutospacing="0" w:after="0" w:afterAutospacing="0" w:line="278" w:lineRule="auto"/>
              <w:ind w:left="0" w:right="0"/>
              <w:jc w:val="right"/>
              <w:rPr>
                <w:rFonts w:hint="eastAsia" w:ascii="宋体" w:hAnsi="宋体" w:eastAsia="宋体" w:cs="宋体"/>
                <w:color w:val="auto"/>
                <w:kern w:val="0"/>
                <w:highlight w:val="none"/>
                <w:u w:val="single" w:color="000000"/>
              </w:rPr>
            </w:pPr>
            <w:r>
              <w:rPr>
                <w:rFonts w:hint="eastAsia" w:ascii="宋体" w:hAnsi="宋体" w:eastAsia="宋体" w:cs="宋体"/>
                <w:color w:val="auto"/>
                <w:kern w:val="0"/>
                <w:highlight w:val="none"/>
              </w:rPr>
              <w:t>监理工程师</w:t>
            </w:r>
            <w:r>
              <w:rPr>
                <w:rFonts w:hint="eastAsia" w:ascii="宋体" w:hAnsi="宋体" w:eastAsia="宋体" w:cs="宋体"/>
                <w:color w:val="auto"/>
                <w:kern w:val="0"/>
                <w:highlight w:val="none"/>
                <w:u w:val="single"/>
              </w:rPr>
              <w:t xml:space="preserve">         </w:t>
            </w:r>
          </w:p>
          <w:p w14:paraId="66AFBF81">
            <w:pPr>
              <w:keepNext w:val="0"/>
              <w:keepLines w:val="0"/>
              <w:suppressLineNumbers w:val="0"/>
              <w:wordWrap w:val="0"/>
              <w:spacing w:before="0" w:beforeAutospacing="0" w:after="0" w:afterAutospacing="0" w:line="278" w:lineRule="auto"/>
              <w:ind w:left="0" w:right="0"/>
              <w:jc w:val="right"/>
              <w:rPr>
                <w:rFonts w:hint="eastAsia" w:ascii="宋体" w:hAnsi="宋体" w:eastAsia="宋体" w:cs="宋体"/>
                <w:color w:val="auto"/>
                <w:kern w:val="0"/>
                <w:highlight w:val="none"/>
              </w:rPr>
            </w:pPr>
            <w:r>
              <w:rPr>
                <w:rFonts w:hint="eastAsia" w:ascii="宋体" w:hAnsi="宋体" w:eastAsia="宋体" w:cs="宋体"/>
                <w:color w:val="auto"/>
                <w:kern w:val="0"/>
                <w:highlight w:val="none"/>
              </w:rPr>
              <w:t>日期</w:t>
            </w:r>
            <w:r>
              <w:rPr>
                <w:rFonts w:hint="eastAsia" w:ascii="宋体" w:hAnsi="宋体" w:eastAsia="宋体" w:cs="宋体"/>
                <w:color w:val="auto"/>
                <w:kern w:val="0"/>
                <w:highlight w:val="none"/>
                <w:u w:val="single"/>
              </w:rPr>
              <w:t xml:space="preserve">         </w:t>
            </w:r>
          </w:p>
        </w:tc>
        <w:tc>
          <w:tcPr>
            <w:tcW w:w="4664" w:type="dxa"/>
            <w:gridSpan w:val="2"/>
            <w:tcBorders>
              <w:top w:val="nil"/>
              <w:left w:val="nil"/>
              <w:bottom w:val="single" w:color="000000" w:sz="4" w:space="0"/>
              <w:right w:val="single" w:color="000000" w:sz="4" w:space="0"/>
            </w:tcBorders>
            <w:noWrap w:val="0"/>
            <w:vAlign w:val="center"/>
          </w:tcPr>
          <w:p w14:paraId="1BCFA421">
            <w:pPr>
              <w:keepNext w:val="0"/>
              <w:keepLines w:val="0"/>
              <w:suppressLineNumbers w:val="0"/>
              <w:wordWrap w:val="0"/>
              <w:spacing w:before="0" w:beforeAutospacing="0" w:after="0" w:afterAutospacing="0" w:line="278" w:lineRule="auto"/>
              <w:ind w:left="0" w:right="0"/>
              <w:jc w:val="right"/>
              <w:rPr>
                <w:rFonts w:hint="eastAsia" w:ascii="宋体" w:hAnsi="宋体" w:eastAsia="宋体" w:cs="宋体"/>
                <w:color w:val="auto"/>
                <w:kern w:val="0"/>
                <w:highlight w:val="none"/>
                <w:u w:val="single" w:color="000000"/>
              </w:rPr>
            </w:pPr>
            <w:r>
              <w:rPr>
                <w:rFonts w:hint="eastAsia" w:ascii="宋体" w:hAnsi="宋体" w:eastAsia="宋体" w:cs="宋体"/>
                <w:color w:val="auto"/>
                <w:kern w:val="0"/>
                <w:highlight w:val="none"/>
              </w:rPr>
              <w:t>一级注册造价工程师</w:t>
            </w:r>
            <w:r>
              <w:rPr>
                <w:rFonts w:hint="eastAsia" w:ascii="宋体" w:hAnsi="宋体" w:eastAsia="宋体" w:cs="宋体"/>
                <w:color w:val="auto"/>
                <w:kern w:val="0"/>
                <w:highlight w:val="none"/>
                <w:u w:val="single"/>
              </w:rPr>
              <w:t xml:space="preserve">         </w:t>
            </w:r>
          </w:p>
          <w:p w14:paraId="1F6F59DE">
            <w:pPr>
              <w:keepNext w:val="0"/>
              <w:keepLines w:val="0"/>
              <w:suppressLineNumbers w:val="0"/>
              <w:wordWrap w:val="0"/>
              <w:spacing w:before="0" w:beforeAutospacing="0" w:after="0" w:afterAutospacing="0" w:line="278" w:lineRule="auto"/>
              <w:ind w:left="0" w:right="0"/>
              <w:jc w:val="right"/>
              <w:rPr>
                <w:rFonts w:hint="eastAsia" w:ascii="宋体" w:hAnsi="宋体" w:eastAsia="宋体" w:cs="宋体"/>
                <w:color w:val="auto"/>
                <w:kern w:val="0"/>
                <w:highlight w:val="none"/>
              </w:rPr>
            </w:pPr>
            <w:r>
              <w:rPr>
                <w:rFonts w:hint="eastAsia" w:ascii="宋体" w:hAnsi="宋体" w:eastAsia="宋体" w:cs="宋体"/>
                <w:color w:val="auto"/>
                <w:kern w:val="0"/>
                <w:highlight w:val="none"/>
              </w:rPr>
              <w:t>日期</w:t>
            </w:r>
            <w:r>
              <w:rPr>
                <w:rFonts w:hint="eastAsia" w:ascii="宋体" w:hAnsi="宋体" w:eastAsia="宋体" w:cs="宋体"/>
                <w:color w:val="auto"/>
                <w:kern w:val="0"/>
                <w:highlight w:val="none"/>
                <w:u w:val="single"/>
              </w:rPr>
              <w:t xml:space="preserve">         </w:t>
            </w:r>
          </w:p>
        </w:tc>
      </w:tr>
      <w:tr w14:paraId="7D6311CF">
        <w:tblPrEx>
          <w:tblCellMar>
            <w:top w:w="0" w:type="dxa"/>
            <w:left w:w="0" w:type="dxa"/>
            <w:bottom w:w="0" w:type="dxa"/>
            <w:right w:w="0" w:type="dxa"/>
          </w:tblCellMar>
        </w:tblPrEx>
        <w:trPr>
          <w:trHeight w:val="403" w:hRule="atLeast"/>
          <w:jc w:val="center"/>
        </w:trPr>
        <w:tc>
          <w:tcPr>
            <w:tcW w:w="9602" w:type="dxa"/>
            <w:gridSpan w:val="4"/>
            <w:tcBorders>
              <w:top w:val="single" w:color="000000" w:sz="4" w:space="0"/>
              <w:left w:val="single" w:color="000000" w:sz="4" w:space="0"/>
              <w:bottom w:val="nil"/>
              <w:right w:val="single" w:color="000000" w:sz="4" w:space="0"/>
            </w:tcBorders>
            <w:noWrap w:val="0"/>
            <w:vAlign w:val="center"/>
          </w:tcPr>
          <w:p w14:paraId="4A57AD5F">
            <w:pPr>
              <w:keepNext w:val="0"/>
              <w:keepLines w:val="0"/>
              <w:suppressLineNumbers w:val="0"/>
              <w:spacing w:before="56" w:beforeAutospacing="0" w:after="0" w:afterAutospacing="0"/>
              <w:ind w:left="0" w:right="0"/>
              <w:rPr>
                <w:rFonts w:hint="eastAsia" w:ascii="宋体" w:hAnsi="宋体" w:eastAsia="宋体" w:cs="宋体"/>
                <w:color w:val="auto"/>
                <w:kern w:val="0"/>
                <w:highlight w:val="none"/>
              </w:rPr>
            </w:pPr>
            <w:r>
              <w:rPr>
                <w:rFonts w:hint="eastAsia" w:ascii="宋体" w:hAnsi="宋体" w:eastAsia="宋体" w:cs="宋体"/>
                <w:color w:val="auto"/>
                <w:kern w:val="0"/>
                <w:highlight w:val="none"/>
              </w:rPr>
              <w:t>审核意见：</w:t>
            </w:r>
          </w:p>
        </w:tc>
      </w:tr>
      <w:tr w14:paraId="3222CD05">
        <w:tblPrEx>
          <w:tblCellMar>
            <w:top w:w="0" w:type="dxa"/>
            <w:left w:w="0" w:type="dxa"/>
            <w:bottom w:w="0" w:type="dxa"/>
            <w:right w:w="0" w:type="dxa"/>
          </w:tblCellMar>
        </w:tblPrEx>
        <w:trPr>
          <w:trHeight w:val="319" w:hRule="atLeast"/>
          <w:jc w:val="center"/>
        </w:trPr>
        <w:tc>
          <w:tcPr>
            <w:tcW w:w="9602" w:type="dxa"/>
            <w:gridSpan w:val="4"/>
            <w:tcBorders>
              <w:top w:val="nil"/>
              <w:left w:val="single" w:color="000000" w:sz="4" w:space="0"/>
              <w:bottom w:val="nil"/>
              <w:right w:val="single" w:color="000000" w:sz="4" w:space="0"/>
            </w:tcBorders>
            <w:noWrap w:val="0"/>
            <w:vAlign w:val="center"/>
          </w:tcPr>
          <w:p w14:paraId="0270FBB8">
            <w:pPr>
              <w:keepNext w:val="0"/>
              <w:keepLines w:val="0"/>
              <w:suppressLineNumbers w:val="0"/>
              <w:spacing w:before="0" w:beforeAutospacing="0" w:after="0" w:afterAutospacing="0" w:line="246" w:lineRule="exact"/>
              <w:ind w:left="0" w:right="0"/>
              <w:rPr>
                <w:rFonts w:hint="eastAsia" w:ascii="宋体" w:hAnsi="宋体" w:eastAsia="宋体" w:cs="宋体"/>
                <w:color w:val="auto"/>
                <w:kern w:val="0"/>
                <w:highlight w:val="none"/>
              </w:rPr>
            </w:pPr>
            <w:r>
              <w:rPr>
                <w:rFonts w:hint="eastAsia" w:ascii="宋体" w:hAnsi="宋体" w:eastAsia="宋体" w:cs="宋体"/>
                <w:color w:val="auto"/>
                <w:kern w:val="0"/>
                <w:highlight w:val="none"/>
              </w:rPr>
              <w:t>□不同意</w:t>
            </w:r>
          </w:p>
        </w:tc>
      </w:tr>
      <w:tr w14:paraId="141C7888">
        <w:tblPrEx>
          <w:tblCellMar>
            <w:top w:w="0" w:type="dxa"/>
            <w:left w:w="0" w:type="dxa"/>
            <w:bottom w:w="0" w:type="dxa"/>
            <w:right w:w="0" w:type="dxa"/>
          </w:tblCellMar>
        </w:tblPrEx>
        <w:trPr>
          <w:trHeight w:val="319" w:hRule="atLeast"/>
          <w:jc w:val="center"/>
        </w:trPr>
        <w:tc>
          <w:tcPr>
            <w:tcW w:w="9602" w:type="dxa"/>
            <w:gridSpan w:val="4"/>
            <w:tcBorders>
              <w:top w:val="nil"/>
              <w:left w:val="single" w:color="000000" w:sz="4" w:space="0"/>
              <w:bottom w:val="nil"/>
              <w:right w:val="single" w:color="000000" w:sz="4" w:space="0"/>
            </w:tcBorders>
            <w:noWrap w:val="0"/>
            <w:vAlign w:val="center"/>
          </w:tcPr>
          <w:p w14:paraId="697162F9">
            <w:pPr>
              <w:keepNext w:val="0"/>
              <w:keepLines w:val="0"/>
              <w:suppressLineNumbers w:val="0"/>
              <w:spacing w:before="0" w:beforeAutospacing="0" w:after="0" w:afterAutospacing="0" w:line="246" w:lineRule="exact"/>
              <w:ind w:left="0" w:right="0"/>
              <w:rPr>
                <w:rFonts w:hint="eastAsia" w:ascii="宋体" w:hAnsi="宋体" w:eastAsia="宋体" w:cs="宋体"/>
                <w:color w:val="auto"/>
                <w:kern w:val="0"/>
                <w:highlight w:val="none"/>
              </w:rPr>
            </w:pPr>
            <w:r>
              <w:rPr>
                <w:rFonts w:hint="eastAsia" w:ascii="宋体" w:hAnsi="宋体" w:eastAsia="宋体" w:cs="宋体"/>
                <w:color w:val="auto"/>
                <w:kern w:val="0"/>
                <w:highlight w:val="none"/>
              </w:rPr>
              <w:t>□同意</w:t>
            </w:r>
          </w:p>
        </w:tc>
      </w:tr>
      <w:tr w14:paraId="1E2E1A8C">
        <w:tblPrEx>
          <w:tblCellMar>
            <w:top w:w="0" w:type="dxa"/>
            <w:left w:w="0" w:type="dxa"/>
            <w:bottom w:w="0" w:type="dxa"/>
            <w:right w:w="0" w:type="dxa"/>
          </w:tblCellMar>
        </w:tblPrEx>
        <w:trPr>
          <w:trHeight w:val="319" w:hRule="atLeast"/>
          <w:jc w:val="center"/>
        </w:trPr>
        <w:tc>
          <w:tcPr>
            <w:tcW w:w="9602" w:type="dxa"/>
            <w:gridSpan w:val="4"/>
            <w:tcBorders>
              <w:top w:val="nil"/>
              <w:left w:val="single" w:color="000000" w:sz="4" w:space="0"/>
              <w:bottom w:val="nil"/>
              <w:right w:val="single" w:color="000000" w:sz="4" w:space="0"/>
            </w:tcBorders>
            <w:noWrap w:val="0"/>
            <w:vAlign w:val="top"/>
          </w:tcPr>
          <w:p w14:paraId="06F851AD">
            <w:pPr>
              <w:keepNext w:val="0"/>
              <w:keepLines w:val="0"/>
              <w:suppressLineNumbers w:val="0"/>
              <w:wordWrap w:val="0"/>
              <w:spacing w:before="0" w:beforeAutospacing="0" w:after="0" w:afterAutospacing="0" w:line="246" w:lineRule="exact"/>
              <w:ind w:left="0" w:right="360"/>
              <w:jc w:val="right"/>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发包人（章）     </w:t>
            </w:r>
          </w:p>
        </w:tc>
      </w:tr>
      <w:tr w14:paraId="3554E829">
        <w:tblPrEx>
          <w:tblCellMar>
            <w:top w:w="0" w:type="dxa"/>
            <w:left w:w="0" w:type="dxa"/>
            <w:bottom w:w="0" w:type="dxa"/>
            <w:right w:w="0" w:type="dxa"/>
          </w:tblCellMar>
        </w:tblPrEx>
        <w:trPr>
          <w:trHeight w:val="319" w:hRule="atLeast"/>
          <w:jc w:val="center"/>
        </w:trPr>
        <w:tc>
          <w:tcPr>
            <w:tcW w:w="9602" w:type="dxa"/>
            <w:gridSpan w:val="4"/>
            <w:tcBorders>
              <w:top w:val="nil"/>
              <w:left w:val="single" w:color="000000" w:sz="4" w:space="0"/>
              <w:bottom w:val="nil"/>
              <w:right w:val="single" w:color="000000" w:sz="4" w:space="0"/>
            </w:tcBorders>
            <w:noWrap w:val="0"/>
            <w:vAlign w:val="top"/>
          </w:tcPr>
          <w:p w14:paraId="7391247C">
            <w:pPr>
              <w:keepNext w:val="0"/>
              <w:keepLines w:val="0"/>
              <w:suppressLineNumbers w:val="0"/>
              <w:spacing w:before="0" w:beforeAutospacing="0" w:after="0" w:afterAutospacing="0" w:line="246" w:lineRule="exact"/>
              <w:ind w:left="0" w:right="0"/>
              <w:jc w:val="right"/>
              <w:rPr>
                <w:rFonts w:hint="eastAsia" w:ascii="宋体" w:hAnsi="宋体" w:eastAsia="宋体" w:cs="宋体"/>
                <w:color w:val="auto"/>
                <w:kern w:val="0"/>
                <w:highlight w:val="none"/>
              </w:rPr>
            </w:pPr>
            <w:r>
              <w:rPr>
                <w:rFonts w:hint="eastAsia" w:ascii="宋体" w:hAnsi="宋体" w:eastAsia="宋体" w:cs="宋体"/>
                <w:color w:val="auto"/>
                <w:kern w:val="0"/>
                <w:highlight w:val="none"/>
              </w:rPr>
              <w:t>发包人代表</w:t>
            </w:r>
            <w:r>
              <w:rPr>
                <w:rFonts w:hint="eastAsia" w:ascii="宋体" w:hAnsi="宋体" w:eastAsia="宋体" w:cs="宋体"/>
                <w:color w:val="auto"/>
                <w:kern w:val="0"/>
                <w:highlight w:val="none"/>
                <w:u w:val="single"/>
              </w:rPr>
              <w:tab/>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u w:val="single" w:color="000000"/>
              </w:rPr>
              <w:tab/>
            </w:r>
          </w:p>
        </w:tc>
      </w:tr>
      <w:tr w14:paraId="658B41F4">
        <w:tblPrEx>
          <w:tblCellMar>
            <w:top w:w="0" w:type="dxa"/>
            <w:left w:w="0" w:type="dxa"/>
            <w:bottom w:w="0" w:type="dxa"/>
            <w:right w:w="0" w:type="dxa"/>
          </w:tblCellMar>
        </w:tblPrEx>
        <w:trPr>
          <w:trHeight w:val="489" w:hRule="atLeast"/>
          <w:jc w:val="center"/>
        </w:trPr>
        <w:tc>
          <w:tcPr>
            <w:tcW w:w="9602" w:type="dxa"/>
            <w:gridSpan w:val="4"/>
            <w:tcBorders>
              <w:top w:val="nil"/>
              <w:left w:val="single" w:color="000000" w:sz="4" w:space="0"/>
              <w:bottom w:val="single" w:color="000000" w:sz="4" w:space="0"/>
              <w:right w:val="single" w:color="000000" w:sz="4" w:space="0"/>
            </w:tcBorders>
            <w:noWrap w:val="0"/>
            <w:vAlign w:val="top"/>
          </w:tcPr>
          <w:p w14:paraId="131F77B4">
            <w:pPr>
              <w:keepNext w:val="0"/>
              <w:keepLines w:val="0"/>
              <w:suppressLineNumbers w:val="0"/>
              <w:wordWrap w:val="0"/>
              <w:spacing w:before="0" w:beforeAutospacing="0" w:after="0" w:afterAutospacing="0" w:line="246" w:lineRule="exact"/>
              <w:ind w:left="0" w:right="0"/>
              <w:jc w:val="right"/>
              <w:rPr>
                <w:rFonts w:hint="eastAsia" w:ascii="宋体" w:hAnsi="宋体" w:eastAsia="宋体" w:cs="宋体"/>
                <w:color w:val="auto"/>
                <w:kern w:val="0"/>
                <w:highlight w:val="none"/>
              </w:rPr>
            </w:pPr>
            <w:r>
              <w:rPr>
                <w:rFonts w:hint="eastAsia" w:ascii="宋体" w:hAnsi="宋体" w:eastAsia="宋体" w:cs="宋体"/>
                <w:color w:val="auto"/>
                <w:kern w:val="0"/>
                <w:highlight w:val="none"/>
              </w:rPr>
              <w:t>日期</w:t>
            </w:r>
            <w:r>
              <w:rPr>
                <w:rFonts w:hint="eastAsia" w:ascii="宋体" w:hAnsi="宋体" w:eastAsia="宋体" w:cs="宋体"/>
                <w:color w:val="auto"/>
                <w:kern w:val="0"/>
                <w:highlight w:val="none"/>
                <w:u w:val="single" w:color="000000"/>
              </w:rPr>
              <w:tab/>
            </w:r>
            <w:r>
              <w:rPr>
                <w:rFonts w:hint="eastAsia" w:ascii="宋体" w:hAnsi="宋体" w:eastAsia="宋体" w:cs="宋体"/>
                <w:color w:val="auto"/>
                <w:kern w:val="0"/>
                <w:highlight w:val="none"/>
                <w:u w:val="single" w:color="000000"/>
              </w:rPr>
              <w:t xml:space="preserve">      </w:t>
            </w:r>
          </w:p>
        </w:tc>
      </w:tr>
    </w:tbl>
    <w:p w14:paraId="0EEF38BC">
      <w:pPr>
        <w:spacing w:line="243" w:lineRule="exact"/>
        <w:ind w:firstLine="0" w:firstLineChars="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w:t>
      </w:r>
      <w:r>
        <w:rPr>
          <w:rFonts w:hint="eastAsia" w:ascii="宋体" w:hAnsi="宋体" w:eastAsia="宋体" w:cs="宋体"/>
          <w:color w:val="auto"/>
          <w:spacing w:val="1"/>
          <w:sz w:val="18"/>
          <w:szCs w:val="18"/>
          <w:highlight w:val="none"/>
        </w:rPr>
        <w:t>1  应</w:t>
      </w:r>
      <w:r>
        <w:rPr>
          <w:rFonts w:hint="eastAsia" w:ascii="宋体" w:hAnsi="宋体" w:eastAsia="宋体" w:cs="宋体"/>
          <w:color w:val="auto"/>
          <w:sz w:val="18"/>
          <w:szCs w:val="18"/>
          <w:highlight w:val="none"/>
        </w:rPr>
        <w:t>在选择栏中的</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内作标识</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w:t>
      </w:r>
      <w:r>
        <w:rPr>
          <w:rFonts w:hint="eastAsia" w:ascii="宋体" w:hAnsi="宋体" w:eastAsia="宋体" w:cs="宋体"/>
          <w:color w:val="auto"/>
          <w:spacing w:val="-92"/>
          <w:sz w:val="18"/>
          <w:szCs w:val="18"/>
          <w:highlight w:val="none"/>
          <w:lang w:eastAsia="zh-CN"/>
        </w:rPr>
        <w:t>”</w:t>
      </w:r>
      <w:r>
        <w:rPr>
          <w:rFonts w:hint="eastAsia" w:ascii="宋体" w:hAnsi="宋体" w:eastAsia="宋体" w:cs="宋体"/>
          <w:color w:val="auto"/>
          <w:sz w:val="18"/>
          <w:szCs w:val="18"/>
          <w:highlight w:val="none"/>
        </w:rPr>
        <w:t>。如监理人已退场</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监理工程师栏可空缺；</w:t>
      </w:r>
    </w:p>
    <w:p w14:paraId="5D48A5FA">
      <w:pPr>
        <w:spacing w:before="46"/>
        <w:ind w:firstLine="364" w:firstLineChars="200"/>
        <w:jc w:val="left"/>
        <w:rPr>
          <w:rFonts w:hint="eastAsia" w:ascii="宋体" w:hAnsi="宋体" w:eastAsia="宋体" w:cs="宋体"/>
          <w:color w:val="auto"/>
          <w:sz w:val="18"/>
          <w:szCs w:val="18"/>
          <w:highlight w:val="none"/>
        </w:rPr>
      </w:pPr>
      <w:r>
        <w:rPr>
          <w:rFonts w:hint="eastAsia" w:ascii="宋体" w:hAnsi="宋体" w:eastAsia="宋体" w:cs="宋体"/>
          <w:color w:val="auto"/>
          <w:spacing w:val="1"/>
          <w:sz w:val="18"/>
          <w:szCs w:val="18"/>
          <w:highlight w:val="none"/>
        </w:rPr>
        <w:t xml:space="preserve">2  </w:t>
      </w:r>
      <w:r>
        <w:rPr>
          <w:rFonts w:hint="eastAsia" w:ascii="宋体" w:hAnsi="宋体" w:eastAsia="宋体" w:cs="宋体"/>
          <w:color w:val="auto"/>
          <w:sz w:val="18"/>
          <w:szCs w:val="18"/>
          <w:highlight w:val="none"/>
        </w:rPr>
        <w:t>本表一式四份</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应由承包人填报</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发包人、监理人、工程造价咨询人、承包人各存一份；</w:t>
      </w:r>
    </w:p>
    <w:p w14:paraId="2942E3D3">
      <w:pPr>
        <w:spacing w:before="46" w:beforeLines="0"/>
        <w:ind w:left="0" w:firstLine="364" w:firstLineChars="200"/>
        <w:rPr>
          <w:rFonts w:hint="eastAsia" w:ascii="宋体" w:hAnsi="宋体" w:eastAsia="宋体" w:cs="宋体"/>
          <w:color w:val="auto"/>
          <w:sz w:val="30"/>
          <w:szCs w:val="30"/>
          <w:highlight w:val="none"/>
        </w:rPr>
      </w:pPr>
      <w:r>
        <w:rPr>
          <w:rFonts w:hint="eastAsia" w:ascii="宋体" w:hAnsi="宋体" w:eastAsia="宋体" w:cs="宋体"/>
          <w:color w:val="auto"/>
          <w:spacing w:val="1"/>
          <w:sz w:val="18"/>
          <w:szCs w:val="18"/>
          <w:highlight w:val="none"/>
        </w:rPr>
        <w:t xml:space="preserve">3  </w:t>
      </w:r>
      <w:r>
        <w:rPr>
          <w:rFonts w:hint="eastAsia" w:ascii="宋体" w:hAnsi="宋体" w:eastAsia="宋体" w:cs="宋体"/>
          <w:color w:val="auto"/>
          <w:sz w:val="18"/>
          <w:szCs w:val="18"/>
          <w:highlight w:val="none"/>
        </w:rPr>
        <w:t>编制人员、一级注册造价工程师应签字和盖章</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承包人代表、监理工程师、发包人代表应签字或盖章。</w:t>
      </w:r>
    </w:p>
    <w:p w14:paraId="113FE4EE">
      <w:pPr>
        <w:spacing w:before="46" w:beforeLines="0"/>
        <w:ind w:left="0" w:firstLine="300" w:firstLineChars="100"/>
        <w:rPr>
          <w:rFonts w:hint="eastAsia" w:ascii="宋体" w:hAnsi="宋体" w:eastAsia="宋体" w:cs="宋体"/>
          <w:color w:val="auto"/>
          <w:sz w:val="30"/>
          <w:szCs w:val="30"/>
          <w:highlight w:val="none"/>
        </w:rPr>
      </w:pPr>
    </w:p>
    <w:p w14:paraId="4E591FC7">
      <w:pPr>
        <w:spacing w:before="46" w:beforeLines="0"/>
        <w:ind w:left="0" w:firstLine="300" w:firstLineChars="100"/>
        <w:rPr>
          <w:rFonts w:hint="eastAsia" w:ascii="宋体" w:hAnsi="宋体" w:eastAsia="宋体" w:cs="宋体"/>
          <w:color w:val="auto"/>
          <w:sz w:val="30"/>
          <w:szCs w:val="30"/>
          <w:highlight w:val="none"/>
        </w:rPr>
      </w:pPr>
    </w:p>
    <w:p w14:paraId="65B300A4">
      <w:pPr>
        <w:spacing w:line="480" w:lineRule="auto"/>
        <w:jc w:val="both"/>
        <w:rPr>
          <w:rFonts w:hint="eastAsia" w:ascii="宋体"/>
          <w:sz w:val="24"/>
        </w:rPr>
      </w:pPr>
    </w:p>
    <w:p w14:paraId="1D3A2716">
      <w:pPr>
        <w:pStyle w:val="22"/>
        <w:spacing w:line="360" w:lineRule="auto"/>
        <w:outlineLvl w:val="0"/>
        <w:rPr>
          <w:rFonts w:hint="eastAsia" w:ascii="宋体" w:hAnsi="宋体" w:eastAsia="宋体" w:cs="宋体"/>
          <w:b/>
          <w:color w:val="auto"/>
          <w:sz w:val="32"/>
          <w:highlight w:val="none"/>
          <w:lang w:eastAsia="zh-CN"/>
        </w:rPr>
      </w:pPr>
      <w:bookmarkStart w:id="431" w:name="_Toc4935"/>
      <w:r>
        <w:rPr>
          <w:rFonts w:hint="eastAsia" w:hAnsi="宋体" w:cs="宋体"/>
          <w:b/>
          <w:color w:val="auto"/>
          <w:sz w:val="32"/>
          <w:highlight w:val="none"/>
          <w:lang w:eastAsia="zh-CN"/>
        </w:rPr>
        <w:t>第六章</w:t>
      </w:r>
      <w:r>
        <w:rPr>
          <w:rFonts w:hint="eastAsia" w:hAnsi="宋体" w:cs="宋体"/>
          <w:b/>
          <w:color w:val="auto"/>
          <w:sz w:val="32"/>
          <w:highlight w:val="none"/>
          <w:lang w:val="en-US" w:eastAsia="zh-CN"/>
        </w:rPr>
        <w:t xml:space="preserve">  </w:t>
      </w:r>
      <w:r>
        <w:rPr>
          <w:rFonts w:hint="eastAsia" w:hAnsi="宋体" w:cs="宋体"/>
          <w:b/>
          <w:color w:val="auto"/>
          <w:sz w:val="32"/>
          <w:highlight w:val="none"/>
          <w:lang w:eastAsia="zh-CN"/>
        </w:rPr>
        <w:t>响应文件（格式）</w:t>
      </w:r>
      <w:bookmarkEnd w:id="431"/>
    </w:p>
    <w:p w14:paraId="2AC8768E">
      <w:pPr>
        <w:pStyle w:val="22"/>
        <w:spacing w:line="360" w:lineRule="auto"/>
        <w:outlineLvl w:val="9"/>
        <w:rPr>
          <w:rFonts w:hint="eastAsia" w:ascii="宋体" w:hAnsi="宋体" w:eastAsia="宋体" w:cs="宋体"/>
          <w:b/>
          <w:color w:val="auto"/>
          <w:sz w:val="44"/>
          <w:szCs w:val="44"/>
          <w:highlight w:val="none"/>
        </w:rPr>
      </w:pPr>
      <w:r>
        <w:rPr>
          <w:rFonts w:hint="eastAsia" w:ascii="宋体" w:hAnsi="宋体" w:eastAsia="宋体" w:cs="宋体"/>
          <w:b/>
          <w:color w:val="auto"/>
          <w:sz w:val="32"/>
          <w:highlight w:val="none"/>
        </w:rPr>
        <w:t>一、响应文件标记</w:t>
      </w:r>
      <w:bookmarkEnd w:id="247"/>
      <w:bookmarkEnd w:id="248"/>
      <w:bookmarkEnd w:id="249"/>
    </w:p>
    <w:p w14:paraId="054A2848">
      <w:pPr>
        <w:pStyle w:val="82"/>
        <w:spacing w:line="360" w:lineRule="auto"/>
        <w:outlineLvl w:val="9"/>
        <w:rPr>
          <w:rFonts w:hint="eastAsia" w:ascii="宋体" w:hAnsi="宋体" w:eastAsia="宋体" w:cs="宋体"/>
          <w:color w:val="auto"/>
          <w:highlight w:val="none"/>
        </w:rPr>
      </w:pPr>
    </w:p>
    <w:p w14:paraId="677C87F9">
      <w:pPr>
        <w:snapToGrid w:val="0"/>
        <w:spacing w:before="120" w:beforeLines="50" w:after="50" w:line="360" w:lineRule="auto"/>
        <w:jc w:val="center"/>
        <w:outlineLvl w:val="9"/>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响 应 文 件</w:t>
      </w:r>
    </w:p>
    <w:p w14:paraId="7AEAD5AA">
      <w:pPr>
        <w:snapToGrid w:val="0"/>
        <w:spacing w:before="120" w:beforeLines="50" w:after="50" w:line="360" w:lineRule="auto"/>
        <w:ind w:firstLine="480" w:firstLineChars="150"/>
        <w:outlineLvl w:val="9"/>
        <w:rPr>
          <w:rFonts w:hint="eastAsia" w:ascii="宋体" w:hAnsi="宋体" w:eastAsia="宋体" w:cs="宋体"/>
          <w:b/>
          <w:color w:val="auto"/>
          <w:sz w:val="28"/>
          <w:szCs w:val="28"/>
          <w:highlight w:val="none"/>
        </w:rPr>
      </w:pPr>
      <w:r>
        <w:rPr>
          <w:rFonts w:hint="eastAsia" w:ascii="宋体" w:hAnsi="宋体" w:eastAsia="宋体" w:cs="宋体"/>
          <w:color w:val="auto"/>
          <w:sz w:val="32"/>
          <w:szCs w:val="32"/>
          <w:highlight w:val="none"/>
        </w:rPr>
        <w:t xml:space="preserve">                       </w:t>
      </w:r>
    </w:p>
    <w:p w14:paraId="02436023">
      <w:pPr>
        <w:snapToGrid w:val="0"/>
        <w:spacing w:before="120" w:beforeLines="50" w:after="50" w:line="360" w:lineRule="auto"/>
        <w:outlineLvl w:val="9"/>
        <w:rPr>
          <w:rFonts w:hint="eastAsia" w:ascii="宋体" w:hAnsi="宋体" w:eastAsia="宋体" w:cs="宋体"/>
          <w:b/>
          <w:color w:val="auto"/>
          <w:sz w:val="28"/>
          <w:szCs w:val="28"/>
          <w:highlight w:val="none"/>
        </w:rPr>
      </w:pPr>
    </w:p>
    <w:p w14:paraId="3D293F53">
      <w:pPr>
        <w:snapToGrid w:val="0"/>
        <w:spacing w:before="120" w:beforeLines="50" w:after="50" w:line="360" w:lineRule="auto"/>
        <w:jc w:val="center"/>
        <w:outlineLvl w:val="9"/>
        <w:rPr>
          <w:rFonts w:hint="eastAsia" w:ascii="宋体" w:hAnsi="宋体" w:eastAsia="宋体" w:cs="宋体"/>
          <w:b/>
          <w:color w:val="auto"/>
          <w:sz w:val="28"/>
          <w:szCs w:val="28"/>
          <w:highlight w:val="none"/>
          <w:u w:val="single"/>
        </w:rPr>
      </w:pPr>
      <w:r>
        <w:rPr>
          <w:rFonts w:hint="eastAsia" w:ascii="宋体" w:hAnsi="宋体" w:eastAsia="宋体" w:cs="宋体"/>
          <w:b/>
          <w:color w:val="auto"/>
          <w:sz w:val="28"/>
          <w:szCs w:val="28"/>
          <w:highlight w:val="none"/>
        </w:rPr>
        <w:t>项目名称：</w:t>
      </w:r>
    </w:p>
    <w:p w14:paraId="091923EB">
      <w:pPr>
        <w:snapToGrid w:val="0"/>
        <w:spacing w:before="120" w:beforeLines="50" w:after="50" w:line="360" w:lineRule="auto"/>
        <w:ind w:firstLine="2704" w:firstLineChars="962"/>
        <w:jc w:val="center"/>
        <w:outlineLvl w:val="9"/>
        <w:rPr>
          <w:rFonts w:hint="eastAsia" w:ascii="宋体" w:hAnsi="宋体" w:eastAsia="宋体" w:cs="宋体"/>
          <w:b/>
          <w:color w:val="auto"/>
          <w:sz w:val="28"/>
          <w:szCs w:val="28"/>
          <w:highlight w:val="none"/>
        </w:rPr>
      </w:pPr>
    </w:p>
    <w:p w14:paraId="298A8ECC">
      <w:pPr>
        <w:snapToGrid w:val="0"/>
        <w:spacing w:before="120" w:beforeLines="50" w:after="50" w:line="360" w:lineRule="auto"/>
        <w:jc w:val="center"/>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项目编号：</w:t>
      </w:r>
    </w:p>
    <w:p w14:paraId="6D9F8996">
      <w:pPr>
        <w:pStyle w:val="82"/>
        <w:spacing w:line="360" w:lineRule="auto"/>
        <w:outlineLvl w:val="9"/>
        <w:rPr>
          <w:rFonts w:hint="eastAsia" w:ascii="宋体" w:hAnsi="宋体" w:eastAsia="宋体" w:cs="宋体"/>
          <w:b/>
          <w:color w:val="auto"/>
          <w:sz w:val="28"/>
          <w:szCs w:val="28"/>
          <w:highlight w:val="none"/>
        </w:rPr>
      </w:pPr>
    </w:p>
    <w:p w14:paraId="1EE01298">
      <w:pPr>
        <w:pStyle w:val="82"/>
        <w:spacing w:line="360" w:lineRule="auto"/>
        <w:outlineLvl w:val="9"/>
        <w:rPr>
          <w:rFonts w:hint="eastAsia" w:ascii="宋体" w:hAnsi="宋体" w:eastAsia="宋体" w:cs="宋体"/>
          <w:b/>
          <w:color w:val="auto"/>
          <w:sz w:val="28"/>
          <w:szCs w:val="28"/>
          <w:highlight w:val="none"/>
        </w:rPr>
      </w:pPr>
    </w:p>
    <w:p w14:paraId="628F088D">
      <w:pPr>
        <w:pStyle w:val="82"/>
        <w:spacing w:line="360" w:lineRule="auto"/>
        <w:outlineLvl w:val="9"/>
        <w:rPr>
          <w:rFonts w:hint="eastAsia" w:ascii="宋体" w:hAnsi="宋体" w:eastAsia="宋体" w:cs="宋体"/>
          <w:b/>
          <w:color w:val="auto"/>
          <w:sz w:val="28"/>
          <w:szCs w:val="28"/>
          <w:highlight w:val="none"/>
        </w:rPr>
      </w:pPr>
    </w:p>
    <w:p w14:paraId="1F842E10">
      <w:pPr>
        <w:snapToGrid w:val="0"/>
        <w:spacing w:before="120" w:beforeLines="50" w:after="50" w:line="360" w:lineRule="auto"/>
        <w:jc w:val="center"/>
        <w:outlineLvl w:val="9"/>
        <w:rPr>
          <w:rFonts w:hint="eastAsia" w:ascii="宋体" w:hAnsi="宋体" w:eastAsia="宋体" w:cs="宋体"/>
          <w:b/>
          <w:color w:val="auto"/>
          <w:sz w:val="28"/>
          <w:szCs w:val="28"/>
          <w:highlight w:val="none"/>
          <w:u w:val="single"/>
        </w:rPr>
      </w:pPr>
      <w:r>
        <w:rPr>
          <w:rFonts w:hint="eastAsia" w:ascii="宋体" w:hAnsi="宋体" w:eastAsia="宋体" w:cs="宋体"/>
          <w:b/>
          <w:color w:val="auto"/>
          <w:sz w:val="28"/>
          <w:szCs w:val="28"/>
          <w:highlight w:val="none"/>
        </w:rPr>
        <w:t>采购代理机构：</w:t>
      </w:r>
      <w:r>
        <w:rPr>
          <w:rFonts w:hint="eastAsia" w:ascii="宋体" w:hAnsi="宋体" w:eastAsia="宋体" w:cs="宋体"/>
          <w:b/>
          <w:color w:val="auto"/>
          <w:sz w:val="28"/>
          <w:szCs w:val="28"/>
          <w:highlight w:val="none"/>
          <w:u w:val="single"/>
        </w:rPr>
        <w:t xml:space="preserve"> </w:t>
      </w:r>
      <w:r>
        <w:rPr>
          <w:rFonts w:hint="eastAsia" w:ascii="宋体" w:hAnsi="宋体" w:cs="宋体"/>
          <w:b/>
          <w:color w:val="auto"/>
          <w:sz w:val="28"/>
          <w:szCs w:val="28"/>
          <w:highlight w:val="none"/>
          <w:u w:val="single"/>
          <w:lang w:eastAsia="zh-CN"/>
        </w:rPr>
        <w:t>广西鼎策工程顾问有限责任公司</w:t>
      </w:r>
    </w:p>
    <w:p w14:paraId="7AE08119">
      <w:pPr>
        <w:spacing w:line="360" w:lineRule="auto"/>
        <w:outlineLvl w:val="9"/>
        <w:rPr>
          <w:rFonts w:hint="eastAsia" w:ascii="宋体" w:hAnsi="宋体" w:eastAsia="宋体" w:cs="宋体"/>
          <w:color w:val="auto"/>
          <w:highlight w:val="none"/>
        </w:rPr>
      </w:pPr>
    </w:p>
    <w:p w14:paraId="2D51E0F6">
      <w:pPr>
        <w:pStyle w:val="17"/>
        <w:spacing w:line="360" w:lineRule="auto"/>
        <w:ind w:left="900" w:hanging="480" w:hangingChars="200"/>
        <w:outlineLvl w:val="9"/>
        <w:rPr>
          <w:rFonts w:hint="eastAsia" w:ascii="宋体" w:hAnsi="宋体" w:eastAsia="宋体" w:cs="宋体"/>
          <w:bCs/>
          <w:color w:val="auto"/>
          <w:sz w:val="24"/>
          <w:highlight w:val="none"/>
        </w:rPr>
      </w:pPr>
      <w:bookmarkStart w:id="432" w:name="_Toc4932_WPSOffice_Level2"/>
      <w:bookmarkStart w:id="433" w:name="_Toc20319_WPSOffice_Level2"/>
      <w:r>
        <w:rPr>
          <w:rFonts w:hint="eastAsia" w:ascii="宋体" w:hAnsi="宋体" w:eastAsia="宋体" w:cs="宋体"/>
          <w:bCs/>
          <w:color w:val="auto"/>
          <w:sz w:val="24"/>
          <w:highlight w:val="none"/>
        </w:rPr>
        <w:t>磋商供应商[公章(CA签章)、自然人除外]：</w:t>
      </w:r>
      <w:r>
        <w:rPr>
          <w:rFonts w:hint="eastAsia" w:ascii="宋体" w:hAnsi="宋体" w:eastAsia="宋体" w:cs="宋体"/>
          <w:bCs/>
          <w:color w:val="auto"/>
          <w:sz w:val="24"/>
          <w:highlight w:val="none"/>
          <w:u w:val="single"/>
        </w:rPr>
        <w:t xml:space="preserve">                       </w:t>
      </w:r>
      <w:bookmarkEnd w:id="432"/>
      <w:bookmarkEnd w:id="433"/>
      <w:r>
        <w:rPr>
          <w:rFonts w:hint="eastAsia" w:ascii="宋体" w:hAnsi="宋体" w:eastAsia="宋体" w:cs="宋体"/>
          <w:bCs/>
          <w:color w:val="auto"/>
          <w:sz w:val="24"/>
          <w:highlight w:val="none"/>
          <w:u w:val="single"/>
        </w:rPr>
        <w:t xml:space="preserve">       </w:t>
      </w:r>
    </w:p>
    <w:p w14:paraId="39049738">
      <w:pPr>
        <w:pStyle w:val="22"/>
        <w:spacing w:line="360" w:lineRule="auto"/>
        <w:ind w:firstLine="420"/>
        <w:outlineLvl w:val="9"/>
        <w:rPr>
          <w:rFonts w:hint="eastAsia" w:ascii="宋体" w:hAnsi="宋体" w:eastAsia="宋体" w:cs="宋体"/>
          <w:color w:val="auto"/>
          <w:sz w:val="24"/>
          <w:szCs w:val="24"/>
          <w:highlight w:val="none"/>
        </w:rPr>
      </w:pPr>
      <w:bookmarkStart w:id="434" w:name="_Toc9622_WPSOffice_Level2"/>
      <w:bookmarkStart w:id="435" w:name="_Toc32056_WPSOffice_Level2"/>
      <w:r>
        <w:rPr>
          <w:rFonts w:hint="eastAsia" w:ascii="宋体" w:hAnsi="宋体" w:eastAsia="宋体" w:cs="宋体"/>
          <w:color w:val="auto"/>
          <w:sz w:val="24"/>
          <w:szCs w:val="24"/>
          <w:highlight w:val="none"/>
        </w:rPr>
        <w:t>法定代表人、负责人、自然人或相应的委托代理人签字[或盖章(CA签章)]</w:t>
      </w:r>
    </w:p>
    <w:p w14:paraId="08337D32">
      <w:pPr>
        <w:pStyle w:val="17"/>
        <w:spacing w:line="360" w:lineRule="auto"/>
        <w:ind w:left="900" w:hanging="480" w:hangingChars="200"/>
        <w:outlineLvl w:val="9"/>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（属自然人的应在签名处加盖大拇指指印或个人CA签章）：</w:t>
      </w:r>
      <w:r>
        <w:rPr>
          <w:rFonts w:hint="eastAsia" w:ascii="宋体" w:hAnsi="宋体" w:eastAsia="宋体" w:cs="宋体"/>
          <w:color w:val="auto"/>
          <w:sz w:val="24"/>
          <w:highlight w:val="none"/>
          <w:u w:val="single"/>
        </w:rPr>
        <w:t xml:space="preserve">              </w:t>
      </w:r>
    </w:p>
    <w:p w14:paraId="5FB56459">
      <w:pPr>
        <w:pStyle w:val="17"/>
        <w:spacing w:line="360" w:lineRule="auto"/>
        <w:ind w:left="900" w:hanging="480" w:hangingChars="200"/>
        <w:outlineLvl w:val="9"/>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联系电话：</w:t>
      </w:r>
      <w:bookmarkEnd w:id="434"/>
      <w:bookmarkEnd w:id="435"/>
      <w:r>
        <w:rPr>
          <w:rFonts w:hint="eastAsia" w:ascii="宋体" w:hAnsi="宋体" w:eastAsia="宋体" w:cs="宋体"/>
          <w:bCs/>
          <w:color w:val="auto"/>
          <w:sz w:val="24"/>
          <w:highlight w:val="none"/>
          <w:u w:val="single"/>
        </w:rPr>
        <w:t xml:space="preserve">                                                </w:t>
      </w:r>
    </w:p>
    <w:p w14:paraId="30DED94E">
      <w:pPr>
        <w:pStyle w:val="17"/>
        <w:spacing w:line="360" w:lineRule="auto"/>
        <w:ind w:left="900" w:hanging="480" w:hangingChars="200"/>
        <w:outlineLvl w:val="9"/>
        <w:rPr>
          <w:rFonts w:hint="eastAsia" w:ascii="宋体" w:hAnsi="宋体" w:eastAsia="宋体" w:cs="宋体"/>
          <w:bCs/>
          <w:color w:val="auto"/>
          <w:sz w:val="24"/>
          <w:highlight w:val="none"/>
        </w:rPr>
      </w:pPr>
      <w:bookmarkStart w:id="436" w:name="_Toc15933_WPSOffice_Level2"/>
      <w:bookmarkStart w:id="437" w:name="_Toc26465_WPSOffice_Level2"/>
      <w:r>
        <w:rPr>
          <w:rFonts w:hint="eastAsia" w:ascii="宋体" w:hAnsi="宋体" w:eastAsia="宋体" w:cs="宋体"/>
          <w:bCs/>
          <w:color w:val="auto"/>
          <w:sz w:val="24"/>
          <w:highlight w:val="none"/>
        </w:rPr>
        <w:t>日期：</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年</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月</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日</w:t>
      </w:r>
      <w:bookmarkEnd w:id="436"/>
      <w:bookmarkEnd w:id="437"/>
    </w:p>
    <w:p w14:paraId="5107482A">
      <w:pPr>
        <w:pStyle w:val="17"/>
        <w:spacing w:line="360" w:lineRule="auto"/>
        <w:ind w:left="900" w:hanging="480" w:hangingChars="200"/>
        <w:outlineLvl w:val="9"/>
        <w:rPr>
          <w:rFonts w:hint="eastAsia" w:ascii="宋体" w:hAnsi="宋体" w:eastAsia="宋体" w:cs="宋体"/>
          <w:bCs/>
          <w:color w:val="auto"/>
          <w:sz w:val="24"/>
          <w:highlight w:val="none"/>
        </w:rPr>
      </w:pPr>
    </w:p>
    <w:p w14:paraId="3AF31E04">
      <w:pPr>
        <w:pStyle w:val="18"/>
        <w:rPr>
          <w:rFonts w:hint="eastAsia" w:ascii="宋体" w:hAnsi="宋体" w:eastAsia="宋体" w:cs="宋体"/>
          <w:bCs/>
          <w:color w:val="auto"/>
          <w:sz w:val="24"/>
          <w:highlight w:val="none"/>
        </w:rPr>
      </w:pPr>
    </w:p>
    <w:p w14:paraId="62D42083">
      <w:pPr>
        <w:pStyle w:val="18"/>
        <w:rPr>
          <w:rFonts w:hint="eastAsia" w:ascii="宋体" w:hAnsi="宋体" w:eastAsia="宋体" w:cs="宋体"/>
          <w:bCs/>
          <w:color w:val="auto"/>
          <w:sz w:val="24"/>
          <w:highlight w:val="none"/>
        </w:rPr>
      </w:pPr>
    </w:p>
    <w:p w14:paraId="4273813A">
      <w:pPr>
        <w:pStyle w:val="17"/>
        <w:spacing w:line="360" w:lineRule="auto"/>
        <w:ind w:left="0" w:leftChars="0" w:firstLine="0" w:firstLineChars="0"/>
        <w:outlineLvl w:val="9"/>
        <w:rPr>
          <w:rFonts w:hint="eastAsia" w:ascii="宋体" w:hAnsi="宋体" w:eastAsia="宋体" w:cs="宋体"/>
          <w:bCs/>
          <w:color w:val="auto"/>
          <w:sz w:val="24"/>
          <w:highlight w:val="none"/>
        </w:rPr>
      </w:pPr>
    </w:p>
    <w:p w14:paraId="311790E5">
      <w:pPr>
        <w:numPr>
          <w:ilvl w:val="0"/>
          <w:numId w:val="0"/>
        </w:numPr>
        <w:spacing w:line="360" w:lineRule="auto"/>
        <w:outlineLvl w:val="9"/>
        <w:rPr>
          <w:rFonts w:hint="eastAsia" w:ascii="宋体" w:hAnsi="宋体" w:eastAsia="宋体" w:cs="宋体"/>
          <w:b/>
          <w:bCs/>
          <w:color w:val="auto"/>
          <w:kern w:val="2"/>
          <w:sz w:val="28"/>
          <w:szCs w:val="28"/>
          <w:lang w:val="en-US" w:eastAsia="zh-CN" w:bidi="ar-SA"/>
        </w:rPr>
      </w:pPr>
      <w:bookmarkStart w:id="438" w:name="_Toc19430"/>
      <w:bookmarkStart w:id="439" w:name="_Toc21615"/>
      <w:bookmarkStart w:id="440" w:name="_Toc497927070"/>
    </w:p>
    <w:p w14:paraId="197CABCB">
      <w:pPr>
        <w:numPr>
          <w:ilvl w:val="0"/>
          <w:numId w:val="0"/>
        </w:numPr>
        <w:spacing w:line="360" w:lineRule="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kern w:val="2"/>
          <w:sz w:val="28"/>
          <w:szCs w:val="28"/>
          <w:lang w:val="en-US" w:eastAsia="zh-CN" w:bidi="ar-SA"/>
        </w:rPr>
        <w:t>二、</w:t>
      </w:r>
      <w:r>
        <w:rPr>
          <w:rFonts w:hint="eastAsia" w:ascii="宋体" w:hAnsi="宋体" w:eastAsia="宋体" w:cs="宋体"/>
          <w:b/>
          <w:bCs/>
          <w:color w:val="auto"/>
          <w:sz w:val="32"/>
          <w:szCs w:val="32"/>
          <w:highlight w:val="none"/>
        </w:rPr>
        <w:t>响应文件组成</w:t>
      </w:r>
      <w:bookmarkEnd w:id="438"/>
      <w:bookmarkEnd w:id="439"/>
      <w:bookmarkEnd w:id="440"/>
    </w:p>
    <w:p w14:paraId="43072B2B">
      <w:pPr>
        <w:numPr>
          <w:ilvl w:val="0"/>
          <w:numId w:val="5"/>
        </w:numPr>
        <w:spacing w:line="360" w:lineRule="auto"/>
        <w:ind w:firstLine="568" w:firstLineChars="202"/>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资格性响应证明材料</w:t>
      </w:r>
    </w:p>
    <w:p w14:paraId="1DB3E7A5">
      <w:pPr>
        <w:numPr>
          <w:ilvl w:val="0"/>
          <w:numId w:val="5"/>
        </w:numPr>
        <w:spacing w:line="360" w:lineRule="auto"/>
        <w:ind w:firstLine="568" w:firstLineChars="202"/>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符合性响应证明材料</w:t>
      </w:r>
    </w:p>
    <w:p w14:paraId="14C13669">
      <w:pPr>
        <w:numPr>
          <w:ilvl w:val="0"/>
          <w:numId w:val="5"/>
        </w:numPr>
        <w:spacing w:line="360" w:lineRule="auto"/>
        <w:ind w:firstLine="568" w:firstLineChars="202"/>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其他有效证明材料</w:t>
      </w:r>
    </w:p>
    <w:p w14:paraId="17477E27">
      <w:pPr>
        <w:pStyle w:val="82"/>
        <w:spacing w:line="360" w:lineRule="auto"/>
        <w:outlineLvl w:val="9"/>
        <w:rPr>
          <w:rFonts w:hint="eastAsia" w:ascii="宋体" w:hAnsi="宋体" w:eastAsia="宋体" w:cs="宋体"/>
          <w:color w:val="auto"/>
          <w:highlight w:val="none"/>
        </w:rPr>
      </w:pPr>
    </w:p>
    <w:p w14:paraId="65D559A1">
      <w:pPr>
        <w:tabs>
          <w:tab w:val="left" w:pos="5040"/>
        </w:tabs>
        <w:spacing w:line="360" w:lineRule="auto"/>
        <w:outlineLvl w:val="9"/>
        <w:rPr>
          <w:rFonts w:hint="eastAsia" w:ascii="宋体" w:hAnsi="宋体" w:eastAsia="宋体" w:cs="宋体"/>
          <w:color w:val="auto"/>
          <w:szCs w:val="21"/>
          <w:highlight w:val="none"/>
        </w:rPr>
      </w:pPr>
    </w:p>
    <w:p w14:paraId="1415843B">
      <w:pPr>
        <w:pStyle w:val="16"/>
        <w:spacing w:line="360" w:lineRule="auto"/>
        <w:outlineLvl w:val="9"/>
        <w:rPr>
          <w:rFonts w:hint="eastAsia" w:ascii="宋体" w:hAnsi="宋体" w:eastAsia="宋体" w:cs="宋体"/>
          <w:color w:val="auto"/>
          <w:szCs w:val="21"/>
          <w:highlight w:val="none"/>
        </w:rPr>
      </w:pPr>
    </w:p>
    <w:p w14:paraId="30FBA663">
      <w:pPr>
        <w:pStyle w:val="16"/>
        <w:spacing w:line="360" w:lineRule="auto"/>
        <w:outlineLvl w:val="9"/>
        <w:rPr>
          <w:rFonts w:hint="eastAsia" w:ascii="宋体" w:hAnsi="宋体" w:eastAsia="宋体" w:cs="宋体"/>
          <w:color w:val="auto"/>
          <w:szCs w:val="21"/>
          <w:highlight w:val="none"/>
        </w:rPr>
      </w:pPr>
    </w:p>
    <w:p w14:paraId="58920FA0">
      <w:pPr>
        <w:pStyle w:val="16"/>
        <w:spacing w:line="360" w:lineRule="auto"/>
        <w:outlineLvl w:val="9"/>
        <w:rPr>
          <w:rFonts w:hint="eastAsia" w:ascii="宋体" w:hAnsi="宋体" w:eastAsia="宋体" w:cs="宋体"/>
          <w:color w:val="auto"/>
          <w:szCs w:val="21"/>
          <w:highlight w:val="none"/>
        </w:rPr>
      </w:pPr>
    </w:p>
    <w:p w14:paraId="3D12BD7B">
      <w:pPr>
        <w:pStyle w:val="16"/>
        <w:spacing w:line="360" w:lineRule="auto"/>
        <w:outlineLvl w:val="9"/>
        <w:rPr>
          <w:rFonts w:hint="eastAsia" w:ascii="宋体" w:hAnsi="宋体" w:eastAsia="宋体" w:cs="宋体"/>
          <w:color w:val="auto"/>
          <w:szCs w:val="21"/>
          <w:highlight w:val="none"/>
        </w:rPr>
      </w:pPr>
    </w:p>
    <w:p w14:paraId="4A3313B7">
      <w:pPr>
        <w:spacing w:line="360" w:lineRule="auto"/>
        <w:outlineLvl w:val="9"/>
        <w:rPr>
          <w:rFonts w:hint="eastAsia" w:ascii="宋体" w:hAnsi="宋体" w:eastAsia="宋体" w:cs="宋体"/>
          <w:color w:val="auto"/>
          <w:szCs w:val="21"/>
          <w:highlight w:val="none"/>
        </w:rPr>
      </w:pPr>
    </w:p>
    <w:p w14:paraId="2EC13F70">
      <w:pPr>
        <w:pStyle w:val="82"/>
        <w:spacing w:line="360" w:lineRule="auto"/>
        <w:outlineLvl w:val="9"/>
        <w:rPr>
          <w:rFonts w:hint="eastAsia" w:ascii="宋体" w:hAnsi="宋体" w:eastAsia="宋体" w:cs="宋体"/>
          <w:color w:val="auto"/>
          <w:szCs w:val="21"/>
          <w:highlight w:val="none"/>
        </w:rPr>
      </w:pPr>
    </w:p>
    <w:p w14:paraId="77B051FD">
      <w:pPr>
        <w:pStyle w:val="82"/>
        <w:spacing w:line="360" w:lineRule="auto"/>
        <w:outlineLvl w:val="9"/>
        <w:rPr>
          <w:rFonts w:hint="eastAsia" w:ascii="宋体" w:hAnsi="宋体" w:eastAsia="宋体" w:cs="宋体"/>
          <w:color w:val="auto"/>
          <w:szCs w:val="21"/>
          <w:highlight w:val="none"/>
        </w:rPr>
      </w:pPr>
    </w:p>
    <w:p w14:paraId="0AA639CC">
      <w:pPr>
        <w:pStyle w:val="82"/>
        <w:spacing w:line="360" w:lineRule="auto"/>
        <w:outlineLvl w:val="9"/>
        <w:rPr>
          <w:rFonts w:hint="eastAsia" w:ascii="宋体" w:hAnsi="宋体" w:eastAsia="宋体" w:cs="宋体"/>
          <w:color w:val="auto"/>
          <w:szCs w:val="21"/>
          <w:highlight w:val="none"/>
        </w:rPr>
      </w:pPr>
    </w:p>
    <w:p w14:paraId="5C50771E">
      <w:pPr>
        <w:pStyle w:val="82"/>
        <w:spacing w:line="360" w:lineRule="auto"/>
        <w:outlineLvl w:val="9"/>
        <w:rPr>
          <w:rFonts w:hint="eastAsia" w:ascii="宋体" w:hAnsi="宋体" w:eastAsia="宋体" w:cs="宋体"/>
          <w:color w:val="auto"/>
          <w:szCs w:val="21"/>
          <w:highlight w:val="none"/>
        </w:rPr>
      </w:pPr>
    </w:p>
    <w:p w14:paraId="20239668">
      <w:pPr>
        <w:pStyle w:val="82"/>
        <w:spacing w:line="360" w:lineRule="auto"/>
        <w:outlineLvl w:val="9"/>
        <w:rPr>
          <w:rFonts w:hint="eastAsia" w:ascii="宋体" w:hAnsi="宋体" w:eastAsia="宋体" w:cs="宋体"/>
          <w:color w:val="auto"/>
          <w:szCs w:val="21"/>
          <w:highlight w:val="none"/>
        </w:rPr>
      </w:pPr>
    </w:p>
    <w:p w14:paraId="5DEAE784">
      <w:pPr>
        <w:pStyle w:val="82"/>
        <w:spacing w:line="360" w:lineRule="auto"/>
        <w:outlineLvl w:val="9"/>
        <w:rPr>
          <w:rFonts w:hint="eastAsia" w:ascii="宋体" w:hAnsi="宋体" w:eastAsia="宋体" w:cs="宋体"/>
          <w:color w:val="auto"/>
          <w:szCs w:val="21"/>
          <w:highlight w:val="none"/>
        </w:rPr>
      </w:pPr>
    </w:p>
    <w:p w14:paraId="64463186">
      <w:pPr>
        <w:pStyle w:val="82"/>
        <w:spacing w:line="360" w:lineRule="auto"/>
        <w:outlineLvl w:val="9"/>
        <w:rPr>
          <w:rFonts w:hint="eastAsia" w:ascii="宋体" w:hAnsi="宋体" w:eastAsia="宋体" w:cs="宋体"/>
          <w:color w:val="auto"/>
          <w:szCs w:val="21"/>
          <w:highlight w:val="none"/>
        </w:rPr>
      </w:pPr>
    </w:p>
    <w:p w14:paraId="6B81A225">
      <w:pPr>
        <w:pStyle w:val="82"/>
        <w:spacing w:line="360" w:lineRule="auto"/>
        <w:outlineLvl w:val="9"/>
        <w:rPr>
          <w:rFonts w:hint="eastAsia" w:ascii="宋体" w:hAnsi="宋体" w:eastAsia="宋体" w:cs="宋体"/>
          <w:color w:val="auto"/>
          <w:szCs w:val="21"/>
          <w:highlight w:val="none"/>
        </w:rPr>
      </w:pPr>
    </w:p>
    <w:p w14:paraId="0653392E">
      <w:pPr>
        <w:pStyle w:val="82"/>
        <w:spacing w:line="360" w:lineRule="auto"/>
        <w:outlineLvl w:val="9"/>
        <w:rPr>
          <w:rFonts w:hint="eastAsia" w:ascii="宋体" w:hAnsi="宋体" w:eastAsia="宋体" w:cs="宋体"/>
          <w:color w:val="auto"/>
          <w:szCs w:val="21"/>
          <w:highlight w:val="none"/>
        </w:rPr>
      </w:pPr>
    </w:p>
    <w:p w14:paraId="531E3139">
      <w:pPr>
        <w:pStyle w:val="82"/>
        <w:spacing w:line="360" w:lineRule="auto"/>
        <w:outlineLvl w:val="9"/>
        <w:rPr>
          <w:rFonts w:hint="eastAsia" w:ascii="宋体" w:hAnsi="宋体" w:eastAsia="宋体" w:cs="宋体"/>
          <w:color w:val="auto"/>
          <w:szCs w:val="21"/>
          <w:highlight w:val="none"/>
        </w:rPr>
      </w:pPr>
    </w:p>
    <w:p w14:paraId="56FA7F5D">
      <w:pPr>
        <w:pStyle w:val="82"/>
        <w:spacing w:line="360" w:lineRule="auto"/>
        <w:outlineLvl w:val="9"/>
        <w:rPr>
          <w:rFonts w:hint="eastAsia" w:ascii="宋体" w:hAnsi="宋体" w:eastAsia="宋体" w:cs="宋体"/>
          <w:color w:val="auto"/>
          <w:szCs w:val="21"/>
          <w:highlight w:val="none"/>
        </w:rPr>
      </w:pPr>
    </w:p>
    <w:p w14:paraId="388AFC6F">
      <w:pPr>
        <w:pStyle w:val="82"/>
        <w:spacing w:line="360" w:lineRule="auto"/>
        <w:outlineLvl w:val="9"/>
        <w:rPr>
          <w:rFonts w:hint="eastAsia" w:ascii="宋体" w:hAnsi="宋体" w:eastAsia="宋体" w:cs="宋体"/>
          <w:color w:val="auto"/>
          <w:szCs w:val="21"/>
          <w:highlight w:val="none"/>
        </w:rPr>
      </w:pPr>
    </w:p>
    <w:p w14:paraId="2E281A13">
      <w:pPr>
        <w:pStyle w:val="82"/>
        <w:spacing w:line="360" w:lineRule="auto"/>
        <w:outlineLvl w:val="9"/>
        <w:rPr>
          <w:rFonts w:hint="eastAsia" w:ascii="宋体" w:hAnsi="宋体" w:eastAsia="宋体" w:cs="宋体"/>
          <w:color w:val="auto"/>
          <w:szCs w:val="21"/>
          <w:highlight w:val="none"/>
        </w:rPr>
      </w:pPr>
    </w:p>
    <w:p w14:paraId="3BDA556F">
      <w:pPr>
        <w:pStyle w:val="82"/>
        <w:spacing w:line="360" w:lineRule="auto"/>
        <w:outlineLvl w:val="9"/>
        <w:rPr>
          <w:rFonts w:hint="eastAsia" w:ascii="宋体" w:hAnsi="宋体" w:eastAsia="宋体" w:cs="宋体"/>
          <w:color w:val="auto"/>
          <w:szCs w:val="21"/>
          <w:highlight w:val="none"/>
        </w:rPr>
      </w:pPr>
    </w:p>
    <w:p w14:paraId="17CB18CF">
      <w:pPr>
        <w:pStyle w:val="82"/>
        <w:spacing w:line="360" w:lineRule="auto"/>
        <w:outlineLvl w:val="9"/>
        <w:rPr>
          <w:rFonts w:hint="eastAsia" w:ascii="宋体" w:hAnsi="宋体" w:eastAsia="宋体" w:cs="宋体"/>
          <w:color w:val="auto"/>
          <w:szCs w:val="21"/>
          <w:highlight w:val="none"/>
        </w:rPr>
      </w:pPr>
    </w:p>
    <w:p w14:paraId="224FCBDD">
      <w:pPr>
        <w:pStyle w:val="82"/>
        <w:spacing w:line="360" w:lineRule="auto"/>
        <w:outlineLvl w:val="9"/>
        <w:rPr>
          <w:rFonts w:hint="eastAsia" w:ascii="宋体" w:hAnsi="宋体" w:eastAsia="宋体" w:cs="宋体"/>
          <w:color w:val="auto"/>
          <w:szCs w:val="21"/>
          <w:highlight w:val="none"/>
        </w:rPr>
      </w:pPr>
    </w:p>
    <w:p w14:paraId="796263CD">
      <w:pPr>
        <w:pStyle w:val="82"/>
        <w:spacing w:line="360" w:lineRule="auto"/>
        <w:outlineLvl w:val="9"/>
        <w:rPr>
          <w:rFonts w:hint="eastAsia" w:ascii="宋体" w:hAnsi="宋体" w:eastAsia="宋体" w:cs="宋体"/>
          <w:color w:val="auto"/>
          <w:szCs w:val="21"/>
          <w:highlight w:val="none"/>
        </w:rPr>
      </w:pPr>
    </w:p>
    <w:p w14:paraId="6B48649F">
      <w:pPr>
        <w:pStyle w:val="82"/>
        <w:spacing w:line="360" w:lineRule="auto"/>
        <w:outlineLvl w:val="9"/>
        <w:rPr>
          <w:rFonts w:hint="eastAsia" w:ascii="宋体" w:hAnsi="宋体" w:eastAsia="宋体" w:cs="宋体"/>
          <w:color w:val="auto"/>
          <w:szCs w:val="21"/>
          <w:highlight w:val="none"/>
        </w:rPr>
      </w:pPr>
    </w:p>
    <w:p w14:paraId="2267AE79">
      <w:pPr>
        <w:pStyle w:val="82"/>
        <w:spacing w:line="360" w:lineRule="auto"/>
        <w:outlineLvl w:val="9"/>
        <w:rPr>
          <w:rFonts w:hint="eastAsia" w:ascii="宋体" w:hAnsi="宋体" w:eastAsia="宋体" w:cs="宋体"/>
          <w:color w:val="auto"/>
          <w:szCs w:val="21"/>
          <w:highlight w:val="none"/>
        </w:rPr>
      </w:pPr>
    </w:p>
    <w:p w14:paraId="5937A009">
      <w:pPr>
        <w:spacing w:line="360" w:lineRule="auto"/>
        <w:jc w:val="center"/>
        <w:outlineLvl w:val="9"/>
        <w:rPr>
          <w:rFonts w:hint="eastAsia" w:ascii="宋体" w:hAnsi="宋体" w:eastAsia="宋体" w:cs="宋体"/>
          <w:b/>
          <w:bCs/>
          <w:color w:val="auto"/>
          <w:highlight w:val="none"/>
        </w:rPr>
      </w:pPr>
      <w:bookmarkStart w:id="441" w:name="_Toc11067"/>
      <w:bookmarkStart w:id="442" w:name="_Toc497927071"/>
      <w:bookmarkStart w:id="443" w:name="_Toc7185"/>
      <w:r>
        <w:rPr>
          <w:rFonts w:hint="eastAsia" w:ascii="宋体" w:hAnsi="宋体" w:eastAsia="宋体" w:cs="宋体"/>
          <w:b/>
          <w:bCs/>
          <w:color w:val="auto"/>
          <w:sz w:val="32"/>
          <w:szCs w:val="32"/>
          <w:highlight w:val="none"/>
        </w:rPr>
        <w:t>（一）资格性响应证明材料目录</w:t>
      </w:r>
      <w:bookmarkEnd w:id="441"/>
      <w:bookmarkEnd w:id="442"/>
      <w:bookmarkEnd w:id="443"/>
      <w:r>
        <w:rPr>
          <w:rFonts w:hint="eastAsia" w:ascii="宋体" w:hAnsi="宋体" w:eastAsia="宋体" w:cs="宋体"/>
          <w:b/>
          <w:bCs/>
          <w:color w:val="auto"/>
          <w:sz w:val="32"/>
          <w:szCs w:val="32"/>
          <w:highlight w:val="none"/>
        </w:rPr>
        <w:t>（根据所提供内容自行编写）</w:t>
      </w:r>
    </w:p>
    <w:p w14:paraId="21893B24">
      <w:pPr>
        <w:tabs>
          <w:tab w:val="left" w:pos="3570"/>
        </w:tabs>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1.供应商相应的法定代表人、负责人、自然人身份证正反两面复印件</w:t>
      </w:r>
      <w:r>
        <w:rPr>
          <w:rFonts w:hint="eastAsia" w:ascii="宋体" w:hAnsi="宋体" w:eastAsia="宋体" w:cs="宋体"/>
          <w:b/>
          <w:bCs/>
          <w:color w:val="auto"/>
          <w:szCs w:val="21"/>
          <w:highlight w:val="none"/>
        </w:rPr>
        <w:t>（必须提供）</w:t>
      </w:r>
      <w:r>
        <w:rPr>
          <w:rFonts w:hint="eastAsia" w:ascii="宋体" w:hAnsi="宋体" w:eastAsia="宋体" w:cs="宋体"/>
          <w:color w:val="auto"/>
          <w:szCs w:val="21"/>
          <w:highlight w:val="none"/>
        </w:rPr>
        <w:t>；</w:t>
      </w:r>
    </w:p>
    <w:p w14:paraId="12644DF8">
      <w:pPr>
        <w:tabs>
          <w:tab w:val="left" w:pos="3570"/>
        </w:tabs>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2.供应商的授权委托书原件、委托代理人身份证正反面复印件以及由县级以上（含县级）社会养老保险经办机构出具的供应商为委托代理人交纳的响应文件递交截止时间前半年内任意</w:t>
      </w:r>
      <w:r>
        <w:rPr>
          <w:rFonts w:hint="eastAsia" w:ascii="宋体" w:hAnsi="宋体" w:eastAsia="宋体" w:cs="宋体"/>
          <w:color w:val="auto"/>
          <w:szCs w:val="21"/>
          <w:highlight w:val="none"/>
          <w:lang w:eastAsia="zh-CN"/>
        </w:rPr>
        <w:t>一</w:t>
      </w:r>
      <w:r>
        <w:rPr>
          <w:rFonts w:hint="eastAsia" w:ascii="宋体" w:hAnsi="宋体" w:eastAsia="宋体" w:cs="宋体"/>
          <w:color w:val="auto"/>
          <w:szCs w:val="21"/>
          <w:highlight w:val="none"/>
        </w:rPr>
        <w:t>个月社保证明复印件（委托代理时必须提供）。除供应商为以下三种情形的：</w:t>
      </w:r>
    </w:p>
    <w:p w14:paraId="1370F3B0">
      <w:pPr>
        <w:tabs>
          <w:tab w:val="left" w:pos="3570"/>
        </w:tabs>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如供应商为截标时间前60日以内成立的公司，可以提供供应商与委托代理人签订的劳动合同复印件代替社保证明复印件；</w:t>
      </w:r>
    </w:p>
    <w:p w14:paraId="6F7B6683">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（2）如供应商为事业单位，可以提供事业单位机构编制管理证复印件或事业单位机构为其发放工资的工资条复印件代替社保证明复印件；</w:t>
      </w:r>
    </w:p>
    <w:p w14:paraId="2D36C716">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（3）如委托代理人为免缴纳社保人员，提供免缴纳社保的证明材料复印件及供应商与委托代理人签订的劳动合同复印件代替社保证明复印件。</w:t>
      </w:r>
    </w:p>
    <w:p w14:paraId="5F56D2C6">
      <w:pPr>
        <w:spacing w:line="360" w:lineRule="auto"/>
        <w:ind w:firstLine="422" w:firstLineChars="200"/>
        <w:outlineLvl w:val="9"/>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【属自然人的应提供由县级以上（含县级）社会养老保险经办机构出具的自然人本人及委托代理人所交纳的响应文件递交截止时间前半年内任意</w:t>
      </w:r>
      <w:r>
        <w:rPr>
          <w:rFonts w:hint="eastAsia" w:ascii="宋体" w:hAnsi="宋体" w:eastAsia="宋体" w:cs="宋体"/>
          <w:b/>
          <w:bCs/>
          <w:color w:val="auto"/>
          <w:szCs w:val="21"/>
          <w:highlight w:val="none"/>
          <w:lang w:eastAsia="zh-CN"/>
        </w:rPr>
        <w:t>一</w:t>
      </w:r>
      <w:r>
        <w:rPr>
          <w:rFonts w:hint="eastAsia" w:ascii="宋体" w:hAnsi="宋体" w:eastAsia="宋体" w:cs="宋体"/>
          <w:b/>
          <w:bCs/>
          <w:color w:val="auto"/>
          <w:szCs w:val="21"/>
          <w:highlight w:val="none"/>
        </w:rPr>
        <w:t>个月社保证明复印件</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（委托代理时必须提供）</w:t>
      </w:r>
      <w:r>
        <w:rPr>
          <w:rFonts w:hint="eastAsia" w:ascii="宋体" w:hAnsi="宋体" w:eastAsia="宋体" w:cs="宋体"/>
          <w:color w:val="auto"/>
          <w:szCs w:val="21"/>
          <w:highlight w:val="none"/>
        </w:rPr>
        <w:t>；</w:t>
      </w:r>
    </w:p>
    <w:p w14:paraId="7CB61D24">
      <w:pPr>
        <w:tabs>
          <w:tab w:val="left" w:pos="3570"/>
        </w:tabs>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3.供应商参加政府采购活动前3年内在经营活动中没有重大违法记录及有关信用信息的书面声明</w:t>
      </w:r>
      <w:r>
        <w:rPr>
          <w:rFonts w:hint="eastAsia" w:ascii="宋体" w:hAnsi="宋体" w:eastAsia="宋体" w:cs="宋体"/>
          <w:b/>
          <w:bCs/>
          <w:color w:val="auto"/>
          <w:szCs w:val="21"/>
          <w:highlight w:val="none"/>
        </w:rPr>
        <w:t>（必须提供）</w:t>
      </w:r>
      <w:r>
        <w:rPr>
          <w:rFonts w:hint="eastAsia" w:ascii="宋体" w:hAnsi="宋体" w:eastAsia="宋体" w:cs="宋体"/>
          <w:color w:val="auto"/>
          <w:szCs w:val="21"/>
          <w:highlight w:val="none"/>
        </w:rPr>
        <w:t>；</w:t>
      </w:r>
    </w:p>
    <w:p w14:paraId="34A5D338">
      <w:pPr>
        <w:spacing w:line="360" w:lineRule="auto"/>
        <w:ind w:left="420" w:leftChars="200"/>
        <w:outlineLvl w:val="9"/>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4.供应商的法人或者其他组织营业执照等证明文件复印件</w:t>
      </w:r>
      <w:r>
        <w:rPr>
          <w:rFonts w:hint="eastAsia" w:ascii="宋体" w:hAnsi="宋体" w:eastAsia="宋体" w:cs="宋体"/>
          <w:b/>
          <w:color w:val="auto"/>
          <w:kern w:val="0"/>
          <w:szCs w:val="21"/>
          <w:highlight w:val="none"/>
        </w:rPr>
        <w:t>（必须提供，自然人除外）</w:t>
      </w:r>
      <w:r>
        <w:rPr>
          <w:rFonts w:hint="eastAsia" w:ascii="宋体" w:hAnsi="宋体" w:eastAsia="宋体" w:cs="宋体"/>
          <w:bCs/>
          <w:color w:val="auto"/>
          <w:kern w:val="0"/>
          <w:szCs w:val="21"/>
          <w:highlight w:val="none"/>
        </w:rPr>
        <w:t>；</w:t>
      </w:r>
    </w:p>
    <w:p w14:paraId="32BDD570">
      <w:pPr>
        <w:tabs>
          <w:tab w:val="left" w:pos="3570"/>
        </w:tabs>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bCs/>
          <w:color w:val="auto"/>
          <w:kern w:val="0"/>
          <w:szCs w:val="21"/>
          <w:highlight w:val="none"/>
        </w:rPr>
        <w:t>供应商有效的资质证书复印件</w:t>
      </w:r>
      <w:r>
        <w:rPr>
          <w:rFonts w:hint="eastAsia" w:ascii="宋体" w:hAnsi="宋体" w:eastAsia="宋体" w:cs="宋体"/>
          <w:b/>
          <w:bCs/>
          <w:color w:val="auto"/>
          <w:szCs w:val="21"/>
          <w:highlight w:val="none"/>
        </w:rPr>
        <w:t>（必须提供）；</w:t>
      </w:r>
    </w:p>
    <w:p w14:paraId="1DE20AE7">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6.供应商有效的安全生产许可证书复印件</w:t>
      </w:r>
      <w:r>
        <w:rPr>
          <w:rFonts w:hint="eastAsia" w:ascii="宋体" w:hAnsi="宋体" w:eastAsia="宋体" w:cs="宋体"/>
          <w:b/>
          <w:bCs/>
          <w:color w:val="auto"/>
          <w:szCs w:val="21"/>
          <w:highlight w:val="none"/>
        </w:rPr>
        <w:t>（必须提供）；</w:t>
      </w:r>
    </w:p>
    <w:p w14:paraId="4FABF57D">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7.供应商202</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年度财务状况报告</w:t>
      </w:r>
      <w:r>
        <w:rPr>
          <w:rFonts w:hint="eastAsia" w:ascii="宋体" w:hAnsi="宋体" w:eastAsia="宋体" w:cs="宋体"/>
          <w:b/>
          <w:bCs/>
          <w:color w:val="auto"/>
          <w:szCs w:val="21"/>
          <w:highlight w:val="none"/>
        </w:rPr>
        <w:t>（必须提供，可以是磋商供应商自行编制也可是通过第三方审计公司编制，如为自行编制至少须提供现金流量表、负债表及利润表（损益表）</w:t>
      </w:r>
      <w:r>
        <w:rPr>
          <w:rFonts w:hint="eastAsia" w:ascii="宋体" w:hAnsi="宋体" w:eastAsia="宋体" w:cs="宋体"/>
          <w:b/>
          <w:bCs/>
          <w:color w:val="auto"/>
          <w:szCs w:val="21"/>
          <w:highlight w:val="none"/>
          <w:lang w:eastAsia="zh-CN"/>
        </w:rPr>
        <w:t>，新成立的公司，提供自成立之日起至磋商截止时间前一个月的报告</w:t>
      </w:r>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rPr>
        <w:t>；</w:t>
      </w:r>
    </w:p>
    <w:p w14:paraId="1939D427">
      <w:pPr>
        <w:spacing w:line="360" w:lineRule="auto"/>
        <w:ind w:left="420"/>
        <w:outlineLvl w:val="9"/>
        <w:rPr>
          <w:rFonts w:hint="eastAsia" w:ascii="宋体" w:hAnsi="宋体" w:eastAsia="宋体" w:cs="宋体"/>
          <w:bCs/>
          <w:color w:val="auto"/>
          <w:kern w:val="0"/>
          <w:szCs w:val="21"/>
          <w:highlight w:val="none"/>
          <w:lang w:val="en-US" w:eastAsia="zh-CN"/>
        </w:rPr>
      </w:pPr>
      <w:r>
        <w:rPr>
          <w:rFonts w:hint="eastAsia" w:ascii="宋体" w:hAnsi="宋体" w:eastAsia="宋体" w:cs="宋体"/>
          <w:bCs/>
          <w:color w:val="auto"/>
          <w:kern w:val="0"/>
          <w:szCs w:val="21"/>
          <w:highlight w:val="none"/>
          <w:lang w:val="en-US" w:eastAsia="zh-CN"/>
        </w:rPr>
        <w:t>8.供应商近半年内任意一个月或任一季度依法缴纳税收的证明材料[增值税缴纳发票(税收完税证明)</w:t>
      </w:r>
    </w:p>
    <w:p w14:paraId="249A7C05">
      <w:pPr>
        <w:spacing w:line="360" w:lineRule="auto"/>
        <w:outlineLvl w:val="9"/>
        <w:rPr>
          <w:rFonts w:hint="eastAsia" w:ascii="宋体" w:hAnsi="宋体" w:eastAsia="宋体" w:cs="宋体"/>
          <w:b/>
          <w:bCs/>
          <w:color w:val="auto"/>
          <w:szCs w:val="21"/>
          <w:highlight w:val="none"/>
        </w:rPr>
      </w:pPr>
      <w:r>
        <w:rPr>
          <w:rFonts w:hint="eastAsia" w:ascii="宋体" w:hAnsi="宋体" w:eastAsia="宋体" w:cs="宋体"/>
          <w:bCs/>
          <w:color w:val="auto"/>
          <w:kern w:val="0"/>
          <w:szCs w:val="21"/>
          <w:highlight w:val="none"/>
          <w:lang w:val="en-US" w:eastAsia="zh-CN"/>
        </w:rPr>
        <w:t>或企业所得税完税证明或税务部门出具的免税证明]复印件</w:t>
      </w:r>
      <w:r>
        <w:rPr>
          <w:rFonts w:hint="eastAsia" w:ascii="宋体" w:hAnsi="宋体" w:eastAsia="宋体" w:cs="宋体"/>
          <w:b/>
          <w:bCs/>
          <w:color w:val="auto"/>
          <w:szCs w:val="21"/>
          <w:highlight w:val="none"/>
          <w:lang w:val="en-US" w:eastAsia="zh-CN"/>
        </w:rPr>
        <w:t xml:space="preserve">（必须提供）； </w:t>
      </w:r>
    </w:p>
    <w:p w14:paraId="6559A2A4">
      <w:pPr>
        <w:numPr>
          <w:ilvl w:val="0"/>
          <w:numId w:val="0"/>
        </w:numPr>
        <w:spacing w:line="360" w:lineRule="auto"/>
        <w:ind w:left="420" w:leftChars="0"/>
        <w:outlineLvl w:val="9"/>
        <w:rPr>
          <w:rFonts w:hint="eastAsia" w:ascii="宋体" w:hAnsi="宋体" w:eastAsia="宋体" w:cs="宋体"/>
          <w:b/>
          <w:bCs/>
          <w:color w:val="auto"/>
          <w:szCs w:val="21"/>
          <w:highlight w:val="none"/>
          <w:lang w:eastAsia="zh-CN"/>
        </w:rPr>
      </w:pPr>
      <w:r>
        <w:rPr>
          <w:rFonts w:hint="eastAsia" w:ascii="宋体" w:hAnsi="宋体" w:eastAsia="宋体" w:cs="宋体"/>
          <w:bCs/>
          <w:color w:val="auto"/>
          <w:kern w:val="0"/>
          <w:sz w:val="21"/>
          <w:szCs w:val="21"/>
          <w:lang w:val="en-US" w:eastAsia="zh-CN" w:bidi="ar-SA"/>
        </w:rPr>
        <w:t>9.</w:t>
      </w:r>
      <w:r>
        <w:rPr>
          <w:rFonts w:hint="eastAsia" w:ascii="宋体" w:hAnsi="宋体" w:eastAsia="宋体" w:cs="宋体"/>
          <w:bCs/>
          <w:color w:val="auto"/>
          <w:kern w:val="0"/>
          <w:szCs w:val="21"/>
          <w:highlight w:val="none"/>
          <w:lang w:val="en-US" w:eastAsia="zh-CN"/>
        </w:rPr>
        <w:t>提供服务企业属于小型、微型企业【中小微型企业划分标准按照《国家统计局关于印发《统计上大中小微型企业划分办法〔2017〕》的通知》（国统字〔2017〕213 号）执行，具体划分标准见第四章评标办法中附表《统计上大中小微型企业划分标准》】，以提供的《中小企业声明函》（见附件）为准</w:t>
      </w:r>
      <w:r>
        <w:rPr>
          <w:rFonts w:hint="eastAsia" w:ascii="宋体" w:hAnsi="宋体" w:eastAsia="宋体" w:cs="宋体"/>
          <w:b/>
          <w:bCs w:val="0"/>
          <w:color w:val="auto"/>
          <w:kern w:val="0"/>
          <w:szCs w:val="21"/>
          <w:highlight w:val="none"/>
          <w:lang w:val="en-US" w:eastAsia="zh-CN"/>
        </w:rPr>
        <w:t>（必须提供）；</w:t>
      </w:r>
    </w:p>
    <w:p w14:paraId="6640A89A">
      <w:pPr>
        <w:spacing w:before="159" w:line="219" w:lineRule="auto"/>
        <w:ind w:firstLine="420" w:firstLineChars="200"/>
        <w:rPr>
          <w:rFonts w:hint="eastAsia" w:ascii="宋体" w:hAnsi="宋体" w:eastAsia="宋体" w:cs="宋体"/>
          <w:b/>
          <w:color w:val="auto"/>
          <w:sz w:val="28"/>
          <w:szCs w:val="28"/>
          <w:highlight w:val="none"/>
        </w:rPr>
      </w:pPr>
      <w:r>
        <w:rPr>
          <w:rFonts w:hint="eastAsia" w:ascii="宋体" w:hAnsi="宋体" w:eastAsia="宋体" w:cs="宋体"/>
          <w:bCs/>
          <w:color w:val="auto"/>
          <w:kern w:val="0"/>
          <w:sz w:val="21"/>
          <w:szCs w:val="21"/>
          <w:highlight w:val="none"/>
          <w:lang w:val="en-US" w:eastAsia="zh-CN" w:bidi="ar-SA"/>
        </w:rPr>
        <w:t>10.以工代赈项目履约承诺函</w:t>
      </w:r>
      <w:r>
        <w:rPr>
          <w:rFonts w:hint="eastAsia" w:ascii="宋体" w:hAnsi="宋体" w:eastAsia="宋体" w:cs="宋体"/>
          <w:b/>
          <w:bCs w:val="0"/>
          <w:color w:val="auto"/>
          <w:kern w:val="0"/>
          <w:szCs w:val="21"/>
          <w:highlight w:val="none"/>
          <w:lang w:val="en-US" w:eastAsia="zh-CN"/>
        </w:rPr>
        <w:t>(必须提供)</w:t>
      </w:r>
    </w:p>
    <w:p w14:paraId="2200D74B">
      <w:pPr>
        <w:pStyle w:val="16"/>
        <w:rPr>
          <w:rFonts w:hint="eastAsia" w:ascii="宋体" w:hAnsi="宋体" w:eastAsia="宋体" w:cs="宋体"/>
          <w:b/>
          <w:color w:val="auto"/>
          <w:sz w:val="28"/>
          <w:szCs w:val="28"/>
          <w:highlight w:val="none"/>
        </w:rPr>
      </w:pPr>
    </w:p>
    <w:p w14:paraId="79A37EC1">
      <w:pPr>
        <w:spacing w:line="360" w:lineRule="auto"/>
        <w:outlineLvl w:val="9"/>
        <w:rPr>
          <w:rFonts w:hint="eastAsia" w:ascii="宋体" w:hAnsi="宋体" w:eastAsia="宋体" w:cs="宋体"/>
          <w:b/>
          <w:color w:val="auto"/>
          <w:sz w:val="28"/>
          <w:szCs w:val="28"/>
          <w:highlight w:val="none"/>
          <w:lang w:val="en-US" w:eastAsia="zh-CN"/>
        </w:rPr>
      </w:pPr>
    </w:p>
    <w:p w14:paraId="1D817DE9">
      <w:pPr>
        <w:spacing w:line="360" w:lineRule="auto"/>
        <w:outlineLvl w:val="9"/>
        <w:rPr>
          <w:rFonts w:hint="eastAsia" w:ascii="宋体" w:hAnsi="宋体" w:eastAsia="宋体" w:cs="宋体"/>
          <w:b/>
          <w:color w:val="auto"/>
          <w:sz w:val="28"/>
          <w:szCs w:val="28"/>
          <w:highlight w:val="none"/>
          <w:lang w:val="en-US" w:eastAsia="zh-CN"/>
        </w:rPr>
      </w:pPr>
    </w:p>
    <w:p w14:paraId="4FF5F165">
      <w:pPr>
        <w:spacing w:line="360" w:lineRule="auto"/>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1.</w:t>
      </w:r>
      <w:r>
        <w:rPr>
          <w:rFonts w:hint="eastAsia" w:ascii="宋体" w:hAnsi="宋体" w:eastAsia="宋体" w:cs="宋体"/>
          <w:b/>
          <w:color w:val="auto"/>
          <w:sz w:val="28"/>
          <w:szCs w:val="28"/>
          <w:highlight w:val="none"/>
        </w:rPr>
        <w:t>供应商相应的法定代表人、负责人、自然人身份证正反两面复印件（必须提供）；</w:t>
      </w:r>
    </w:p>
    <w:p w14:paraId="11BEEC64">
      <w:pPr>
        <w:spacing w:line="360" w:lineRule="auto"/>
        <w:outlineLvl w:val="9"/>
        <w:rPr>
          <w:rFonts w:hint="eastAsia" w:ascii="宋体" w:hAnsi="宋体" w:eastAsia="宋体" w:cs="宋体"/>
          <w:b/>
          <w:color w:val="auto"/>
          <w:sz w:val="28"/>
          <w:szCs w:val="28"/>
          <w:highlight w:val="none"/>
        </w:rPr>
      </w:pPr>
    </w:p>
    <w:p w14:paraId="13CA383A">
      <w:pPr>
        <w:pStyle w:val="16"/>
        <w:outlineLvl w:val="9"/>
        <w:rPr>
          <w:rFonts w:hint="eastAsia" w:ascii="宋体" w:hAnsi="宋体" w:eastAsia="宋体" w:cs="宋体"/>
          <w:b/>
          <w:color w:val="auto"/>
          <w:sz w:val="28"/>
          <w:szCs w:val="28"/>
          <w:highlight w:val="none"/>
        </w:rPr>
      </w:pPr>
    </w:p>
    <w:p w14:paraId="5748DD71">
      <w:pPr>
        <w:spacing w:line="360" w:lineRule="auto"/>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2.供应商的授权委托书原件、委托代理人身份证正反面复印件以及由县级以上（含县级）社会养老保险经办机构出具的供应商为委托代理人交纳的响应文件递交截止时间前半年内任意</w:t>
      </w:r>
      <w:r>
        <w:rPr>
          <w:rFonts w:hint="eastAsia" w:ascii="宋体" w:hAnsi="宋体" w:eastAsia="宋体" w:cs="宋体"/>
          <w:b/>
          <w:color w:val="auto"/>
          <w:sz w:val="28"/>
          <w:szCs w:val="28"/>
          <w:highlight w:val="none"/>
          <w:lang w:eastAsia="zh-CN"/>
        </w:rPr>
        <w:t>一</w:t>
      </w:r>
      <w:r>
        <w:rPr>
          <w:rFonts w:hint="eastAsia" w:ascii="宋体" w:hAnsi="宋体" w:eastAsia="宋体" w:cs="宋体"/>
          <w:b/>
          <w:color w:val="auto"/>
          <w:sz w:val="28"/>
          <w:szCs w:val="28"/>
          <w:highlight w:val="none"/>
        </w:rPr>
        <w:t>个月社保证明复印件（委托代理时必须提供）。除供应商为以下三种情形的：</w:t>
      </w:r>
    </w:p>
    <w:p w14:paraId="4C626D62">
      <w:pPr>
        <w:spacing w:line="360" w:lineRule="auto"/>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（1） 如供应商为截标时间前60日以内成立的公司，可以提供供应商与委托代理人签订的劳动合同复印件代替社保证明复印件；</w:t>
      </w:r>
    </w:p>
    <w:p w14:paraId="34E7A805">
      <w:pPr>
        <w:spacing w:line="360" w:lineRule="auto"/>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（2）如供应商为事业单位，可以提供事业单位机构编制管理证复印件或事业单位机构为其发放工资的工资条复印件代替社保证明复印件；</w:t>
      </w:r>
    </w:p>
    <w:p w14:paraId="1ADFA688">
      <w:pPr>
        <w:spacing w:line="360" w:lineRule="auto"/>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（3）如委托代理人为免缴纳社保人员，提供免缴纳社保的证明材料复印件及供应商与委托代理人签订的劳动合同复印件代替社保证明复印件。</w:t>
      </w:r>
    </w:p>
    <w:p w14:paraId="1D784F04">
      <w:pPr>
        <w:spacing w:line="360" w:lineRule="auto"/>
        <w:outlineLvl w:val="9"/>
        <w:rPr>
          <w:rFonts w:hint="eastAsia"/>
        </w:rPr>
      </w:pPr>
      <w:r>
        <w:rPr>
          <w:rFonts w:hint="eastAsia" w:ascii="宋体" w:hAnsi="宋体" w:eastAsia="宋体" w:cs="宋体"/>
          <w:b/>
          <w:color w:val="auto"/>
          <w:sz w:val="28"/>
          <w:szCs w:val="28"/>
          <w:highlight w:val="none"/>
        </w:rPr>
        <w:t>【属自然人的应提供由县级以上（含县级）社会养老保险经办机构出具的自然人本人及委托代理人所交纳的响应文件递交截止时间前半年内任意</w:t>
      </w:r>
      <w:r>
        <w:rPr>
          <w:rFonts w:hint="eastAsia" w:ascii="宋体" w:hAnsi="宋体" w:eastAsia="宋体" w:cs="宋体"/>
          <w:b/>
          <w:color w:val="auto"/>
          <w:sz w:val="28"/>
          <w:szCs w:val="28"/>
          <w:highlight w:val="none"/>
          <w:lang w:eastAsia="zh-CN"/>
        </w:rPr>
        <w:t>一</w:t>
      </w:r>
      <w:r>
        <w:rPr>
          <w:rFonts w:hint="eastAsia" w:ascii="宋体" w:hAnsi="宋体" w:eastAsia="宋体" w:cs="宋体"/>
          <w:b/>
          <w:color w:val="auto"/>
          <w:sz w:val="28"/>
          <w:szCs w:val="28"/>
          <w:highlight w:val="none"/>
        </w:rPr>
        <w:t>个月社保证明复印件】（委托代理时必须提供）</w:t>
      </w:r>
    </w:p>
    <w:p w14:paraId="4AB7E591">
      <w:pPr>
        <w:tabs>
          <w:tab w:val="left" w:pos="567"/>
        </w:tabs>
        <w:spacing w:line="360" w:lineRule="auto"/>
        <w:outlineLvl w:val="9"/>
        <w:rPr>
          <w:rFonts w:hint="eastAsia" w:ascii="宋体" w:hAnsi="宋体" w:eastAsia="宋体" w:cs="宋体"/>
          <w:color w:val="auto"/>
          <w:highlight w:val="none"/>
        </w:rPr>
      </w:pPr>
    </w:p>
    <w:p w14:paraId="707D6E4B">
      <w:pPr>
        <w:pStyle w:val="22"/>
        <w:spacing w:line="360" w:lineRule="auto"/>
        <w:outlineLvl w:val="9"/>
        <w:rPr>
          <w:rFonts w:hint="eastAsia" w:ascii="宋体" w:hAnsi="宋体" w:eastAsia="宋体" w:cs="宋体"/>
          <w:b/>
          <w:color w:val="auto"/>
          <w:sz w:val="32"/>
          <w:highlight w:val="none"/>
        </w:rPr>
      </w:pPr>
    </w:p>
    <w:p w14:paraId="74AA0EB4">
      <w:pPr>
        <w:pStyle w:val="22"/>
        <w:spacing w:line="360" w:lineRule="auto"/>
        <w:outlineLvl w:val="9"/>
        <w:rPr>
          <w:rFonts w:hint="eastAsia" w:ascii="宋体" w:hAnsi="宋体" w:eastAsia="宋体" w:cs="宋体"/>
          <w:b/>
          <w:color w:val="auto"/>
          <w:sz w:val="32"/>
          <w:highlight w:val="none"/>
        </w:rPr>
      </w:pPr>
    </w:p>
    <w:p w14:paraId="2C6E474F">
      <w:pPr>
        <w:pStyle w:val="22"/>
        <w:spacing w:line="360" w:lineRule="auto"/>
        <w:outlineLvl w:val="9"/>
        <w:rPr>
          <w:rFonts w:hint="eastAsia" w:ascii="宋体" w:hAnsi="宋体" w:eastAsia="宋体" w:cs="宋体"/>
          <w:b/>
          <w:color w:val="auto"/>
          <w:sz w:val="32"/>
          <w:highlight w:val="none"/>
        </w:rPr>
      </w:pPr>
    </w:p>
    <w:p w14:paraId="1E5FE50C">
      <w:pPr>
        <w:pStyle w:val="22"/>
        <w:spacing w:line="360" w:lineRule="auto"/>
        <w:outlineLvl w:val="9"/>
        <w:rPr>
          <w:rFonts w:hint="eastAsia" w:ascii="宋体" w:hAnsi="宋体" w:eastAsia="宋体" w:cs="宋体"/>
          <w:b/>
          <w:color w:val="auto"/>
          <w:sz w:val="32"/>
          <w:highlight w:val="none"/>
        </w:rPr>
      </w:pPr>
    </w:p>
    <w:p w14:paraId="5EE15E9D">
      <w:pPr>
        <w:pStyle w:val="22"/>
        <w:spacing w:line="360" w:lineRule="auto"/>
        <w:outlineLvl w:val="9"/>
        <w:rPr>
          <w:rFonts w:hint="eastAsia" w:ascii="宋体" w:hAnsi="宋体" w:eastAsia="宋体" w:cs="宋体"/>
          <w:b/>
          <w:color w:val="auto"/>
          <w:sz w:val="32"/>
          <w:highlight w:val="none"/>
        </w:rPr>
      </w:pPr>
    </w:p>
    <w:p w14:paraId="59413D08">
      <w:pPr>
        <w:pStyle w:val="22"/>
        <w:spacing w:line="360" w:lineRule="auto"/>
        <w:outlineLvl w:val="9"/>
        <w:rPr>
          <w:rFonts w:hint="eastAsia" w:ascii="宋体" w:hAnsi="宋体" w:eastAsia="宋体" w:cs="宋体"/>
          <w:b/>
          <w:color w:val="auto"/>
          <w:sz w:val="32"/>
          <w:highlight w:val="none"/>
        </w:rPr>
      </w:pPr>
    </w:p>
    <w:p w14:paraId="6A8B5A5C">
      <w:pPr>
        <w:pStyle w:val="22"/>
        <w:spacing w:line="360" w:lineRule="auto"/>
        <w:outlineLvl w:val="9"/>
        <w:rPr>
          <w:rFonts w:hint="eastAsia" w:ascii="宋体" w:hAnsi="宋体" w:eastAsia="宋体" w:cs="宋体"/>
          <w:b/>
          <w:color w:val="auto"/>
          <w:sz w:val="32"/>
          <w:highlight w:val="none"/>
        </w:rPr>
      </w:pPr>
    </w:p>
    <w:p w14:paraId="1C33960E">
      <w:pPr>
        <w:pStyle w:val="22"/>
        <w:spacing w:line="360" w:lineRule="auto"/>
        <w:outlineLvl w:val="9"/>
        <w:rPr>
          <w:rFonts w:hint="eastAsia" w:ascii="宋体" w:hAnsi="宋体" w:eastAsia="宋体" w:cs="宋体"/>
          <w:b/>
          <w:color w:val="auto"/>
          <w:sz w:val="32"/>
          <w:highlight w:val="none"/>
        </w:rPr>
      </w:pPr>
      <w:r>
        <w:rPr>
          <w:rFonts w:hint="eastAsia" w:ascii="宋体" w:hAnsi="宋体" w:eastAsia="宋体" w:cs="宋体"/>
          <w:b/>
          <w:color w:val="auto"/>
          <w:sz w:val="32"/>
          <w:highlight w:val="none"/>
        </w:rPr>
        <w:t xml:space="preserve">附件：            </w:t>
      </w:r>
    </w:p>
    <w:p w14:paraId="1A21CC14">
      <w:pPr>
        <w:pStyle w:val="22"/>
        <w:spacing w:line="360" w:lineRule="auto"/>
        <w:ind w:firstLine="630" w:firstLineChars="196"/>
        <w:jc w:val="center"/>
        <w:outlineLvl w:val="9"/>
        <w:rPr>
          <w:rFonts w:hint="eastAsia" w:ascii="宋体" w:hAnsi="宋体" w:eastAsia="宋体" w:cs="宋体"/>
          <w:b/>
          <w:color w:val="auto"/>
          <w:sz w:val="32"/>
          <w:highlight w:val="none"/>
        </w:rPr>
      </w:pPr>
      <w:bookmarkStart w:id="444" w:name="_Toc964_WPSOffice_Level1"/>
      <w:bookmarkStart w:id="445" w:name="_Toc5420_WPSOffice_Level1"/>
      <w:r>
        <w:rPr>
          <w:rFonts w:hint="eastAsia" w:ascii="宋体" w:hAnsi="宋体" w:eastAsia="宋体" w:cs="宋体"/>
          <w:b/>
          <w:color w:val="auto"/>
          <w:sz w:val="32"/>
          <w:highlight w:val="none"/>
        </w:rPr>
        <w:t>授权委托书（格式一）</w:t>
      </w:r>
      <w:bookmarkEnd w:id="444"/>
      <w:bookmarkEnd w:id="445"/>
    </w:p>
    <w:p w14:paraId="0BFAF72D">
      <w:pPr>
        <w:pStyle w:val="22"/>
        <w:spacing w:line="360" w:lineRule="auto"/>
        <w:outlineLvl w:val="9"/>
        <w:rPr>
          <w:rFonts w:hint="eastAsia" w:ascii="宋体" w:hAnsi="宋体" w:eastAsia="宋体" w:cs="宋体"/>
          <w:color w:val="auto"/>
          <w:highlight w:val="none"/>
        </w:rPr>
      </w:pPr>
    </w:p>
    <w:p w14:paraId="444C50FF">
      <w:pPr>
        <w:spacing w:line="360" w:lineRule="auto"/>
        <w:outlineLvl w:val="9"/>
        <w:rPr>
          <w:rFonts w:hint="eastAsia" w:ascii="宋体" w:hAnsi="宋体" w:eastAsia="宋体" w:cs="宋体"/>
          <w:color w:val="auto"/>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eastAsia="zh-CN"/>
        </w:rPr>
        <w:t>广西鼎策工程顾问有限责任公司</w:t>
      </w:r>
      <w:r>
        <w:rPr>
          <w:rFonts w:hint="eastAsia" w:ascii="宋体" w:hAnsi="宋体" w:eastAsia="宋体" w:cs="宋体"/>
          <w:color w:val="auto"/>
          <w:szCs w:val="21"/>
          <w:highlight w:val="none"/>
          <w:u w:val="single"/>
        </w:rPr>
        <w:t xml:space="preserve"> </w:t>
      </w:r>
    </w:p>
    <w:p w14:paraId="1B417355">
      <w:pPr>
        <w:spacing w:line="360" w:lineRule="auto"/>
        <w:outlineLvl w:val="9"/>
        <w:rPr>
          <w:rFonts w:hint="eastAsia" w:ascii="宋体" w:hAnsi="宋体" w:eastAsia="宋体" w:cs="宋体"/>
          <w:color w:val="auto"/>
          <w:szCs w:val="21"/>
          <w:highlight w:val="none"/>
        </w:rPr>
      </w:pPr>
    </w:p>
    <w:p w14:paraId="0DBEDE03">
      <w:pPr>
        <w:pStyle w:val="22"/>
        <w:spacing w:line="360" w:lineRule="auto"/>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kern w:val="0"/>
          <w:highlight w:val="none"/>
        </w:rPr>
        <w:t>我</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（姓名）系</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（供应商名称）的法定代表人（负责人），现授权委托本单位在职职工</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（姓 名）以我公司名义参加</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highlight w:val="none"/>
          <w:u w:val="single"/>
        </w:rPr>
        <w:t xml:space="preserve">（项目名称及项目编号）        </w:t>
      </w:r>
      <w:r>
        <w:rPr>
          <w:rFonts w:hint="eastAsia" w:ascii="宋体" w:hAnsi="宋体" w:eastAsia="宋体" w:cs="宋体"/>
          <w:color w:val="auto"/>
          <w:highlight w:val="none"/>
        </w:rPr>
        <w:t>项目的磋商活动，并代表我方全权办理针对上述项目的磋商、签约等具体事务和签署相关文件。</w:t>
      </w:r>
    </w:p>
    <w:p w14:paraId="23E91BA6">
      <w:pPr>
        <w:pStyle w:val="22"/>
        <w:spacing w:line="360" w:lineRule="auto"/>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我方对被授权人的签字事项负全部责任。</w:t>
      </w:r>
    </w:p>
    <w:p w14:paraId="2FACA410">
      <w:pPr>
        <w:pStyle w:val="22"/>
        <w:spacing w:line="360" w:lineRule="auto"/>
        <w:ind w:firstLine="420" w:firstLineChars="200"/>
        <w:outlineLvl w:val="9"/>
        <w:rPr>
          <w:rFonts w:hint="eastAsia" w:ascii="宋体" w:hAnsi="宋体" w:eastAsia="宋体" w:cs="宋体"/>
          <w:color w:val="auto"/>
          <w:highlight w:val="none"/>
          <w:u w:val="single"/>
        </w:rPr>
      </w:pPr>
      <w:r>
        <w:rPr>
          <w:rFonts w:hint="eastAsia" w:ascii="宋体" w:hAnsi="宋体" w:eastAsia="宋体" w:cs="宋体"/>
          <w:color w:val="auto"/>
          <w:highlight w:val="none"/>
        </w:rPr>
        <w:t>授权委托代理期限：从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月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日起至</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月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日止。</w:t>
      </w:r>
    </w:p>
    <w:p w14:paraId="62713C4F">
      <w:pPr>
        <w:pStyle w:val="22"/>
        <w:spacing w:line="360" w:lineRule="auto"/>
        <w:outlineLvl w:val="9"/>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w:t>
      </w:r>
    </w:p>
    <w:p w14:paraId="2E30A336">
      <w:pPr>
        <w:spacing w:line="360" w:lineRule="auto"/>
        <w:ind w:firstLine="420" w:firstLineChars="200"/>
        <w:outlineLvl w:val="9"/>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代理人无转委托权,特此委托。 </w:t>
      </w:r>
    </w:p>
    <w:p w14:paraId="3C03B693">
      <w:pPr>
        <w:spacing w:line="360" w:lineRule="auto"/>
        <w:ind w:firstLine="420" w:firstLineChars="200"/>
        <w:outlineLvl w:val="9"/>
        <w:rPr>
          <w:rFonts w:hint="eastAsia" w:ascii="宋体" w:hAnsi="宋体" w:eastAsia="宋体" w:cs="宋体"/>
          <w:color w:val="auto"/>
          <w:kern w:val="0"/>
          <w:highlight w:val="none"/>
        </w:rPr>
      </w:pPr>
    </w:p>
    <w:p w14:paraId="06BA2C1C">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我已在下面签字，以资证明。</w:t>
      </w:r>
    </w:p>
    <w:p w14:paraId="14187314">
      <w:pPr>
        <w:spacing w:line="360" w:lineRule="auto"/>
        <w:ind w:firstLine="420" w:firstLineChars="200"/>
        <w:outlineLvl w:val="9"/>
        <w:rPr>
          <w:rFonts w:hint="eastAsia" w:ascii="宋体" w:hAnsi="宋体" w:eastAsia="宋体" w:cs="宋体"/>
          <w:color w:val="auto"/>
          <w:szCs w:val="21"/>
          <w:highlight w:val="none"/>
        </w:rPr>
      </w:pPr>
    </w:p>
    <w:p w14:paraId="6F2A4A28">
      <w:pPr>
        <w:spacing w:line="360" w:lineRule="auto"/>
        <w:ind w:firstLine="420" w:firstLineChars="200"/>
        <w:outlineLvl w:val="9"/>
        <w:rPr>
          <w:rFonts w:hint="eastAsia" w:ascii="宋体" w:hAnsi="宋体" w:eastAsia="宋体" w:cs="宋体"/>
          <w:color w:val="auto"/>
          <w:szCs w:val="21"/>
          <w:highlight w:val="none"/>
        </w:rPr>
      </w:pPr>
    </w:p>
    <w:p w14:paraId="5672E8DD">
      <w:pPr>
        <w:snapToGrid w:val="0"/>
        <w:spacing w:line="360" w:lineRule="auto"/>
        <w:ind w:firstLine="420"/>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磋商供应商[公章（CA签章）]：</w:t>
      </w:r>
      <w:r>
        <w:rPr>
          <w:rFonts w:hint="eastAsia" w:ascii="宋体" w:hAnsi="宋体" w:eastAsia="宋体" w:cs="宋体"/>
          <w:color w:val="auto"/>
          <w:szCs w:val="21"/>
          <w:highlight w:val="none"/>
          <w:u w:val="single"/>
        </w:rPr>
        <w:t xml:space="preserve">                                   </w:t>
      </w:r>
    </w:p>
    <w:p w14:paraId="0911833F">
      <w:pPr>
        <w:snapToGrid w:val="0"/>
        <w:spacing w:line="360" w:lineRule="auto"/>
        <w:ind w:firstLine="420"/>
        <w:outlineLvl w:val="9"/>
        <w:rPr>
          <w:rFonts w:hint="eastAsia" w:ascii="宋体" w:hAnsi="宋体" w:eastAsia="宋体" w:cs="宋体"/>
          <w:color w:val="auto"/>
          <w:szCs w:val="21"/>
          <w:highlight w:val="none"/>
        </w:rPr>
      </w:pPr>
    </w:p>
    <w:p w14:paraId="335B4518">
      <w:pPr>
        <w:snapToGrid w:val="0"/>
        <w:spacing w:line="360" w:lineRule="auto"/>
        <w:outlineLvl w:val="9"/>
        <w:rPr>
          <w:rFonts w:hint="eastAsia" w:ascii="宋体" w:hAnsi="宋体" w:eastAsia="宋体" w:cs="宋体"/>
          <w:color w:val="auto"/>
          <w:highlight w:val="none"/>
        </w:rPr>
      </w:pPr>
      <w:r>
        <w:rPr>
          <w:rFonts w:hint="eastAsia" w:ascii="宋体" w:hAnsi="宋体" w:eastAsia="宋体" w:cs="宋体"/>
          <w:color w:val="auto"/>
          <w:szCs w:val="21"/>
          <w:highlight w:val="none"/>
        </w:rPr>
        <w:t>法定代表人（负责人）签字（或个人CA签章）：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2FAFB038">
      <w:pPr>
        <w:spacing w:line="360" w:lineRule="auto"/>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附：供应商的授权委托书原件、委托代理人身份证正反面复印件以及由县级以上（含县级）社会养老保险经办机构出具的供应商为委托代理人交纳的响应文件递交截止时间前半年内任意</w:t>
      </w:r>
      <w:r>
        <w:rPr>
          <w:rFonts w:hint="eastAsia" w:ascii="宋体" w:hAnsi="宋体" w:eastAsia="宋体" w:cs="宋体"/>
          <w:b/>
          <w:color w:val="auto"/>
          <w:szCs w:val="21"/>
          <w:highlight w:val="none"/>
          <w:lang w:eastAsia="zh-CN"/>
        </w:rPr>
        <w:t>一</w:t>
      </w:r>
      <w:r>
        <w:rPr>
          <w:rFonts w:hint="eastAsia" w:ascii="宋体" w:hAnsi="宋体" w:eastAsia="宋体" w:cs="宋体"/>
          <w:b/>
          <w:color w:val="auto"/>
          <w:szCs w:val="21"/>
          <w:highlight w:val="none"/>
        </w:rPr>
        <w:t>个月社保证明复印件，除供应商为以下三种情形的：</w:t>
      </w:r>
    </w:p>
    <w:p w14:paraId="4EEEF514">
      <w:pPr>
        <w:spacing w:line="360" w:lineRule="auto"/>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 如供应商为截标时间前60日以内成立的公司，可以提供供应商与委托代理人签订的劳动合同复印件代替社保证明复印件；</w:t>
      </w:r>
    </w:p>
    <w:p w14:paraId="0A2AB873">
      <w:pPr>
        <w:spacing w:line="360" w:lineRule="auto"/>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（2）如供应商为事业单位，可以提供事业单位机构编制管理证复印件或事业单位机构为其发放工资的工资条复印件代替社保证明复印件；</w:t>
      </w:r>
    </w:p>
    <w:p w14:paraId="0AB8A058">
      <w:pPr>
        <w:spacing w:line="360" w:lineRule="auto"/>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（3）如委托代理人为免缴纳社保人员，提供免缴纳社保的证明材料复印件及供应商与委托代理人签订的劳动合同复印件代替社保证明复印件。</w:t>
      </w:r>
    </w:p>
    <w:p w14:paraId="30FE2A79">
      <w:pPr>
        <w:pStyle w:val="16"/>
        <w:rPr>
          <w:rFonts w:hint="eastAsia"/>
        </w:rPr>
      </w:pPr>
    </w:p>
    <w:p w14:paraId="691476BB">
      <w:pPr>
        <w:pStyle w:val="22"/>
        <w:spacing w:line="360" w:lineRule="auto"/>
        <w:ind w:firstLine="420" w:firstLineChars="200"/>
        <w:outlineLvl w:val="9"/>
        <w:rPr>
          <w:rFonts w:hint="eastAsia" w:ascii="宋体" w:hAnsi="宋体" w:eastAsia="宋体" w:cs="宋体"/>
          <w:color w:val="auto"/>
          <w:highlight w:val="none"/>
        </w:rPr>
      </w:pPr>
    </w:p>
    <w:p w14:paraId="02244503">
      <w:pPr>
        <w:pStyle w:val="22"/>
        <w:spacing w:line="360" w:lineRule="auto"/>
        <w:jc w:val="center"/>
        <w:outlineLvl w:val="9"/>
        <w:rPr>
          <w:rFonts w:hint="eastAsia" w:ascii="宋体" w:hAnsi="宋体" w:eastAsia="宋体" w:cs="宋体"/>
          <w:b/>
          <w:color w:val="auto"/>
          <w:sz w:val="32"/>
          <w:highlight w:val="none"/>
        </w:rPr>
      </w:pPr>
      <w:bookmarkStart w:id="446" w:name="_Toc6975_WPSOffice_Level1"/>
      <w:bookmarkStart w:id="447" w:name="_Toc21370_WPSOffice_Level1"/>
    </w:p>
    <w:p w14:paraId="23AD6E03">
      <w:pPr>
        <w:pStyle w:val="22"/>
        <w:spacing w:line="360" w:lineRule="auto"/>
        <w:jc w:val="center"/>
        <w:outlineLvl w:val="9"/>
        <w:rPr>
          <w:rFonts w:hint="eastAsia" w:ascii="宋体" w:hAnsi="宋体" w:eastAsia="宋体" w:cs="宋体"/>
          <w:b/>
          <w:color w:val="auto"/>
          <w:sz w:val="32"/>
          <w:highlight w:val="none"/>
        </w:rPr>
      </w:pPr>
    </w:p>
    <w:p w14:paraId="20DF4AB5">
      <w:pPr>
        <w:pStyle w:val="22"/>
        <w:spacing w:line="360" w:lineRule="auto"/>
        <w:jc w:val="center"/>
        <w:outlineLvl w:val="9"/>
        <w:rPr>
          <w:rFonts w:hint="eastAsia" w:ascii="宋体" w:hAnsi="宋体" w:eastAsia="宋体" w:cs="宋体"/>
          <w:b/>
          <w:color w:val="auto"/>
          <w:sz w:val="32"/>
          <w:highlight w:val="none"/>
        </w:rPr>
      </w:pPr>
      <w:r>
        <w:rPr>
          <w:rFonts w:hint="eastAsia" w:ascii="宋体" w:hAnsi="宋体" w:eastAsia="宋体" w:cs="宋体"/>
          <w:b/>
          <w:color w:val="auto"/>
          <w:sz w:val="32"/>
          <w:highlight w:val="none"/>
        </w:rPr>
        <w:t>授权委托书（格式二）</w:t>
      </w:r>
      <w:bookmarkEnd w:id="446"/>
      <w:bookmarkEnd w:id="447"/>
    </w:p>
    <w:p w14:paraId="74CC5E7D">
      <w:pPr>
        <w:pStyle w:val="22"/>
        <w:spacing w:line="360" w:lineRule="auto"/>
        <w:outlineLvl w:val="9"/>
        <w:rPr>
          <w:rFonts w:hint="eastAsia" w:ascii="宋体" w:hAnsi="宋体" w:eastAsia="宋体" w:cs="宋体"/>
          <w:b/>
          <w:color w:val="auto"/>
          <w:sz w:val="32"/>
          <w:highlight w:val="none"/>
        </w:rPr>
      </w:pPr>
    </w:p>
    <w:p w14:paraId="21B4E06E">
      <w:pPr>
        <w:pStyle w:val="22"/>
        <w:spacing w:line="360" w:lineRule="auto"/>
        <w:outlineLvl w:val="9"/>
        <w:rPr>
          <w:rFonts w:hint="eastAsia" w:ascii="宋体" w:hAnsi="宋体" w:eastAsia="宋体" w:cs="宋体"/>
          <w:color w:val="auto"/>
          <w:szCs w:val="21"/>
          <w:highlight w:val="none"/>
          <w:u w:val="single"/>
        </w:rPr>
      </w:pPr>
      <w:r>
        <w:rPr>
          <w:rFonts w:hint="eastAsia" w:ascii="宋体" w:hAnsi="宋体" w:eastAsia="宋体" w:cs="宋体"/>
          <w:b/>
          <w:color w:val="auto"/>
          <w:szCs w:val="21"/>
          <w:highlight w:val="none"/>
        </w:rPr>
        <w:t>致</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hAnsi="宋体" w:cs="宋体"/>
          <w:color w:val="auto"/>
          <w:szCs w:val="21"/>
          <w:highlight w:val="none"/>
          <w:u w:val="single"/>
          <w:lang w:eastAsia="zh-CN"/>
        </w:rPr>
        <w:t>广西鼎策工程顾问有限责任公司</w:t>
      </w:r>
      <w:r>
        <w:rPr>
          <w:rFonts w:hint="eastAsia" w:ascii="宋体" w:hAnsi="宋体" w:eastAsia="宋体" w:cs="宋体"/>
          <w:color w:val="auto"/>
          <w:szCs w:val="21"/>
          <w:highlight w:val="none"/>
          <w:u w:val="single"/>
        </w:rPr>
        <w:t xml:space="preserve"> </w:t>
      </w:r>
    </w:p>
    <w:p w14:paraId="71B8365F">
      <w:pPr>
        <w:spacing w:line="360" w:lineRule="auto"/>
        <w:outlineLvl w:val="9"/>
        <w:rPr>
          <w:rFonts w:hint="eastAsia" w:ascii="宋体" w:hAnsi="宋体" w:eastAsia="宋体" w:cs="宋体"/>
          <w:color w:val="auto"/>
          <w:highlight w:val="none"/>
        </w:rPr>
      </w:pPr>
    </w:p>
    <w:p w14:paraId="7B328FF2">
      <w:pPr>
        <w:pStyle w:val="22"/>
        <w:spacing w:line="360" w:lineRule="auto"/>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kern w:val="0"/>
          <w:highlight w:val="none"/>
        </w:rPr>
        <w:t>我</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（姓名）系自然人，现授权委托</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（姓 名）以本人名义参加</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highlight w:val="none"/>
          <w:u w:val="single"/>
        </w:rPr>
        <w:t xml:space="preserve">（项目名称及项目编号）        </w:t>
      </w:r>
      <w:r>
        <w:rPr>
          <w:rFonts w:hint="eastAsia" w:ascii="宋体" w:hAnsi="宋体" w:eastAsia="宋体" w:cs="宋体"/>
          <w:color w:val="auto"/>
          <w:highlight w:val="none"/>
        </w:rPr>
        <w:t>项目的磋商活动，并代表本人全权办理针对上述项目的磋商、签约等具体事务和签署相关文件。</w:t>
      </w:r>
    </w:p>
    <w:p w14:paraId="120E86BF">
      <w:pPr>
        <w:pStyle w:val="22"/>
        <w:spacing w:line="360" w:lineRule="auto"/>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本人对被授权人的签字事项负全部责任。</w:t>
      </w:r>
    </w:p>
    <w:p w14:paraId="2A566C2A">
      <w:pPr>
        <w:pStyle w:val="22"/>
        <w:spacing w:line="360" w:lineRule="auto"/>
        <w:ind w:firstLine="420" w:firstLineChars="200"/>
        <w:outlineLvl w:val="9"/>
        <w:rPr>
          <w:rFonts w:hint="eastAsia" w:ascii="宋体" w:hAnsi="宋体" w:eastAsia="宋体" w:cs="宋体"/>
          <w:color w:val="auto"/>
          <w:highlight w:val="none"/>
          <w:u w:val="single"/>
        </w:rPr>
      </w:pPr>
      <w:r>
        <w:rPr>
          <w:rFonts w:hint="eastAsia" w:ascii="宋体" w:hAnsi="宋体" w:eastAsia="宋体" w:cs="宋体"/>
          <w:color w:val="auto"/>
          <w:highlight w:val="none"/>
        </w:rPr>
        <w:t>授权委托代理期限：从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月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日起至</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月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日止。</w:t>
      </w:r>
    </w:p>
    <w:p w14:paraId="6A318D5F">
      <w:pPr>
        <w:pStyle w:val="22"/>
        <w:spacing w:line="360" w:lineRule="auto"/>
        <w:outlineLvl w:val="9"/>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w:t>
      </w:r>
    </w:p>
    <w:p w14:paraId="4413EA7A">
      <w:pPr>
        <w:spacing w:line="360" w:lineRule="auto"/>
        <w:ind w:firstLine="420" w:firstLineChars="200"/>
        <w:outlineLvl w:val="9"/>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代理人无转委托权,特此委托。 </w:t>
      </w:r>
    </w:p>
    <w:p w14:paraId="52476C05">
      <w:pPr>
        <w:spacing w:line="360" w:lineRule="auto"/>
        <w:ind w:firstLine="420" w:firstLineChars="200"/>
        <w:outlineLvl w:val="9"/>
        <w:rPr>
          <w:rFonts w:hint="eastAsia" w:ascii="宋体" w:hAnsi="宋体" w:eastAsia="宋体" w:cs="宋体"/>
          <w:color w:val="auto"/>
          <w:kern w:val="0"/>
          <w:highlight w:val="none"/>
        </w:rPr>
      </w:pPr>
    </w:p>
    <w:p w14:paraId="39B126C3">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我已在下面签字，以资证明。</w:t>
      </w:r>
    </w:p>
    <w:p w14:paraId="5A849876">
      <w:pPr>
        <w:spacing w:line="360" w:lineRule="auto"/>
        <w:ind w:firstLine="420" w:firstLineChars="200"/>
        <w:outlineLvl w:val="9"/>
        <w:rPr>
          <w:rFonts w:hint="eastAsia" w:ascii="宋体" w:hAnsi="宋体" w:eastAsia="宋体" w:cs="宋体"/>
          <w:color w:val="auto"/>
          <w:szCs w:val="21"/>
          <w:highlight w:val="none"/>
        </w:rPr>
      </w:pPr>
    </w:p>
    <w:p w14:paraId="1BD8ED71">
      <w:pPr>
        <w:snapToGrid w:val="0"/>
        <w:spacing w:line="360" w:lineRule="auto"/>
        <w:ind w:firstLine="42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自然人签字并在签名处加盖大拇指指印或个人CA签章：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489E0754">
      <w:pPr>
        <w:pStyle w:val="22"/>
        <w:spacing w:line="360" w:lineRule="auto"/>
        <w:ind w:left="420" w:leftChars="200"/>
        <w:outlineLvl w:val="9"/>
        <w:rPr>
          <w:rFonts w:hint="eastAsia" w:ascii="宋体" w:hAnsi="宋体" w:eastAsia="宋体" w:cs="宋体"/>
          <w:color w:val="auto"/>
          <w:szCs w:val="21"/>
          <w:highlight w:val="none"/>
        </w:rPr>
      </w:pPr>
    </w:p>
    <w:p w14:paraId="26599C9A">
      <w:pPr>
        <w:pStyle w:val="22"/>
        <w:spacing w:line="360" w:lineRule="auto"/>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附：委托代理人身份证正反面复印件</w:t>
      </w:r>
    </w:p>
    <w:p w14:paraId="734CCFFD">
      <w:pPr>
        <w:spacing w:line="360" w:lineRule="auto"/>
        <w:outlineLvl w:val="9"/>
        <w:rPr>
          <w:rFonts w:hint="eastAsia" w:ascii="宋体" w:hAnsi="宋体" w:eastAsia="宋体" w:cs="宋体"/>
          <w:b/>
          <w:color w:val="auto"/>
          <w:szCs w:val="21"/>
          <w:highlight w:val="none"/>
        </w:rPr>
      </w:pPr>
    </w:p>
    <w:p w14:paraId="64497728">
      <w:pPr>
        <w:pStyle w:val="16"/>
        <w:spacing w:line="360" w:lineRule="auto"/>
        <w:outlineLvl w:val="9"/>
        <w:rPr>
          <w:rFonts w:hint="eastAsia" w:ascii="宋体" w:hAnsi="宋体" w:eastAsia="宋体" w:cs="宋体"/>
          <w:b/>
          <w:color w:val="auto"/>
          <w:szCs w:val="21"/>
          <w:highlight w:val="none"/>
        </w:rPr>
      </w:pPr>
    </w:p>
    <w:p w14:paraId="3F26E2F8">
      <w:pPr>
        <w:pStyle w:val="16"/>
        <w:spacing w:line="360" w:lineRule="auto"/>
        <w:outlineLvl w:val="9"/>
        <w:rPr>
          <w:rFonts w:hint="eastAsia" w:ascii="宋体" w:hAnsi="宋体" w:eastAsia="宋体" w:cs="宋体"/>
          <w:b/>
          <w:color w:val="auto"/>
          <w:szCs w:val="21"/>
          <w:highlight w:val="none"/>
        </w:rPr>
      </w:pPr>
    </w:p>
    <w:p w14:paraId="4C74BFF7">
      <w:pPr>
        <w:pStyle w:val="16"/>
        <w:spacing w:line="360" w:lineRule="auto"/>
        <w:outlineLvl w:val="9"/>
        <w:rPr>
          <w:rFonts w:hint="eastAsia" w:ascii="宋体" w:hAnsi="宋体" w:eastAsia="宋体" w:cs="宋体"/>
          <w:b/>
          <w:color w:val="auto"/>
          <w:szCs w:val="21"/>
          <w:highlight w:val="none"/>
        </w:rPr>
      </w:pPr>
    </w:p>
    <w:p w14:paraId="208D5551">
      <w:pPr>
        <w:pStyle w:val="16"/>
        <w:spacing w:line="360" w:lineRule="auto"/>
        <w:outlineLvl w:val="9"/>
        <w:rPr>
          <w:rFonts w:hint="eastAsia" w:ascii="宋体" w:hAnsi="宋体" w:eastAsia="宋体" w:cs="宋体"/>
          <w:b/>
          <w:color w:val="auto"/>
          <w:szCs w:val="21"/>
          <w:highlight w:val="none"/>
        </w:rPr>
      </w:pPr>
    </w:p>
    <w:p w14:paraId="2D0E472F">
      <w:pPr>
        <w:pStyle w:val="16"/>
        <w:spacing w:line="360" w:lineRule="auto"/>
        <w:outlineLvl w:val="9"/>
        <w:rPr>
          <w:rFonts w:hint="eastAsia" w:ascii="宋体" w:hAnsi="宋体" w:eastAsia="宋体" w:cs="宋体"/>
          <w:b/>
          <w:color w:val="auto"/>
          <w:szCs w:val="21"/>
          <w:highlight w:val="none"/>
        </w:rPr>
      </w:pPr>
    </w:p>
    <w:p w14:paraId="71283DE1">
      <w:pPr>
        <w:pStyle w:val="16"/>
        <w:spacing w:line="360" w:lineRule="auto"/>
        <w:outlineLvl w:val="9"/>
        <w:rPr>
          <w:rFonts w:hint="eastAsia" w:ascii="宋体" w:hAnsi="宋体" w:eastAsia="宋体" w:cs="宋体"/>
          <w:b/>
          <w:color w:val="auto"/>
          <w:szCs w:val="21"/>
          <w:highlight w:val="none"/>
        </w:rPr>
      </w:pPr>
    </w:p>
    <w:p w14:paraId="34B03FF1">
      <w:pPr>
        <w:pStyle w:val="16"/>
        <w:spacing w:line="360" w:lineRule="auto"/>
        <w:outlineLvl w:val="9"/>
        <w:rPr>
          <w:rFonts w:hint="eastAsia" w:ascii="宋体" w:hAnsi="宋体" w:eastAsia="宋体" w:cs="宋体"/>
          <w:b/>
          <w:color w:val="auto"/>
          <w:szCs w:val="21"/>
          <w:highlight w:val="none"/>
        </w:rPr>
      </w:pPr>
    </w:p>
    <w:p w14:paraId="76BABA4F">
      <w:pPr>
        <w:pStyle w:val="16"/>
        <w:spacing w:line="360" w:lineRule="auto"/>
        <w:outlineLvl w:val="9"/>
        <w:rPr>
          <w:rFonts w:hint="eastAsia" w:ascii="宋体" w:hAnsi="宋体" w:eastAsia="宋体" w:cs="宋体"/>
          <w:b/>
          <w:color w:val="auto"/>
          <w:szCs w:val="21"/>
          <w:highlight w:val="none"/>
        </w:rPr>
      </w:pPr>
    </w:p>
    <w:p w14:paraId="71ECCE50">
      <w:pPr>
        <w:pStyle w:val="16"/>
        <w:spacing w:line="360" w:lineRule="auto"/>
        <w:outlineLvl w:val="9"/>
        <w:rPr>
          <w:rFonts w:hint="eastAsia" w:ascii="宋体" w:hAnsi="宋体" w:eastAsia="宋体" w:cs="宋体"/>
          <w:b/>
          <w:color w:val="auto"/>
          <w:szCs w:val="21"/>
          <w:highlight w:val="none"/>
        </w:rPr>
      </w:pPr>
    </w:p>
    <w:p w14:paraId="21A9481E">
      <w:pPr>
        <w:pStyle w:val="16"/>
        <w:spacing w:line="360" w:lineRule="auto"/>
        <w:outlineLvl w:val="9"/>
        <w:rPr>
          <w:rFonts w:hint="eastAsia" w:ascii="宋体" w:hAnsi="宋体" w:eastAsia="宋体" w:cs="宋体"/>
          <w:b/>
          <w:color w:val="auto"/>
          <w:szCs w:val="21"/>
          <w:highlight w:val="none"/>
        </w:rPr>
      </w:pPr>
    </w:p>
    <w:p w14:paraId="0B1CA724">
      <w:pPr>
        <w:pStyle w:val="16"/>
        <w:spacing w:line="360" w:lineRule="auto"/>
        <w:outlineLvl w:val="9"/>
        <w:rPr>
          <w:rFonts w:hint="eastAsia" w:ascii="宋体" w:hAnsi="宋体" w:eastAsia="宋体" w:cs="宋体"/>
          <w:b/>
          <w:color w:val="auto"/>
          <w:szCs w:val="21"/>
          <w:highlight w:val="none"/>
        </w:rPr>
      </w:pPr>
    </w:p>
    <w:p w14:paraId="0F8CD106">
      <w:pPr>
        <w:pStyle w:val="16"/>
        <w:spacing w:line="360" w:lineRule="auto"/>
        <w:outlineLvl w:val="9"/>
        <w:rPr>
          <w:rFonts w:hint="eastAsia" w:ascii="宋体" w:hAnsi="宋体" w:eastAsia="宋体" w:cs="宋体"/>
          <w:b/>
          <w:color w:val="auto"/>
          <w:szCs w:val="21"/>
          <w:highlight w:val="none"/>
        </w:rPr>
      </w:pPr>
    </w:p>
    <w:p w14:paraId="40824D32">
      <w:pPr>
        <w:pStyle w:val="16"/>
        <w:spacing w:line="360" w:lineRule="auto"/>
        <w:outlineLvl w:val="9"/>
        <w:rPr>
          <w:rFonts w:hint="eastAsia" w:ascii="宋体" w:hAnsi="宋体" w:eastAsia="宋体" w:cs="宋体"/>
          <w:b/>
          <w:color w:val="auto"/>
          <w:szCs w:val="21"/>
          <w:highlight w:val="none"/>
        </w:rPr>
      </w:pPr>
    </w:p>
    <w:p w14:paraId="7A61E14C">
      <w:pPr>
        <w:pStyle w:val="16"/>
        <w:spacing w:line="360" w:lineRule="auto"/>
        <w:outlineLvl w:val="9"/>
        <w:rPr>
          <w:rFonts w:hint="eastAsia" w:ascii="宋体" w:hAnsi="宋体" w:eastAsia="宋体" w:cs="宋体"/>
          <w:b/>
          <w:color w:val="auto"/>
          <w:szCs w:val="21"/>
          <w:highlight w:val="none"/>
        </w:rPr>
      </w:pPr>
    </w:p>
    <w:p w14:paraId="44373D81">
      <w:pPr>
        <w:spacing w:line="360" w:lineRule="auto"/>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3.供应商参加政府采购活动前3年内在经营活动中没有重大违法记录及有关信用信息的书面声明（必须提供）；</w:t>
      </w:r>
    </w:p>
    <w:p w14:paraId="6764811E">
      <w:pPr>
        <w:pStyle w:val="22"/>
        <w:spacing w:line="360" w:lineRule="auto"/>
        <w:outlineLvl w:val="9"/>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附件：</w:t>
      </w:r>
    </w:p>
    <w:p w14:paraId="06C3FECC">
      <w:pPr>
        <w:pStyle w:val="22"/>
        <w:spacing w:line="360" w:lineRule="auto"/>
        <w:jc w:val="center"/>
        <w:outlineLvl w:val="9"/>
        <w:rPr>
          <w:rFonts w:hint="eastAsia" w:ascii="宋体" w:hAnsi="宋体" w:eastAsia="宋体" w:cs="宋体"/>
          <w:b/>
          <w:color w:val="auto"/>
          <w:sz w:val="32"/>
          <w:szCs w:val="32"/>
          <w:highlight w:val="none"/>
        </w:rPr>
      </w:pPr>
      <w:bookmarkStart w:id="448" w:name="_Toc30890_WPSOffice_Level1"/>
      <w:bookmarkStart w:id="449" w:name="_Toc30304_WPSOffice_Level1"/>
      <w:r>
        <w:rPr>
          <w:rFonts w:hint="eastAsia" w:ascii="宋体" w:hAnsi="宋体" w:eastAsia="宋体" w:cs="宋体"/>
          <w:b/>
          <w:color w:val="auto"/>
          <w:sz w:val="32"/>
          <w:szCs w:val="32"/>
          <w:highlight w:val="none"/>
        </w:rPr>
        <w:t>声   明</w:t>
      </w:r>
      <w:bookmarkEnd w:id="448"/>
      <w:bookmarkEnd w:id="449"/>
    </w:p>
    <w:p w14:paraId="787B03C0">
      <w:pPr>
        <w:pStyle w:val="22"/>
        <w:spacing w:line="360" w:lineRule="auto"/>
        <w:outlineLvl w:val="9"/>
        <w:rPr>
          <w:rFonts w:hint="eastAsia" w:ascii="宋体" w:hAnsi="宋体" w:eastAsia="宋体" w:cs="宋体"/>
          <w:b/>
          <w:color w:val="auto"/>
          <w:sz w:val="32"/>
          <w:szCs w:val="32"/>
          <w:highlight w:val="none"/>
        </w:rPr>
      </w:pPr>
    </w:p>
    <w:p w14:paraId="4B9BFD6A">
      <w:pPr>
        <w:pStyle w:val="22"/>
        <w:spacing w:line="360" w:lineRule="auto"/>
        <w:outlineLvl w:val="9"/>
        <w:rPr>
          <w:rFonts w:hint="eastAsia" w:ascii="宋体" w:hAnsi="宋体" w:eastAsia="宋体" w:cs="宋体"/>
          <w:color w:val="auto"/>
          <w:szCs w:val="21"/>
          <w:highlight w:val="none"/>
          <w:u w:val="single"/>
        </w:rPr>
      </w:pPr>
      <w:r>
        <w:rPr>
          <w:rFonts w:hint="eastAsia" w:ascii="宋体" w:hAnsi="宋体" w:eastAsia="宋体" w:cs="宋体"/>
          <w:b/>
          <w:color w:val="auto"/>
          <w:szCs w:val="21"/>
          <w:highlight w:val="none"/>
        </w:rPr>
        <w:t>致</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hAnsi="宋体" w:cs="宋体"/>
          <w:color w:val="auto"/>
          <w:szCs w:val="21"/>
          <w:highlight w:val="none"/>
          <w:u w:val="single"/>
          <w:lang w:eastAsia="zh-CN"/>
        </w:rPr>
        <w:t>广西鼎策工程顾问有限责任公司</w:t>
      </w:r>
      <w:r>
        <w:rPr>
          <w:rFonts w:hint="eastAsia" w:ascii="宋体" w:hAnsi="宋体" w:eastAsia="宋体" w:cs="宋体"/>
          <w:color w:val="auto"/>
          <w:szCs w:val="21"/>
          <w:highlight w:val="none"/>
          <w:u w:val="single"/>
        </w:rPr>
        <w:t xml:space="preserve"> </w:t>
      </w:r>
    </w:p>
    <w:p w14:paraId="38810903">
      <w:pPr>
        <w:spacing w:line="360" w:lineRule="auto"/>
        <w:outlineLvl w:val="9"/>
        <w:rPr>
          <w:rFonts w:hint="eastAsia" w:ascii="宋体" w:hAnsi="宋体" w:eastAsia="宋体" w:cs="宋体"/>
          <w:color w:val="auto"/>
          <w:szCs w:val="21"/>
          <w:highlight w:val="none"/>
          <w:u w:val="single"/>
        </w:rPr>
      </w:pPr>
    </w:p>
    <w:p w14:paraId="03E87B70">
      <w:pPr>
        <w:pStyle w:val="16"/>
        <w:spacing w:line="360" w:lineRule="auto"/>
        <w:outlineLvl w:val="9"/>
        <w:rPr>
          <w:rFonts w:hint="eastAsia" w:ascii="宋体" w:hAnsi="宋体" w:eastAsia="宋体" w:cs="宋体"/>
          <w:color w:val="auto"/>
          <w:highlight w:val="none"/>
        </w:rPr>
      </w:pPr>
    </w:p>
    <w:p w14:paraId="259A8EBF">
      <w:pPr>
        <w:pStyle w:val="22"/>
        <w:spacing w:line="360" w:lineRule="auto"/>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5792D136">
      <w:pPr>
        <w:spacing w:line="360" w:lineRule="auto"/>
        <w:outlineLvl w:val="9"/>
        <w:rPr>
          <w:rFonts w:hint="eastAsia" w:ascii="宋体" w:hAnsi="宋体" w:eastAsia="宋体" w:cs="宋体"/>
          <w:color w:val="auto"/>
          <w:highlight w:val="none"/>
        </w:rPr>
      </w:pPr>
    </w:p>
    <w:p w14:paraId="033F0E9F">
      <w:pPr>
        <w:snapToGrid w:val="0"/>
        <w:spacing w:line="360" w:lineRule="auto"/>
        <w:ind w:firstLine="1890" w:firstLineChars="900"/>
        <w:outlineLvl w:val="9"/>
        <w:rPr>
          <w:rFonts w:hint="eastAsia" w:ascii="宋体" w:hAnsi="宋体" w:eastAsia="宋体" w:cs="宋体"/>
          <w:color w:val="auto"/>
          <w:highlight w:val="none"/>
        </w:rPr>
      </w:pPr>
      <w:r>
        <w:rPr>
          <w:rFonts w:hint="eastAsia" w:ascii="宋体" w:hAnsi="宋体" w:eastAsia="宋体" w:cs="宋体"/>
          <w:color w:val="auto"/>
          <w:szCs w:val="21"/>
          <w:highlight w:val="none"/>
        </w:rPr>
        <w:t>磋商供应商[公章(CA签章)，自然人签字或个人CA签章]：</w:t>
      </w:r>
      <w:r>
        <w:rPr>
          <w:rFonts w:hint="eastAsia" w:ascii="宋体" w:hAnsi="宋体" w:eastAsia="宋体" w:cs="宋体"/>
          <w:color w:val="auto"/>
          <w:szCs w:val="21"/>
          <w:highlight w:val="none"/>
          <w:u w:val="single"/>
        </w:rPr>
        <w:t xml:space="preserve">                                         </w:t>
      </w:r>
    </w:p>
    <w:p w14:paraId="25003FEB">
      <w:pPr>
        <w:pStyle w:val="22"/>
        <w:spacing w:line="360" w:lineRule="auto"/>
        <w:ind w:firstLine="3990" w:firstLineChars="1900"/>
        <w:outlineLvl w:val="9"/>
        <w:rPr>
          <w:rFonts w:hint="eastAsia" w:ascii="宋体" w:hAnsi="宋体" w:eastAsia="宋体" w:cs="宋体"/>
          <w:color w:val="auto"/>
          <w:highlight w:val="none"/>
        </w:rPr>
      </w:pPr>
    </w:p>
    <w:p w14:paraId="696E5704">
      <w:pPr>
        <w:pStyle w:val="22"/>
        <w:spacing w:line="360" w:lineRule="auto"/>
        <w:ind w:firstLine="3990" w:firstLineChars="1900"/>
        <w:outlineLvl w:val="9"/>
        <w:rPr>
          <w:rFonts w:hint="eastAsia" w:ascii="宋体" w:hAnsi="宋体" w:eastAsia="宋体" w:cs="宋体"/>
          <w:color w:val="auto"/>
          <w:highlight w:val="none"/>
          <w:u w:val="singl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p w14:paraId="57135A9C">
      <w:pPr>
        <w:pStyle w:val="22"/>
        <w:spacing w:line="360" w:lineRule="auto"/>
        <w:outlineLvl w:val="9"/>
        <w:rPr>
          <w:rFonts w:hint="eastAsia" w:ascii="宋体" w:hAnsi="宋体" w:eastAsia="宋体" w:cs="宋体"/>
          <w:b/>
          <w:color w:val="auto"/>
          <w:sz w:val="28"/>
          <w:szCs w:val="28"/>
          <w:highlight w:val="none"/>
        </w:rPr>
      </w:pPr>
    </w:p>
    <w:p w14:paraId="6967E130">
      <w:pPr>
        <w:pStyle w:val="22"/>
        <w:spacing w:line="360" w:lineRule="auto"/>
        <w:outlineLvl w:val="9"/>
        <w:rPr>
          <w:rFonts w:hint="eastAsia" w:ascii="宋体" w:hAnsi="宋体" w:eastAsia="宋体" w:cs="宋体"/>
          <w:b/>
          <w:color w:val="auto"/>
          <w:sz w:val="28"/>
          <w:szCs w:val="28"/>
          <w:highlight w:val="none"/>
        </w:rPr>
      </w:pPr>
    </w:p>
    <w:p w14:paraId="4F7F3A91">
      <w:pPr>
        <w:outlineLvl w:val="9"/>
        <w:rPr>
          <w:rFonts w:hint="eastAsia" w:ascii="宋体" w:hAnsi="宋体" w:eastAsia="宋体" w:cs="宋体"/>
          <w:b w:val="0"/>
          <w:color w:val="auto"/>
          <w:sz w:val="28"/>
          <w:szCs w:val="28"/>
          <w:highlight w:val="none"/>
        </w:rPr>
      </w:pPr>
    </w:p>
    <w:p w14:paraId="30135C8A">
      <w:pPr>
        <w:outlineLvl w:val="9"/>
        <w:rPr>
          <w:rFonts w:hint="eastAsia" w:ascii="宋体" w:hAnsi="宋体" w:eastAsia="宋体" w:cs="宋体"/>
          <w:b/>
          <w:color w:val="auto"/>
          <w:sz w:val="28"/>
          <w:szCs w:val="28"/>
          <w:highlight w:val="none"/>
        </w:rPr>
      </w:pPr>
    </w:p>
    <w:p w14:paraId="7E57CFB7">
      <w:pPr>
        <w:outlineLvl w:val="9"/>
        <w:rPr>
          <w:rFonts w:hint="eastAsia" w:ascii="宋体" w:hAnsi="宋体" w:eastAsia="宋体" w:cs="宋体"/>
          <w:b/>
          <w:color w:val="auto"/>
          <w:sz w:val="28"/>
          <w:szCs w:val="28"/>
          <w:highlight w:val="none"/>
        </w:rPr>
      </w:pPr>
    </w:p>
    <w:p w14:paraId="44F44E41">
      <w:pPr>
        <w:pStyle w:val="16"/>
        <w:rPr>
          <w:rFonts w:hint="eastAsia"/>
        </w:rPr>
      </w:pPr>
    </w:p>
    <w:p w14:paraId="695D498C">
      <w:pPr>
        <w:outlineLvl w:val="9"/>
        <w:rPr>
          <w:rFonts w:hint="eastAsia" w:ascii="宋体" w:hAnsi="宋体" w:eastAsia="宋体" w:cs="宋体"/>
          <w:b/>
          <w:color w:val="auto"/>
          <w:sz w:val="28"/>
          <w:szCs w:val="28"/>
          <w:highlight w:val="none"/>
        </w:rPr>
      </w:pPr>
    </w:p>
    <w:p w14:paraId="3D81A6EA">
      <w:pPr>
        <w:pStyle w:val="22"/>
        <w:spacing w:line="360" w:lineRule="auto"/>
        <w:outlineLvl w:val="9"/>
        <w:rPr>
          <w:rFonts w:hint="eastAsia" w:ascii="宋体" w:hAnsi="宋体" w:eastAsia="宋体" w:cs="宋体"/>
          <w:b/>
          <w:color w:val="auto"/>
          <w:sz w:val="28"/>
          <w:szCs w:val="28"/>
          <w:highlight w:val="none"/>
        </w:rPr>
      </w:pPr>
    </w:p>
    <w:p w14:paraId="6E478B0E">
      <w:pPr>
        <w:pStyle w:val="22"/>
        <w:spacing w:line="360" w:lineRule="auto"/>
        <w:outlineLvl w:val="9"/>
        <w:rPr>
          <w:rFonts w:hint="eastAsia" w:ascii="宋体" w:hAnsi="宋体" w:eastAsia="宋体" w:cs="宋体"/>
          <w:b/>
          <w:color w:val="auto"/>
          <w:sz w:val="28"/>
          <w:szCs w:val="28"/>
          <w:highlight w:val="none"/>
        </w:rPr>
      </w:pPr>
    </w:p>
    <w:p w14:paraId="6A615DCF">
      <w:pPr>
        <w:pStyle w:val="22"/>
        <w:spacing w:line="360" w:lineRule="auto"/>
        <w:outlineLvl w:val="9"/>
        <w:rPr>
          <w:rFonts w:hint="eastAsia" w:ascii="宋体" w:hAnsi="宋体" w:eastAsia="宋体" w:cs="宋体"/>
          <w:b/>
          <w:color w:val="auto"/>
          <w:sz w:val="28"/>
          <w:szCs w:val="28"/>
          <w:highlight w:val="none"/>
        </w:rPr>
      </w:pPr>
    </w:p>
    <w:p w14:paraId="5BC26675">
      <w:pPr>
        <w:pStyle w:val="22"/>
        <w:spacing w:line="360" w:lineRule="auto"/>
        <w:outlineLvl w:val="9"/>
        <w:rPr>
          <w:rFonts w:hint="eastAsia" w:ascii="宋体" w:hAnsi="宋体" w:eastAsia="宋体" w:cs="宋体"/>
          <w:b/>
          <w:color w:val="auto"/>
          <w:sz w:val="28"/>
          <w:szCs w:val="28"/>
          <w:highlight w:val="none"/>
        </w:rPr>
      </w:pPr>
    </w:p>
    <w:p w14:paraId="1F96E029">
      <w:pPr>
        <w:pStyle w:val="22"/>
        <w:spacing w:line="360" w:lineRule="auto"/>
        <w:outlineLvl w:val="9"/>
        <w:rPr>
          <w:rFonts w:hint="eastAsia" w:ascii="宋体" w:hAnsi="宋体" w:eastAsia="宋体" w:cs="宋体"/>
          <w:b/>
          <w:color w:val="auto"/>
          <w:sz w:val="28"/>
          <w:szCs w:val="28"/>
          <w:highlight w:val="none"/>
        </w:rPr>
      </w:pPr>
    </w:p>
    <w:p w14:paraId="2F465286">
      <w:pPr>
        <w:pStyle w:val="22"/>
        <w:spacing w:line="360" w:lineRule="auto"/>
        <w:outlineLvl w:val="9"/>
        <w:rPr>
          <w:rFonts w:hint="eastAsia" w:ascii="宋体" w:hAnsi="宋体" w:eastAsia="宋体" w:cs="宋体"/>
          <w:b/>
          <w:color w:val="auto"/>
          <w:sz w:val="28"/>
          <w:szCs w:val="28"/>
          <w:highlight w:val="none"/>
        </w:rPr>
      </w:pPr>
    </w:p>
    <w:p w14:paraId="09E04817">
      <w:pPr>
        <w:pStyle w:val="22"/>
        <w:spacing w:line="360" w:lineRule="auto"/>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4.供应商的法人或者其他组织营业执照等证明文件复印件（必须提供，自然人除外）；</w:t>
      </w:r>
    </w:p>
    <w:p w14:paraId="1843C8F9">
      <w:pPr>
        <w:tabs>
          <w:tab w:val="left" w:pos="1305"/>
        </w:tabs>
        <w:spacing w:line="360" w:lineRule="auto"/>
        <w:outlineLvl w:val="9"/>
        <w:rPr>
          <w:rFonts w:hint="eastAsia" w:ascii="宋体" w:hAnsi="宋体" w:eastAsia="宋体" w:cs="宋体"/>
          <w:b/>
          <w:color w:val="auto"/>
          <w:szCs w:val="21"/>
          <w:highlight w:val="none"/>
        </w:rPr>
      </w:pPr>
    </w:p>
    <w:p w14:paraId="2719B5EA">
      <w:pPr>
        <w:tabs>
          <w:tab w:val="left" w:pos="1305"/>
        </w:tabs>
        <w:spacing w:line="360" w:lineRule="auto"/>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4DB24539">
      <w:pPr>
        <w:spacing w:line="360" w:lineRule="auto"/>
        <w:outlineLvl w:val="9"/>
        <w:rPr>
          <w:rFonts w:hint="eastAsia" w:ascii="宋体" w:hAnsi="宋体" w:eastAsia="宋体" w:cs="宋体"/>
          <w:b/>
          <w:bCs/>
          <w:color w:val="auto"/>
          <w:sz w:val="28"/>
          <w:szCs w:val="28"/>
          <w:highlight w:val="none"/>
        </w:rPr>
      </w:pPr>
    </w:p>
    <w:p w14:paraId="2D4910C6">
      <w:pPr>
        <w:pStyle w:val="22"/>
        <w:spacing w:line="360" w:lineRule="auto"/>
        <w:outlineLvl w:val="9"/>
        <w:rPr>
          <w:rFonts w:hint="eastAsia" w:ascii="宋体" w:hAnsi="宋体" w:eastAsia="宋体" w:cs="宋体"/>
          <w:b/>
          <w:color w:val="auto"/>
          <w:sz w:val="28"/>
          <w:szCs w:val="28"/>
          <w:highlight w:val="none"/>
        </w:rPr>
      </w:pPr>
    </w:p>
    <w:p w14:paraId="139AA7A4">
      <w:pPr>
        <w:pStyle w:val="22"/>
        <w:spacing w:line="360" w:lineRule="auto"/>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5.供应商有效的资质证书复印件（必须提供）；</w:t>
      </w:r>
    </w:p>
    <w:p w14:paraId="68BB8C39">
      <w:pPr>
        <w:pStyle w:val="22"/>
        <w:spacing w:line="360" w:lineRule="auto"/>
        <w:outlineLvl w:val="9"/>
        <w:rPr>
          <w:rFonts w:hint="eastAsia" w:ascii="宋体" w:hAnsi="宋体" w:eastAsia="宋体" w:cs="宋体"/>
          <w:b/>
          <w:color w:val="auto"/>
          <w:sz w:val="28"/>
          <w:szCs w:val="28"/>
          <w:highlight w:val="none"/>
        </w:rPr>
      </w:pPr>
    </w:p>
    <w:p w14:paraId="5F61FD14">
      <w:pPr>
        <w:pStyle w:val="22"/>
        <w:spacing w:line="360" w:lineRule="auto"/>
        <w:outlineLvl w:val="9"/>
        <w:rPr>
          <w:rFonts w:hint="eastAsia" w:ascii="宋体" w:hAnsi="宋体" w:eastAsia="宋体" w:cs="宋体"/>
          <w:b/>
          <w:color w:val="auto"/>
          <w:sz w:val="28"/>
          <w:szCs w:val="28"/>
          <w:highlight w:val="none"/>
        </w:rPr>
      </w:pPr>
    </w:p>
    <w:p w14:paraId="2869E3C2">
      <w:pPr>
        <w:pStyle w:val="22"/>
        <w:spacing w:line="360" w:lineRule="auto"/>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6.供应商有效的安全生产许可证书复印件（必须提供）；</w:t>
      </w:r>
    </w:p>
    <w:p w14:paraId="739F972B">
      <w:pPr>
        <w:pStyle w:val="22"/>
        <w:spacing w:line="360" w:lineRule="auto"/>
        <w:outlineLvl w:val="9"/>
        <w:rPr>
          <w:rFonts w:hint="eastAsia" w:ascii="宋体" w:hAnsi="宋体" w:eastAsia="宋体" w:cs="宋体"/>
          <w:b/>
          <w:color w:val="auto"/>
          <w:sz w:val="28"/>
          <w:szCs w:val="28"/>
          <w:highlight w:val="none"/>
        </w:rPr>
      </w:pPr>
    </w:p>
    <w:p w14:paraId="1ABB071B">
      <w:pPr>
        <w:pStyle w:val="22"/>
        <w:spacing w:line="360" w:lineRule="auto"/>
        <w:outlineLvl w:val="9"/>
        <w:rPr>
          <w:rFonts w:hint="eastAsia" w:ascii="宋体" w:hAnsi="宋体" w:eastAsia="宋体" w:cs="宋体"/>
          <w:b/>
          <w:color w:val="auto"/>
          <w:sz w:val="28"/>
          <w:szCs w:val="28"/>
          <w:highlight w:val="none"/>
        </w:rPr>
      </w:pPr>
    </w:p>
    <w:p w14:paraId="040A15D0">
      <w:pPr>
        <w:pStyle w:val="22"/>
        <w:spacing w:line="360" w:lineRule="auto"/>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7.供应商202</w:t>
      </w:r>
      <w:r>
        <w:rPr>
          <w:rFonts w:hint="eastAsia"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年度财务状况报告（必须提供，可以是磋商供应商自行编制也可是通过第三方审计公司编制，如为自行编制至少须提供现金流量表、负债表及利润表（损益表）</w:t>
      </w:r>
      <w:r>
        <w:rPr>
          <w:rFonts w:hint="eastAsia" w:ascii="宋体" w:hAnsi="宋体" w:eastAsia="宋体" w:cs="宋体"/>
          <w:b/>
          <w:color w:val="auto"/>
          <w:sz w:val="28"/>
          <w:szCs w:val="28"/>
          <w:highlight w:val="none"/>
          <w:lang w:eastAsia="zh-CN"/>
        </w:rPr>
        <w:t>，新成立的公司，提供自成立之日起至磋商截止时间前一个月的报告</w:t>
      </w:r>
      <w:r>
        <w:rPr>
          <w:rFonts w:hint="eastAsia" w:ascii="宋体" w:hAnsi="宋体" w:eastAsia="宋体" w:cs="宋体"/>
          <w:b/>
          <w:color w:val="auto"/>
          <w:sz w:val="28"/>
          <w:szCs w:val="28"/>
          <w:highlight w:val="none"/>
        </w:rPr>
        <w:t>）；</w:t>
      </w:r>
    </w:p>
    <w:p w14:paraId="7546F338">
      <w:pPr>
        <w:pStyle w:val="11"/>
        <w:spacing w:line="360" w:lineRule="auto"/>
        <w:ind w:left="0" w:leftChars="0"/>
        <w:outlineLvl w:val="9"/>
        <w:rPr>
          <w:rFonts w:hint="eastAsia" w:ascii="宋体" w:hAnsi="宋体" w:eastAsia="宋体" w:cs="宋体"/>
          <w:b/>
          <w:color w:val="auto"/>
          <w:kern w:val="2"/>
          <w:sz w:val="28"/>
          <w:szCs w:val="28"/>
          <w:highlight w:val="none"/>
          <w:lang w:val="en-US" w:eastAsia="zh-CN" w:bidi="ar-SA"/>
        </w:rPr>
      </w:pPr>
    </w:p>
    <w:p w14:paraId="18E0B6E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color w:val="auto"/>
          <w:kern w:val="2"/>
          <w:sz w:val="28"/>
          <w:szCs w:val="28"/>
          <w:highlight w:val="none"/>
          <w:lang w:val="en-US" w:eastAsia="zh-CN" w:bidi="ar-SA"/>
        </w:rPr>
      </w:pPr>
      <w:r>
        <w:rPr>
          <w:rFonts w:hint="eastAsia" w:ascii="宋体" w:hAnsi="宋体" w:eastAsia="宋体" w:cs="宋体"/>
          <w:b/>
          <w:color w:val="auto"/>
          <w:kern w:val="2"/>
          <w:sz w:val="28"/>
          <w:szCs w:val="28"/>
          <w:highlight w:val="none"/>
          <w:lang w:val="en-US" w:eastAsia="zh-CN" w:bidi="ar-SA"/>
        </w:rPr>
        <w:t>8.供应商在磋商当天前近半年内任意一个月或任一季度依法缴纳税收的证明材料（增值税发票(税收完税证明)或企业所得税完税证明或税务部门出具的免税证明）复印件（必须提供）。</w:t>
      </w:r>
    </w:p>
    <w:p w14:paraId="25C009A6">
      <w:pPr>
        <w:rPr>
          <w:rFonts w:hint="eastAsia" w:ascii="宋体" w:hAnsi="宋体" w:eastAsia="宋体" w:cs="宋体"/>
          <w:b/>
          <w:color w:val="auto"/>
          <w:kern w:val="2"/>
          <w:sz w:val="28"/>
          <w:szCs w:val="28"/>
          <w:highlight w:val="none"/>
          <w:lang w:val="en-US" w:eastAsia="zh-CN" w:bidi="ar-SA"/>
        </w:rPr>
      </w:pPr>
      <w:r>
        <w:rPr>
          <w:rFonts w:hint="eastAsia" w:ascii="宋体" w:hAnsi="宋体" w:eastAsia="宋体" w:cs="宋体"/>
          <w:b/>
          <w:color w:val="auto"/>
          <w:kern w:val="2"/>
          <w:sz w:val="28"/>
          <w:szCs w:val="28"/>
          <w:highlight w:val="none"/>
          <w:lang w:val="en-US" w:eastAsia="zh-CN" w:bidi="ar-SA"/>
        </w:rPr>
        <w:br w:type="page"/>
      </w:r>
    </w:p>
    <w:p w14:paraId="3D5DCD66">
      <w:pPr>
        <w:spacing w:line="360" w:lineRule="auto"/>
        <w:jc w:val="center"/>
        <w:outlineLvl w:val="9"/>
        <w:rPr>
          <w:rStyle w:val="89"/>
          <w:rFonts w:hint="eastAsia" w:ascii="宋体" w:hAnsi="宋体" w:eastAsia="宋体" w:cs="宋体"/>
          <w:b/>
          <w:bCs/>
          <w:color w:val="auto"/>
          <w:kern w:val="0"/>
          <w:szCs w:val="21"/>
          <w:highlight w:val="none"/>
        </w:rPr>
      </w:pPr>
      <w:r>
        <w:rPr>
          <w:rFonts w:hint="eastAsia" w:ascii="宋体" w:hAnsi="宋体" w:eastAsia="宋体" w:cs="宋体"/>
          <w:b/>
          <w:bCs/>
          <w:iCs/>
          <w:color w:val="auto"/>
          <w:sz w:val="28"/>
          <w:szCs w:val="28"/>
          <w:highlight w:val="none"/>
          <w:lang w:val="en-US" w:eastAsia="zh-CN"/>
        </w:rPr>
        <w:t>9</w:t>
      </w:r>
      <w:r>
        <w:rPr>
          <w:rFonts w:hint="eastAsia" w:ascii="宋体" w:hAnsi="宋体" w:eastAsia="宋体" w:cs="宋体"/>
          <w:b/>
          <w:bCs/>
          <w:iCs/>
          <w:color w:val="auto"/>
          <w:sz w:val="28"/>
          <w:szCs w:val="28"/>
          <w:highlight w:val="none"/>
        </w:rPr>
        <w:t>.</w:t>
      </w:r>
      <w:bookmarkStart w:id="450" w:name="_Toc20297"/>
      <w:r>
        <w:rPr>
          <w:rFonts w:hint="eastAsia" w:ascii="宋体" w:hAnsi="宋体" w:eastAsia="宋体" w:cs="宋体"/>
          <w:b/>
          <w:bCs/>
          <w:iCs/>
          <w:color w:val="auto"/>
          <w:sz w:val="28"/>
          <w:szCs w:val="28"/>
          <w:highlight w:val="none"/>
          <w:lang w:val="en-US" w:eastAsia="zh-CN"/>
        </w:rPr>
        <w:t>供应商的中小企业声明函(必须提供)或供应商属于监狱企业的由省级以上监狱管理局、戒毒管理局等 (含新疆生产建设兵团) 出具的属于监狱企业的证明文件 (必须提供)或符合条件的残疾人福利性单位的《残疾人福利性单位声明函》</w:t>
      </w:r>
    </w:p>
    <w:p w14:paraId="620798A0">
      <w:pPr>
        <w:spacing w:line="360" w:lineRule="auto"/>
        <w:jc w:val="center"/>
        <w:outlineLvl w:val="9"/>
        <w:rPr>
          <w:rStyle w:val="89"/>
          <w:rFonts w:hint="eastAsia" w:ascii="宋体" w:hAnsi="宋体" w:eastAsia="宋体" w:cs="宋体"/>
          <w:b/>
          <w:bCs/>
          <w:color w:val="auto"/>
          <w:kern w:val="0"/>
          <w:sz w:val="24"/>
          <w:highlight w:val="none"/>
        </w:rPr>
      </w:pPr>
      <w:r>
        <w:rPr>
          <w:rStyle w:val="89"/>
          <w:rFonts w:hint="eastAsia" w:ascii="宋体" w:hAnsi="宋体" w:eastAsia="宋体" w:cs="宋体"/>
          <w:b/>
          <w:bCs/>
          <w:color w:val="auto"/>
          <w:kern w:val="0"/>
          <w:sz w:val="24"/>
          <w:highlight w:val="none"/>
        </w:rPr>
        <w:t>中小企业声明函（工程）</w:t>
      </w:r>
      <w:bookmarkEnd w:id="450"/>
    </w:p>
    <w:p w14:paraId="23A73CEA">
      <w:pPr>
        <w:pStyle w:val="80"/>
        <w:spacing w:line="360" w:lineRule="auto"/>
        <w:ind w:left="63" w:right="63"/>
        <w:outlineLvl w:val="9"/>
        <w:rPr>
          <w:rFonts w:hint="eastAsia" w:ascii="宋体" w:hAnsi="宋体" w:eastAsia="宋体" w:cs="宋体"/>
          <w:color w:val="auto"/>
          <w:sz w:val="21"/>
          <w:szCs w:val="21"/>
          <w:highlight w:val="none"/>
        </w:rPr>
      </w:pPr>
    </w:p>
    <w:p w14:paraId="1B005324">
      <w:pPr>
        <w:spacing w:line="360" w:lineRule="auto"/>
        <w:ind w:firstLine="482"/>
        <w:jc w:val="left"/>
        <w:outlineLvl w:val="9"/>
        <w:rPr>
          <w:rStyle w:val="89"/>
          <w:rFonts w:hint="eastAsia" w:ascii="宋体" w:hAnsi="宋体" w:eastAsia="宋体" w:cs="宋体"/>
          <w:color w:val="auto"/>
          <w:kern w:val="0"/>
          <w:szCs w:val="21"/>
          <w:highlight w:val="none"/>
        </w:rPr>
      </w:pPr>
      <w:r>
        <w:rPr>
          <w:rStyle w:val="89"/>
          <w:rFonts w:hint="eastAsia" w:ascii="宋体" w:hAnsi="宋体" w:eastAsia="宋体" w:cs="宋体"/>
          <w:color w:val="auto"/>
          <w:kern w:val="0"/>
          <w:szCs w:val="21"/>
          <w:highlight w:val="none"/>
        </w:rPr>
        <w:t>本公司郑重声明，根据《政府采购促进中小企业发展管理办法》（财库﹝2020﹞46 号）的规定，本公司参加</w:t>
      </w:r>
      <w:r>
        <w:rPr>
          <w:rStyle w:val="89"/>
          <w:rFonts w:hint="eastAsia" w:ascii="宋体" w:hAnsi="宋体" w:eastAsia="宋体" w:cs="宋体"/>
          <w:color w:val="auto"/>
          <w:kern w:val="0"/>
          <w:szCs w:val="21"/>
          <w:highlight w:val="none"/>
          <w:u w:val="single" w:color="000000"/>
        </w:rPr>
        <w:t>（单位名称）</w:t>
      </w:r>
      <w:r>
        <w:rPr>
          <w:rStyle w:val="89"/>
          <w:rFonts w:hint="eastAsia" w:ascii="宋体" w:hAnsi="宋体" w:eastAsia="宋体" w:cs="宋体"/>
          <w:color w:val="auto"/>
          <w:kern w:val="0"/>
          <w:szCs w:val="21"/>
          <w:highlight w:val="none"/>
        </w:rPr>
        <w:t>的</w:t>
      </w:r>
      <w:r>
        <w:rPr>
          <w:rStyle w:val="89"/>
          <w:rFonts w:hint="eastAsia" w:ascii="宋体" w:hAnsi="宋体" w:eastAsia="宋体" w:cs="宋体"/>
          <w:color w:val="auto"/>
          <w:kern w:val="0"/>
          <w:szCs w:val="21"/>
          <w:highlight w:val="none"/>
          <w:u w:val="single" w:color="000000"/>
        </w:rPr>
        <w:t>（项目名称）</w:t>
      </w:r>
      <w:r>
        <w:rPr>
          <w:rStyle w:val="89"/>
          <w:rFonts w:hint="eastAsia" w:ascii="宋体" w:hAnsi="宋体" w:eastAsia="宋体" w:cs="宋体"/>
          <w:color w:val="auto"/>
          <w:kern w:val="0"/>
          <w:szCs w:val="21"/>
          <w:highlight w:val="none"/>
        </w:rPr>
        <w:t>采购活动，工程的施工单位全部为符合政策要求的中小企业。相关企业（含联合体中的中小企业、签订分包意向协议的中小企业）的具体情况如下：</w:t>
      </w:r>
    </w:p>
    <w:p w14:paraId="6B102DA3">
      <w:pPr>
        <w:spacing w:line="360" w:lineRule="auto"/>
        <w:ind w:firstLine="482"/>
        <w:jc w:val="left"/>
        <w:outlineLvl w:val="9"/>
        <w:rPr>
          <w:rStyle w:val="89"/>
          <w:rFonts w:hint="eastAsia" w:ascii="宋体" w:hAnsi="宋体" w:eastAsia="宋体" w:cs="宋体"/>
          <w:color w:val="auto"/>
          <w:kern w:val="0"/>
          <w:szCs w:val="21"/>
          <w:highlight w:val="none"/>
        </w:rPr>
      </w:pPr>
      <w:r>
        <w:rPr>
          <w:rStyle w:val="89"/>
          <w:rFonts w:hint="eastAsia" w:ascii="宋体" w:hAnsi="宋体" w:eastAsia="宋体" w:cs="宋体"/>
          <w:color w:val="auto"/>
          <w:kern w:val="0"/>
          <w:szCs w:val="21"/>
          <w:highlight w:val="none"/>
        </w:rPr>
        <w:t xml:space="preserve">1. </w:t>
      </w:r>
      <w:r>
        <w:rPr>
          <w:rStyle w:val="89"/>
          <w:rFonts w:hint="eastAsia" w:ascii="宋体" w:hAnsi="宋体" w:eastAsia="宋体" w:cs="宋体"/>
          <w:color w:val="auto"/>
          <w:kern w:val="0"/>
          <w:szCs w:val="21"/>
          <w:highlight w:val="none"/>
          <w:u w:val="single" w:color="000000"/>
        </w:rPr>
        <w:t xml:space="preserve">（标的名称） </w:t>
      </w:r>
      <w:r>
        <w:rPr>
          <w:rStyle w:val="89"/>
          <w:rFonts w:hint="eastAsia" w:ascii="宋体" w:hAnsi="宋体" w:eastAsia="宋体" w:cs="宋体"/>
          <w:color w:val="auto"/>
          <w:kern w:val="0"/>
          <w:szCs w:val="21"/>
          <w:highlight w:val="none"/>
        </w:rPr>
        <w:t xml:space="preserve">，属于 </w:t>
      </w:r>
      <w:r>
        <w:rPr>
          <w:rStyle w:val="89"/>
          <w:rFonts w:hint="eastAsia" w:ascii="宋体" w:hAnsi="宋体" w:eastAsia="宋体" w:cs="宋体"/>
          <w:color w:val="auto"/>
          <w:kern w:val="0"/>
          <w:szCs w:val="21"/>
          <w:highlight w:val="none"/>
          <w:u w:val="single" w:color="000000"/>
        </w:rPr>
        <w:t xml:space="preserve">（招标文件中明确的所属行业） </w:t>
      </w:r>
      <w:r>
        <w:rPr>
          <w:rStyle w:val="89"/>
          <w:rFonts w:hint="eastAsia" w:ascii="宋体" w:hAnsi="宋体" w:eastAsia="宋体" w:cs="宋体"/>
          <w:color w:val="auto"/>
          <w:kern w:val="0"/>
          <w:szCs w:val="21"/>
          <w:highlight w:val="none"/>
        </w:rPr>
        <w:t>； 承接企业为</w:t>
      </w:r>
      <w:r>
        <w:rPr>
          <w:rStyle w:val="89"/>
          <w:rFonts w:hint="eastAsia" w:ascii="宋体" w:hAnsi="宋体" w:eastAsia="宋体" w:cs="宋体"/>
          <w:color w:val="auto"/>
          <w:kern w:val="0"/>
          <w:szCs w:val="21"/>
          <w:highlight w:val="none"/>
          <w:u w:val="single" w:color="000000"/>
        </w:rPr>
        <w:t>（企业名称）</w:t>
      </w:r>
      <w:r>
        <w:rPr>
          <w:rStyle w:val="89"/>
          <w:rFonts w:hint="eastAsia" w:ascii="宋体" w:hAnsi="宋体" w:eastAsia="宋体" w:cs="宋体"/>
          <w:color w:val="auto"/>
          <w:kern w:val="0"/>
          <w:szCs w:val="21"/>
          <w:highlight w:val="none"/>
        </w:rPr>
        <w:t>，从业人员</w:t>
      </w:r>
      <w:r>
        <w:rPr>
          <w:rStyle w:val="89"/>
          <w:rFonts w:hint="eastAsia" w:ascii="宋体" w:hAnsi="宋体" w:eastAsia="宋体" w:cs="宋体"/>
          <w:color w:val="auto"/>
          <w:kern w:val="0"/>
          <w:szCs w:val="21"/>
          <w:highlight w:val="none"/>
          <w:u w:val="single" w:color="000000"/>
        </w:rPr>
        <w:t xml:space="preserve">    </w:t>
      </w:r>
      <w:r>
        <w:rPr>
          <w:rStyle w:val="89"/>
          <w:rFonts w:hint="eastAsia" w:ascii="宋体" w:hAnsi="宋体" w:eastAsia="宋体" w:cs="宋体"/>
          <w:color w:val="auto"/>
          <w:kern w:val="0"/>
          <w:szCs w:val="21"/>
          <w:highlight w:val="none"/>
        </w:rPr>
        <w:t>人，营业收入为</w:t>
      </w:r>
      <w:r>
        <w:rPr>
          <w:rStyle w:val="89"/>
          <w:rFonts w:hint="eastAsia" w:ascii="宋体" w:hAnsi="宋体" w:eastAsia="宋体" w:cs="宋体"/>
          <w:color w:val="auto"/>
          <w:kern w:val="0"/>
          <w:szCs w:val="21"/>
          <w:highlight w:val="none"/>
          <w:u w:val="single" w:color="000000"/>
        </w:rPr>
        <w:t xml:space="preserve">    </w:t>
      </w:r>
      <w:r>
        <w:rPr>
          <w:rStyle w:val="89"/>
          <w:rFonts w:hint="eastAsia" w:ascii="宋体" w:hAnsi="宋体" w:eastAsia="宋体" w:cs="宋体"/>
          <w:color w:val="auto"/>
          <w:kern w:val="0"/>
          <w:szCs w:val="21"/>
          <w:highlight w:val="none"/>
        </w:rPr>
        <w:t>万元，资产总额为</w:t>
      </w:r>
      <w:r>
        <w:rPr>
          <w:rStyle w:val="89"/>
          <w:rFonts w:hint="eastAsia" w:ascii="宋体" w:hAnsi="宋体" w:eastAsia="宋体" w:cs="宋体"/>
          <w:color w:val="auto"/>
          <w:kern w:val="0"/>
          <w:szCs w:val="21"/>
          <w:highlight w:val="none"/>
          <w:u w:val="single" w:color="000000"/>
        </w:rPr>
        <w:t xml:space="preserve">    </w:t>
      </w:r>
      <w:r>
        <w:rPr>
          <w:rStyle w:val="89"/>
          <w:rFonts w:hint="eastAsia" w:ascii="宋体" w:hAnsi="宋体" w:eastAsia="宋体" w:cs="宋体"/>
          <w:color w:val="auto"/>
          <w:kern w:val="0"/>
          <w:szCs w:val="21"/>
          <w:highlight w:val="none"/>
        </w:rPr>
        <w:t>万元，属于</w:t>
      </w:r>
      <w:r>
        <w:rPr>
          <w:rStyle w:val="89"/>
          <w:rFonts w:hint="eastAsia" w:ascii="宋体" w:hAnsi="宋体" w:eastAsia="宋体" w:cs="宋体"/>
          <w:color w:val="auto"/>
          <w:kern w:val="0"/>
          <w:szCs w:val="21"/>
          <w:highlight w:val="none"/>
          <w:u w:val="single" w:color="000000"/>
        </w:rPr>
        <w:t>（中型企业、 小型企业、微型企业）</w:t>
      </w:r>
      <w:r>
        <w:rPr>
          <w:rStyle w:val="89"/>
          <w:rFonts w:hint="eastAsia" w:ascii="宋体" w:hAnsi="宋体" w:eastAsia="宋体" w:cs="宋体"/>
          <w:color w:val="auto"/>
          <w:kern w:val="0"/>
          <w:szCs w:val="21"/>
          <w:highlight w:val="none"/>
        </w:rPr>
        <w:t xml:space="preserve">； </w:t>
      </w:r>
    </w:p>
    <w:p w14:paraId="43EEC900">
      <w:pPr>
        <w:spacing w:line="360" w:lineRule="auto"/>
        <w:ind w:firstLine="482"/>
        <w:jc w:val="left"/>
        <w:outlineLvl w:val="9"/>
        <w:rPr>
          <w:rStyle w:val="89"/>
          <w:rFonts w:hint="eastAsia" w:ascii="宋体" w:hAnsi="宋体" w:eastAsia="宋体" w:cs="宋体"/>
          <w:color w:val="auto"/>
          <w:kern w:val="0"/>
          <w:szCs w:val="21"/>
          <w:highlight w:val="none"/>
        </w:rPr>
      </w:pPr>
      <w:r>
        <w:rPr>
          <w:rStyle w:val="89"/>
          <w:rFonts w:hint="eastAsia" w:ascii="宋体" w:hAnsi="宋体" w:eastAsia="宋体" w:cs="宋体"/>
          <w:color w:val="auto"/>
          <w:kern w:val="0"/>
          <w:szCs w:val="21"/>
          <w:highlight w:val="none"/>
        </w:rPr>
        <w:t>以上企业，不属于大企业的分支机构，不存在控股股东 为大企业的情形，也不存在与大企业的负责人为同一人的情形。</w:t>
      </w:r>
    </w:p>
    <w:p w14:paraId="1CB2CE37">
      <w:pPr>
        <w:spacing w:line="360" w:lineRule="auto"/>
        <w:ind w:firstLine="482"/>
        <w:jc w:val="left"/>
        <w:outlineLvl w:val="9"/>
        <w:rPr>
          <w:rStyle w:val="89"/>
          <w:rFonts w:hint="eastAsia" w:ascii="宋体" w:hAnsi="宋体" w:eastAsia="宋体" w:cs="宋体"/>
          <w:color w:val="auto"/>
          <w:kern w:val="0"/>
          <w:szCs w:val="21"/>
          <w:highlight w:val="none"/>
        </w:rPr>
      </w:pPr>
      <w:r>
        <w:rPr>
          <w:rStyle w:val="89"/>
          <w:rFonts w:hint="eastAsia" w:ascii="宋体" w:hAnsi="宋体" w:eastAsia="宋体" w:cs="宋体"/>
          <w:color w:val="auto"/>
          <w:kern w:val="0"/>
          <w:szCs w:val="21"/>
          <w:highlight w:val="none"/>
        </w:rPr>
        <w:t xml:space="preserve">本企业对上述声明内容的真实性负责。如有虚假，将依法承担相应责任。 </w:t>
      </w:r>
    </w:p>
    <w:p w14:paraId="46B05838">
      <w:pPr>
        <w:spacing w:line="360" w:lineRule="auto"/>
        <w:ind w:firstLine="482"/>
        <w:jc w:val="left"/>
        <w:outlineLvl w:val="9"/>
        <w:rPr>
          <w:rStyle w:val="89"/>
          <w:rFonts w:hint="eastAsia" w:ascii="宋体" w:hAnsi="宋体" w:eastAsia="宋体" w:cs="宋体"/>
          <w:color w:val="auto"/>
          <w:kern w:val="0"/>
          <w:szCs w:val="21"/>
          <w:highlight w:val="none"/>
        </w:rPr>
      </w:pPr>
    </w:p>
    <w:p w14:paraId="556B181B">
      <w:pPr>
        <w:widowControl/>
        <w:spacing w:line="360" w:lineRule="auto"/>
        <w:ind w:firstLine="2310" w:firstLineChars="11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磋商供应商[公章(CA签章)]：</w:t>
      </w:r>
      <w:r>
        <w:rPr>
          <w:rFonts w:hint="eastAsia" w:ascii="宋体" w:hAnsi="宋体" w:eastAsia="宋体" w:cs="宋体"/>
          <w:color w:val="auto"/>
          <w:szCs w:val="21"/>
          <w:highlight w:val="none"/>
          <w:u w:val="single"/>
        </w:rPr>
        <w:t xml:space="preserve">                                    </w:t>
      </w:r>
    </w:p>
    <w:p w14:paraId="451BE7BE">
      <w:pPr>
        <w:pStyle w:val="22"/>
        <w:spacing w:line="360" w:lineRule="auto"/>
        <w:ind w:left="2940" w:leftChars="1400" w:firstLine="630" w:firstLineChars="300"/>
        <w:outlineLvl w:val="9"/>
        <w:rPr>
          <w:rFonts w:hint="eastAsia" w:ascii="宋体" w:hAnsi="宋体" w:eastAsia="宋体" w:cs="宋体"/>
          <w:color w:val="auto"/>
          <w:highlight w:val="none"/>
        </w:rPr>
      </w:pPr>
    </w:p>
    <w:p w14:paraId="498314E1">
      <w:pPr>
        <w:spacing w:line="360" w:lineRule="auto"/>
        <w:ind w:left="420"/>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p w14:paraId="03DE64BD">
      <w:pPr>
        <w:pStyle w:val="32"/>
        <w:spacing w:line="360" w:lineRule="auto"/>
        <w:outlineLvl w:val="9"/>
        <w:rPr>
          <w:rFonts w:hint="eastAsia" w:ascii="宋体" w:hAnsi="宋体" w:eastAsia="宋体" w:cs="宋体"/>
          <w:b/>
          <w:bCs/>
          <w:color w:val="auto"/>
          <w:highlight w:val="none"/>
        </w:rPr>
      </w:pPr>
      <w:r>
        <w:rPr>
          <w:rFonts w:hint="eastAsia" w:ascii="宋体" w:hAnsi="宋体" w:eastAsia="宋体" w:cs="宋体"/>
          <w:b/>
          <w:color w:val="auto"/>
          <w:sz w:val="21"/>
          <w:szCs w:val="21"/>
          <w:highlight w:val="none"/>
        </w:rPr>
        <w:t>备注：供应商应按照中小微型企业划分标准按照《国家统计局关于印发《统计上大中小微型企业划分办法〔2017〕》的通知》（国统字〔2017〕213号）的划分标准进行如实申明，如提供虚假申明应依法承担相应法律责任。如成交人为小型和微型企业的，成交结果将同时公告（或成交人的《中小企业声明函》，接受社会监督。</w:t>
      </w:r>
    </w:p>
    <w:p w14:paraId="1839650C">
      <w:pPr>
        <w:spacing w:line="360" w:lineRule="auto"/>
        <w:outlineLvl w:val="9"/>
        <w:rPr>
          <w:rStyle w:val="89"/>
          <w:rFonts w:hint="eastAsia" w:ascii="宋体" w:hAnsi="宋体" w:eastAsia="宋体" w:cs="宋体"/>
          <w:b/>
          <w:bCs/>
          <w:color w:val="auto"/>
          <w:sz w:val="30"/>
          <w:szCs w:val="30"/>
          <w:highlight w:val="none"/>
        </w:rPr>
      </w:pPr>
    </w:p>
    <w:p w14:paraId="671A6D32">
      <w:pPr>
        <w:pStyle w:val="16"/>
        <w:outlineLvl w:val="9"/>
        <w:rPr>
          <w:rStyle w:val="89"/>
          <w:rFonts w:hint="eastAsia" w:ascii="宋体" w:hAnsi="宋体" w:eastAsia="宋体" w:cs="宋体"/>
          <w:b/>
          <w:bCs/>
          <w:color w:val="auto"/>
          <w:sz w:val="30"/>
          <w:szCs w:val="30"/>
          <w:highlight w:val="none"/>
        </w:rPr>
      </w:pPr>
    </w:p>
    <w:p w14:paraId="2CF0BED5">
      <w:pPr>
        <w:pStyle w:val="16"/>
        <w:outlineLvl w:val="9"/>
        <w:rPr>
          <w:rStyle w:val="89"/>
          <w:rFonts w:hint="eastAsia" w:ascii="宋体" w:hAnsi="宋体" w:eastAsia="宋体" w:cs="宋体"/>
          <w:b/>
          <w:bCs/>
          <w:color w:val="auto"/>
          <w:sz w:val="30"/>
          <w:szCs w:val="30"/>
          <w:highlight w:val="none"/>
        </w:rPr>
      </w:pPr>
    </w:p>
    <w:p w14:paraId="65020443">
      <w:pPr>
        <w:pStyle w:val="16"/>
        <w:outlineLvl w:val="9"/>
        <w:rPr>
          <w:rStyle w:val="89"/>
          <w:rFonts w:hint="eastAsia" w:ascii="宋体" w:hAnsi="宋体" w:eastAsia="宋体" w:cs="宋体"/>
          <w:b/>
          <w:bCs/>
          <w:color w:val="auto"/>
          <w:sz w:val="30"/>
          <w:szCs w:val="30"/>
          <w:highlight w:val="none"/>
        </w:rPr>
      </w:pPr>
    </w:p>
    <w:p w14:paraId="768E17E5">
      <w:pPr>
        <w:pStyle w:val="16"/>
        <w:outlineLvl w:val="9"/>
        <w:rPr>
          <w:rStyle w:val="89"/>
          <w:rFonts w:hint="eastAsia" w:ascii="宋体" w:hAnsi="宋体" w:eastAsia="宋体" w:cs="宋体"/>
          <w:b/>
          <w:bCs/>
          <w:color w:val="auto"/>
          <w:sz w:val="30"/>
          <w:szCs w:val="30"/>
          <w:highlight w:val="none"/>
        </w:rPr>
      </w:pPr>
    </w:p>
    <w:p w14:paraId="0FAF5868">
      <w:pPr>
        <w:spacing w:line="360" w:lineRule="auto"/>
        <w:outlineLvl w:val="9"/>
        <w:rPr>
          <w:rStyle w:val="89"/>
          <w:rFonts w:hint="eastAsia" w:ascii="宋体" w:hAnsi="宋体" w:eastAsia="宋体" w:cs="宋体"/>
          <w:b/>
          <w:bCs/>
          <w:color w:val="auto"/>
          <w:sz w:val="30"/>
          <w:szCs w:val="30"/>
          <w:highlight w:val="none"/>
        </w:rPr>
      </w:pPr>
    </w:p>
    <w:p w14:paraId="421A7B34">
      <w:pPr>
        <w:spacing w:line="360" w:lineRule="auto"/>
        <w:outlineLvl w:val="9"/>
        <w:rPr>
          <w:rStyle w:val="89"/>
          <w:rFonts w:hint="eastAsia" w:ascii="宋体" w:hAnsi="宋体" w:eastAsia="宋体" w:cs="宋体"/>
          <w:b/>
          <w:bCs/>
          <w:color w:val="auto"/>
          <w:sz w:val="30"/>
          <w:szCs w:val="30"/>
          <w:highlight w:val="none"/>
        </w:rPr>
      </w:pPr>
    </w:p>
    <w:p w14:paraId="58BC24C5">
      <w:pPr>
        <w:spacing w:line="360" w:lineRule="auto"/>
        <w:outlineLvl w:val="9"/>
        <w:rPr>
          <w:rStyle w:val="89"/>
          <w:rFonts w:hint="eastAsia" w:ascii="宋体" w:hAnsi="宋体" w:eastAsia="宋体" w:cs="宋体"/>
          <w:b/>
          <w:bCs/>
          <w:color w:val="auto"/>
          <w:highlight w:val="none"/>
        </w:rPr>
      </w:pPr>
      <w:r>
        <w:rPr>
          <w:rStyle w:val="89"/>
          <w:rFonts w:hint="eastAsia" w:ascii="宋体" w:hAnsi="宋体" w:eastAsia="宋体" w:cs="宋体"/>
          <w:b/>
          <w:bCs/>
          <w:color w:val="auto"/>
          <w:sz w:val="30"/>
          <w:szCs w:val="30"/>
          <w:highlight w:val="none"/>
        </w:rPr>
        <w:t>附表</w:t>
      </w:r>
    </w:p>
    <w:p w14:paraId="27DF6C4E">
      <w:pPr>
        <w:spacing w:before="120" w:after="120" w:line="360" w:lineRule="auto"/>
        <w:jc w:val="center"/>
        <w:outlineLvl w:val="9"/>
        <w:rPr>
          <w:rStyle w:val="89"/>
          <w:rFonts w:hint="eastAsia" w:ascii="宋体" w:hAnsi="宋体" w:eastAsia="宋体" w:cs="宋体"/>
          <w:b/>
          <w:bCs/>
          <w:color w:val="auto"/>
          <w:kern w:val="0"/>
          <w:sz w:val="30"/>
          <w:szCs w:val="30"/>
          <w:highlight w:val="none"/>
        </w:rPr>
      </w:pPr>
      <w:r>
        <w:rPr>
          <w:rStyle w:val="89"/>
          <w:rFonts w:hint="eastAsia" w:ascii="宋体" w:hAnsi="宋体" w:eastAsia="宋体" w:cs="宋体"/>
          <w:b/>
          <w:bCs/>
          <w:color w:val="auto"/>
          <w:kern w:val="0"/>
          <w:sz w:val="30"/>
          <w:szCs w:val="30"/>
          <w:highlight w:val="none"/>
        </w:rPr>
        <w:t>统计上大中小微型企业划分标准</w:t>
      </w:r>
    </w:p>
    <w:tbl>
      <w:tblPr>
        <w:tblStyle w:val="3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13"/>
        <w:gridCol w:w="1369"/>
        <w:gridCol w:w="709"/>
        <w:gridCol w:w="1125"/>
        <w:gridCol w:w="1701"/>
        <w:gridCol w:w="1426"/>
        <w:gridCol w:w="992"/>
      </w:tblGrid>
      <w:tr w14:paraId="3217A3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exact"/>
          <w:tblHeader/>
          <w:jc w:val="center"/>
        </w:trPr>
        <w:tc>
          <w:tcPr>
            <w:tcW w:w="2113"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2C65C798">
            <w:pPr>
              <w:spacing w:line="360" w:lineRule="auto"/>
              <w:jc w:val="center"/>
              <w:outlineLvl w:val="9"/>
              <w:rPr>
                <w:rStyle w:val="89"/>
                <w:rFonts w:hint="eastAsia" w:ascii="宋体" w:hAnsi="宋体" w:eastAsia="宋体" w:cs="宋体"/>
                <w:b/>
                <w:bCs/>
                <w:color w:val="auto"/>
                <w:kern w:val="0"/>
                <w:sz w:val="18"/>
                <w:szCs w:val="21"/>
                <w:highlight w:val="none"/>
              </w:rPr>
            </w:pPr>
            <w:r>
              <w:rPr>
                <w:rStyle w:val="89"/>
                <w:rFonts w:hint="eastAsia" w:ascii="宋体" w:hAnsi="宋体" w:eastAsia="宋体" w:cs="宋体"/>
                <w:b/>
                <w:bCs/>
                <w:color w:val="auto"/>
                <w:kern w:val="0"/>
                <w:sz w:val="18"/>
                <w:szCs w:val="21"/>
                <w:highlight w:val="none"/>
              </w:rPr>
              <w:t>行业名称</w:t>
            </w:r>
          </w:p>
        </w:tc>
        <w:tc>
          <w:tcPr>
            <w:tcW w:w="1369"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5F05B125">
            <w:pPr>
              <w:spacing w:line="360" w:lineRule="auto"/>
              <w:jc w:val="center"/>
              <w:outlineLvl w:val="9"/>
              <w:rPr>
                <w:rStyle w:val="89"/>
                <w:rFonts w:hint="eastAsia" w:ascii="宋体" w:hAnsi="宋体" w:eastAsia="宋体" w:cs="宋体"/>
                <w:b/>
                <w:bCs/>
                <w:color w:val="auto"/>
                <w:kern w:val="0"/>
                <w:sz w:val="18"/>
                <w:szCs w:val="18"/>
                <w:highlight w:val="none"/>
              </w:rPr>
            </w:pPr>
            <w:r>
              <w:rPr>
                <w:rStyle w:val="89"/>
                <w:rFonts w:hint="eastAsia" w:ascii="宋体" w:hAnsi="宋体" w:eastAsia="宋体" w:cs="宋体"/>
                <w:b/>
                <w:bCs/>
                <w:color w:val="auto"/>
                <w:kern w:val="0"/>
                <w:sz w:val="18"/>
                <w:szCs w:val="18"/>
                <w:highlight w:val="none"/>
              </w:rPr>
              <w:t>指标名称</w:t>
            </w:r>
          </w:p>
        </w:tc>
        <w:tc>
          <w:tcPr>
            <w:tcW w:w="709"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7AFCC985">
            <w:pPr>
              <w:spacing w:line="360" w:lineRule="auto"/>
              <w:jc w:val="center"/>
              <w:outlineLvl w:val="9"/>
              <w:rPr>
                <w:rStyle w:val="89"/>
                <w:rFonts w:hint="eastAsia" w:ascii="宋体" w:hAnsi="宋体" w:eastAsia="宋体" w:cs="宋体"/>
                <w:b/>
                <w:bCs/>
                <w:color w:val="auto"/>
                <w:kern w:val="0"/>
                <w:sz w:val="18"/>
                <w:szCs w:val="18"/>
                <w:highlight w:val="none"/>
              </w:rPr>
            </w:pPr>
            <w:r>
              <w:rPr>
                <w:rStyle w:val="89"/>
                <w:rFonts w:hint="eastAsia" w:ascii="宋体" w:hAnsi="宋体" w:eastAsia="宋体" w:cs="宋体"/>
                <w:b/>
                <w:bCs/>
                <w:color w:val="auto"/>
                <w:kern w:val="0"/>
                <w:sz w:val="18"/>
                <w:szCs w:val="18"/>
                <w:highlight w:val="none"/>
              </w:rPr>
              <w:t>计量</w:t>
            </w:r>
          </w:p>
          <w:p w14:paraId="696E3517">
            <w:pPr>
              <w:spacing w:line="360" w:lineRule="auto"/>
              <w:jc w:val="center"/>
              <w:outlineLvl w:val="9"/>
              <w:rPr>
                <w:rStyle w:val="89"/>
                <w:rFonts w:hint="eastAsia" w:ascii="宋体" w:hAnsi="宋体" w:eastAsia="宋体" w:cs="宋体"/>
                <w:b/>
                <w:bCs/>
                <w:color w:val="auto"/>
                <w:kern w:val="0"/>
                <w:sz w:val="18"/>
                <w:szCs w:val="18"/>
                <w:highlight w:val="none"/>
              </w:rPr>
            </w:pPr>
            <w:r>
              <w:rPr>
                <w:rStyle w:val="89"/>
                <w:rFonts w:hint="eastAsia" w:ascii="宋体" w:hAnsi="宋体" w:eastAsia="宋体" w:cs="宋体"/>
                <w:b/>
                <w:bCs/>
                <w:color w:val="auto"/>
                <w:kern w:val="0"/>
                <w:sz w:val="18"/>
                <w:szCs w:val="18"/>
                <w:highlight w:val="none"/>
              </w:rPr>
              <w:t>单位</w:t>
            </w:r>
          </w:p>
        </w:tc>
        <w:tc>
          <w:tcPr>
            <w:tcW w:w="1125"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0F4870AF">
            <w:pPr>
              <w:spacing w:line="360" w:lineRule="auto"/>
              <w:jc w:val="center"/>
              <w:outlineLvl w:val="9"/>
              <w:rPr>
                <w:rStyle w:val="89"/>
                <w:rFonts w:hint="eastAsia" w:ascii="宋体" w:hAnsi="宋体" w:eastAsia="宋体" w:cs="宋体"/>
                <w:b/>
                <w:bCs/>
                <w:color w:val="auto"/>
                <w:kern w:val="0"/>
                <w:sz w:val="18"/>
                <w:szCs w:val="18"/>
                <w:highlight w:val="none"/>
              </w:rPr>
            </w:pPr>
            <w:r>
              <w:rPr>
                <w:rStyle w:val="89"/>
                <w:rFonts w:hint="eastAsia" w:ascii="宋体" w:hAnsi="宋体" w:eastAsia="宋体" w:cs="宋体"/>
                <w:b/>
                <w:bCs/>
                <w:color w:val="auto"/>
                <w:kern w:val="0"/>
                <w:sz w:val="18"/>
                <w:szCs w:val="18"/>
                <w:highlight w:val="none"/>
              </w:rPr>
              <w:t>大型</w:t>
            </w:r>
          </w:p>
        </w:tc>
        <w:tc>
          <w:tcPr>
            <w:tcW w:w="1701"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44CBB569">
            <w:pPr>
              <w:spacing w:line="360" w:lineRule="auto"/>
              <w:jc w:val="center"/>
              <w:outlineLvl w:val="9"/>
              <w:rPr>
                <w:rStyle w:val="89"/>
                <w:rFonts w:hint="eastAsia" w:ascii="宋体" w:hAnsi="宋体" w:eastAsia="宋体" w:cs="宋体"/>
                <w:b/>
                <w:bCs/>
                <w:color w:val="auto"/>
                <w:kern w:val="0"/>
                <w:sz w:val="18"/>
                <w:szCs w:val="18"/>
                <w:highlight w:val="none"/>
              </w:rPr>
            </w:pPr>
            <w:r>
              <w:rPr>
                <w:rStyle w:val="89"/>
                <w:rFonts w:hint="eastAsia" w:ascii="宋体" w:hAnsi="宋体" w:eastAsia="宋体" w:cs="宋体"/>
                <w:b/>
                <w:bCs/>
                <w:color w:val="auto"/>
                <w:kern w:val="0"/>
                <w:sz w:val="18"/>
                <w:szCs w:val="18"/>
                <w:highlight w:val="none"/>
              </w:rPr>
              <w:t>中型</w:t>
            </w:r>
          </w:p>
        </w:tc>
        <w:tc>
          <w:tcPr>
            <w:tcW w:w="1426"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03C8057E">
            <w:pPr>
              <w:spacing w:line="360" w:lineRule="auto"/>
              <w:jc w:val="center"/>
              <w:outlineLvl w:val="9"/>
              <w:rPr>
                <w:rStyle w:val="89"/>
                <w:rFonts w:hint="eastAsia" w:ascii="宋体" w:hAnsi="宋体" w:eastAsia="宋体" w:cs="宋体"/>
                <w:b/>
                <w:bCs/>
                <w:color w:val="auto"/>
                <w:kern w:val="0"/>
                <w:sz w:val="18"/>
                <w:szCs w:val="18"/>
                <w:highlight w:val="none"/>
              </w:rPr>
            </w:pPr>
            <w:r>
              <w:rPr>
                <w:rStyle w:val="89"/>
                <w:rFonts w:hint="eastAsia" w:ascii="宋体" w:hAnsi="宋体" w:eastAsia="宋体" w:cs="宋体"/>
                <w:b/>
                <w:bCs/>
                <w:color w:val="auto"/>
                <w:kern w:val="0"/>
                <w:sz w:val="18"/>
                <w:szCs w:val="18"/>
                <w:highlight w:val="none"/>
              </w:rPr>
              <w:t>小型</w:t>
            </w:r>
          </w:p>
        </w:tc>
        <w:tc>
          <w:tcPr>
            <w:tcW w:w="992"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67265DE9">
            <w:pPr>
              <w:spacing w:line="360" w:lineRule="auto"/>
              <w:jc w:val="center"/>
              <w:outlineLvl w:val="9"/>
              <w:rPr>
                <w:rStyle w:val="89"/>
                <w:rFonts w:hint="eastAsia" w:ascii="宋体" w:hAnsi="宋体" w:eastAsia="宋体" w:cs="宋体"/>
                <w:b/>
                <w:bCs/>
                <w:color w:val="auto"/>
                <w:kern w:val="0"/>
                <w:sz w:val="18"/>
                <w:szCs w:val="18"/>
                <w:highlight w:val="none"/>
              </w:rPr>
            </w:pPr>
            <w:r>
              <w:rPr>
                <w:rStyle w:val="89"/>
                <w:rFonts w:hint="eastAsia" w:ascii="宋体" w:hAnsi="宋体" w:eastAsia="宋体" w:cs="宋体"/>
                <w:b/>
                <w:bCs/>
                <w:color w:val="auto"/>
                <w:kern w:val="0"/>
                <w:sz w:val="18"/>
                <w:szCs w:val="18"/>
                <w:highlight w:val="none"/>
              </w:rPr>
              <w:t>微型</w:t>
            </w:r>
          </w:p>
        </w:tc>
      </w:tr>
      <w:tr w14:paraId="04CE98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2113" w:type="dxa"/>
            <w:tcBorders>
              <w:top w:val="single" w:color="000000" w:sz="4" w:space="0"/>
              <w:left w:val="single" w:color="000000" w:sz="4" w:space="0"/>
              <w:bottom w:val="single" w:color="000000" w:sz="4" w:space="0"/>
              <w:right w:val="single" w:color="000000" w:sz="4" w:space="0"/>
            </w:tcBorders>
            <w:noWrap w:val="0"/>
            <w:vAlign w:val="center"/>
          </w:tcPr>
          <w:p w14:paraId="746566E4">
            <w:pPr>
              <w:spacing w:line="360" w:lineRule="auto"/>
              <w:jc w:val="left"/>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农、林、牧、渔业</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0E433A6B">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19F29A65">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9388858">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Y≥20000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69C299A4">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500≤Y＜20000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41B27123">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50≤Y＜500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7B9C39E5">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Y＜50</w:t>
            </w:r>
          </w:p>
        </w:tc>
      </w:tr>
      <w:tr w14:paraId="1A7E9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37D9D09B">
            <w:pPr>
              <w:spacing w:line="360" w:lineRule="auto"/>
              <w:jc w:val="left"/>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工业 *</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6E59C542">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4BEBF3A3">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EE378AE">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X≥1000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6F60ABBB">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300≤X＜1000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44C572C0">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20≤X＜300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37D884DC">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X＜20</w:t>
            </w:r>
          </w:p>
        </w:tc>
      </w:tr>
      <w:tr w14:paraId="4CB2B8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3419E7">
            <w:pPr>
              <w:spacing w:line="360" w:lineRule="auto"/>
              <w:jc w:val="left"/>
              <w:outlineLvl w:val="9"/>
              <w:rPr>
                <w:rStyle w:val="89"/>
                <w:rFonts w:hint="eastAsia" w:ascii="宋体" w:hAnsi="宋体" w:eastAsia="宋体" w:cs="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30035294">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2065FFC7">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00C287D">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Y≥40000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32C822F0">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2000≤Y＜40000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32517527">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300≤Y＜2000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31740AFE">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Y＜300</w:t>
            </w:r>
          </w:p>
        </w:tc>
      </w:tr>
      <w:tr w14:paraId="6DE03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23BBD123">
            <w:pPr>
              <w:spacing w:line="360" w:lineRule="auto"/>
              <w:jc w:val="left"/>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建筑业</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21DAC753">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279FD328">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D5941D6">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Y≥80000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383DA09F">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6000≤Y＜80000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57CE8169">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300≤Y＜6000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5199C21C">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Y＜300</w:t>
            </w:r>
          </w:p>
        </w:tc>
      </w:tr>
      <w:tr w14:paraId="7A1C6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7D14FE">
            <w:pPr>
              <w:spacing w:line="360" w:lineRule="auto"/>
              <w:jc w:val="left"/>
              <w:outlineLvl w:val="9"/>
              <w:rPr>
                <w:rStyle w:val="89"/>
                <w:rFonts w:hint="eastAsia" w:ascii="宋体" w:hAnsi="宋体" w:eastAsia="宋体" w:cs="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28238735">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资产总额(Z)</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5E5B00F9">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3E6F417">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Z≥80000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554F8847">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5000≤Z＜80000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29BB49AD">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300≤Z＜5000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6269A448">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Z＜300</w:t>
            </w:r>
          </w:p>
        </w:tc>
      </w:tr>
      <w:tr w14:paraId="7A4D6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5C0B5CAE">
            <w:pPr>
              <w:spacing w:line="360" w:lineRule="auto"/>
              <w:jc w:val="left"/>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批发业</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546BF1B7">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14A5FA64">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0CDA9DA">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X≥200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6148BF66">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20≤X＜200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275CB3D4">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5≤X＜20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0C82DC84">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X＜5</w:t>
            </w:r>
          </w:p>
        </w:tc>
      </w:tr>
      <w:tr w14:paraId="5DA72E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12C16A">
            <w:pPr>
              <w:spacing w:line="360" w:lineRule="auto"/>
              <w:jc w:val="left"/>
              <w:outlineLvl w:val="9"/>
              <w:rPr>
                <w:rStyle w:val="89"/>
                <w:rFonts w:hint="eastAsia" w:ascii="宋体" w:hAnsi="宋体" w:eastAsia="宋体" w:cs="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3C273CAB">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70E9D368">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27AE18E">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Y≥40000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47542185">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5000≤Y＜40000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404DD462">
            <w:pPr>
              <w:spacing w:line="360" w:lineRule="auto"/>
              <w:ind w:left="-1" w:leftChars="-1" w:hanging="1"/>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1000≤Y＜5000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268BB024">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Y＜1000</w:t>
            </w:r>
          </w:p>
        </w:tc>
      </w:tr>
      <w:tr w14:paraId="12776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60EAB147">
            <w:pPr>
              <w:spacing w:line="360" w:lineRule="auto"/>
              <w:jc w:val="left"/>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零售业</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2E275D25">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34A0661C">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AA8A55B">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X≥300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1ABC0615">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50≤X＜300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6307E9D7">
            <w:pPr>
              <w:spacing w:line="360" w:lineRule="auto"/>
              <w:ind w:left="-1" w:leftChars="-1" w:hanging="1"/>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 xml:space="preserve">10≤X＜50 </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34A7B1E5">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X＜10</w:t>
            </w:r>
          </w:p>
        </w:tc>
      </w:tr>
      <w:tr w14:paraId="59488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94BF6A">
            <w:pPr>
              <w:spacing w:line="360" w:lineRule="auto"/>
              <w:jc w:val="left"/>
              <w:outlineLvl w:val="9"/>
              <w:rPr>
                <w:rStyle w:val="89"/>
                <w:rFonts w:hint="eastAsia" w:ascii="宋体" w:hAnsi="宋体" w:eastAsia="宋体" w:cs="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7F0B2595">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6DFDFF03">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FF6F9E0">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Y≥20000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322072D9">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500≤Y＜20000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55AFDE24">
            <w:pPr>
              <w:spacing w:line="360" w:lineRule="auto"/>
              <w:ind w:left="-1" w:leftChars="-1" w:hanging="1"/>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100≤Y＜500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40DE7822">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Y＜100</w:t>
            </w:r>
          </w:p>
        </w:tc>
      </w:tr>
      <w:tr w14:paraId="797F3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57D97843">
            <w:pPr>
              <w:spacing w:line="360" w:lineRule="auto"/>
              <w:jc w:val="left"/>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交通运输业 *</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237F7AE5">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0245D0C9">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E229728">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X≥1000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192E7A31">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300≤X＜1000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306F6EBA">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20≤X＜300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7491CAD2">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X＜20</w:t>
            </w:r>
          </w:p>
        </w:tc>
      </w:tr>
      <w:tr w14:paraId="6E8FE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CB2D82">
            <w:pPr>
              <w:spacing w:line="360" w:lineRule="auto"/>
              <w:jc w:val="left"/>
              <w:outlineLvl w:val="9"/>
              <w:rPr>
                <w:rStyle w:val="89"/>
                <w:rFonts w:hint="eastAsia" w:ascii="宋体" w:hAnsi="宋体" w:eastAsia="宋体" w:cs="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45EA4E74">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17796D77">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14DDA6F">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Y≥30000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6AD63F1B">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3000≤Y＜30000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01C5FA0A">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200≤Y＜3000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3159E00F">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Y＜200</w:t>
            </w:r>
          </w:p>
        </w:tc>
      </w:tr>
      <w:tr w14:paraId="21813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628307A1">
            <w:pPr>
              <w:spacing w:line="360" w:lineRule="auto"/>
              <w:jc w:val="left"/>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仓储业*</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144A1423">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05020177">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B0D5813">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X≥200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3BC065CC">
            <w:pPr>
              <w:spacing w:line="360" w:lineRule="auto"/>
              <w:ind w:left="1" w:leftChars="-51" w:hanging="108"/>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100≤X＜200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3DCBEECE">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20≤X＜100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3C323FED">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X＜20</w:t>
            </w:r>
          </w:p>
        </w:tc>
      </w:tr>
      <w:tr w14:paraId="50FB7D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BAFA80">
            <w:pPr>
              <w:spacing w:line="360" w:lineRule="auto"/>
              <w:jc w:val="left"/>
              <w:outlineLvl w:val="9"/>
              <w:rPr>
                <w:rStyle w:val="89"/>
                <w:rFonts w:hint="eastAsia" w:ascii="宋体" w:hAnsi="宋体" w:eastAsia="宋体" w:cs="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2BC7F683">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4EBF479A">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187E04B">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Y≥30000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529CE3FF">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1000≤Y＜30000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10F7375F">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100≤Y＜1000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33C632EC">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Y＜100</w:t>
            </w:r>
          </w:p>
        </w:tc>
      </w:tr>
      <w:tr w14:paraId="11A8C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7099799A">
            <w:pPr>
              <w:spacing w:line="360" w:lineRule="auto"/>
              <w:jc w:val="left"/>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邮政业</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48B28B8F">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7BFDC3BA">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63A51D0">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X≥1000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03856C86">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300≤X＜1000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26AD20CD">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20≤X＜300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27972D92">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X＜20</w:t>
            </w:r>
          </w:p>
        </w:tc>
      </w:tr>
      <w:tr w14:paraId="5E334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87103A">
            <w:pPr>
              <w:spacing w:line="360" w:lineRule="auto"/>
              <w:jc w:val="left"/>
              <w:outlineLvl w:val="9"/>
              <w:rPr>
                <w:rStyle w:val="89"/>
                <w:rFonts w:hint="eastAsia" w:ascii="宋体" w:hAnsi="宋体" w:eastAsia="宋体" w:cs="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585DDD39">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2D497628">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0CE78B4">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Y≥30000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1C0113A7">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2000≤Y＜30000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718B3219">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100≤Y＜2000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030365CF">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Y＜100</w:t>
            </w:r>
          </w:p>
        </w:tc>
      </w:tr>
      <w:tr w14:paraId="36BBC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19A78255">
            <w:pPr>
              <w:spacing w:line="360" w:lineRule="auto"/>
              <w:jc w:val="left"/>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住宿业</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393F7604">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77EF87E0">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7D2ACE2">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X≥300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62310F74">
            <w:pPr>
              <w:spacing w:line="360" w:lineRule="auto"/>
              <w:ind w:left="1" w:leftChars="-51" w:hanging="108"/>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100≤X＜300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635AE9F0">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10≤X＜100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111F9D26">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X＜10</w:t>
            </w:r>
          </w:p>
        </w:tc>
      </w:tr>
      <w:tr w14:paraId="14B9B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8D3D8C">
            <w:pPr>
              <w:spacing w:line="360" w:lineRule="auto"/>
              <w:jc w:val="left"/>
              <w:outlineLvl w:val="9"/>
              <w:rPr>
                <w:rStyle w:val="89"/>
                <w:rFonts w:hint="eastAsia" w:ascii="宋体" w:hAnsi="宋体" w:eastAsia="宋体" w:cs="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6BC52288">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7C7B99BE">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CE7436B">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Y≥10000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36533285">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2000≤Y＜10000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49D1F441">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100≤Y＜2000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7CAE4D05">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Y＜100</w:t>
            </w:r>
          </w:p>
        </w:tc>
      </w:tr>
      <w:tr w14:paraId="4D26B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7DAFE54C">
            <w:pPr>
              <w:spacing w:line="360" w:lineRule="auto"/>
              <w:jc w:val="left"/>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餐饮业</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48360E7F">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2108A400">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6E6D45C">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X≥300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03BFA4BC">
            <w:pPr>
              <w:spacing w:line="360" w:lineRule="auto"/>
              <w:ind w:left="1" w:leftChars="-51" w:hanging="108"/>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 xml:space="preserve">100≤X＜300 </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28A61308">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10≤X＜100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79B3CDFB">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X＜10</w:t>
            </w:r>
          </w:p>
        </w:tc>
      </w:tr>
      <w:tr w14:paraId="715A1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8C2B4F">
            <w:pPr>
              <w:spacing w:line="360" w:lineRule="auto"/>
              <w:jc w:val="left"/>
              <w:outlineLvl w:val="9"/>
              <w:rPr>
                <w:rStyle w:val="89"/>
                <w:rFonts w:hint="eastAsia" w:ascii="宋体" w:hAnsi="宋体" w:eastAsia="宋体" w:cs="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78E797DB">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38B2215A">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6F2568D">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Y≥10000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5F532C19">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2000≤Y＜10000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5C5086FD">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100≤Y＜2000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2D0C2720">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Y＜100</w:t>
            </w:r>
          </w:p>
        </w:tc>
      </w:tr>
      <w:tr w14:paraId="28849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3CA7C461">
            <w:pPr>
              <w:spacing w:line="360" w:lineRule="auto"/>
              <w:jc w:val="left"/>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信息传输业 *</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3521FE55">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43F3EDA0">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DCB524D">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X≥2000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79D1288E">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100≤X＜2000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1EB2FC40">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10≤X＜100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45EFC083">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X＜10</w:t>
            </w:r>
          </w:p>
        </w:tc>
      </w:tr>
      <w:tr w14:paraId="694B38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246E7D">
            <w:pPr>
              <w:spacing w:line="360" w:lineRule="auto"/>
              <w:jc w:val="left"/>
              <w:outlineLvl w:val="9"/>
              <w:rPr>
                <w:rStyle w:val="89"/>
                <w:rFonts w:hint="eastAsia" w:ascii="宋体" w:hAnsi="宋体" w:eastAsia="宋体" w:cs="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443869AB">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4E3B53E0">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9DA4BB7">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Y≥100000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5093C6DC">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1000≤Y＜100000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01837188">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100≤Y＜1000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084087DD">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Y＜100</w:t>
            </w:r>
          </w:p>
        </w:tc>
      </w:tr>
      <w:tr w14:paraId="14506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294624B7">
            <w:pPr>
              <w:spacing w:line="360" w:lineRule="auto"/>
              <w:jc w:val="left"/>
              <w:outlineLvl w:val="9"/>
              <w:rPr>
                <w:rStyle w:val="89"/>
                <w:rFonts w:hint="eastAsia" w:ascii="宋体" w:hAnsi="宋体" w:eastAsia="宋体" w:cs="宋体"/>
                <w:color w:val="auto"/>
                <w:spacing w:val="-12"/>
                <w:kern w:val="0"/>
                <w:sz w:val="18"/>
                <w:szCs w:val="18"/>
                <w:highlight w:val="none"/>
              </w:rPr>
            </w:pPr>
            <w:r>
              <w:rPr>
                <w:rStyle w:val="89"/>
                <w:rFonts w:hint="eastAsia" w:ascii="宋体" w:hAnsi="宋体" w:eastAsia="宋体" w:cs="宋体"/>
                <w:color w:val="auto"/>
                <w:spacing w:val="-12"/>
                <w:kern w:val="0"/>
                <w:sz w:val="18"/>
                <w:szCs w:val="18"/>
                <w:highlight w:val="none"/>
              </w:rPr>
              <w:t>软件和信息技术服</w:t>
            </w:r>
            <w:r>
              <w:rPr>
                <w:rStyle w:val="89"/>
                <w:rFonts w:hint="eastAsia" w:ascii="宋体" w:hAnsi="宋体" w:eastAsia="宋体" w:cs="宋体"/>
                <w:color w:val="auto"/>
                <w:kern w:val="0"/>
                <w:sz w:val="18"/>
                <w:szCs w:val="18"/>
                <w:highlight w:val="none"/>
              </w:rPr>
              <w:t>务业</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7F5A6E61">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78CB1CA3">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D1792A3">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X≥300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7E8919BD">
            <w:pPr>
              <w:spacing w:line="360" w:lineRule="auto"/>
              <w:ind w:left="1" w:leftChars="-51" w:hanging="108"/>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 xml:space="preserve">100≤X＜300 </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039BE452">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10≤X＜100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66C82010">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X＜10</w:t>
            </w:r>
          </w:p>
        </w:tc>
      </w:tr>
      <w:tr w14:paraId="6E871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D45A95">
            <w:pPr>
              <w:spacing w:line="360" w:lineRule="auto"/>
              <w:jc w:val="left"/>
              <w:outlineLvl w:val="9"/>
              <w:rPr>
                <w:rStyle w:val="89"/>
                <w:rFonts w:hint="eastAsia" w:ascii="宋体" w:hAnsi="宋体" w:eastAsia="宋体" w:cs="宋体"/>
                <w:color w:val="auto"/>
                <w:spacing w:val="-12"/>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382DACD4">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23A7CD70">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C2D3F1C">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Y≥10000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1B004117">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1000≤Y＜10000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1C9B6C3C">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50≤Y＜1000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5C6DB924">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Y＜50</w:t>
            </w:r>
          </w:p>
        </w:tc>
      </w:tr>
      <w:tr w14:paraId="095F6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0EBA299B">
            <w:pPr>
              <w:spacing w:line="360" w:lineRule="auto"/>
              <w:jc w:val="left"/>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房地产开发经营</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1C738A9D">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47E9C0E9">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BB0EF61">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Y≥200000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7D64CD47">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1000≤Y＜200000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05E16858">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100≤Y＜1000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333930FD">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Y＜100</w:t>
            </w:r>
          </w:p>
        </w:tc>
      </w:tr>
      <w:tr w14:paraId="4DDAB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DD19B9">
            <w:pPr>
              <w:spacing w:line="360" w:lineRule="auto"/>
              <w:jc w:val="left"/>
              <w:outlineLvl w:val="9"/>
              <w:rPr>
                <w:rStyle w:val="89"/>
                <w:rFonts w:hint="eastAsia" w:ascii="宋体" w:hAnsi="宋体" w:eastAsia="宋体" w:cs="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128F37AE">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资产总额(Z)</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1CF5D7B3">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37C3968">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Z≥10000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0EA8B4F9">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5000≤Z＜10000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44D41DC7">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2000≤Z＜5000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3767D299">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Z＜2000</w:t>
            </w:r>
          </w:p>
        </w:tc>
      </w:tr>
      <w:tr w14:paraId="7AC2C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51663992">
            <w:pPr>
              <w:spacing w:line="360" w:lineRule="auto"/>
              <w:jc w:val="left"/>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物业管理</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5F73207E">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10493545">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EE2A5DE">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X≥1000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0E9C043A">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300≤X＜1000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58F97EFB">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100≤X＜300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30041F83">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X＜100</w:t>
            </w:r>
          </w:p>
        </w:tc>
      </w:tr>
      <w:tr w14:paraId="4CA7F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09634E">
            <w:pPr>
              <w:spacing w:line="360" w:lineRule="auto"/>
              <w:jc w:val="left"/>
              <w:outlineLvl w:val="9"/>
              <w:rPr>
                <w:rStyle w:val="89"/>
                <w:rFonts w:hint="eastAsia" w:ascii="宋体" w:hAnsi="宋体" w:eastAsia="宋体" w:cs="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00FAB30D">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3824D8C6">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1D58FF7">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Y≥5000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15B11EE7">
            <w:pPr>
              <w:spacing w:line="360" w:lineRule="auto"/>
              <w:ind w:left="1" w:leftChars="-51" w:hanging="108"/>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1000≤Y＜5000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6569FE38">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500≤Y＜1000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346C6096">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Y＜500</w:t>
            </w:r>
          </w:p>
        </w:tc>
      </w:tr>
      <w:tr w14:paraId="1F895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4E3FFC8A">
            <w:pPr>
              <w:spacing w:line="360" w:lineRule="auto"/>
              <w:jc w:val="left"/>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租赁和商务服务业</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254B114F">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6CEC4F70">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FFFE5E7">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X≥300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3FF4D234">
            <w:pPr>
              <w:spacing w:line="360" w:lineRule="auto"/>
              <w:ind w:left="1" w:leftChars="-51" w:hanging="108"/>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100≤X＜300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32A468E3">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10≤X＜100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0B90A62E">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X＜10</w:t>
            </w:r>
          </w:p>
        </w:tc>
      </w:tr>
      <w:tr w14:paraId="0B33C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E7CB20">
            <w:pPr>
              <w:spacing w:line="360" w:lineRule="auto"/>
              <w:jc w:val="left"/>
              <w:outlineLvl w:val="9"/>
              <w:rPr>
                <w:rStyle w:val="89"/>
                <w:rFonts w:hint="eastAsia" w:ascii="宋体" w:hAnsi="宋体" w:eastAsia="宋体" w:cs="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49033A75">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资产总额(Z)</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1929F168">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DB063CD">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Z≥120000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565DA416">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8000≤Z＜120000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7A797807">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100≤Z＜8000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4F213E13">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Z＜100</w:t>
            </w:r>
          </w:p>
        </w:tc>
      </w:tr>
      <w:tr w14:paraId="3F1E2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2113" w:type="dxa"/>
            <w:tcBorders>
              <w:top w:val="single" w:color="000000" w:sz="4" w:space="0"/>
              <w:left w:val="single" w:color="000000" w:sz="4" w:space="0"/>
              <w:bottom w:val="single" w:color="000000" w:sz="4" w:space="0"/>
              <w:right w:val="single" w:color="000000" w:sz="4" w:space="0"/>
            </w:tcBorders>
            <w:noWrap w:val="0"/>
            <w:vAlign w:val="center"/>
          </w:tcPr>
          <w:p w14:paraId="0F327AFF">
            <w:pPr>
              <w:spacing w:line="360" w:lineRule="auto"/>
              <w:jc w:val="left"/>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其他未列明行业 *</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2A3C0BDC">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4C980D8D">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6B11E57">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X≥300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7885AB11">
            <w:pPr>
              <w:spacing w:line="360" w:lineRule="auto"/>
              <w:ind w:left="1" w:leftChars="-51" w:hanging="108"/>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100≤X＜300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4AEA3A0F">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10≤X＜100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48A03A51">
            <w:pPr>
              <w:spacing w:line="360" w:lineRule="auto"/>
              <w:jc w:val="center"/>
              <w:outlineLvl w:val="9"/>
              <w:rPr>
                <w:rStyle w:val="89"/>
                <w:rFonts w:hint="eastAsia" w:ascii="宋体" w:hAnsi="宋体" w:eastAsia="宋体" w:cs="宋体"/>
                <w:color w:val="auto"/>
                <w:kern w:val="0"/>
                <w:sz w:val="18"/>
                <w:szCs w:val="18"/>
                <w:highlight w:val="none"/>
              </w:rPr>
            </w:pPr>
            <w:r>
              <w:rPr>
                <w:rStyle w:val="89"/>
                <w:rFonts w:hint="eastAsia" w:ascii="宋体" w:hAnsi="宋体" w:eastAsia="宋体" w:cs="宋体"/>
                <w:color w:val="auto"/>
                <w:kern w:val="0"/>
                <w:sz w:val="18"/>
                <w:szCs w:val="18"/>
                <w:highlight w:val="none"/>
              </w:rPr>
              <w:t>X＜10</w:t>
            </w:r>
          </w:p>
        </w:tc>
      </w:tr>
    </w:tbl>
    <w:p w14:paraId="0BACF63E">
      <w:pPr>
        <w:spacing w:line="360" w:lineRule="auto"/>
        <w:outlineLvl w:val="9"/>
        <w:rPr>
          <w:rStyle w:val="89"/>
          <w:rFonts w:hint="eastAsia" w:ascii="宋体" w:hAnsi="宋体" w:eastAsia="宋体" w:cs="宋体"/>
          <w:color w:val="auto"/>
          <w:spacing w:val="8"/>
          <w:kern w:val="0"/>
          <w:szCs w:val="21"/>
          <w:highlight w:val="none"/>
        </w:rPr>
      </w:pPr>
    </w:p>
    <w:p w14:paraId="2F86A97D">
      <w:pPr>
        <w:pStyle w:val="16"/>
        <w:rPr>
          <w:rFonts w:hint="eastAsia"/>
        </w:rPr>
      </w:pPr>
    </w:p>
    <w:p w14:paraId="43434470">
      <w:pPr>
        <w:spacing w:line="360" w:lineRule="auto"/>
        <w:outlineLvl w:val="9"/>
        <w:rPr>
          <w:rStyle w:val="89"/>
          <w:rFonts w:hint="eastAsia" w:ascii="宋体" w:hAnsi="宋体" w:eastAsia="宋体" w:cs="宋体"/>
          <w:color w:val="auto"/>
          <w:spacing w:val="8"/>
          <w:kern w:val="0"/>
          <w:szCs w:val="21"/>
          <w:highlight w:val="none"/>
        </w:rPr>
      </w:pPr>
      <w:r>
        <w:rPr>
          <w:rStyle w:val="89"/>
          <w:rFonts w:hint="eastAsia" w:ascii="宋体" w:hAnsi="宋体" w:eastAsia="宋体" w:cs="宋体"/>
          <w:color w:val="auto"/>
          <w:spacing w:val="8"/>
          <w:kern w:val="0"/>
          <w:szCs w:val="21"/>
          <w:highlight w:val="none"/>
        </w:rPr>
        <w:t>说明：</w:t>
      </w:r>
    </w:p>
    <w:p w14:paraId="01483C73">
      <w:pPr>
        <w:pStyle w:val="268"/>
        <w:spacing w:line="360" w:lineRule="auto"/>
        <w:ind w:firstLine="452" w:firstLineChars="200"/>
        <w:outlineLvl w:val="9"/>
        <w:rPr>
          <w:rStyle w:val="89"/>
          <w:rFonts w:hint="eastAsia" w:ascii="宋体" w:hAnsi="宋体" w:eastAsia="宋体" w:cs="宋体"/>
          <w:color w:val="auto"/>
          <w:spacing w:val="8"/>
          <w:szCs w:val="21"/>
          <w:highlight w:val="none"/>
        </w:rPr>
      </w:pPr>
      <w:r>
        <w:rPr>
          <w:rStyle w:val="89"/>
          <w:rFonts w:hint="eastAsia" w:ascii="宋体" w:hAnsi="宋体" w:eastAsia="宋体" w:cs="宋体"/>
          <w:color w:val="auto"/>
          <w:spacing w:val="8"/>
          <w:szCs w:val="21"/>
          <w:highlight w:val="none"/>
        </w:rPr>
        <w:t>1.大型、中型和小型企业须同时满足所列指标的下限，否则下划一档；微型企业只须满足所列指标中的一项即可。</w:t>
      </w:r>
    </w:p>
    <w:p w14:paraId="6E963A10">
      <w:pPr>
        <w:pStyle w:val="268"/>
        <w:spacing w:line="360" w:lineRule="auto"/>
        <w:ind w:firstLine="452" w:firstLineChars="200"/>
        <w:outlineLvl w:val="9"/>
        <w:rPr>
          <w:rStyle w:val="89"/>
          <w:rFonts w:hint="eastAsia" w:ascii="宋体" w:hAnsi="宋体" w:eastAsia="宋体" w:cs="宋体"/>
          <w:color w:val="auto"/>
          <w:spacing w:val="8"/>
          <w:szCs w:val="21"/>
          <w:highlight w:val="none"/>
        </w:rPr>
      </w:pPr>
      <w:r>
        <w:rPr>
          <w:rStyle w:val="89"/>
          <w:rFonts w:hint="eastAsia" w:ascii="宋体" w:hAnsi="宋体" w:eastAsia="宋体" w:cs="宋体"/>
          <w:color w:val="auto"/>
          <w:spacing w:val="8"/>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3151FC39">
      <w:pPr>
        <w:spacing w:line="360" w:lineRule="auto"/>
        <w:outlineLvl w:val="9"/>
        <w:rPr>
          <w:rFonts w:hint="eastAsia" w:ascii="宋体" w:hAnsi="宋体" w:eastAsia="宋体" w:cs="宋体"/>
          <w:b/>
          <w:bCs/>
          <w:color w:val="auto"/>
          <w:sz w:val="24"/>
          <w:highlight w:val="none"/>
        </w:rPr>
      </w:pPr>
      <w:r>
        <w:rPr>
          <w:rStyle w:val="89"/>
          <w:rFonts w:hint="eastAsia" w:ascii="宋体" w:hAnsi="宋体" w:eastAsia="宋体" w:cs="宋体"/>
          <w:color w:val="auto"/>
          <w:spacing w:val="8"/>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6F4D51B2">
      <w:pPr>
        <w:tabs>
          <w:tab w:val="left" w:pos="1305"/>
        </w:tabs>
        <w:spacing w:line="360" w:lineRule="auto"/>
        <w:ind w:firstLine="420" w:firstLineChars="200"/>
        <w:outlineLvl w:val="9"/>
        <w:rPr>
          <w:rFonts w:hint="eastAsia" w:ascii="宋体" w:hAnsi="宋体" w:eastAsia="宋体" w:cs="宋体"/>
          <w:bCs/>
          <w:color w:val="auto"/>
          <w:kern w:val="0"/>
          <w:szCs w:val="21"/>
          <w:highlight w:val="none"/>
        </w:rPr>
      </w:pPr>
    </w:p>
    <w:p w14:paraId="4B389FC8">
      <w:pPr>
        <w:spacing w:line="360" w:lineRule="auto"/>
        <w:outlineLvl w:val="9"/>
        <w:rPr>
          <w:rFonts w:hint="eastAsia" w:ascii="宋体" w:hAnsi="宋体" w:eastAsia="宋体" w:cs="宋体"/>
          <w:b/>
          <w:bCs/>
          <w:iCs/>
          <w:color w:val="auto"/>
          <w:sz w:val="24"/>
          <w:highlight w:val="none"/>
        </w:rPr>
      </w:pPr>
    </w:p>
    <w:p w14:paraId="3B047EAA">
      <w:pPr>
        <w:outlineLvl w:val="9"/>
        <w:rPr>
          <w:rFonts w:hint="eastAsia" w:ascii="宋体" w:hAnsi="宋体" w:eastAsia="宋体" w:cs="宋体"/>
          <w:b/>
          <w:color w:val="auto"/>
          <w:sz w:val="28"/>
          <w:szCs w:val="28"/>
          <w:highlight w:val="none"/>
        </w:rPr>
      </w:pPr>
    </w:p>
    <w:p w14:paraId="003C1A3C">
      <w:pPr>
        <w:outlineLvl w:val="9"/>
        <w:rPr>
          <w:rFonts w:hint="eastAsia" w:ascii="宋体" w:hAnsi="宋体" w:eastAsia="宋体" w:cs="宋体"/>
          <w:b/>
          <w:color w:val="auto"/>
          <w:sz w:val="28"/>
          <w:szCs w:val="28"/>
          <w:highlight w:val="none"/>
        </w:rPr>
      </w:pPr>
    </w:p>
    <w:p w14:paraId="7DE4FFAD">
      <w:pPr>
        <w:outlineLvl w:val="9"/>
        <w:rPr>
          <w:rFonts w:hint="eastAsia" w:ascii="宋体" w:hAnsi="宋体" w:eastAsia="宋体" w:cs="宋体"/>
          <w:b/>
          <w:color w:val="auto"/>
          <w:sz w:val="28"/>
          <w:szCs w:val="28"/>
          <w:highlight w:val="none"/>
        </w:rPr>
      </w:pPr>
    </w:p>
    <w:p w14:paraId="657EE008">
      <w:pPr>
        <w:outlineLvl w:val="9"/>
        <w:rPr>
          <w:rFonts w:hint="eastAsia" w:ascii="宋体" w:hAnsi="宋体" w:eastAsia="宋体" w:cs="宋体"/>
          <w:b/>
          <w:color w:val="auto"/>
          <w:sz w:val="28"/>
          <w:szCs w:val="28"/>
          <w:highlight w:val="none"/>
        </w:rPr>
      </w:pPr>
    </w:p>
    <w:p w14:paraId="3093780D">
      <w:pPr>
        <w:outlineLvl w:val="9"/>
        <w:rPr>
          <w:rFonts w:hint="eastAsia" w:ascii="宋体" w:hAnsi="宋体" w:eastAsia="宋体" w:cs="宋体"/>
          <w:b/>
          <w:color w:val="auto"/>
          <w:sz w:val="28"/>
          <w:szCs w:val="28"/>
          <w:highlight w:val="none"/>
        </w:rPr>
      </w:pPr>
    </w:p>
    <w:p w14:paraId="274EE2CC">
      <w:pPr>
        <w:outlineLvl w:val="9"/>
        <w:rPr>
          <w:rFonts w:hint="eastAsia" w:ascii="宋体" w:hAnsi="宋体" w:eastAsia="宋体" w:cs="宋体"/>
          <w:b/>
          <w:color w:val="auto"/>
          <w:sz w:val="28"/>
          <w:szCs w:val="28"/>
          <w:highlight w:val="none"/>
        </w:rPr>
      </w:pPr>
    </w:p>
    <w:p w14:paraId="739650E3">
      <w:pPr>
        <w:outlineLvl w:val="9"/>
        <w:rPr>
          <w:rFonts w:hint="eastAsia" w:ascii="宋体" w:hAnsi="宋体" w:eastAsia="宋体" w:cs="宋体"/>
          <w:b/>
          <w:color w:val="auto"/>
          <w:sz w:val="28"/>
          <w:szCs w:val="28"/>
          <w:highlight w:val="none"/>
        </w:rPr>
      </w:pPr>
    </w:p>
    <w:p w14:paraId="08FE8B49">
      <w:pPr>
        <w:outlineLvl w:val="9"/>
        <w:rPr>
          <w:rFonts w:hint="eastAsia" w:ascii="宋体" w:hAnsi="宋体" w:eastAsia="宋体" w:cs="宋体"/>
          <w:b/>
          <w:color w:val="auto"/>
          <w:sz w:val="28"/>
          <w:szCs w:val="28"/>
          <w:highlight w:val="none"/>
        </w:rPr>
      </w:pPr>
    </w:p>
    <w:p w14:paraId="5C72E1D9">
      <w:pPr>
        <w:spacing w:line="360" w:lineRule="auto"/>
        <w:outlineLvl w:val="9"/>
        <w:rPr>
          <w:rFonts w:hint="eastAsia" w:ascii="宋体" w:hAnsi="宋体" w:eastAsia="宋体" w:cs="宋体"/>
          <w:b/>
          <w:bCs/>
          <w:iCs/>
          <w:color w:val="auto"/>
          <w:sz w:val="28"/>
          <w:szCs w:val="28"/>
          <w:highlight w:val="none"/>
        </w:rPr>
      </w:pPr>
    </w:p>
    <w:p w14:paraId="740B6FEF">
      <w:pPr>
        <w:spacing w:line="360" w:lineRule="auto"/>
        <w:outlineLvl w:val="9"/>
        <w:rPr>
          <w:rFonts w:hint="eastAsia" w:ascii="宋体" w:hAnsi="宋体" w:eastAsia="宋体" w:cs="宋体"/>
          <w:b/>
          <w:bCs/>
          <w:iCs/>
          <w:color w:val="auto"/>
          <w:sz w:val="28"/>
          <w:szCs w:val="28"/>
          <w:highlight w:val="none"/>
        </w:rPr>
      </w:pPr>
    </w:p>
    <w:p w14:paraId="5071A1C7">
      <w:pPr>
        <w:spacing w:line="360" w:lineRule="auto"/>
        <w:outlineLvl w:val="9"/>
        <w:rPr>
          <w:rFonts w:hint="eastAsia" w:ascii="宋体" w:hAnsi="宋体" w:eastAsia="宋体" w:cs="宋体"/>
          <w:b/>
          <w:bCs/>
          <w:iCs/>
          <w:color w:val="auto"/>
          <w:sz w:val="28"/>
          <w:szCs w:val="28"/>
          <w:highlight w:val="none"/>
        </w:rPr>
      </w:pPr>
    </w:p>
    <w:p w14:paraId="7B5F673D">
      <w:pPr>
        <w:spacing w:line="360" w:lineRule="auto"/>
        <w:outlineLvl w:val="9"/>
        <w:rPr>
          <w:rFonts w:hint="eastAsia" w:ascii="宋体" w:hAnsi="宋体" w:eastAsia="宋体" w:cs="宋体"/>
          <w:b/>
          <w:bCs/>
          <w:iCs/>
          <w:color w:val="auto"/>
          <w:sz w:val="28"/>
          <w:szCs w:val="28"/>
          <w:highlight w:val="none"/>
        </w:rPr>
      </w:pPr>
    </w:p>
    <w:p w14:paraId="32DCA1C9">
      <w:pPr>
        <w:spacing w:line="360" w:lineRule="auto"/>
        <w:outlineLvl w:val="9"/>
        <w:rPr>
          <w:rFonts w:hint="eastAsia" w:ascii="宋体" w:hAnsi="宋体" w:eastAsia="宋体" w:cs="宋体"/>
          <w:b/>
          <w:bCs/>
          <w:iCs/>
          <w:color w:val="auto"/>
          <w:sz w:val="28"/>
          <w:szCs w:val="28"/>
          <w:highlight w:val="none"/>
        </w:rPr>
      </w:pPr>
    </w:p>
    <w:p w14:paraId="0D64EFC7">
      <w:pPr>
        <w:spacing w:line="360" w:lineRule="auto"/>
        <w:outlineLvl w:val="9"/>
        <w:rPr>
          <w:rFonts w:hint="eastAsia" w:ascii="宋体" w:hAnsi="宋体" w:eastAsia="宋体" w:cs="宋体"/>
          <w:b/>
          <w:bCs/>
          <w:iCs/>
          <w:color w:val="auto"/>
          <w:sz w:val="28"/>
          <w:szCs w:val="28"/>
          <w:highlight w:val="none"/>
        </w:rPr>
      </w:pPr>
    </w:p>
    <w:p w14:paraId="232AB238">
      <w:pPr>
        <w:spacing w:line="360" w:lineRule="auto"/>
        <w:outlineLvl w:val="9"/>
        <w:rPr>
          <w:rFonts w:hint="eastAsia" w:ascii="宋体" w:hAnsi="宋体" w:eastAsia="宋体" w:cs="宋体"/>
          <w:b/>
          <w:bCs/>
          <w:iCs/>
          <w:color w:val="auto"/>
          <w:sz w:val="28"/>
          <w:szCs w:val="28"/>
          <w:highlight w:val="none"/>
        </w:rPr>
      </w:pPr>
      <w:r>
        <w:rPr>
          <w:rFonts w:hint="eastAsia" w:ascii="宋体" w:hAnsi="宋体" w:eastAsia="宋体" w:cs="宋体"/>
          <w:b/>
          <w:bCs/>
          <w:iCs/>
          <w:color w:val="auto"/>
          <w:sz w:val="28"/>
          <w:szCs w:val="28"/>
          <w:highlight w:val="none"/>
        </w:rPr>
        <w:t>监狱企业的证明文件[供应商如为监狱企业的，应当提供由省级以上监狱管理局、戒毒管理局（含新疆生产建设兵团）出具的属于监狱企业的证明文件, 否则不予享受优惠政策]（如有，请提供）；</w:t>
      </w:r>
    </w:p>
    <w:p w14:paraId="05A39B82">
      <w:pPr>
        <w:spacing w:line="360" w:lineRule="auto"/>
        <w:outlineLvl w:val="9"/>
        <w:rPr>
          <w:rFonts w:hint="eastAsia" w:ascii="宋体" w:hAnsi="宋体" w:eastAsia="宋体" w:cs="宋体"/>
          <w:b/>
          <w:bCs/>
          <w:iCs/>
          <w:color w:val="auto"/>
          <w:sz w:val="28"/>
          <w:szCs w:val="28"/>
          <w:highlight w:val="none"/>
        </w:rPr>
      </w:pPr>
    </w:p>
    <w:p w14:paraId="7F91A25D">
      <w:pPr>
        <w:spacing w:line="360" w:lineRule="auto"/>
        <w:outlineLvl w:val="9"/>
        <w:rPr>
          <w:rFonts w:hint="eastAsia" w:ascii="宋体" w:hAnsi="宋体" w:eastAsia="宋体" w:cs="宋体"/>
          <w:b/>
          <w:bCs/>
          <w:iCs/>
          <w:color w:val="auto"/>
          <w:sz w:val="28"/>
          <w:szCs w:val="28"/>
          <w:highlight w:val="none"/>
        </w:rPr>
      </w:pPr>
    </w:p>
    <w:p w14:paraId="2FE37FB9">
      <w:pPr>
        <w:spacing w:line="360" w:lineRule="auto"/>
        <w:outlineLvl w:val="9"/>
        <w:rPr>
          <w:rFonts w:hint="eastAsia" w:ascii="宋体" w:hAnsi="宋体" w:eastAsia="宋体" w:cs="宋体"/>
          <w:b/>
          <w:bCs/>
          <w:iCs/>
          <w:color w:val="auto"/>
          <w:sz w:val="28"/>
          <w:szCs w:val="28"/>
          <w:highlight w:val="none"/>
        </w:rPr>
      </w:pPr>
    </w:p>
    <w:p w14:paraId="6D1B491E">
      <w:pPr>
        <w:spacing w:line="360" w:lineRule="auto"/>
        <w:outlineLvl w:val="9"/>
        <w:rPr>
          <w:rFonts w:hint="eastAsia" w:ascii="宋体" w:hAnsi="宋体" w:eastAsia="宋体" w:cs="宋体"/>
          <w:b/>
          <w:bCs/>
          <w:iCs/>
          <w:color w:val="auto"/>
          <w:sz w:val="28"/>
          <w:szCs w:val="28"/>
          <w:highlight w:val="none"/>
        </w:rPr>
      </w:pPr>
    </w:p>
    <w:p w14:paraId="78633ED9">
      <w:pPr>
        <w:spacing w:line="360" w:lineRule="auto"/>
        <w:outlineLvl w:val="9"/>
        <w:rPr>
          <w:rFonts w:hint="eastAsia" w:ascii="宋体" w:hAnsi="宋体" w:eastAsia="宋体" w:cs="宋体"/>
          <w:b/>
          <w:bCs/>
          <w:iCs/>
          <w:color w:val="auto"/>
          <w:sz w:val="28"/>
          <w:szCs w:val="28"/>
          <w:highlight w:val="none"/>
        </w:rPr>
      </w:pPr>
      <w:r>
        <w:rPr>
          <w:rFonts w:hint="eastAsia" w:ascii="宋体" w:hAnsi="宋体" w:eastAsia="宋体" w:cs="宋体"/>
          <w:b/>
          <w:bCs/>
          <w:iCs/>
          <w:color w:val="auto"/>
          <w:sz w:val="28"/>
          <w:szCs w:val="28"/>
          <w:highlight w:val="none"/>
        </w:rPr>
        <w:t>《残疾人福利性单位声明函》【符合条件的残疾人福利性单位在参加政府采购活动时，应当提供《残疾人福利性单位声明函》（格式见附件），并对声明的真实性负责，成交结果将同时公告企业《残疾人福利性单位声明函》，接受社会监督】（如有，请提供）；</w:t>
      </w:r>
    </w:p>
    <w:p w14:paraId="0A546567">
      <w:pPr>
        <w:spacing w:line="360" w:lineRule="auto"/>
        <w:ind w:firstLine="310" w:firstLineChars="147"/>
        <w:outlineLvl w:val="9"/>
        <w:rPr>
          <w:rFonts w:hint="eastAsia" w:ascii="宋体" w:hAnsi="宋体" w:eastAsia="宋体" w:cs="宋体"/>
          <w:b/>
          <w:color w:val="auto"/>
          <w:kern w:val="0"/>
          <w:szCs w:val="21"/>
          <w:highlight w:val="none"/>
        </w:rPr>
      </w:pPr>
    </w:p>
    <w:p w14:paraId="30EDFE17">
      <w:pPr>
        <w:spacing w:line="360" w:lineRule="auto"/>
        <w:ind w:firstLine="354" w:firstLineChars="147"/>
        <w:outlineLvl w:val="9"/>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附件：</w:t>
      </w:r>
    </w:p>
    <w:p w14:paraId="332168DF">
      <w:pPr>
        <w:tabs>
          <w:tab w:val="left" w:pos="1305"/>
        </w:tabs>
        <w:spacing w:line="360" w:lineRule="auto"/>
        <w:outlineLvl w:val="9"/>
        <w:rPr>
          <w:rFonts w:hint="eastAsia" w:ascii="宋体" w:hAnsi="宋体" w:eastAsia="宋体" w:cs="宋体"/>
          <w:b/>
          <w:bCs/>
          <w:color w:val="auto"/>
          <w:kern w:val="0"/>
          <w:sz w:val="24"/>
          <w:highlight w:val="none"/>
        </w:rPr>
      </w:pPr>
    </w:p>
    <w:p w14:paraId="752D62D6">
      <w:pPr>
        <w:spacing w:line="360" w:lineRule="auto"/>
        <w:jc w:val="center"/>
        <w:outlineLvl w:val="9"/>
        <w:rPr>
          <w:rFonts w:hint="eastAsia" w:ascii="宋体" w:hAnsi="宋体" w:eastAsia="宋体" w:cs="宋体"/>
          <w:b/>
          <w:color w:val="auto"/>
          <w:kern w:val="0"/>
          <w:sz w:val="24"/>
          <w:highlight w:val="none"/>
        </w:rPr>
      </w:pPr>
      <w:bookmarkStart w:id="451" w:name="OLE_LINK14"/>
      <w:bookmarkStart w:id="452" w:name="OLE_LINK13"/>
      <w:r>
        <w:rPr>
          <w:rFonts w:hint="eastAsia" w:ascii="宋体" w:hAnsi="宋体" w:eastAsia="宋体" w:cs="宋体"/>
          <w:b/>
          <w:color w:val="auto"/>
          <w:kern w:val="0"/>
          <w:sz w:val="24"/>
          <w:highlight w:val="none"/>
        </w:rPr>
        <w:t>残疾人福利性单位声明函（格式）</w:t>
      </w:r>
    </w:p>
    <w:bookmarkEnd w:id="451"/>
    <w:bookmarkEnd w:id="452"/>
    <w:p w14:paraId="7C3C5B49">
      <w:pPr>
        <w:spacing w:line="360" w:lineRule="auto"/>
        <w:outlineLvl w:val="9"/>
        <w:rPr>
          <w:rFonts w:hint="eastAsia" w:ascii="宋体" w:hAnsi="宋体" w:eastAsia="宋体" w:cs="宋体"/>
          <w:b/>
          <w:color w:val="auto"/>
          <w:kern w:val="0"/>
          <w:szCs w:val="21"/>
          <w:highlight w:val="none"/>
        </w:rPr>
      </w:pPr>
    </w:p>
    <w:p w14:paraId="022B087A">
      <w:pPr>
        <w:spacing w:line="360" w:lineRule="auto"/>
        <w:ind w:firstLine="420" w:firstLineChars="200"/>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E7D081B">
      <w:pPr>
        <w:spacing w:line="360" w:lineRule="auto"/>
        <w:ind w:firstLine="420" w:firstLineChars="200"/>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本单位对上述声明的真实性负责。如有虚假，将依法承担相应责任。</w:t>
      </w:r>
    </w:p>
    <w:p w14:paraId="3E6924F4">
      <w:pPr>
        <w:spacing w:line="360" w:lineRule="auto"/>
        <w:ind w:firstLine="420" w:firstLineChars="200"/>
        <w:outlineLvl w:val="9"/>
        <w:rPr>
          <w:rFonts w:hint="eastAsia" w:ascii="宋体" w:hAnsi="宋体" w:eastAsia="宋体" w:cs="宋体"/>
          <w:color w:val="auto"/>
          <w:kern w:val="0"/>
          <w:szCs w:val="21"/>
          <w:highlight w:val="none"/>
        </w:rPr>
      </w:pPr>
    </w:p>
    <w:p w14:paraId="7D5F16B6">
      <w:pPr>
        <w:widowControl/>
        <w:spacing w:line="360" w:lineRule="auto"/>
        <w:ind w:firstLine="2310" w:firstLineChars="1100"/>
        <w:jc w:val="left"/>
        <w:outlineLvl w:val="9"/>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w:t>
      </w:r>
      <w:r>
        <w:rPr>
          <w:rFonts w:hint="eastAsia" w:ascii="宋体" w:hAnsi="宋体" w:eastAsia="宋体" w:cs="宋体"/>
          <w:color w:val="auto"/>
          <w:szCs w:val="21"/>
          <w:highlight w:val="none"/>
        </w:rPr>
        <w:t>磋商供应商[公章(CA签章)]：</w:t>
      </w:r>
      <w:r>
        <w:rPr>
          <w:rFonts w:hint="eastAsia" w:ascii="宋体" w:hAnsi="宋体" w:eastAsia="宋体" w:cs="宋体"/>
          <w:color w:val="auto"/>
          <w:szCs w:val="21"/>
          <w:highlight w:val="none"/>
          <w:u w:val="single"/>
        </w:rPr>
        <w:t xml:space="preserve">                                    </w:t>
      </w:r>
    </w:p>
    <w:p w14:paraId="2715DBF0">
      <w:pPr>
        <w:pStyle w:val="22"/>
        <w:spacing w:line="360" w:lineRule="auto"/>
        <w:ind w:left="2940" w:leftChars="1400" w:firstLine="630" w:firstLineChars="300"/>
        <w:outlineLvl w:val="9"/>
        <w:rPr>
          <w:rFonts w:hint="eastAsia" w:ascii="宋体" w:hAnsi="宋体" w:eastAsia="宋体" w:cs="宋体"/>
          <w:color w:val="auto"/>
          <w:highlight w:val="none"/>
        </w:rPr>
      </w:pPr>
    </w:p>
    <w:p w14:paraId="5148E0E7">
      <w:pPr>
        <w:spacing w:line="360" w:lineRule="auto"/>
        <w:ind w:left="420"/>
        <w:jc w:val="center"/>
        <w:outlineLvl w:val="9"/>
        <w:rPr>
          <w:rFonts w:hint="eastAsia" w:ascii="宋体" w:hAnsi="宋体" w:eastAsia="宋体" w:cs="宋体"/>
          <w:color w:val="auto"/>
          <w:highlight w:val="none"/>
          <w:u w:val="singl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p w14:paraId="17E7DBD5">
      <w:pPr>
        <w:spacing w:line="360" w:lineRule="auto"/>
        <w:ind w:left="420"/>
        <w:jc w:val="center"/>
        <w:outlineLvl w:val="9"/>
        <w:rPr>
          <w:rFonts w:hint="eastAsia" w:ascii="宋体" w:hAnsi="宋体" w:eastAsia="宋体" w:cs="宋体"/>
          <w:b/>
          <w:bCs/>
          <w:color w:val="auto"/>
          <w:sz w:val="32"/>
          <w:szCs w:val="32"/>
          <w:highlight w:val="none"/>
        </w:rPr>
      </w:pPr>
    </w:p>
    <w:p w14:paraId="0A8788F1">
      <w:pPr>
        <w:rPr>
          <w:rFonts w:hint="eastAsia" w:ascii="宋体" w:hAnsi="宋体" w:eastAsia="宋体" w:cs="宋体"/>
          <w:b/>
          <w:bCs/>
          <w:spacing w:val="-7"/>
          <w:sz w:val="30"/>
          <w:szCs w:val="30"/>
          <w:lang w:val="en-US" w:eastAsia="zh-CN"/>
        </w:rPr>
      </w:pPr>
      <w:r>
        <w:rPr>
          <w:rFonts w:hint="eastAsia" w:ascii="宋体" w:hAnsi="宋体" w:eastAsia="宋体" w:cs="宋体"/>
          <w:b/>
          <w:bCs/>
          <w:spacing w:val="-7"/>
          <w:sz w:val="30"/>
          <w:szCs w:val="30"/>
          <w:lang w:val="en-US" w:eastAsia="zh-CN"/>
        </w:rPr>
        <w:br w:type="page"/>
      </w:r>
    </w:p>
    <w:p w14:paraId="421CECEC">
      <w:pPr>
        <w:spacing w:before="159" w:line="219" w:lineRule="auto"/>
        <w:rPr>
          <w:rFonts w:ascii="宋体" w:hAnsi="宋体" w:eastAsia="宋体" w:cs="宋体"/>
          <w:sz w:val="30"/>
          <w:szCs w:val="30"/>
        </w:rPr>
      </w:pPr>
      <w:r>
        <w:rPr>
          <w:rFonts w:hint="eastAsia" w:ascii="宋体" w:hAnsi="宋体" w:eastAsia="宋体" w:cs="宋体"/>
          <w:b/>
          <w:bCs/>
          <w:spacing w:val="-7"/>
          <w:sz w:val="30"/>
          <w:szCs w:val="30"/>
          <w:lang w:val="en-US" w:eastAsia="zh-CN"/>
        </w:rPr>
        <w:t>10</w:t>
      </w:r>
      <w:r>
        <w:rPr>
          <w:rFonts w:ascii="宋体" w:hAnsi="宋体" w:eastAsia="宋体" w:cs="宋体"/>
          <w:b/>
          <w:bCs/>
          <w:spacing w:val="-7"/>
          <w:sz w:val="30"/>
          <w:szCs w:val="30"/>
        </w:rPr>
        <w:t>.以工代赈项目履约承诺函</w:t>
      </w:r>
    </w:p>
    <w:p w14:paraId="5C8B3305">
      <w:pPr>
        <w:spacing w:before="164" w:line="219" w:lineRule="auto"/>
        <w:ind w:left="3508"/>
        <w:rPr>
          <w:rFonts w:ascii="宋体" w:hAnsi="宋体" w:eastAsia="宋体" w:cs="宋体"/>
          <w:sz w:val="30"/>
          <w:szCs w:val="30"/>
        </w:rPr>
      </w:pPr>
      <w:r>
        <w:rPr>
          <w:rFonts w:ascii="宋体" w:hAnsi="宋体" w:eastAsia="宋体" w:cs="宋体"/>
          <w:b/>
          <w:bCs/>
          <w:spacing w:val="-5"/>
          <w:sz w:val="30"/>
          <w:szCs w:val="30"/>
        </w:rPr>
        <w:t>承诺函（格式）</w:t>
      </w:r>
    </w:p>
    <w:p w14:paraId="0F629870">
      <w:pPr>
        <w:spacing w:before="165" w:line="219" w:lineRule="auto"/>
        <w:rPr>
          <w:rFonts w:ascii="宋体" w:hAnsi="宋体" w:eastAsia="宋体" w:cs="宋体"/>
          <w:spacing w:val="6"/>
          <w:sz w:val="24"/>
          <w:szCs w:val="24"/>
        </w:rPr>
      </w:pPr>
    </w:p>
    <w:p w14:paraId="3D0F5B5C">
      <w:pPr>
        <w:spacing w:line="360" w:lineRule="auto"/>
        <w:ind w:firstLine="420" w:firstLineChars="200"/>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致：</w:t>
      </w:r>
      <w:r>
        <w:rPr>
          <w:rFonts w:hint="eastAsia" w:ascii="宋体" w:hAnsi="宋体" w:eastAsia="宋体" w:cs="宋体"/>
          <w:color w:val="auto"/>
          <w:kern w:val="0"/>
          <w:szCs w:val="21"/>
          <w:highlight w:val="none"/>
          <w:u w:val="single"/>
          <w:lang w:eastAsia="zh-CN"/>
        </w:rPr>
        <w:t>广西鼎策工程顾问有限责任公司</w:t>
      </w:r>
      <w:r>
        <w:rPr>
          <w:rFonts w:hint="eastAsia" w:ascii="宋体" w:hAnsi="宋体" w:cs="宋体"/>
          <w:color w:val="auto"/>
          <w:kern w:val="0"/>
          <w:szCs w:val="21"/>
          <w:highlight w:val="none"/>
          <w:u w:val="single"/>
          <w:lang w:eastAsia="zh-CN"/>
        </w:rPr>
        <w:t>：</w:t>
      </w:r>
    </w:p>
    <w:p w14:paraId="0D73EA62">
      <w:pPr>
        <w:spacing w:line="360" w:lineRule="auto"/>
        <w:ind w:firstLine="420" w:firstLineChars="200"/>
        <w:outlineLvl w:val="9"/>
        <w:rPr>
          <w:rFonts w:hint="eastAsia" w:ascii="宋体" w:hAnsi="宋体" w:eastAsia="宋体" w:cs="宋体"/>
          <w:color w:val="auto"/>
          <w:kern w:val="0"/>
          <w:szCs w:val="21"/>
          <w:highlight w:val="none"/>
        </w:rPr>
      </w:pPr>
    </w:p>
    <w:p w14:paraId="15FE6B4D">
      <w:pPr>
        <w:spacing w:line="360" w:lineRule="auto"/>
        <w:ind w:firstLine="420" w:firstLineChars="200"/>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我方作为【项目全称】的投标/承建单位，为严格落实国家、地方以工代赈相关政策法规及项目实施要求，规范项目建设、劳务用工、资金使用全流程管理，严格恪守《国家以工代赈管理办法》等相关规定，郑重作出如下承诺， 自愿接受各级主管部门监督核查，承担全部法律及履约责任。</w:t>
      </w:r>
    </w:p>
    <w:p w14:paraId="4B078B6E">
      <w:pPr>
        <w:keepNext w:val="0"/>
        <w:keepLines w:val="0"/>
        <w:pageBreakBefore w:val="0"/>
        <w:widowControl w:val="0"/>
        <w:kinsoku/>
        <w:wordWrap/>
        <w:overflowPunct/>
        <w:topLinePunct w:val="0"/>
        <w:autoSpaceDE/>
        <w:autoSpaceDN/>
        <w:bidi w:val="0"/>
        <w:adjustRightInd/>
        <w:snapToGrid/>
        <w:spacing w:before="1" w:line="360" w:lineRule="auto"/>
        <w:ind w:left="1830"/>
        <w:textAlignment w:val="auto"/>
        <w:rPr>
          <w:rFonts w:hint="eastAsia" w:asciiTheme="minorEastAsia" w:hAnsiTheme="minorEastAsia" w:eastAsiaTheme="minorEastAsia" w:cstheme="minorEastAsia"/>
          <w:spacing w:val="8"/>
          <w:sz w:val="21"/>
          <w:szCs w:val="21"/>
        </w:rPr>
      </w:pPr>
    </w:p>
    <w:p w14:paraId="36ECFFD2">
      <w:pPr>
        <w:keepNext w:val="0"/>
        <w:keepLines w:val="0"/>
        <w:pageBreakBefore w:val="0"/>
        <w:widowControl w:val="0"/>
        <w:kinsoku/>
        <w:wordWrap/>
        <w:overflowPunct/>
        <w:topLinePunct w:val="0"/>
        <w:autoSpaceDE/>
        <w:autoSpaceDN/>
        <w:bidi w:val="0"/>
        <w:adjustRightInd/>
        <w:snapToGrid/>
        <w:spacing w:before="1" w:line="360" w:lineRule="auto"/>
        <w:ind w:left="183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8"/>
          <w:sz w:val="21"/>
          <w:szCs w:val="21"/>
        </w:rPr>
        <w:t>单位名称（加盖供应商</w:t>
      </w:r>
      <w:r>
        <w:rPr>
          <w:rFonts w:hint="eastAsia" w:asciiTheme="minorEastAsia" w:hAnsiTheme="minorEastAsia" w:eastAsiaTheme="minorEastAsia" w:cstheme="minorEastAsia"/>
          <w:spacing w:val="-38"/>
          <w:sz w:val="21"/>
          <w:szCs w:val="21"/>
        </w:rPr>
        <w:t xml:space="preserve"> </w:t>
      </w:r>
      <w:r>
        <w:rPr>
          <w:rFonts w:hint="eastAsia" w:asciiTheme="minorEastAsia" w:hAnsiTheme="minorEastAsia" w:eastAsiaTheme="minorEastAsia" w:cstheme="minorEastAsia"/>
          <w:sz w:val="21"/>
          <w:szCs w:val="21"/>
        </w:rPr>
        <w:t>CA</w:t>
      </w:r>
      <w:r>
        <w:rPr>
          <w:rFonts w:hint="eastAsia" w:asciiTheme="minorEastAsia" w:hAnsiTheme="minorEastAsia" w:eastAsiaTheme="minorEastAsia" w:cstheme="minorEastAsia"/>
          <w:spacing w:val="-39"/>
          <w:sz w:val="21"/>
          <w:szCs w:val="21"/>
        </w:rPr>
        <w:t xml:space="preserve"> </w:t>
      </w:r>
      <w:r>
        <w:rPr>
          <w:rFonts w:hint="eastAsia" w:asciiTheme="minorEastAsia" w:hAnsiTheme="minorEastAsia" w:eastAsiaTheme="minorEastAsia" w:cstheme="minorEastAsia"/>
          <w:spacing w:val="8"/>
          <w:sz w:val="21"/>
          <w:szCs w:val="21"/>
        </w:rPr>
        <w:t>证书签章</w:t>
      </w:r>
      <w:r>
        <w:rPr>
          <w:rFonts w:hint="eastAsia" w:asciiTheme="minorEastAsia" w:hAnsiTheme="minorEastAsia" w:eastAsiaTheme="minorEastAsia" w:cstheme="minorEastAsia"/>
          <w:spacing w:val="-7"/>
          <w:sz w:val="21"/>
          <w:szCs w:val="21"/>
        </w:rPr>
        <w:t>）</w:t>
      </w:r>
      <w:r>
        <w:rPr>
          <w:rFonts w:hint="eastAsia" w:asciiTheme="minorEastAsia" w:hAnsiTheme="minorEastAsia" w:eastAsiaTheme="minorEastAsia" w:cstheme="minorEastAsia"/>
          <w:spacing w:val="-66"/>
          <w:sz w:val="21"/>
          <w:szCs w:val="21"/>
        </w:rPr>
        <w:t xml:space="preserve"> </w:t>
      </w:r>
      <w:r>
        <w:rPr>
          <w:rFonts w:hint="eastAsia" w:asciiTheme="minorEastAsia" w:hAnsiTheme="minorEastAsia" w:eastAsiaTheme="minorEastAsia" w:cstheme="minorEastAsia"/>
          <w:spacing w:val="-7"/>
          <w:sz w:val="21"/>
          <w:szCs w:val="21"/>
        </w:rPr>
        <w:t>：</w:t>
      </w:r>
      <w:r>
        <w:rPr>
          <w:rFonts w:hint="eastAsia" w:asciiTheme="minorEastAsia" w:hAnsiTheme="minorEastAsia" w:eastAsiaTheme="minorEastAsia" w:cstheme="minorEastAsia"/>
          <w:sz w:val="21"/>
          <w:szCs w:val="21"/>
          <w:u w:val="single" w:color="auto"/>
        </w:rPr>
        <w:t xml:space="preserve">            </w:t>
      </w:r>
    </w:p>
    <w:p w14:paraId="0BC2FC1C">
      <w:pPr>
        <w:keepNext w:val="0"/>
        <w:keepLines w:val="0"/>
        <w:pageBreakBefore w:val="0"/>
        <w:widowControl w:val="0"/>
        <w:kinsoku/>
        <w:wordWrap/>
        <w:overflowPunct/>
        <w:topLinePunct w:val="0"/>
        <w:autoSpaceDE/>
        <w:autoSpaceDN/>
        <w:bidi w:val="0"/>
        <w:adjustRightInd/>
        <w:snapToGrid/>
        <w:spacing w:before="177" w:line="360" w:lineRule="auto"/>
        <w:ind w:left="3629"/>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28"/>
          <w:sz w:val="21"/>
          <w:szCs w:val="21"/>
        </w:rPr>
        <w:t>日</w:t>
      </w:r>
      <w:r>
        <w:rPr>
          <w:rFonts w:hint="eastAsia" w:asciiTheme="minorEastAsia" w:hAnsiTheme="minorEastAsia" w:eastAsiaTheme="minorEastAsia" w:cstheme="minorEastAsia"/>
          <w:spacing w:val="25"/>
          <w:sz w:val="21"/>
          <w:szCs w:val="21"/>
        </w:rPr>
        <w:t xml:space="preserve">  </w:t>
      </w:r>
      <w:r>
        <w:rPr>
          <w:rFonts w:hint="eastAsia" w:asciiTheme="minorEastAsia" w:hAnsiTheme="minorEastAsia" w:eastAsiaTheme="minorEastAsia" w:cstheme="minorEastAsia"/>
          <w:spacing w:val="-28"/>
          <w:sz w:val="21"/>
          <w:szCs w:val="21"/>
        </w:rPr>
        <w:t>期</w:t>
      </w:r>
      <w:r>
        <w:rPr>
          <w:rFonts w:hint="eastAsia" w:asciiTheme="minorEastAsia" w:hAnsiTheme="minorEastAsia" w:eastAsiaTheme="minorEastAsia" w:cstheme="minorEastAsia"/>
          <w:spacing w:val="-78"/>
          <w:sz w:val="21"/>
          <w:szCs w:val="21"/>
        </w:rPr>
        <w:t xml:space="preserve"> </w:t>
      </w:r>
      <w:r>
        <w:rPr>
          <w:rFonts w:hint="eastAsia" w:asciiTheme="minorEastAsia" w:hAnsiTheme="minorEastAsia" w:eastAsiaTheme="minorEastAsia" w:cstheme="minorEastAsia"/>
          <w:spacing w:val="-28"/>
          <w:sz w:val="21"/>
          <w:szCs w:val="21"/>
        </w:rPr>
        <w:t>：</w:t>
      </w:r>
      <w:r>
        <w:rPr>
          <w:rFonts w:hint="eastAsia" w:asciiTheme="minorEastAsia" w:hAnsiTheme="minorEastAsia" w:eastAsiaTheme="minorEastAsia" w:cstheme="minorEastAsia"/>
          <w:sz w:val="21"/>
          <w:szCs w:val="21"/>
          <w:u w:val="single" w:color="auto"/>
        </w:rPr>
        <w:t xml:space="preserve">             </w:t>
      </w:r>
    </w:p>
    <w:p w14:paraId="566BBC0C">
      <w:pPr>
        <w:spacing w:line="220" w:lineRule="auto"/>
        <w:rPr>
          <w:rFonts w:ascii="宋体" w:hAnsi="宋体" w:eastAsia="宋体" w:cs="宋体"/>
          <w:sz w:val="24"/>
          <w:szCs w:val="24"/>
        </w:rPr>
        <w:sectPr>
          <w:headerReference r:id="rId7" w:type="default"/>
          <w:footerReference r:id="rId8" w:type="default"/>
          <w:pgSz w:w="11910" w:h="16850"/>
          <w:pgMar w:top="1432" w:right="1786" w:bottom="1235" w:left="1432" w:header="0" w:footer="1073" w:gutter="0"/>
          <w:pgNumType w:fmt="decimal"/>
          <w:cols w:space="720" w:num="1"/>
        </w:sectPr>
      </w:pPr>
    </w:p>
    <w:p w14:paraId="03FE63AB">
      <w:pPr>
        <w:spacing w:line="360" w:lineRule="auto"/>
        <w:ind w:left="420"/>
        <w:jc w:val="center"/>
        <w:outlineLvl w:val="9"/>
        <w:rPr>
          <w:rFonts w:hint="eastAsia" w:ascii="宋体" w:hAnsi="宋体" w:eastAsia="宋体" w:cs="宋体"/>
          <w:b/>
          <w:bCs/>
          <w:color w:val="auto"/>
          <w:sz w:val="32"/>
          <w:szCs w:val="32"/>
          <w:highlight w:val="none"/>
        </w:rPr>
      </w:pPr>
    </w:p>
    <w:p w14:paraId="11C9EE03">
      <w:pPr>
        <w:spacing w:line="360" w:lineRule="auto"/>
        <w:ind w:left="420"/>
        <w:jc w:val="center"/>
        <w:outlineLvl w:val="9"/>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（二）符合性响应证明材料目录</w:t>
      </w:r>
    </w:p>
    <w:p w14:paraId="7549CE47">
      <w:pPr>
        <w:spacing w:line="360" w:lineRule="auto"/>
        <w:ind w:left="420"/>
        <w:outlineLvl w:val="9"/>
        <w:rPr>
          <w:rFonts w:hint="eastAsia" w:ascii="宋体" w:hAnsi="宋体" w:eastAsia="宋体" w:cs="宋体"/>
          <w:color w:val="auto"/>
          <w:sz w:val="24"/>
          <w:highlight w:val="none"/>
        </w:rPr>
      </w:pPr>
    </w:p>
    <w:p w14:paraId="293F7789">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1.响应函</w:t>
      </w:r>
      <w:r>
        <w:rPr>
          <w:rFonts w:hint="eastAsia" w:ascii="宋体" w:hAnsi="宋体" w:eastAsia="宋体" w:cs="宋体"/>
          <w:b/>
          <w:bCs/>
          <w:color w:val="auto"/>
          <w:sz w:val="21"/>
          <w:szCs w:val="21"/>
          <w:highlight w:val="none"/>
        </w:rPr>
        <w:t>（格式见附件）（必须提供</w:t>
      </w: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rPr>
        <w:t>；</w:t>
      </w:r>
    </w:p>
    <w:p w14:paraId="7AAC97DB">
      <w:pPr>
        <w:keepNext w:val="0"/>
        <w:keepLines w:val="0"/>
        <w:pageBreakBefore w:val="0"/>
        <w:widowControl w:val="0"/>
        <w:kinsoku/>
        <w:wordWrap/>
        <w:overflowPunct/>
        <w:topLinePunct w:val="0"/>
        <w:autoSpaceDE/>
        <w:autoSpaceDN/>
        <w:bidi w:val="0"/>
        <w:adjustRightInd/>
        <w:snapToGrid/>
        <w:spacing w:before="91" w:line="360" w:lineRule="auto"/>
        <w:ind w:left="37"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r>
        <w:rPr>
          <w:rFonts w:ascii="宋体" w:hAnsi="宋体" w:eastAsia="宋体" w:cs="宋体"/>
          <w:spacing w:val="-8"/>
          <w:sz w:val="28"/>
          <w:szCs w:val="28"/>
        </w:rPr>
        <w:t xml:space="preserve"> </w:t>
      </w:r>
      <w:r>
        <w:rPr>
          <w:rFonts w:hint="eastAsia" w:ascii="宋体" w:hAnsi="宋体" w:eastAsia="宋体" w:cs="宋体"/>
          <w:color w:val="auto"/>
          <w:sz w:val="21"/>
          <w:szCs w:val="21"/>
          <w:highlight w:val="none"/>
        </w:rPr>
        <w:t>磋商报价表</w:t>
      </w:r>
      <w:r>
        <w:rPr>
          <w:rFonts w:hint="eastAsia" w:ascii="宋体" w:hAnsi="宋体" w:eastAsia="宋体" w:cs="宋体"/>
          <w:b/>
          <w:bCs/>
          <w:color w:val="auto"/>
          <w:sz w:val="21"/>
          <w:szCs w:val="21"/>
          <w:highlight w:val="none"/>
        </w:rPr>
        <w:t>（必须提供）；</w:t>
      </w:r>
    </w:p>
    <w:p w14:paraId="097B80C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.标价工程量清单</w:t>
      </w:r>
      <w:r>
        <w:rPr>
          <w:rFonts w:hint="eastAsia" w:ascii="宋体" w:hAnsi="宋体" w:eastAsia="宋体" w:cs="宋体"/>
          <w:b/>
          <w:bCs/>
          <w:color w:val="auto"/>
          <w:sz w:val="21"/>
          <w:szCs w:val="21"/>
          <w:highlight w:val="none"/>
        </w:rPr>
        <w:t>（必须提供）</w:t>
      </w:r>
      <w:r>
        <w:rPr>
          <w:rFonts w:hint="eastAsia" w:ascii="宋体" w:hAnsi="宋体" w:eastAsia="宋体" w:cs="宋体"/>
          <w:color w:val="auto"/>
          <w:sz w:val="21"/>
          <w:szCs w:val="21"/>
          <w:highlight w:val="none"/>
        </w:rPr>
        <w:t>；</w:t>
      </w:r>
    </w:p>
    <w:p w14:paraId="74EA3E2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.拟投入本工程主要管理人员表</w:t>
      </w:r>
      <w:r>
        <w:rPr>
          <w:rFonts w:hint="eastAsia" w:ascii="宋体" w:hAnsi="宋体" w:eastAsia="宋体" w:cs="宋体"/>
          <w:b/>
          <w:bCs/>
          <w:color w:val="auto"/>
          <w:sz w:val="21"/>
          <w:szCs w:val="21"/>
          <w:highlight w:val="none"/>
        </w:rPr>
        <w:t>（必须提供）；</w:t>
      </w:r>
    </w:p>
    <w:p w14:paraId="3D234173">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并一起提供由县级以上（含县级）社会养老保险经办机构出具的供应商为项目实施人员交纳的响应文件递交截止时间前半年内任意</w:t>
      </w:r>
      <w:r>
        <w:rPr>
          <w:rFonts w:hint="eastAsia" w:ascii="宋体" w:hAnsi="宋体" w:eastAsia="宋体" w:cs="宋体"/>
          <w:b/>
          <w:bCs/>
          <w:color w:val="auto"/>
          <w:szCs w:val="21"/>
          <w:highlight w:val="none"/>
          <w:lang w:eastAsia="zh-CN"/>
        </w:rPr>
        <w:t>一</w:t>
      </w:r>
      <w:r>
        <w:rPr>
          <w:rFonts w:hint="eastAsia" w:ascii="宋体" w:hAnsi="宋体" w:eastAsia="宋体" w:cs="宋体"/>
          <w:b/>
          <w:bCs/>
          <w:color w:val="auto"/>
          <w:szCs w:val="21"/>
          <w:highlight w:val="none"/>
        </w:rPr>
        <w:t>个月社保证明复印件，</w:t>
      </w:r>
      <w:r>
        <w:rPr>
          <w:rFonts w:hint="eastAsia" w:ascii="宋体" w:hAnsi="宋体" w:eastAsia="宋体" w:cs="宋体"/>
          <w:color w:val="auto"/>
          <w:szCs w:val="21"/>
          <w:highlight w:val="none"/>
        </w:rPr>
        <w:t>除供应商为以下三种情形的：</w:t>
      </w:r>
    </w:p>
    <w:p w14:paraId="2AAEDCB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①如供应商为截标时间前60日以内成立的公司，可以提供供应商与委托代理人签订的劳动合同复印件代替社保证明复印件；</w:t>
      </w:r>
    </w:p>
    <w:p w14:paraId="7B3B95F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②如供应商为事业单位，可以提供事业单位机构编制管理证复印件或事业单位机构为其发放工资的工资条复印件代替社保证明复印件；</w:t>
      </w:r>
    </w:p>
    <w:p w14:paraId="3C6C09B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③如委托代理人为免缴纳社保人员，提供免缴纳社保的证明材料复印件及供应商与委托代理人签订的劳动合同复印件代替社保证明复印件。）；</w:t>
      </w:r>
    </w:p>
    <w:p w14:paraId="397559E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.担任本工程的项目经理简历表（应附相关证书、身份证复印件）</w:t>
      </w:r>
      <w:r>
        <w:rPr>
          <w:rFonts w:hint="eastAsia" w:ascii="宋体" w:hAnsi="宋体" w:eastAsia="宋体" w:cs="宋体"/>
          <w:b/>
          <w:bCs/>
          <w:color w:val="auto"/>
          <w:szCs w:val="21"/>
          <w:highlight w:val="none"/>
        </w:rPr>
        <w:t>（必须提供）</w:t>
      </w:r>
      <w:r>
        <w:rPr>
          <w:rFonts w:hint="eastAsia" w:ascii="宋体" w:hAnsi="宋体" w:eastAsia="宋体" w:cs="宋体"/>
          <w:color w:val="auto"/>
          <w:szCs w:val="21"/>
          <w:highlight w:val="none"/>
        </w:rPr>
        <w:t>；</w:t>
      </w:r>
    </w:p>
    <w:p w14:paraId="09AB756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.施工组织设计方案</w:t>
      </w:r>
      <w:r>
        <w:rPr>
          <w:rFonts w:hint="eastAsia" w:ascii="宋体" w:hAnsi="宋体" w:eastAsia="宋体" w:cs="宋体"/>
          <w:b/>
          <w:bCs/>
          <w:color w:val="auto"/>
          <w:szCs w:val="21"/>
          <w:highlight w:val="none"/>
        </w:rPr>
        <w:t>（必须提供）</w:t>
      </w:r>
      <w:r>
        <w:rPr>
          <w:rFonts w:hint="eastAsia" w:ascii="宋体" w:hAnsi="宋体" w:eastAsia="宋体" w:cs="宋体"/>
          <w:color w:val="auto"/>
          <w:szCs w:val="21"/>
          <w:highlight w:val="none"/>
        </w:rPr>
        <w:t>；</w:t>
      </w:r>
    </w:p>
    <w:p w14:paraId="629CFD4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.工程完工服务承诺书</w:t>
      </w:r>
      <w:r>
        <w:rPr>
          <w:rFonts w:hint="eastAsia" w:ascii="宋体" w:hAnsi="宋体" w:eastAsia="宋体" w:cs="宋体"/>
          <w:b/>
          <w:bCs/>
          <w:color w:val="auto"/>
          <w:szCs w:val="21"/>
          <w:highlight w:val="none"/>
        </w:rPr>
        <w:t>（必须提供）</w:t>
      </w:r>
      <w:r>
        <w:rPr>
          <w:rFonts w:hint="eastAsia" w:ascii="宋体" w:hAnsi="宋体" w:eastAsia="宋体" w:cs="宋体"/>
          <w:color w:val="auto"/>
          <w:szCs w:val="21"/>
          <w:highlight w:val="none"/>
        </w:rPr>
        <w:t>；</w:t>
      </w:r>
    </w:p>
    <w:p w14:paraId="5559855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Cs w:val="21"/>
          <w:highlight w:val="none"/>
        </w:rPr>
      </w:pPr>
      <w:bookmarkStart w:id="453" w:name="_Toc6633"/>
      <w:bookmarkStart w:id="454" w:name="_Toc3099"/>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.农民工工资保障金交纳与使用承诺书</w:t>
      </w:r>
      <w:r>
        <w:rPr>
          <w:rFonts w:hint="eastAsia" w:ascii="宋体" w:hAnsi="宋体" w:eastAsia="宋体" w:cs="宋体"/>
          <w:b/>
          <w:bCs/>
          <w:color w:val="auto"/>
          <w:szCs w:val="21"/>
          <w:highlight w:val="none"/>
        </w:rPr>
        <w:t>（必须提供）</w:t>
      </w:r>
      <w:r>
        <w:rPr>
          <w:rFonts w:hint="eastAsia" w:ascii="宋体" w:hAnsi="宋体" w:eastAsia="宋体" w:cs="宋体"/>
          <w:color w:val="auto"/>
          <w:szCs w:val="21"/>
          <w:highlight w:val="none"/>
        </w:rPr>
        <w:t>；</w:t>
      </w:r>
      <w:bookmarkEnd w:id="453"/>
      <w:bookmarkEnd w:id="454"/>
    </w:p>
    <w:p w14:paraId="72199A4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Cs w:val="21"/>
          <w:highlight w:val="none"/>
        </w:rPr>
      </w:pPr>
    </w:p>
    <w:p w14:paraId="59E4468A">
      <w:pPr>
        <w:pStyle w:val="82"/>
        <w:spacing w:line="360" w:lineRule="auto"/>
        <w:outlineLvl w:val="9"/>
        <w:rPr>
          <w:rFonts w:hint="eastAsia" w:ascii="宋体" w:hAnsi="宋体" w:eastAsia="宋体" w:cs="宋体"/>
          <w:color w:val="auto"/>
          <w:highlight w:val="none"/>
        </w:rPr>
      </w:pPr>
    </w:p>
    <w:p w14:paraId="44BDF874">
      <w:pPr>
        <w:pStyle w:val="82"/>
        <w:spacing w:line="360" w:lineRule="auto"/>
        <w:outlineLvl w:val="9"/>
        <w:rPr>
          <w:rFonts w:hint="eastAsia" w:ascii="宋体" w:hAnsi="宋体" w:eastAsia="宋体" w:cs="宋体"/>
          <w:color w:val="auto"/>
          <w:highlight w:val="none"/>
        </w:rPr>
      </w:pPr>
    </w:p>
    <w:p w14:paraId="675AB2F9">
      <w:pPr>
        <w:pStyle w:val="82"/>
        <w:spacing w:line="360" w:lineRule="auto"/>
        <w:outlineLvl w:val="9"/>
        <w:rPr>
          <w:rFonts w:hint="eastAsia" w:ascii="宋体" w:hAnsi="宋体" w:eastAsia="宋体" w:cs="宋体"/>
          <w:color w:val="auto"/>
          <w:highlight w:val="none"/>
        </w:rPr>
      </w:pPr>
    </w:p>
    <w:p w14:paraId="4517D1D9">
      <w:pPr>
        <w:pStyle w:val="82"/>
        <w:spacing w:line="360" w:lineRule="auto"/>
        <w:outlineLvl w:val="9"/>
        <w:rPr>
          <w:rFonts w:hint="eastAsia" w:ascii="宋体" w:hAnsi="宋体" w:eastAsia="宋体" w:cs="宋体"/>
          <w:color w:val="auto"/>
          <w:highlight w:val="none"/>
        </w:rPr>
      </w:pPr>
    </w:p>
    <w:p w14:paraId="6DF15CA4">
      <w:pPr>
        <w:pStyle w:val="82"/>
        <w:spacing w:line="360" w:lineRule="auto"/>
        <w:outlineLvl w:val="9"/>
        <w:rPr>
          <w:rFonts w:hint="eastAsia" w:ascii="宋体" w:hAnsi="宋体" w:eastAsia="宋体" w:cs="宋体"/>
          <w:color w:val="auto"/>
          <w:highlight w:val="none"/>
        </w:rPr>
      </w:pPr>
    </w:p>
    <w:p w14:paraId="191BE571">
      <w:pPr>
        <w:pStyle w:val="82"/>
        <w:spacing w:line="360" w:lineRule="auto"/>
        <w:outlineLvl w:val="9"/>
        <w:rPr>
          <w:rFonts w:hint="eastAsia" w:ascii="宋体" w:hAnsi="宋体" w:eastAsia="宋体" w:cs="宋体"/>
          <w:color w:val="auto"/>
          <w:highlight w:val="none"/>
        </w:rPr>
      </w:pPr>
    </w:p>
    <w:p w14:paraId="20675D85">
      <w:pPr>
        <w:pStyle w:val="82"/>
        <w:spacing w:line="360" w:lineRule="auto"/>
        <w:outlineLvl w:val="9"/>
        <w:rPr>
          <w:rFonts w:hint="eastAsia" w:ascii="宋体" w:hAnsi="宋体" w:eastAsia="宋体" w:cs="宋体"/>
          <w:color w:val="auto"/>
          <w:highlight w:val="none"/>
        </w:rPr>
      </w:pPr>
    </w:p>
    <w:p w14:paraId="0034227A">
      <w:pPr>
        <w:pStyle w:val="82"/>
        <w:spacing w:line="360" w:lineRule="auto"/>
        <w:outlineLvl w:val="9"/>
        <w:rPr>
          <w:rFonts w:hint="eastAsia" w:ascii="宋体" w:hAnsi="宋体" w:eastAsia="宋体" w:cs="宋体"/>
          <w:color w:val="auto"/>
          <w:highlight w:val="none"/>
        </w:rPr>
      </w:pPr>
    </w:p>
    <w:p w14:paraId="6BE922B5">
      <w:pPr>
        <w:pStyle w:val="82"/>
        <w:spacing w:line="360" w:lineRule="auto"/>
        <w:outlineLvl w:val="9"/>
        <w:rPr>
          <w:rFonts w:hint="eastAsia" w:ascii="宋体" w:hAnsi="宋体" w:eastAsia="宋体" w:cs="宋体"/>
          <w:color w:val="auto"/>
          <w:highlight w:val="none"/>
        </w:rPr>
      </w:pPr>
    </w:p>
    <w:p w14:paraId="774DBC9A">
      <w:pPr>
        <w:pStyle w:val="82"/>
        <w:spacing w:line="360" w:lineRule="auto"/>
        <w:outlineLvl w:val="9"/>
        <w:rPr>
          <w:rFonts w:hint="eastAsia" w:ascii="宋体" w:hAnsi="宋体" w:eastAsia="宋体" w:cs="宋体"/>
          <w:color w:val="auto"/>
          <w:highlight w:val="none"/>
        </w:rPr>
      </w:pPr>
    </w:p>
    <w:p w14:paraId="3A9AA6FD">
      <w:pPr>
        <w:pStyle w:val="82"/>
        <w:spacing w:line="360" w:lineRule="auto"/>
        <w:outlineLvl w:val="9"/>
        <w:rPr>
          <w:rFonts w:hint="eastAsia" w:ascii="宋体" w:hAnsi="宋体" w:eastAsia="宋体" w:cs="宋体"/>
          <w:color w:val="auto"/>
          <w:highlight w:val="none"/>
        </w:rPr>
      </w:pPr>
    </w:p>
    <w:p w14:paraId="0EE9AB53">
      <w:pPr>
        <w:pStyle w:val="82"/>
        <w:spacing w:line="360" w:lineRule="auto"/>
        <w:outlineLvl w:val="9"/>
        <w:rPr>
          <w:rFonts w:hint="eastAsia" w:ascii="宋体" w:hAnsi="宋体" w:eastAsia="宋体" w:cs="宋体"/>
          <w:color w:val="auto"/>
          <w:highlight w:val="none"/>
        </w:rPr>
      </w:pPr>
    </w:p>
    <w:p w14:paraId="58A106D2">
      <w:pPr>
        <w:spacing w:line="360" w:lineRule="auto"/>
        <w:outlineLvl w:val="9"/>
        <w:rPr>
          <w:rFonts w:hint="eastAsia" w:ascii="宋体" w:hAnsi="宋体" w:eastAsia="宋体" w:cs="宋体"/>
          <w:color w:val="auto"/>
          <w:highlight w:val="none"/>
        </w:rPr>
      </w:pPr>
      <w:bookmarkStart w:id="455" w:name="_Toc12920"/>
      <w:bookmarkStart w:id="456" w:name="_Toc17617"/>
      <w:bookmarkStart w:id="457" w:name="_Toc497927072"/>
      <w:r>
        <w:rPr>
          <w:rFonts w:hint="eastAsia" w:ascii="宋体" w:hAnsi="宋体" w:eastAsia="宋体" w:cs="宋体"/>
          <w:b/>
          <w:bCs/>
          <w:color w:val="auto"/>
          <w:sz w:val="28"/>
          <w:szCs w:val="28"/>
          <w:highlight w:val="none"/>
        </w:rPr>
        <w:t>1.响应函（格式见附件）（必须提供）</w:t>
      </w:r>
      <w:bookmarkEnd w:id="455"/>
      <w:bookmarkEnd w:id="456"/>
      <w:bookmarkEnd w:id="457"/>
    </w:p>
    <w:p w14:paraId="4A4B33D4">
      <w:pPr>
        <w:pStyle w:val="22"/>
        <w:spacing w:line="360" w:lineRule="auto"/>
        <w:outlineLvl w:val="9"/>
        <w:rPr>
          <w:rFonts w:hint="eastAsia" w:ascii="宋体" w:hAnsi="宋体" w:eastAsia="宋体" w:cs="宋体"/>
          <w:b/>
          <w:color w:val="auto"/>
          <w:sz w:val="32"/>
          <w:highlight w:val="none"/>
        </w:rPr>
      </w:pPr>
      <w:r>
        <w:rPr>
          <w:rFonts w:hint="eastAsia" w:ascii="宋体" w:hAnsi="宋体" w:eastAsia="宋体" w:cs="宋体"/>
          <w:b/>
          <w:color w:val="auto"/>
          <w:sz w:val="32"/>
          <w:highlight w:val="none"/>
        </w:rPr>
        <w:t>附件：</w:t>
      </w:r>
    </w:p>
    <w:p w14:paraId="6707CC78">
      <w:pPr>
        <w:pStyle w:val="22"/>
        <w:spacing w:line="360" w:lineRule="auto"/>
        <w:ind w:firstLine="803" w:firstLineChars="250"/>
        <w:jc w:val="center"/>
        <w:outlineLvl w:val="9"/>
        <w:rPr>
          <w:rFonts w:hint="eastAsia" w:ascii="宋体" w:hAnsi="宋体" w:eastAsia="宋体" w:cs="宋体"/>
          <w:color w:val="auto"/>
          <w:sz w:val="32"/>
          <w:highlight w:val="none"/>
        </w:rPr>
      </w:pPr>
      <w:bookmarkStart w:id="458" w:name="_Toc7273_WPSOffice_Level1"/>
      <w:bookmarkStart w:id="459" w:name="_Toc17832_WPSOffice_Level1"/>
      <w:r>
        <w:rPr>
          <w:rFonts w:hint="eastAsia" w:ascii="宋体" w:hAnsi="宋体" w:eastAsia="宋体" w:cs="宋体"/>
          <w:b/>
          <w:color w:val="auto"/>
          <w:sz w:val="32"/>
          <w:highlight w:val="none"/>
        </w:rPr>
        <w:t>响 应 函 （格 式）</w:t>
      </w:r>
      <w:bookmarkEnd w:id="458"/>
      <w:bookmarkEnd w:id="459"/>
    </w:p>
    <w:p w14:paraId="5B9F02D3">
      <w:pPr>
        <w:pStyle w:val="22"/>
        <w:spacing w:line="360" w:lineRule="auto"/>
        <w:ind w:firstLine="420"/>
        <w:outlineLvl w:val="9"/>
        <w:rPr>
          <w:rFonts w:hint="eastAsia" w:hAnsi="宋体" w:cs="宋体"/>
          <w:color w:val="auto"/>
          <w:szCs w:val="21"/>
          <w:highlight w:val="none"/>
          <w:u w:val="single"/>
          <w:lang w:eastAsia="zh-CN"/>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w:t>
      </w:r>
      <w:r>
        <w:rPr>
          <w:rFonts w:hint="eastAsia" w:hAnsi="宋体" w:cs="宋体"/>
          <w:color w:val="auto"/>
          <w:szCs w:val="21"/>
          <w:highlight w:val="none"/>
          <w:u w:val="single"/>
          <w:lang w:eastAsia="zh-CN"/>
        </w:rPr>
        <w:t>广西鼎策工程顾问有限责任公司</w:t>
      </w:r>
    </w:p>
    <w:p w14:paraId="0DE97D8D">
      <w:pPr>
        <w:pStyle w:val="22"/>
        <w:spacing w:line="360" w:lineRule="auto"/>
        <w:ind w:firstLine="420"/>
        <w:outlineLvl w:val="9"/>
        <w:rPr>
          <w:rFonts w:hint="eastAsia" w:ascii="宋体" w:hAnsi="宋体" w:eastAsia="宋体" w:cs="宋体"/>
          <w:color w:val="auto"/>
          <w:highlight w:val="none"/>
        </w:rPr>
      </w:pPr>
      <w:r>
        <w:rPr>
          <w:rFonts w:hint="eastAsia" w:ascii="宋体" w:hAnsi="宋体" w:eastAsia="宋体" w:cs="宋体"/>
          <w:color w:val="auto"/>
          <w:highlight w:val="none"/>
        </w:rPr>
        <w:t>根据贵方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项目竞争性磋商文件，项目编号：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，签字代表</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（姓名）经正式授权并代表供应商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供应商单位名称），提交电子响应文件。</w:t>
      </w:r>
    </w:p>
    <w:p w14:paraId="23254078">
      <w:pPr>
        <w:pStyle w:val="22"/>
        <w:spacing w:line="360" w:lineRule="auto"/>
        <w:ind w:firstLine="420"/>
        <w:outlineLvl w:val="9"/>
        <w:rPr>
          <w:rFonts w:hint="eastAsia" w:ascii="宋体" w:hAnsi="宋体" w:eastAsia="宋体" w:cs="宋体"/>
          <w:color w:val="auto"/>
          <w:highlight w:val="none"/>
        </w:rPr>
      </w:pPr>
      <w:r>
        <w:rPr>
          <w:rFonts w:hint="eastAsia" w:ascii="宋体" w:hAnsi="宋体" w:eastAsia="宋体" w:cs="宋体"/>
          <w:color w:val="auto"/>
          <w:highlight w:val="none"/>
        </w:rPr>
        <w:t>据此函，签字代表宣布同意如下：</w:t>
      </w:r>
    </w:p>
    <w:p w14:paraId="0BA4F831">
      <w:pPr>
        <w:pStyle w:val="22"/>
        <w:spacing w:line="360" w:lineRule="auto"/>
        <w:ind w:firstLine="420"/>
        <w:outlineLvl w:val="9"/>
        <w:rPr>
          <w:rFonts w:hint="eastAsia" w:ascii="宋体" w:hAnsi="宋体" w:eastAsia="宋体" w:cs="宋体"/>
          <w:color w:val="auto"/>
          <w:highlight w:val="none"/>
        </w:rPr>
      </w:pPr>
      <w:r>
        <w:rPr>
          <w:rFonts w:hint="eastAsia" w:ascii="宋体" w:hAnsi="宋体" w:eastAsia="宋体" w:cs="宋体"/>
          <w:color w:val="auto"/>
          <w:highlight w:val="none"/>
        </w:rPr>
        <w:t>1. 按磋商文件采购需求和磋商报价表：</w:t>
      </w:r>
    </w:p>
    <w:p w14:paraId="01C443AC">
      <w:pPr>
        <w:pStyle w:val="22"/>
        <w:spacing w:line="360" w:lineRule="auto"/>
        <w:ind w:firstLine="420"/>
        <w:outlineLvl w:val="9"/>
        <w:rPr>
          <w:rFonts w:hint="eastAsia" w:ascii="宋体" w:hAnsi="宋体" w:eastAsia="宋体" w:cs="宋体"/>
          <w:color w:val="auto"/>
          <w:highlight w:val="none"/>
        </w:rPr>
      </w:pPr>
      <w:r>
        <w:rPr>
          <w:rFonts w:hint="eastAsia" w:ascii="宋体" w:hAnsi="宋体" w:eastAsia="宋体" w:cs="宋体"/>
          <w:color w:val="auto"/>
          <w:szCs w:val="21"/>
          <w:highlight w:val="none"/>
        </w:rPr>
        <w:t>按采购项目内容和报价表，磋商</w:t>
      </w:r>
      <w:r>
        <w:rPr>
          <w:rFonts w:hint="eastAsia" w:ascii="宋体" w:hAnsi="宋体" w:eastAsia="宋体" w:cs="宋体"/>
          <w:color w:val="auto"/>
          <w:highlight w:val="none"/>
        </w:rPr>
        <w:t>工程总造价人民币（大写</w:t>
      </w:r>
      <w:r>
        <w:rPr>
          <w:rFonts w:hint="eastAsia" w:ascii="宋体" w:hAnsi="宋体" w:eastAsia="宋体" w:cs="宋体"/>
          <w:color w:val="auto"/>
          <w:spacing w:val="-39"/>
          <w:highlight w:val="none"/>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)，工程完工期：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；质量等级:</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419BF59A">
      <w:pPr>
        <w:pStyle w:val="22"/>
        <w:spacing w:line="360" w:lineRule="auto"/>
        <w:ind w:firstLine="420"/>
        <w:outlineLvl w:val="9"/>
        <w:rPr>
          <w:rFonts w:hint="eastAsia" w:ascii="宋体" w:hAnsi="宋体" w:eastAsia="宋体" w:cs="宋体"/>
          <w:color w:val="auto"/>
          <w:highlight w:val="none"/>
        </w:rPr>
      </w:pPr>
      <w:r>
        <w:rPr>
          <w:rFonts w:hint="eastAsia" w:ascii="宋体" w:hAnsi="宋体" w:eastAsia="宋体" w:cs="宋体"/>
          <w:color w:val="auto"/>
          <w:highlight w:val="none"/>
        </w:rPr>
        <w:t>2.我方承诺已具备磋商文件规定的供应商资格条件。</w:t>
      </w:r>
    </w:p>
    <w:p w14:paraId="0B010A0C">
      <w:pPr>
        <w:pStyle w:val="22"/>
        <w:spacing w:line="360" w:lineRule="auto"/>
        <w:ind w:firstLine="420"/>
        <w:outlineLvl w:val="9"/>
        <w:rPr>
          <w:rFonts w:hint="eastAsia" w:ascii="宋体" w:hAnsi="宋体" w:eastAsia="宋体" w:cs="宋体"/>
          <w:color w:val="auto"/>
          <w:highlight w:val="none"/>
        </w:rPr>
      </w:pPr>
      <w:r>
        <w:rPr>
          <w:rFonts w:hint="eastAsia" w:ascii="宋体" w:hAnsi="宋体" w:eastAsia="宋体" w:cs="宋体"/>
          <w:color w:val="auto"/>
          <w:highlight w:val="none"/>
        </w:rPr>
        <w:t>3.我方已详细审核磋商文件，包括修改文件（如有的话）和有关附件，将自行承担因对全部磋商文件理解不正确或误解而产生的相应后果。</w:t>
      </w:r>
    </w:p>
    <w:p w14:paraId="0FDF74EB">
      <w:pPr>
        <w:pStyle w:val="22"/>
        <w:spacing w:line="360" w:lineRule="auto"/>
        <w:ind w:firstLine="420"/>
        <w:outlineLvl w:val="9"/>
        <w:rPr>
          <w:rFonts w:hint="eastAsia" w:ascii="宋体" w:hAnsi="宋体" w:eastAsia="宋体" w:cs="宋体"/>
          <w:color w:val="auto"/>
          <w:highlight w:val="none"/>
        </w:rPr>
      </w:pPr>
      <w:r>
        <w:rPr>
          <w:rFonts w:hint="eastAsia" w:ascii="宋体" w:hAnsi="宋体" w:eastAsia="宋体" w:cs="宋体"/>
          <w:color w:val="auto"/>
          <w:highlight w:val="none"/>
        </w:rPr>
        <w:t>4. 响应文件有效期为</w:t>
      </w:r>
      <w:r>
        <w:rPr>
          <w:rFonts w:hint="eastAsia" w:ascii="宋体" w:hAnsi="宋体" w:eastAsia="宋体" w:cs="宋体"/>
          <w:color w:val="auto"/>
          <w:szCs w:val="21"/>
          <w:highlight w:val="none"/>
        </w:rPr>
        <w:t>响应文件递交截止时间之日起90天。</w:t>
      </w:r>
    </w:p>
    <w:p w14:paraId="17126D0B">
      <w:pPr>
        <w:pStyle w:val="22"/>
        <w:spacing w:line="360" w:lineRule="auto"/>
        <w:ind w:firstLine="420"/>
        <w:outlineLvl w:val="9"/>
        <w:rPr>
          <w:rFonts w:hint="eastAsia" w:ascii="宋体" w:hAnsi="宋体" w:eastAsia="宋体" w:cs="宋体"/>
          <w:color w:val="auto"/>
          <w:highlight w:val="none"/>
        </w:rPr>
      </w:pPr>
      <w:r>
        <w:rPr>
          <w:rFonts w:hint="eastAsia" w:ascii="宋体" w:hAnsi="宋体" w:eastAsia="宋体" w:cs="宋体"/>
          <w:color w:val="auto"/>
          <w:highlight w:val="none"/>
        </w:rPr>
        <w:t>5. 如我方成交：</w:t>
      </w:r>
    </w:p>
    <w:p w14:paraId="0A4B26C7">
      <w:pPr>
        <w:pStyle w:val="22"/>
        <w:spacing w:line="360" w:lineRule="auto"/>
        <w:ind w:firstLine="420"/>
        <w:outlineLvl w:val="9"/>
        <w:rPr>
          <w:rFonts w:hint="eastAsia" w:ascii="宋体" w:hAnsi="宋体" w:eastAsia="宋体" w:cs="宋体"/>
          <w:color w:val="auto"/>
          <w:highlight w:val="none"/>
        </w:rPr>
      </w:pPr>
      <w:r>
        <w:rPr>
          <w:rFonts w:hint="eastAsia" w:ascii="宋体" w:hAnsi="宋体" w:eastAsia="宋体" w:cs="宋体"/>
          <w:color w:val="auto"/>
          <w:highlight w:val="none"/>
        </w:rPr>
        <w:t>（1）我方承诺在收到成交通知书后，在成交通知书规定的期限内与采购人签订合同。</w:t>
      </w:r>
    </w:p>
    <w:p w14:paraId="5F7AC4FF">
      <w:pPr>
        <w:pStyle w:val="22"/>
        <w:spacing w:line="360" w:lineRule="auto"/>
        <w:ind w:firstLine="42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（2）我方承诺按照磋商文件规定递交履约担保。</w:t>
      </w:r>
    </w:p>
    <w:p w14:paraId="006546F2">
      <w:pPr>
        <w:pStyle w:val="22"/>
        <w:spacing w:line="360" w:lineRule="auto"/>
        <w:ind w:firstLine="42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（3）我方承诺本响应文件至本项目合同履行完毕止均保持有效，按磋商文件及政府采购法律、法规的规定履行合同责任和义务。</w:t>
      </w:r>
    </w:p>
    <w:p w14:paraId="7F14B400">
      <w:pPr>
        <w:pStyle w:val="22"/>
        <w:spacing w:line="360" w:lineRule="auto"/>
        <w:ind w:firstLine="42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与本项目有关的正式通讯地址为：</w:t>
      </w:r>
    </w:p>
    <w:p w14:paraId="337FDA6A">
      <w:pPr>
        <w:pStyle w:val="22"/>
        <w:spacing w:line="360" w:lineRule="auto"/>
        <w:ind w:firstLine="420"/>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邮编：</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电话、传真：</w:t>
      </w:r>
      <w:r>
        <w:rPr>
          <w:rFonts w:hint="eastAsia" w:ascii="宋体" w:hAnsi="宋体" w:eastAsia="宋体" w:cs="宋体"/>
          <w:color w:val="auto"/>
          <w:szCs w:val="21"/>
          <w:highlight w:val="none"/>
          <w:u w:val="single"/>
        </w:rPr>
        <w:t xml:space="preserve">            </w:t>
      </w:r>
    </w:p>
    <w:p w14:paraId="68F59A7E">
      <w:pPr>
        <w:pStyle w:val="22"/>
        <w:spacing w:line="360" w:lineRule="auto"/>
        <w:ind w:firstLine="42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0E732019">
      <w:pPr>
        <w:pStyle w:val="22"/>
        <w:spacing w:line="360" w:lineRule="auto"/>
        <w:ind w:firstLine="42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r>
        <w:rPr>
          <w:rFonts w:hint="eastAsia" w:ascii="宋体" w:hAnsi="宋体" w:eastAsia="宋体" w:cs="宋体"/>
          <w:color w:val="auto"/>
          <w:szCs w:val="21"/>
          <w:highlight w:val="none"/>
          <w:u w:val="single"/>
        </w:rPr>
        <w:t xml:space="preserve">                               　       </w:t>
      </w:r>
    </w:p>
    <w:p w14:paraId="6D1F8D64">
      <w:pPr>
        <w:pStyle w:val="22"/>
        <w:spacing w:line="360" w:lineRule="auto"/>
        <w:ind w:firstLine="42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r>
        <w:rPr>
          <w:rFonts w:hint="eastAsia" w:ascii="宋体" w:hAnsi="宋体" w:eastAsia="宋体" w:cs="宋体"/>
          <w:color w:val="auto"/>
          <w:szCs w:val="21"/>
          <w:highlight w:val="none"/>
          <w:u w:val="single"/>
        </w:rPr>
        <w:t xml:space="preserve">                                   　　　   </w:t>
      </w:r>
    </w:p>
    <w:p w14:paraId="198385F7">
      <w:pPr>
        <w:pStyle w:val="22"/>
        <w:spacing w:line="360" w:lineRule="auto"/>
        <w:ind w:firstLine="420"/>
        <w:outlineLvl w:val="9"/>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rPr>
        <w:t>供应商[公章(CA签章)、自然人除外]：</w:t>
      </w:r>
      <w:r>
        <w:rPr>
          <w:rFonts w:hint="eastAsia" w:ascii="宋体" w:hAnsi="宋体" w:eastAsia="宋体" w:cs="宋体"/>
          <w:bCs/>
          <w:color w:val="auto"/>
          <w:szCs w:val="21"/>
          <w:highlight w:val="none"/>
          <w:u w:val="single"/>
        </w:rPr>
        <w:t xml:space="preserve">                              </w:t>
      </w:r>
    </w:p>
    <w:p w14:paraId="11FFBCBF">
      <w:pPr>
        <w:pStyle w:val="22"/>
        <w:spacing w:line="360" w:lineRule="auto"/>
        <w:ind w:firstLine="420"/>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法定代表人、负责人、自然人或相应的委托代理人签字[或盖章(CA签章)]（属自然人的应在签名处加盖大拇指指印或个人CA签章）：</w:t>
      </w:r>
      <w:r>
        <w:rPr>
          <w:rFonts w:hint="eastAsia" w:ascii="宋体" w:hAnsi="宋体" w:eastAsia="宋体" w:cs="宋体"/>
          <w:color w:val="auto"/>
          <w:szCs w:val="21"/>
          <w:highlight w:val="none"/>
          <w:u w:val="single"/>
        </w:rPr>
        <w:t xml:space="preserve">              </w:t>
      </w:r>
    </w:p>
    <w:p w14:paraId="1879856E">
      <w:pPr>
        <w:pStyle w:val="22"/>
        <w:spacing w:line="360" w:lineRule="auto"/>
        <w:ind w:firstLine="420"/>
        <w:outlineLvl w:val="9"/>
        <w:rPr>
          <w:rFonts w:hint="eastAsia" w:ascii="宋体" w:hAnsi="宋体" w:eastAsia="宋体" w:cs="宋体"/>
          <w:color w:val="auto"/>
          <w:szCs w:val="21"/>
          <w:highlight w:val="none"/>
          <w:u w:val="single"/>
        </w:rPr>
      </w:pPr>
      <w:r>
        <w:rPr>
          <w:rFonts w:hint="eastAsia" w:ascii="宋体" w:hAnsi="宋体" w:eastAsia="宋体" w:cs="宋体"/>
          <w:bCs/>
          <w:color w:val="auto"/>
          <w:szCs w:val="21"/>
          <w:highlight w:val="none"/>
        </w:rPr>
        <w:t>响应</w:t>
      </w: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p>
    <w:p w14:paraId="2F8172F8">
      <w:pPr>
        <w:pStyle w:val="11"/>
        <w:rPr>
          <w:rFonts w:hint="eastAsia"/>
        </w:rPr>
      </w:pPr>
    </w:p>
    <w:p w14:paraId="72496E49">
      <w:pPr>
        <w:spacing w:before="91" w:line="219" w:lineRule="auto"/>
        <w:ind w:left="37"/>
        <w:rPr>
          <w:rFonts w:ascii="宋体" w:hAnsi="宋体" w:eastAsia="宋体" w:cs="宋体"/>
          <w:b/>
          <w:bCs/>
          <w:spacing w:val="-8"/>
          <w:sz w:val="28"/>
          <w:szCs w:val="28"/>
        </w:rPr>
      </w:pPr>
    </w:p>
    <w:p w14:paraId="49247C5C">
      <w:pPr>
        <w:spacing w:before="91" w:line="219" w:lineRule="auto"/>
        <w:ind w:left="37"/>
        <w:rPr>
          <w:rFonts w:ascii="宋体" w:hAnsi="宋体" w:eastAsia="宋体" w:cs="宋体"/>
          <w:b/>
          <w:bCs/>
          <w:spacing w:val="-8"/>
          <w:sz w:val="28"/>
          <w:szCs w:val="28"/>
        </w:rPr>
      </w:pPr>
    </w:p>
    <w:p w14:paraId="1B3810D7">
      <w:pPr>
        <w:spacing w:before="91" w:line="219" w:lineRule="auto"/>
        <w:ind w:left="37"/>
        <w:rPr>
          <w:rFonts w:ascii="宋体" w:hAnsi="宋体" w:eastAsia="宋体" w:cs="宋体"/>
          <w:sz w:val="28"/>
          <w:szCs w:val="28"/>
        </w:rPr>
      </w:pPr>
      <w:r>
        <w:rPr>
          <w:rFonts w:ascii="宋体" w:hAnsi="宋体" w:eastAsia="宋体" w:cs="宋体"/>
          <w:b/>
          <w:bCs/>
          <w:spacing w:val="-8"/>
          <w:sz w:val="28"/>
          <w:szCs w:val="28"/>
        </w:rPr>
        <w:t>2.</w:t>
      </w:r>
      <w:r>
        <w:rPr>
          <w:rFonts w:ascii="宋体" w:hAnsi="宋体" w:eastAsia="宋体" w:cs="宋体"/>
          <w:spacing w:val="-8"/>
          <w:sz w:val="28"/>
          <w:szCs w:val="28"/>
        </w:rPr>
        <w:t xml:space="preserve"> </w:t>
      </w:r>
      <w:r>
        <w:rPr>
          <w:rFonts w:ascii="宋体" w:hAnsi="宋体" w:eastAsia="宋体" w:cs="宋体"/>
          <w:b/>
          <w:bCs/>
          <w:spacing w:val="-8"/>
          <w:sz w:val="28"/>
          <w:szCs w:val="28"/>
        </w:rPr>
        <w:t>磋商报价表（必须提供</w:t>
      </w:r>
      <w:r>
        <w:rPr>
          <w:rFonts w:ascii="宋体" w:hAnsi="宋体" w:eastAsia="宋体" w:cs="宋体"/>
          <w:b/>
          <w:bCs/>
          <w:spacing w:val="-6"/>
          <w:sz w:val="28"/>
          <w:szCs w:val="28"/>
        </w:rPr>
        <w:t>）；</w:t>
      </w:r>
    </w:p>
    <w:p w14:paraId="20993260">
      <w:pPr>
        <w:pStyle w:val="16"/>
        <w:spacing w:line="286" w:lineRule="auto"/>
      </w:pPr>
    </w:p>
    <w:p w14:paraId="4CCEA4CC">
      <w:pPr>
        <w:spacing w:before="78" w:line="218" w:lineRule="auto"/>
        <w:ind w:left="3482"/>
        <w:rPr>
          <w:rFonts w:ascii="宋体" w:hAnsi="宋体" w:eastAsia="宋体" w:cs="宋体"/>
          <w:sz w:val="24"/>
          <w:szCs w:val="24"/>
        </w:rPr>
      </w:pPr>
      <w:r>
        <w:rPr>
          <w:rFonts w:hint="eastAsia" w:ascii="宋体" w:hAnsi="宋体" w:eastAsia="宋体" w:cs="宋体"/>
          <w:b/>
          <w:bCs/>
          <w:spacing w:val="-8"/>
          <w:sz w:val="24"/>
          <w:szCs w:val="24"/>
          <w:lang w:val="en-US" w:eastAsia="zh-CN"/>
        </w:rPr>
        <w:t>2.</w:t>
      </w:r>
      <w:r>
        <w:rPr>
          <w:rFonts w:ascii="宋体" w:hAnsi="宋体" w:eastAsia="宋体" w:cs="宋体"/>
          <w:b/>
          <w:bCs/>
          <w:spacing w:val="-8"/>
          <w:sz w:val="24"/>
          <w:szCs w:val="24"/>
        </w:rPr>
        <w:t>磋商报价表（格式）</w:t>
      </w:r>
    </w:p>
    <w:p w14:paraId="10BF7865">
      <w:pPr>
        <w:pStyle w:val="16"/>
        <w:spacing w:line="402" w:lineRule="auto"/>
      </w:pPr>
    </w:p>
    <w:p w14:paraId="64006B82">
      <w:pPr>
        <w:spacing w:before="62" w:line="225" w:lineRule="auto"/>
        <w:ind w:left="30"/>
        <w:rPr>
          <w:rFonts w:ascii="宋体" w:hAnsi="宋体" w:eastAsia="宋体" w:cs="宋体"/>
          <w:sz w:val="21"/>
          <w:szCs w:val="21"/>
        </w:rPr>
      </w:pPr>
      <w:r>
        <w:rPr>
          <w:rFonts w:ascii="宋体" w:hAnsi="宋体" w:eastAsia="宋体" w:cs="宋体"/>
          <w:spacing w:val="8"/>
          <w:sz w:val="21"/>
          <w:szCs w:val="21"/>
        </w:rPr>
        <w:t>工程名称（项目名称）</w:t>
      </w:r>
      <w:r>
        <w:rPr>
          <w:rFonts w:ascii="宋体" w:hAnsi="宋体" w:eastAsia="宋体" w:cs="宋体"/>
          <w:spacing w:val="-27"/>
          <w:sz w:val="21"/>
          <w:szCs w:val="21"/>
        </w:rPr>
        <w:t xml:space="preserve"> </w:t>
      </w:r>
      <w:r>
        <w:rPr>
          <w:rFonts w:ascii="宋体" w:hAnsi="宋体" w:eastAsia="宋体" w:cs="宋体"/>
          <w:spacing w:val="8"/>
          <w:sz w:val="21"/>
          <w:szCs w:val="21"/>
        </w:rPr>
        <w:t>:</w:t>
      </w:r>
      <w:r>
        <w:rPr>
          <w:rFonts w:ascii="宋体" w:hAnsi="宋体" w:eastAsia="宋体" w:cs="宋体"/>
          <w:spacing w:val="-91"/>
          <w:sz w:val="21"/>
          <w:szCs w:val="21"/>
        </w:rPr>
        <w:t xml:space="preserve"> </w:t>
      </w:r>
      <w:r>
        <w:rPr>
          <w:rFonts w:ascii="宋体" w:hAnsi="宋体" w:eastAsia="宋体" w:cs="宋体"/>
          <w:spacing w:val="8"/>
          <w:sz w:val="21"/>
          <w:szCs w:val="21"/>
          <w:u w:val="single" w:color="auto"/>
        </w:rPr>
        <w:t xml:space="preserve">                            </w:t>
      </w:r>
      <w:r>
        <w:rPr>
          <w:rFonts w:ascii="宋体" w:hAnsi="宋体" w:eastAsia="宋体" w:cs="宋体"/>
          <w:spacing w:val="7"/>
          <w:sz w:val="21"/>
          <w:szCs w:val="21"/>
          <w:u w:val="single" w:color="auto"/>
        </w:rPr>
        <w:t xml:space="preserve">           </w:t>
      </w:r>
      <w:r>
        <w:rPr>
          <w:rFonts w:ascii="宋体" w:hAnsi="宋体" w:eastAsia="宋体" w:cs="宋体"/>
          <w:spacing w:val="7"/>
          <w:sz w:val="21"/>
          <w:szCs w:val="21"/>
        </w:rPr>
        <w:t xml:space="preserve">           币种：人民币</w:t>
      </w:r>
    </w:p>
    <w:tbl>
      <w:tblPr>
        <w:tblStyle w:val="267"/>
        <w:tblW w:w="919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4"/>
        <w:gridCol w:w="4927"/>
        <w:gridCol w:w="3531"/>
      </w:tblGrid>
      <w:tr w14:paraId="222A6D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trPr>
        <w:tc>
          <w:tcPr>
            <w:tcW w:w="734" w:type="dxa"/>
            <w:tcBorders>
              <w:left w:val="single" w:color="000000" w:sz="4" w:space="0"/>
            </w:tcBorders>
            <w:vAlign w:val="top"/>
          </w:tcPr>
          <w:p w14:paraId="2DDBD8FD">
            <w:pPr>
              <w:autoSpaceDE w:val="0"/>
              <w:autoSpaceDN w:val="0"/>
              <w:spacing w:line="278" w:lineRule="auto"/>
              <w:rPr>
                <w:rFonts w:ascii="Arial"/>
                <w:sz w:val="21"/>
                <w:szCs w:val="21"/>
              </w:rPr>
            </w:pPr>
          </w:p>
          <w:p w14:paraId="7F812091">
            <w:pPr>
              <w:pStyle w:val="270"/>
              <w:autoSpaceDE w:val="0"/>
              <w:autoSpaceDN w:val="0"/>
              <w:spacing w:before="62" w:line="148" w:lineRule="exact"/>
              <w:ind w:left="276"/>
              <w:rPr>
                <w:sz w:val="21"/>
                <w:szCs w:val="21"/>
              </w:rPr>
            </w:pPr>
            <w:r>
              <w:rPr>
                <w:position w:val="-4"/>
                <w:sz w:val="21"/>
                <w:szCs w:val="21"/>
              </w:rPr>
              <w:t>一</w:t>
            </w:r>
          </w:p>
        </w:tc>
        <w:tc>
          <w:tcPr>
            <w:tcW w:w="4927" w:type="dxa"/>
            <w:tcBorders>
              <w:top w:val="single" w:color="000000" w:sz="4" w:space="0"/>
            </w:tcBorders>
            <w:vAlign w:val="top"/>
          </w:tcPr>
          <w:p w14:paraId="7633BB7F">
            <w:pPr>
              <w:pStyle w:val="270"/>
              <w:autoSpaceDE w:val="0"/>
              <w:autoSpaceDN w:val="0"/>
              <w:spacing w:before="214" w:line="227" w:lineRule="auto"/>
              <w:ind w:left="118"/>
              <w:rPr>
                <w:sz w:val="21"/>
                <w:szCs w:val="21"/>
              </w:rPr>
            </w:pPr>
            <w:r>
              <w:rPr>
                <w:spacing w:val="19"/>
                <w:sz w:val="21"/>
                <w:szCs w:val="21"/>
              </w:rPr>
              <w:t>总造价（磋商总报价）</w:t>
            </w:r>
          </w:p>
        </w:tc>
        <w:tc>
          <w:tcPr>
            <w:tcW w:w="3531" w:type="dxa"/>
            <w:tcBorders>
              <w:top w:val="single" w:color="000000" w:sz="4" w:space="0"/>
              <w:right w:val="single" w:color="000000" w:sz="4" w:space="0"/>
            </w:tcBorders>
            <w:vAlign w:val="top"/>
          </w:tcPr>
          <w:p w14:paraId="6CECEDBB">
            <w:pPr>
              <w:pStyle w:val="270"/>
              <w:autoSpaceDE w:val="0"/>
              <w:autoSpaceDN w:val="0"/>
              <w:spacing w:before="216" w:line="229" w:lineRule="auto"/>
              <w:ind w:left="1092"/>
              <w:rPr>
                <w:sz w:val="21"/>
                <w:szCs w:val="21"/>
              </w:rPr>
            </w:pPr>
            <w:r>
              <w:rPr>
                <w:spacing w:val="-1"/>
                <w:sz w:val="21"/>
                <w:szCs w:val="21"/>
              </w:rPr>
              <w:t>（元）</w:t>
            </w:r>
          </w:p>
        </w:tc>
      </w:tr>
      <w:tr w14:paraId="354DA5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5661" w:type="dxa"/>
            <w:gridSpan w:val="2"/>
            <w:tcBorders>
              <w:left w:val="single" w:color="000000" w:sz="4" w:space="0"/>
            </w:tcBorders>
            <w:vAlign w:val="top"/>
          </w:tcPr>
          <w:p w14:paraId="35511813">
            <w:pPr>
              <w:pStyle w:val="270"/>
              <w:autoSpaceDE w:val="0"/>
              <w:autoSpaceDN w:val="0"/>
              <w:spacing w:before="249" w:line="228" w:lineRule="auto"/>
              <w:ind w:left="121"/>
              <w:rPr>
                <w:sz w:val="21"/>
                <w:szCs w:val="21"/>
              </w:rPr>
            </w:pPr>
            <w:r>
              <w:rPr>
                <w:spacing w:val="18"/>
                <w:sz w:val="21"/>
                <w:szCs w:val="21"/>
              </w:rPr>
              <w:t>承诺工期</w:t>
            </w:r>
          </w:p>
        </w:tc>
        <w:tc>
          <w:tcPr>
            <w:tcW w:w="3531" w:type="dxa"/>
            <w:tcBorders>
              <w:right w:val="single" w:color="000000" w:sz="4" w:space="0"/>
            </w:tcBorders>
            <w:vAlign w:val="top"/>
          </w:tcPr>
          <w:p w14:paraId="5165F36B">
            <w:pPr>
              <w:pStyle w:val="270"/>
              <w:autoSpaceDE w:val="0"/>
              <w:autoSpaceDN w:val="0"/>
              <w:spacing w:before="249" w:line="229" w:lineRule="auto"/>
              <w:ind w:left="1177"/>
              <w:rPr>
                <w:sz w:val="21"/>
                <w:szCs w:val="21"/>
              </w:rPr>
            </w:pPr>
            <w:r>
              <w:rPr>
                <w:spacing w:val="-9"/>
                <w:sz w:val="21"/>
                <w:szCs w:val="21"/>
              </w:rPr>
              <w:t>天（ 日历日）</w:t>
            </w:r>
          </w:p>
        </w:tc>
      </w:tr>
      <w:tr w14:paraId="67B850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5661" w:type="dxa"/>
            <w:gridSpan w:val="2"/>
            <w:tcBorders>
              <w:left w:val="single" w:color="000000" w:sz="4" w:space="0"/>
            </w:tcBorders>
            <w:vAlign w:val="top"/>
          </w:tcPr>
          <w:p w14:paraId="1A3A66AE">
            <w:pPr>
              <w:pStyle w:val="270"/>
              <w:autoSpaceDE w:val="0"/>
              <w:autoSpaceDN w:val="0"/>
              <w:spacing w:before="232" w:line="228" w:lineRule="auto"/>
              <w:ind w:left="121"/>
              <w:rPr>
                <w:sz w:val="21"/>
                <w:szCs w:val="21"/>
              </w:rPr>
            </w:pPr>
            <w:r>
              <w:rPr>
                <w:spacing w:val="21"/>
                <w:sz w:val="21"/>
                <w:szCs w:val="21"/>
              </w:rPr>
              <w:t>承诺质量标准</w:t>
            </w:r>
          </w:p>
        </w:tc>
        <w:tc>
          <w:tcPr>
            <w:tcW w:w="3531" w:type="dxa"/>
            <w:tcBorders>
              <w:right w:val="single" w:color="000000" w:sz="4" w:space="0"/>
            </w:tcBorders>
            <w:vAlign w:val="top"/>
          </w:tcPr>
          <w:p w14:paraId="163739F9">
            <w:pPr>
              <w:autoSpaceDE w:val="0"/>
              <w:autoSpaceDN w:val="0"/>
              <w:rPr>
                <w:rFonts w:ascii="Arial"/>
                <w:sz w:val="21"/>
                <w:szCs w:val="21"/>
              </w:rPr>
            </w:pPr>
          </w:p>
        </w:tc>
      </w:tr>
      <w:tr w14:paraId="432E57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5" w:hRule="atLeast"/>
        </w:trPr>
        <w:tc>
          <w:tcPr>
            <w:tcW w:w="9192" w:type="dxa"/>
            <w:gridSpan w:val="3"/>
            <w:tcBorders>
              <w:right w:val="single" w:color="000000" w:sz="4" w:space="0"/>
            </w:tcBorders>
            <w:vAlign w:val="top"/>
          </w:tcPr>
          <w:p w14:paraId="0849CC31">
            <w:pPr>
              <w:autoSpaceDE w:val="0"/>
              <w:autoSpaceDN w:val="0"/>
              <w:spacing w:line="440" w:lineRule="auto"/>
              <w:rPr>
                <w:rFonts w:ascii="Arial"/>
                <w:sz w:val="21"/>
                <w:szCs w:val="21"/>
              </w:rPr>
            </w:pPr>
          </w:p>
          <w:p w14:paraId="55D927DB">
            <w:pPr>
              <w:pStyle w:val="270"/>
              <w:autoSpaceDE w:val="0"/>
              <w:autoSpaceDN w:val="0"/>
              <w:spacing w:before="61" w:line="230" w:lineRule="auto"/>
              <w:ind w:left="129"/>
              <w:rPr>
                <w:sz w:val="21"/>
                <w:szCs w:val="21"/>
              </w:rPr>
            </w:pPr>
            <w:r>
              <w:rPr>
                <w:spacing w:val="7"/>
                <w:sz w:val="21"/>
                <w:szCs w:val="21"/>
              </w:rPr>
              <w:t>备注</w:t>
            </w:r>
          </w:p>
        </w:tc>
      </w:tr>
    </w:tbl>
    <w:p w14:paraId="67E24C8F">
      <w:pPr>
        <w:pStyle w:val="16"/>
        <w:spacing w:line="435" w:lineRule="auto"/>
        <w:rPr>
          <w:sz w:val="21"/>
          <w:szCs w:val="21"/>
        </w:rPr>
      </w:pPr>
    </w:p>
    <w:p w14:paraId="229A4F79">
      <w:pPr>
        <w:spacing w:before="62" w:line="227" w:lineRule="auto"/>
        <w:ind w:left="22"/>
        <w:rPr>
          <w:rFonts w:ascii="宋体" w:hAnsi="宋体" w:eastAsia="宋体" w:cs="宋体"/>
          <w:sz w:val="21"/>
          <w:szCs w:val="21"/>
        </w:rPr>
      </w:pPr>
      <w:r>
        <w:rPr>
          <w:rFonts w:ascii="宋体" w:hAnsi="宋体" w:eastAsia="宋体" w:cs="宋体"/>
          <w:spacing w:val="16"/>
          <w:sz w:val="21"/>
          <w:szCs w:val="21"/>
        </w:rPr>
        <w:t>磋商供应商（</w:t>
      </w:r>
      <w:r>
        <w:rPr>
          <w:rFonts w:ascii="宋体" w:hAnsi="宋体" w:eastAsia="宋体" w:cs="宋体"/>
          <w:sz w:val="21"/>
          <w:szCs w:val="21"/>
        </w:rPr>
        <w:t>CA</w:t>
      </w:r>
      <w:r>
        <w:rPr>
          <w:rFonts w:ascii="宋体" w:hAnsi="宋体" w:eastAsia="宋体" w:cs="宋体"/>
          <w:spacing w:val="16"/>
          <w:sz w:val="21"/>
          <w:szCs w:val="21"/>
        </w:rPr>
        <w:t>签章</w:t>
      </w:r>
      <w:r>
        <w:rPr>
          <w:rFonts w:ascii="宋体" w:hAnsi="宋体" w:eastAsia="宋体" w:cs="宋体"/>
          <w:spacing w:val="-56"/>
          <w:sz w:val="21"/>
          <w:szCs w:val="21"/>
        </w:rPr>
        <w:t xml:space="preserve"> </w:t>
      </w:r>
      <w:r>
        <w:rPr>
          <w:rFonts w:ascii="宋体" w:hAnsi="宋体" w:eastAsia="宋体" w:cs="宋体"/>
          <w:spacing w:val="16"/>
          <w:sz w:val="21"/>
          <w:szCs w:val="21"/>
        </w:rPr>
        <w:t>，</w:t>
      </w:r>
      <w:r>
        <w:rPr>
          <w:rFonts w:ascii="宋体" w:hAnsi="宋体" w:eastAsia="宋体" w:cs="宋体"/>
          <w:spacing w:val="-36"/>
          <w:sz w:val="21"/>
          <w:szCs w:val="21"/>
        </w:rPr>
        <w:t xml:space="preserve"> </w:t>
      </w:r>
      <w:r>
        <w:rPr>
          <w:rFonts w:ascii="宋体" w:hAnsi="宋体" w:eastAsia="宋体" w:cs="宋体"/>
          <w:spacing w:val="16"/>
          <w:sz w:val="21"/>
          <w:szCs w:val="21"/>
        </w:rPr>
        <w:t>自然人除外</w:t>
      </w:r>
      <w:r>
        <w:rPr>
          <w:rFonts w:ascii="宋体" w:hAnsi="宋体" w:eastAsia="宋体" w:cs="宋体"/>
          <w:spacing w:val="11"/>
          <w:sz w:val="21"/>
          <w:szCs w:val="21"/>
        </w:rPr>
        <w:t>）：</w:t>
      </w:r>
    </w:p>
    <w:p w14:paraId="2F6DA4F0">
      <w:pPr>
        <w:spacing w:before="113" w:line="334" w:lineRule="auto"/>
        <w:ind w:left="26" w:right="133"/>
        <w:rPr>
          <w:rFonts w:ascii="宋体" w:hAnsi="宋体" w:eastAsia="宋体" w:cs="宋体"/>
          <w:sz w:val="21"/>
          <w:szCs w:val="21"/>
        </w:rPr>
      </w:pPr>
      <w:r>
        <w:rPr>
          <w:rFonts w:ascii="宋体" w:hAnsi="宋体" w:eastAsia="宋体" w:cs="宋体"/>
          <w:spacing w:val="21"/>
          <w:sz w:val="21"/>
          <w:szCs w:val="21"/>
        </w:rPr>
        <w:t>法定代表人</w:t>
      </w:r>
      <w:r>
        <w:rPr>
          <w:rFonts w:ascii="宋体" w:hAnsi="宋体" w:eastAsia="宋体" w:cs="宋体"/>
          <w:spacing w:val="-40"/>
          <w:sz w:val="21"/>
          <w:szCs w:val="21"/>
        </w:rPr>
        <w:t xml:space="preserve"> </w:t>
      </w:r>
      <w:r>
        <w:rPr>
          <w:rFonts w:ascii="宋体" w:hAnsi="宋体" w:eastAsia="宋体" w:cs="宋体"/>
          <w:spacing w:val="21"/>
          <w:sz w:val="21"/>
          <w:szCs w:val="21"/>
        </w:rPr>
        <w:t>、负责人</w:t>
      </w:r>
      <w:r>
        <w:rPr>
          <w:rFonts w:ascii="宋体" w:hAnsi="宋体" w:eastAsia="宋体" w:cs="宋体"/>
          <w:spacing w:val="-56"/>
          <w:sz w:val="21"/>
          <w:szCs w:val="21"/>
        </w:rPr>
        <w:t xml:space="preserve"> </w:t>
      </w:r>
      <w:r>
        <w:rPr>
          <w:rFonts w:ascii="宋体" w:hAnsi="宋体" w:eastAsia="宋体" w:cs="宋体"/>
          <w:spacing w:val="21"/>
          <w:sz w:val="21"/>
          <w:szCs w:val="21"/>
        </w:rPr>
        <w:t>、</w:t>
      </w:r>
      <w:r>
        <w:rPr>
          <w:rFonts w:ascii="宋体" w:hAnsi="宋体" w:eastAsia="宋体" w:cs="宋体"/>
          <w:spacing w:val="-49"/>
          <w:sz w:val="21"/>
          <w:szCs w:val="21"/>
        </w:rPr>
        <w:t xml:space="preserve"> </w:t>
      </w:r>
      <w:r>
        <w:rPr>
          <w:rFonts w:ascii="宋体" w:hAnsi="宋体" w:eastAsia="宋体" w:cs="宋体"/>
          <w:spacing w:val="21"/>
          <w:sz w:val="21"/>
          <w:szCs w:val="21"/>
        </w:rPr>
        <w:t>自然人或相应的委托代理人签字或个人</w:t>
      </w:r>
      <w:r>
        <w:rPr>
          <w:rFonts w:ascii="宋体" w:hAnsi="宋体" w:eastAsia="宋体" w:cs="宋体"/>
          <w:spacing w:val="-36"/>
          <w:sz w:val="21"/>
          <w:szCs w:val="21"/>
        </w:rPr>
        <w:t xml:space="preserve"> </w:t>
      </w:r>
      <w:r>
        <w:rPr>
          <w:rFonts w:ascii="宋体" w:hAnsi="宋体" w:eastAsia="宋体" w:cs="宋体"/>
          <w:sz w:val="21"/>
          <w:szCs w:val="21"/>
        </w:rPr>
        <w:t>CA</w:t>
      </w:r>
      <w:r>
        <w:rPr>
          <w:rFonts w:ascii="宋体" w:hAnsi="宋体" w:eastAsia="宋体" w:cs="宋体"/>
          <w:spacing w:val="21"/>
          <w:sz w:val="21"/>
          <w:szCs w:val="21"/>
        </w:rPr>
        <w:t>签章（属自然人的应在签名处加</w:t>
      </w:r>
      <w:r>
        <w:rPr>
          <w:rFonts w:ascii="宋体" w:hAnsi="宋体" w:eastAsia="宋体" w:cs="宋体"/>
          <w:spacing w:val="24"/>
          <w:sz w:val="21"/>
          <w:szCs w:val="21"/>
        </w:rPr>
        <w:t>盖食指指印或个人</w:t>
      </w:r>
      <w:r>
        <w:rPr>
          <w:rFonts w:ascii="宋体" w:hAnsi="宋体" w:eastAsia="宋体" w:cs="宋体"/>
          <w:spacing w:val="-48"/>
          <w:sz w:val="21"/>
          <w:szCs w:val="21"/>
        </w:rPr>
        <w:t xml:space="preserve"> </w:t>
      </w:r>
      <w:r>
        <w:rPr>
          <w:rFonts w:ascii="宋体" w:hAnsi="宋体" w:eastAsia="宋体" w:cs="宋体"/>
          <w:sz w:val="21"/>
          <w:szCs w:val="21"/>
        </w:rPr>
        <w:t>CA</w:t>
      </w:r>
      <w:r>
        <w:rPr>
          <w:rFonts w:ascii="宋体" w:hAnsi="宋体" w:eastAsia="宋体" w:cs="宋体"/>
          <w:spacing w:val="24"/>
          <w:sz w:val="21"/>
          <w:szCs w:val="21"/>
        </w:rPr>
        <w:t>签章</w:t>
      </w:r>
      <w:r>
        <w:rPr>
          <w:rFonts w:ascii="宋体" w:hAnsi="宋体" w:eastAsia="宋体" w:cs="宋体"/>
          <w:spacing w:val="14"/>
          <w:sz w:val="21"/>
          <w:szCs w:val="21"/>
        </w:rPr>
        <w:t>）：</w:t>
      </w:r>
    </w:p>
    <w:p w14:paraId="078D6AF0">
      <w:pPr>
        <w:spacing w:line="334" w:lineRule="auto"/>
        <w:rPr>
          <w:rFonts w:ascii="宋体" w:hAnsi="宋体" w:eastAsia="宋体" w:cs="宋体"/>
          <w:sz w:val="21"/>
          <w:szCs w:val="21"/>
        </w:rPr>
        <w:sectPr>
          <w:footerReference r:id="rId9" w:type="default"/>
          <w:pgSz w:w="11910" w:h="16850"/>
          <w:pgMar w:top="1432" w:right="1302" w:bottom="1235" w:left="1404" w:header="0" w:footer="1073" w:gutter="0"/>
          <w:pgNumType w:fmt="decimal"/>
          <w:cols w:space="720" w:num="1"/>
        </w:sectPr>
      </w:pPr>
    </w:p>
    <w:p w14:paraId="5B1DFA03">
      <w:pPr>
        <w:pStyle w:val="22"/>
        <w:spacing w:line="360" w:lineRule="auto"/>
        <w:outlineLvl w:val="9"/>
        <w:rPr>
          <w:rFonts w:hint="eastAsia" w:ascii="宋体" w:hAnsi="宋体" w:eastAsia="宋体" w:cs="宋体"/>
          <w:b/>
          <w:color w:val="auto"/>
          <w:sz w:val="28"/>
          <w:szCs w:val="28"/>
          <w:highlight w:val="none"/>
        </w:rPr>
      </w:pPr>
      <w:r>
        <w:rPr>
          <w:rFonts w:hint="eastAsia" w:hAnsi="宋体" w:cs="宋体"/>
          <w:b/>
          <w:color w:val="auto"/>
          <w:sz w:val="28"/>
          <w:szCs w:val="28"/>
          <w:highlight w:val="none"/>
          <w:lang w:val="en-US" w:eastAsia="zh-CN"/>
        </w:rPr>
        <w:t>3</w:t>
      </w:r>
      <w:r>
        <w:rPr>
          <w:rFonts w:hint="eastAsia" w:ascii="宋体" w:hAnsi="宋体" w:eastAsia="宋体" w:cs="宋体"/>
          <w:b/>
          <w:color w:val="auto"/>
          <w:sz w:val="28"/>
          <w:szCs w:val="28"/>
          <w:highlight w:val="none"/>
        </w:rPr>
        <w:t>.已标价工程量清单（必须提供）</w:t>
      </w:r>
    </w:p>
    <w:p w14:paraId="456CB210">
      <w:pPr>
        <w:snapToGrid w:val="0"/>
        <w:spacing w:line="360" w:lineRule="auto"/>
        <w:ind w:firstLine="420"/>
        <w:jc w:val="right"/>
        <w:outlineLvl w:val="9"/>
        <w:rPr>
          <w:rFonts w:hint="eastAsia" w:ascii="宋体" w:hAnsi="宋体" w:eastAsia="宋体" w:cs="宋体"/>
          <w:color w:val="auto"/>
          <w:highlight w:val="none"/>
        </w:rPr>
      </w:pPr>
    </w:p>
    <w:p w14:paraId="062F1C17">
      <w:pPr>
        <w:spacing w:line="360" w:lineRule="auto"/>
        <w:jc w:val="center"/>
        <w:outlineLvl w:val="9"/>
        <w:rPr>
          <w:rFonts w:hint="eastAsia" w:ascii="宋体" w:hAnsi="宋体" w:eastAsia="宋体" w:cs="宋体"/>
          <w:color w:val="auto"/>
          <w:sz w:val="24"/>
          <w:szCs w:val="24"/>
          <w:highlight w:val="none"/>
        </w:rPr>
      </w:pPr>
      <w:bookmarkStart w:id="460" w:name="_Toc446943082"/>
      <w:bookmarkStart w:id="461" w:name="_Toc394929435"/>
      <w:bookmarkStart w:id="462" w:name="_Toc234659851"/>
      <w:bookmarkStart w:id="463" w:name="_Toc271557289"/>
      <w:r>
        <w:rPr>
          <w:rFonts w:hint="eastAsia" w:ascii="宋体" w:hAnsi="宋体" w:eastAsia="宋体" w:cs="宋体"/>
          <w:color w:val="auto"/>
          <w:sz w:val="24"/>
          <w:szCs w:val="24"/>
          <w:highlight w:val="none"/>
        </w:rPr>
        <w:t>已标价工程量清单</w:t>
      </w:r>
      <w:bookmarkEnd w:id="460"/>
      <w:bookmarkEnd w:id="461"/>
      <w:bookmarkEnd w:id="462"/>
      <w:bookmarkEnd w:id="463"/>
    </w:p>
    <w:p w14:paraId="334782F7">
      <w:pPr>
        <w:spacing w:line="360" w:lineRule="auto"/>
        <w:ind w:firstLine="420"/>
        <w:jc w:val="center"/>
        <w:outlineLvl w:val="9"/>
        <w:rPr>
          <w:rFonts w:hint="eastAsia" w:ascii="宋体" w:hAnsi="宋体" w:eastAsia="宋体" w:cs="宋体"/>
          <w:color w:val="auto"/>
          <w:highlight w:val="none"/>
        </w:rPr>
      </w:pPr>
    </w:p>
    <w:p w14:paraId="4D26FF23">
      <w:pPr>
        <w:spacing w:line="360" w:lineRule="auto"/>
        <w:ind w:firstLine="42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供应商应按照第三章“工程量清单”的要求逐项填报工程量清单，包括工程量清单说明、磋商报价说明及工程量清单各项表格</w:t>
      </w:r>
      <w:r>
        <w:rPr>
          <w:rFonts w:hint="eastAsia" w:ascii="宋体" w:hAnsi="宋体" w:eastAsia="宋体" w:cs="宋体"/>
          <w:b/>
          <w:bCs/>
          <w:color w:val="auto"/>
          <w:szCs w:val="21"/>
          <w:highlight w:val="none"/>
        </w:rPr>
        <w:t>（采购人</w:t>
      </w:r>
      <w:r>
        <w:rPr>
          <w:rFonts w:hint="eastAsia" w:ascii="宋体" w:hAnsi="宋体" w:eastAsia="宋体" w:cs="宋体"/>
          <w:b/>
          <w:bCs/>
          <w:color w:val="auto"/>
          <w:highlight w:val="none"/>
        </w:rPr>
        <w:t>提供的工程量清单</w:t>
      </w:r>
      <w:r>
        <w:rPr>
          <w:rFonts w:hint="eastAsia" w:ascii="宋体" w:hAnsi="宋体" w:eastAsia="宋体" w:cs="宋体"/>
          <w:b/>
          <w:bCs/>
          <w:color w:val="auto"/>
          <w:szCs w:val="21"/>
          <w:highlight w:val="none"/>
        </w:rPr>
        <w:t>）。</w:t>
      </w:r>
    </w:p>
    <w:p w14:paraId="0DA577C5">
      <w:pPr>
        <w:spacing w:line="360" w:lineRule="auto"/>
        <w:outlineLvl w:val="9"/>
        <w:rPr>
          <w:rFonts w:hint="eastAsia" w:ascii="宋体" w:hAnsi="宋体" w:eastAsia="宋体" w:cs="宋体"/>
          <w:color w:val="auto"/>
          <w:szCs w:val="21"/>
          <w:highlight w:val="none"/>
        </w:rPr>
      </w:pPr>
    </w:p>
    <w:p w14:paraId="36DCD0A0">
      <w:pPr>
        <w:spacing w:line="360" w:lineRule="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注：</w:t>
      </w:r>
      <w:r>
        <w:rPr>
          <w:rFonts w:hint="eastAsia" w:ascii="宋体" w:hAnsi="宋体" w:eastAsia="宋体" w:cs="宋体"/>
          <w:b/>
          <w:color w:val="auto"/>
          <w:sz w:val="24"/>
          <w:highlight w:val="none"/>
        </w:rPr>
        <w:t>当本清单由多页构成时，需逐页加盖磋商供应商公章（CA签章）（属自然人的须逐页签字或个人CA签章）。</w:t>
      </w:r>
    </w:p>
    <w:p w14:paraId="6180A9CD">
      <w:pPr>
        <w:pStyle w:val="16"/>
        <w:spacing w:line="360" w:lineRule="auto"/>
        <w:outlineLvl w:val="9"/>
        <w:rPr>
          <w:rFonts w:hint="eastAsia" w:ascii="宋体" w:hAnsi="宋体" w:eastAsia="宋体" w:cs="宋体"/>
          <w:color w:val="auto"/>
          <w:highlight w:val="none"/>
        </w:rPr>
      </w:pPr>
    </w:p>
    <w:p w14:paraId="726D4680">
      <w:pPr>
        <w:pStyle w:val="16"/>
        <w:spacing w:line="360" w:lineRule="auto"/>
        <w:outlineLvl w:val="9"/>
        <w:rPr>
          <w:rFonts w:hint="eastAsia" w:ascii="宋体" w:hAnsi="宋体" w:eastAsia="宋体" w:cs="宋体"/>
          <w:color w:val="auto"/>
          <w:highlight w:val="none"/>
        </w:rPr>
      </w:pPr>
    </w:p>
    <w:p w14:paraId="7562A117">
      <w:pPr>
        <w:pStyle w:val="16"/>
        <w:spacing w:line="360" w:lineRule="auto"/>
        <w:outlineLvl w:val="9"/>
        <w:rPr>
          <w:rFonts w:hint="eastAsia" w:ascii="宋体" w:hAnsi="宋体" w:eastAsia="宋体" w:cs="宋体"/>
          <w:color w:val="auto"/>
          <w:highlight w:val="none"/>
        </w:rPr>
      </w:pPr>
    </w:p>
    <w:p w14:paraId="7EC3AA19">
      <w:pPr>
        <w:pStyle w:val="16"/>
        <w:spacing w:line="360" w:lineRule="auto"/>
        <w:outlineLvl w:val="9"/>
        <w:rPr>
          <w:rFonts w:hint="eastAsia" w:ascii="宋体" w:hAnsi="宋体" w:eastAsia="宋体" w:cs="宋体"/>
          <w:color w:val="auto"/>
          <w:highlight w:val="none"/>
        </w:rPr>
      </w:pPr>
    </w:p>
    <w:p w14:paraId="0F332A2B">
      <w:pPr>
        <w:pStyle w:val="16"/>
        <w:spacing w:line="360" w:lineRule="auto"/>
        <w:outlineLvl w:val="9"/>
        <w:rPr>
          <w:rFonts w:hint="eastAsia" w:ascii="宋体" w:hAnsi="宋体" w:eastAsia="宋体" w:cs="宋体"/>
          <w:color w:val="auto"/>
          <w:highlight w:val="none"/>
        </w:rPr>
      </w:pPr>
    </w:p>
    <w:p w14:paraId="55409A05">
      <w:pPr>
        <w:pStyle w:val="16"/>
        <w:spacing w:line="360" w:lineRule="auto"/>
        <w:outlineLvl w:val="9"/>
        <w:rPr>
          <w:rFonts w:hint="eastAsia" w:ascii="宋体" w:hAnsi="宋体" w:eastAsia="宋体" w:cs="宋体"/>
          <w:color w:val="auto"/>
          <w:highlight w:val="none"/>
        </w:rPr>
      </w:pPr>
    </w:p>
    <w:p w14:paraId="54E59528">
      <w:pPr>
        <w:pStyle w:val="16"/>
        <w:spacing w:line="360" w:lineRule="auto"/>
        <w:outlineLvl w:val="9"/>
        <w:rPr>
          <w:rFonts w:hint="eastAsia" w:ascii="宋体" w:hAnsi="宋体" w:eastAsia="宋体" w:cs="宋体"/>
          <w:color w:val="auto"/>
          <w:highlight w:val="none"/>
        </w:rPr>
      </w:pPr>
    </w:p>
    <w:p w14:paraId="4FAD9853">
      <w:pPr>
        <w:spacing w:line="360" w:lineRule="auto"/>
        <w:outlineLvl w:val="9"/>
        <w:rPr>
          <w:rFonts w:hint="eastAsia" w:ascii="宋体" w:hAnsi="宋体" w:eastAsia="宋体" w:cs="宋体"/>
          <w:color w:val="auto"/>
          <w:highlight w:val="none"/>
        </w:rPr>
      </w:pPr>
    </w:p>
    <w:p w14:paraId="6482D0A2">
      <w:pPr>
        <w:pStyle w:val="82"/>
        <w:spacing w:line="360" w:lineRule="auto"/>
        <w:outlineLvl w:val="9"/>
        <w:rPr>
          <w:rFonts w:hint="eastAsia" w:ascii="宋体" w:hAnsi="宋体" w:eastAsia="宋体" w:cs="宋体"/>
          <w:color w:val="auto"/>
          <w:highlight w:val="none"/>
        </w:rPr>
      </w:pPr>
    </w:p>
    <w:p w14:paraId="379EAD18">
      <w:pPr>
        <w:pStyle w:val="82"/>
        <w:spacing w:line="360" w:lineRule="auto"/>
        <w:outlineLvl w:val="9"/>
        <w:rPr>
          <w:rFonts w:hint="eastAsia" w:ascii="宋体" w:hAnsi="宋体" w:eastAsia="宋体" w:cs="宋体"/>
          <w:color w:val="auto"/>
          <w:highlight w:val="none"/>
        </w:rPr>
      </w:pPr>
    </w:p>
    <w:p w14:paraId="2C78A30A">
      <w:pPr>
        <w:pStyle w:val="82"/>
        <w:spacing w:line="360" w:lineRule="auto"/>
        <w:outlineLvl w:val="9"/>
        <w:rPr>
          <w:rFonts w:hint="eastAsia" w:ascii="宋体" w:hAnsi="宋体" w:eastAsia="宋体" w:cs="宋体"/>
          <w:color w:val="auto"/>
          <w:highlight w:val="none"/>
        </w:rPr>
      </w:pPr>
    </w:p>
    <w:p w14:paraId="1F569FD1">
      <w:pPr>
        <w:pStyle w:val="82"/>
        <w:spacing w:line="360" w:lineRule="auto"/>
        <w:outlineLvl w:val="9"/>
        <w:rPr>
          <w:rFonts w:hint="eastAsia" w:ascii="宋体" w:hAnsi="宋体" w:eastAsia="宋体" w:cs="宋体"/>
          <w:color w:val="auto"/>
          <w:highlight w:val="none"/>
        </w:rPr>
      </w:pPr>
    </w:p>
    <w:p w14:paraId="50B3E044">
      <w:pPr>
        <w:pStyle w:val="82"/>
        <w:spacing w:line="360" w:lineRule="auto"/>
        <w:outlineLvl w:val="9"/>
        <w:rPr>
          <w:rFonts w:hint="eastAsia" w:ascii="宋体" w:hAnsi="宋体" w:eastAsia="宋体" w:cs="宋体"/>
          <w:color w:val="auto"/>
          <w:highlight w:val="none"/>
        </w:rPr>
      </w:pPr>
    </w:p>
    <w:p w14:paraId="6DE1B676">
      <w:pPr>
        <w:pStyle w:val="82"/>
        <w:spacing w:line="360" w:lineRule="auto"/>
        <w:outlineLvl w:val="9"/>
        <w:rPr>
          <w:rFonts w:hint="eastAsia" w:ascii="宋体" w:hAnsi="宋体" w:eastAsia="宋体" w:cs="宋体"/>
          <w:color w:val="auto"/>
          <w:highlight w:val="none"/>
        </w:rPr>
      </w:pPr>
    </w:p>
    <w:p w14:paraId="60B08775">
      <w:pPr>
        <w:pStyle w:val="82"/>
        <w:spacing w:line="360" w:lineRule="auto"/>
        <w:outlineLvl w:val="9"/>
        <w:rPr>
          <w:rFonts w:hint="eastAsia" w:ascii="宋体" w:hAnsi="宋体" w:eastAsia="宋体" w:cs="宋体"/>
          <w:color w:val="auto"/>
          <w:highlight w:val="none"/>
        </w:rPr>
      </w:pPr>
    </w:p>
    <w:p w14:paraId="559295FF">
      <w:pPr>
        <w:pStyle w:val="82"/>
        <w:spacing w:line="360" w:lineRule="auto"/>
        <w:outlineLvl w:val="9"/>
        <w:rPr>
          <w:rFonts w:hint="eastAsia" w:ascii="宋体" w:hAnsi="宋体" w:eastAsia="宋体" w:cs="宋体"/>
          <w:color w:val="auto"/>
          <w:highlight w:val="none"/>
        </w:rPr>
      </w:pPr>
    </w:p>
    <w:p w14:paraId="449FA420">
      <w:pPr>
        <w:pStyle w:val="82"/>
        <w:spacing w:line="360" w:lineRule="auto"/>
        <w:outlineLvl w:val="9"/>
        <w:rPr>
          <w:rFonts w:hint="eastAsia" w:ascii="宋体" w:hAnsi="宋体" w:eastAsia="宋体" w:cs="宋体"/>
          <w:color w:val="auto"/>
          <w:highlight w:val="none"/>
        </w:rPr>
      </w:pPr>
    </w:p>
    <w:p w14:paraId="46E36D98">
      <w:pPr>
        <w:spacing w:line="360" w:lineRule="auto"/>
        <w:outlineLvl w:val="9"/>
        <w:rPr>
          <w:rFonts w:hint="eastAsia" w:ascii="宋体" w:hAnsi="宋体" w:cs="宋体"/>
          <w:b/>
          <w:color w:val="auto"/>
          <w:sz w:val="28"/>
          <w:szCs w:val="28"/>
          <w:highlight w:val="none"/>
          <w:lang w:val="en-US" w:eastAsia="zh-CN"/>
        </w:rPr>
      </w:pPr>
    </w:p>
    <w:p w14:paraId="4CB00561">
      <w:pPr>
        <w:spacing w:line="360" w:lineRule="auto"/>
        <w:outlineLvl w:val="9"/>
        <w:rPr>
          <w:rFonts w:hint="eastAsia" w:ascii="宋体" w:hAnsi="宋体" w:cs="宋体"/>
          <w:b/>
          <w:color w:val="auto"/>
          <w:sz w:val="28"/>
          <w:szCs w:val="28"/>
          <w:highlight w:val="none"/>
          <w:lang w:val="en-US" w:eastAsia="zh-CN"/>
        </w:rPr>
      </w:pPr>
    </w:p>
    <w:p w14:paraId="5BC7DF47">
      <w:pPr>
        <w:spacing w:line="360" w:lineRule="auto"/>
        <w:outlineLvl w:val="9"/>
        <w:rPr>
          <w:rFonts w:hint="eastAsia" w:ascii="宋体" w:hAnsi="宋体" w:eastAsia="宋体" w:cs="宋体"/>
          <w:b/>
          <w:bCs/>
          <w:iCs/>
          <w:color w:val="auto"/>
          <w:sz w:val="28"/>
          <w:szCs w:val="28"/>
          <w:highlight w:val="none"/>
        </w:rPr>
      </w:pP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bCs/>
          <w:iCs/>
          <w:color w:val="auto"/>
          <w:sz w:val="28"/>
          <w:szCs w:val="28"/>
          <w:highlight w:val="none"/>
        </w:rPr>
        <w:t>拟投入本工程主要管理人员表（必须提供）；</w:t>
      </w:r>
    </w:p>
    <w:p w14:paraId="7A181D43">
      <w:pPr>
        <w:spacing w:line="360" w:lineRule="auto"/>
        <w:jc w:val="center"/>
        <w:outlineLvl w:val="9"/>
        <w:rPr>
          <w:rFonts w:hint="eastAsia" w:ascii="宋体" w:hAnsi="宋体" w:eastAsia="宋体" w:cs="宋体"/>
          <w:b/>
          <w:color w:val="auto"/>
          <w:sz w:val="24"/>
          <w:highlight w:val="none"/>
        </w:rPr>
      </w:pPr>
    </w:p>
    <w:p w14:paraId="4FF599AE">
      <w:pPr>
        <w:spacing w:line="360" w:lineRule="auto"/>
        <w:jc w:val="center"/>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主要施工管理人员表</w:t>
      </w:r>
    </w:p>
    <w:p w14:paraId="4A90FB2B">
      <w:pPr>
        <w:spacing w:line="360" w:lineRule="auto"/>
        <w:outlineLvl w:val="9"/>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工程名称：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793"/>
        <w:gridCol w:w="792"/>
        <w:gridCol w:w="1447"/>
        <w:gridCol w:w="3672"/>
      </w:tblGrid>
      <w:tr w14:paraId="063FC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13D52DBF">
            <w:pPr>
              <w:spacing w:line="360" w:lineRule="auto"/>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   称</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16420D63">
            <w:pPr>
              <w:spacing w:line="360" w:lineRule="auto"/>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792" w:type="dxa"/>
            <w:tcBorders>
              <w:top w:val="single" w:color="auto" w:sz="4" w:space="0"/>
              <w:left w:val="single" w:color="auto" w:sz="4" w:space="0"/>
              <w:bottom w:val="single" w:color="auto" w:sz="4" w:space="0"/>
              <w:right w:val="single" w:color="auto" w:sz="4" w:space="0"/>
            </w:tcBorders>
            <w:noWrap w:val="0"/>
            <w:vAlign w:val="center"/>
          </w:tcPr>
          <w:p w14:paraId="555AFF95">
            <w:pPr>
              <w:spacing w:line="360" w:lineRule="auto"/>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w:t>
            </w:r>
          </w:p>
        </w:tc>
        <w:tc>
          <w:tcPr>
            <w:tcW w:w="1447" w:type="dxa"/>
            <w:tcBorders>
              <w:top w:val="single" w:color="auto" w:sz="4" w:space="0"/>
              <w:left w:val="single" w:color="auto" w:sz="4" w:space="0"/>
              <w:bottom w:val="single" w:color="auto" w:sz="4" w:space="0"/>
              <w:right w:val="single" w:color="auto" w:sz="4" w:space="0"/>
            </w:tcBorders>
            <w:noWrap w:val="0"/>
            <w:vAlign w:val="center"/>
          </w:tcPr>
          <w:p w14:paraId="5BC3C50E">
            <w:pPr>
              <w:spacing w:line="360" w:lineRule="auto"/>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资质/职称</w:t>
            </w:r>
          </w:p>
        </w:tc>
        <w:tc>
          <w:tcPr>
            <w:tcW w:w="3672" w:type="dxa"/>
            <w:tcBorders>
              <w:top w:val="single" w:color="auto" w:sz="4" w:space="0"/>
              <w:left w:val="single" w:color="auto" w:sz="4" w:space="0"/>
              <w:bottom w:val="single" w:color="auto" w:sz="4" w:space="0"/>
              <w:right w:val="single" w:color="auto" w:sz="4" w:space="0"/>
            </w:tcBorders>
            <w:noWrap w:val="0"/>
            <w:vAlign w:val="center"/>
          </w:tcPr>
          <w:p w14:paraId="75B54511">
            <w:pPr>
              <w:spacing w:line="360" w:lineRule="auto"/>
              <w:jc w:val="center"/>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执业资格证号/上岗证号</w:t>
            </w:r>
          </w:p>
        </w:tc>
      </w:tr>
      <w:tr w14:paraId="56DAB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7A2AEB09">
            <w:pPr>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一、总部</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6072BB3E">
            <w:pPr>
              <w:spacing w:line="360" w:lineRule="auto"/>
              <w:outlineLvl w:val="9"/>
              <w:rPr>
                <w:rFonts w:hint="eastAsia" w:ascii="宋体" w:hAnsi="宋体" w:eastAsia="宋体" w:cs="宋体"/>
                <w:color w:val="auto"/>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52C36E4C">
            <w:pPr>
              <w:spacing w:line="360" w:lineRule="auto"/>
              <w:outlineLvl w:val="9"/>
              <w:rPr>
                <w:rFonts w:hint="eastAsia" w:ascii="宋体" w:hAnsi="宋体" w:eastAsia="宋体" w:cs="宋体"/>
                <w:color w:val="auto"/>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7F6A7659">
            <w:pPr>
              <w:spacing w:line="360" w:lineRule="auto"/>
              <w:outlineLvl w:val="9"/>
              <w:rPr>
                <w:rFonts w:hint="eastAsia" w:ascii="宋体" w:hAnsi="宋体" w:eastAsia="宋体" w:cs="宋体"/>
                <w:color w:val="auto"/>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657DCA1A">
            <w:pPr>
              <w:spacing w:line="360" w:lineRule="auto"/>
              <w:outlineLvl w:val="9"/>
              <w:rPr>
                <w:rFonts w:hint="eastAsia" w:ascii="宋体" w:hAnsi="宋体" w:eastAsia="宋体" w:cs="宋体"/>
                <w:color w:val="auto"/>
                <w:szCs w:val="21"/>
                <w:highlight w:val="none"/>
              </w:rPr>
            </w:pPr>
          </w:p>
        </w:tc>
      </w:tr>
      <w:tr w14:paraId="78F7E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379A8501">
            <w:pPr>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1.项目主管</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45F1538D">
            <w:pPr>
              <w:spacing w:line="360" w:lineRule="auto"/>
              <w:outlineLvl w:val="9"/>
              <w:rPr>
                <w:rFonts w:hint="eastAsia" w:ascii="宋体" w:hAnsi="宋体" w:eastAsia="宋体" w:cs="宋体"/>
                <w:color w:val="auto"/>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4CEF8CA2">
            <w:pPr>
              <w:spacing w:line="360" w:lineRule="auto"/>
              <w:outlineLvl w:val="9"/>
              <w:rPr>
                <w:rFonts w:hint="eastAsia" w:ascii="宋体" w:hAnsi="宋体" w:eastAsia="宋体" w:cs="宋体"/>
                <w:color w:val="auto"/>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485D8FD8">
            <w:pPr>
              <w:spacing w:line="360" w:lineRule="auto"/>
              <w:outlineLvl w:val="9"/>
              <w:rPr>
                <w:rFonts w:hint="eastAsia" w:ascii="宋体" w:hAnsi="宋体" w:eastAsia="宋体" w:cs="宋体"/>
                <w:color w:val="auto"/>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7B7A134E">
            <w:pPr>
              <w:spacing w:line="360" w:lineRule="auto"/>
              <w:outlineLvl w:val="9"/>
              <w:rPr>
                <w:rFonts w:hint="eastAsia" w:ascii="宋体" w:hAnsi="宋体" w:eastAsia="宋体" w:cs="宋体"/>
                <w:color w:val="auto"/>
                <w:szCs w:val="21"/>
                <w:highlight w:val="none"/>
              </w:rPr>
            </w:pPr>
          </w:p>
        </w:tc>
      </w:tr>
      <w:tr w14:paraId="18BA8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1EC68FB4">
            <w:pPr>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2.其他人员</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145CBC1D">
            <w:pPr>
              <w:spacing w:line="360" w:lineRule="auto"/>
              <w:outlineLvl w:val="9"/>
              <w:rPr>
                <w:rFonts w:hint="eastAsia" w:ascii="宋体" w:hAnsi="宋体" w:eastAsia="宋体" w:cs="宋体"/>
                <w:color w:val="auto"/>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1B0E5C0E">
            <w:pPr>
              <w:spacing w:line="360" w:lineRule="auto"/>
              <w:outlineLvl w:val="9"/>
              <w:rPr>
                <w:rFonts w:hint="eastAsia" w:ascii="宋体" w:hAnsi="宋体" w:eastAsia="宋体" w:cs="宋体"/>
                <w:color w:val="auto"/>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24E2AE25">
            <w:pPr>
              <w:spacing w:line="360" w:lineRule="auto"/>
              <w:outlineLvl w:val="9"/>
              <w:rPr>
                <w:rFonts w:hint="eastAsia" w:ascii="宋体" w:hAnsi="宋体" w:eastAsia="宋体" w:cs="宋体"/>
                <w:color w:val="auto"/>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3B89E21A">
            <w:pPr>
              <w:spacing w:line="360" w:lineRule="auto"/>
              <w:outlineLvl w:val="9"/>
              <w:rPr>
                <w:rFonts w:hint="eastAsia" w:ascii="宋体" w:hAnsi="宋体" w:eastAsia="宋体" w:cs="宋体"/>
                <w:color w:val="auto"/>
                <w:szCs w:val="21"/>
                <w:highlight w:val="none"/>
              </w:rPr>
            </w:pPr>
          </w:p>
        </w:tc>
      </w:tr>
      <w:tr w14:paraId="4048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49E35944">
            <w:pPr>
              <w:spacing w:line="360" w:lineRule="auto"/>
              <w:outlineLvl w:val="9"/>
              <w:rPr>
                <w:rFonts w:hint="eastAsia" w:ascii="宋体" w:hAnsi="宋体" w:eastAsia="宋体" w:cs="宋体"/>
                <w:color w:val="auto"/>
                <w:szCs w:val="21"/>
                <w:highlight w:val="none"/>
              </w:rPr>
            </w:pPr>
          </w:p>
        </w:tc>
        <w:tc>
          <w:tcPr>
            <w:tcW w:w="793" w:type="dxa"/>
            <w:tcBorders>
              <w:top w:val="single" w:color="auto" w:sz="4" w:space="0"/>
              <w:left w:val="single" w:color="auto" w:sz="4" w:space="0"/>
              <w:bottom w:val="single" w:color="auto" w:sz="4" w:space="0"/>
              <w:right w:val="single" w:color="auto" w:sz="4" w:space="0"/>
            </w:tcBorders>
            <w:noWrap w:val="0"/>
            <w:vAlign w:val="center"/>
          </w:tcPr>
          <w:p w14:paraId="3C288FE2">
            <w:pPr>
              <w:spacing w:line="360" w:lineRule="auto"/>
              <w:outlineLvl w:val="9"/>
              <w:rPr>
                <w:rFonts w:hint="eastAsia" w:ascii="宋体" w:hAnsi="宋体" w:eastAsia="宋体" w:cs="宋体"/>
                <w:color w:val="auto"/>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5C871B52">
            <w:pPr>
              <w:spacing w:line="360" w:lineRule="auto"/>
              <w:outlineLvl w:val="9"/>
              <w:rPr>
                <w:rFonts w:hint="eastAsia" w:ascii="宋体" w:hAnsi="宋体" w:eastAsia="宋体" w:cs="宋体"/>
                <w:color w:val="auto"/>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2F9F3DA6">
            <w:pPr>
              <w:spacing w:line="360" w:lineRule="auto"/>
              <w:outlineLvl w:val="9"/>
              <w:rPr>
                <w:rFonts w:hint="eastAsia" w:ascii="宋体" w:hAnsi="宋体" w:eastAsia="宋体" w:cs="宋体"/>
                <w:color w:val="auto"/>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6A0A604E">
            <w:pPr>
              <w:spacing w:line="360" w:lineRule="auto"/>
              <w:outlineLvl w:val="9"/>
              <w:rPr>
                <w:rFonts w:hint="eastAsia" w:ascii="宋体" w:hAnsi="宋体" w:eastAsia="宋体" w:cs="宋体"/>
                <w:color w:val="auto"/>
                <w:szCs w:val="21"/>
                <w:highlight w:val="none"/>
              </w:rPr>
            </w:pPr>
          </w:p>
        </w:tc>
      </w:tr>
      <w:tr w14:paraId="1A781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4562C0F5">
            <w:pPr>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二、现场</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2B92BB1B">
            <w:pPr>
              <w:spacing w:line="360" w:lineRule="auto"/>
              <w:outlineLvl w:val="9"/>
              <w:rPr>
                <w:rFonts w:hint="eastAsia" w:ascii="宋体" w:hAnsi="宋体" w:eastAsia="宋体" w:cs="宋体"/>
                <w:color w:val="auto"/>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48DFDFEA">
            <w:pPr>
              <w:spacing w:line="360" w:lineRule="auto"/>
              <w:outlineLvl w:val="9"/>
              <w:rPr>
                <w:rFonts w:hint="eastAsia" w:ascii="宋体" w:hAnsi="宋体" w:eastAsia="宋体" w:cs="宋体"/>
                <w:color w:val="auto"/>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7382B95E">
            <w:pPr>
              <w:spacing w:line="360" w:lineRule="auto"/>
              <w:outlineLvl w:val="9"/>
              <w:rPr>
                <w:rFonts w:hint="eastAsia" w:ascii="宋体" w:hAnsi="宋体" w:eastAsia="宋体" w:cs="宋体"/>
                <w:color w:val="auto"/>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58B30630">
            <w:pPr>
              <w:spacing w:line="360" w:lineRule="auto"/>
              <w:outlineLvl w:val="9"/>
              <w:rPr>
                <w:rFonts w:hint="eastAsia" w:ascii="宋体" w:hAnsi="宋体" w:eastAsia="宋体" w:cs="宋体"/>
                <w:color w:val="auto"/>
                <w:szCs w:val="21"/>
                <w:highlight w:val="none"/>
              </w:rPr>
            </w:pPr>
          </w:p>
        </w:tc>
      </w:tr>
      <w:tr w14:paraId="73EB7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0AA82203">
            <w:pPr>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1.项目经理</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2A554340">
            <w:pPr>
              <w:spacing w:line="360" w:lineRule="auto"/>
              <w:outlineLvl w:val="9"/>
              <w:rPr>
                <w:rFonts w:hint="eastAsia" w:ascii="宋体" w:hAnsi="宋体" w:eastAsia="宋体" w:cs="宋体"/>
                <w:color w:val="auto"/>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2623B4E5">
            <w:pPr>
              <w:spacing w:line="360" w:lineRule="auto"/>
              <w:outlineLvl w:val="9"/>
              <w:rPr>
                <w:rFonts w:hint="eastAsia" w:ascii="宋体" w:hAnsi="宋体" w:eastAsia="宋体" w:cs="宋体"/>
                <w:color w:val="auto"/>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1DD1ACC5">
            <w:pPr>
              <w:spacing w:line="360" w:lineRule="auto"/>
              <w:outlineLvl w:val="9"/>
              <w:rPr>
                <w:rFonts w:hint="eastAsia" w:ascii="宋体" w:hAnsi="宋体" w:eastAsia="宋体" w:cs="宋体"/>
                <w:color w:val="auto"/>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4F362BA1">
            <w:pPr>
              <w:spacing w:line="360" w:lineRule="auto"/>
              <w:outlineLvl w:val="9"/>
              <w:rPr>
                <w:rFonts w:hint="eastAsia" w:ascii="宋体" w:hAnsi="宋体" w:eastAsia="宋体" w:cs="宋体"/>
                <w:color w:val="auto"/>
                <w:szCs w:val="21"/>
                <w:highlight w:val="none"/>
              </w:rPr>
            </w:pPr>
          </w:p>
        </w:tc>
      </w:tr>
      <w:tr w14:paraId="5A1A7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7453564B">
            <w:pPr>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2.项目副经理（如有）</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0F126A9B">
            <w:pPr>
              <w:spacing w:line="360" w:lineRule="auto"/>
              <w:outlineLvl w:val="9"/>
              <w:rPr>
                <w:rFonts w:hint="eastAsia" w:ascii="宋体" w:hAnsi="宋体" w:eastAsia="宋体" w:cs="宋体"/>
                <w:color w:val="auto"/>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4DBC5524">
            <w:pPr>
              <w:spacing w:line="360" w:lineRule="auto"/>
              <w:outlineLvl w:val="9"/>
              <w:rPr>
                <w:rFonts w:hint="eastAsia" w:ascii="宋体" w:hAnsi="宋体" w:eastAsia="宋体" w:cs="宋体"/>
                <w:color w:val="auto"/>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299E5F9F">
            <w:pPr>
              <w:spacing w:line="360" w:lineRule="auto"/>
              <w:outlineLvl w:val="9"/>
              <w:rPr>
                <w:rFonts w:hint="eastAsia" w:ascii="宋体" w:hAnsi="宋体" w:eastAsia="宋体" w:cs="宋体"/>
                <w:color w:val="auto"/>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355809E9">
            <w:pPr>
              <w:spacing w:line="360" w:lineRule="auto"/>
              <w:outlineLvl w:val="9"/>
              <w:rPr>
                <w:rFonts w:hint="eastAsia" w:ascii="宋体" w:hAnsi="宋体" w:eastAsia="宋体" w:cs="宋体"/>
                <w:color w:val="auto"/>
                <w:szCs w:val="21"/>
                <w:highlight w:val="none"/>
              </w:rPr>
            </w:pPr>
          </w:p>
        </w:tc>
      </w:tr>
      <w:tr w14:paraId="7DD40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7550F51F">
            <w:pPr>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3.技术负责人</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7980F6E5">
            <w:pPr>
              <w:spacing w:line="360" w:lineRule="auto"/>
              <w:outlineLvl w:val="9"/>
              <w:rPr>
                <w:rFonts w:hint="eastAsia" w:ascii="宋体" w:hAnsi="宋体" w:eastAsia="宋体" w:cs="宋体"/>
                <w:color w:val="auto"/>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6C421B85">
            <w:pPr>
              <w:spacing w:line="360" w:lineRule="auto"/>
              <w:outlineLvl w:val="9"/>
              <w:rPr>
                <w:rFonts w:hint="eastAsia" w:ascii="宋体" w:hAnsi="宋体" w:eastAsia="宋体" w:cs="宋体"/>
                <w:color w:val="auto"/>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468556DB">
            <w:pPr>
              <w:spacing w:line="360" w:lineRule="auto"/>
              <w:outlineLvl w:val="9"/>
              <w:rPr>
                <w:rFonts w:hint="eastAsia" w:ascii="宋体" w:hAnsi="宋体" w:eastAsia="宋体" w:cs="宋体"/>
                <w:color w:val="auto"/>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09C1C15E">
            <w:pPr>
              <w:spacing w:line="360" w:lineRule="auto"/>
              <w:outlineLvl w:val="9"/>
              <w:rPr>
                <w:rFonts w:hint="eastAsia" w:ascii="宋体" w:hAnsi="宋体" w:eastAsia="宋体" w:cs="宋体"/>
                <w:color w:val="auto"/>
                <w:szCs w:val="21"/>
                <w:highlight w:val="none"/>
              </w:rPr>
            </w:pPr>
          </w:p>
        </w:tc>
      </w:tr>
      <w:tr w14:paraId="146A5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7D606447">
            <w:pPr>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4.施工员</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131CB796">
            <w:pPr>
              <w:spacing w:line="360" w:lineRule="auto"/>
              <w:outlineLvl w:val="9"/>
              <w:rPr>
                <w:rFonts w:hint="eastAsia" w:ascii="宋体" w:hAnsi="宋体" w:eastAsia="宋体" w:cs="宋体"/>
                <w:color w:val="auto"/>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78E9CAD2">
            <w:pPr>
              <w:spacing w:line="360" w:lineRule="auto"/>
              <w:outlineLvl w:val="9"/>
              <w:rPr>
                <w:rFonts w:hint="eastAsia" w:ascii="宋体" w:hAnsi="宋体" w:eastAsia="宋体" w:cs="宋体"/>
                <w:color w:val="auto"/>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609E7F6C">
            <w:pPr>
              <w:spacing w:line="360" w:lineRule="auto"/>
              <w:outlineLvl w:val="9"/>
              <w:rPr>
                <w:rFonts w:hint="eastAsia" w:ascii="宋体" w:hAnsi="宋体" w:eastAsia="宋体" w:cs="宋体"/>
                <w:color w:val="auto"/>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0EBF514F">
            <w:pPr>
              <w:spacing w:line="360" w:lineRule="auto"/>
              <w:outlineLvl w:val="9"/>
              <w:rPr>
                <w:rFonts w:hint="eastAsia" w:ascii="宋体" w:hAnsi="宋体" w:eastAsia="宋体" w:cs="宋体"/>
                <w:color w:val="auto"/>
                <w:szCs w:val="21"/>
                <w:highlight w:val="none"/>
              </w:rPr>
            </w:pPr>
          </w:p>
        </w:tc>
      </w:tr>
      <w:tr w14:paraId="61E8E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2BE0BD98">
            <w:pPr>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5.质检（量）员</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706F2371">
            <w:pPr>
              <w:spacing w:line="360" w:lineRule="auto"/>
              <w:outlineLvl w:val="9"/>
              <w:rPr>
                <w:rFonts w:hint="eastAsia" w:ascii="宋体" w:hAnsi="宋体" w:eastAsia="宋体" w:cs="宋体"/>
                <w:color w:val="auto"/>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003AD81D">
            <w:pPr>
              <w:spacing w:line="360" w:lineRule="auto"/>
              <w:outlineLvl w:val="9"/>
              <w:rPr>
                <w:rFonts w:hint="eastAsia" w:ascii="宋体" w:hAnsi="宋体" w:eastAsia="宋体" w:cs="宋体"/>
                <w:color w:val="auto"/>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6982CD61">
            <w:pPr>
              <w:spacing w:line="360" w:lineRule="auto"/>
              <w:outlineLvl w:val="9"/>
              <w:rPr>
                <w:rFonts w:hint="eastAsia" w:ascii="宋体" w:hAnsi="宋体" w:eastAsia="宋体" w:cs="宋体"/>
                <w:color w:val="auto"/>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38DCA1EA">
            <w:pPr>
              <w:spacing w:line="360" w:lineRule="auto"/>
              <w:outlineLvl w:val="9"/>
              <w:rPr>
                <w:rFonts w:hint="eastAsia" w:ascii="宋体" w:hAnsi="宋体" w:eastAsia="宋体" w:cs="宋体"/>
                <w:color w:val="auto"/>
                <w:szCs w:val="21"/>
                <w:highlight w:val="none"/>
              </w:rPr>
            </w:pPr>
          </w:p>
        </w:tc>
      </w:tr>
      <w:tr w14:paraId="4485F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56DAE930">
            <w:pPr>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6.专职安全生产管理人员</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558E7462">
            <w:pPr>
              <w:spacing w:line="360" w:lineRule="auto"/>
              <w:outlineLvl w:val="9"/>
              <w:rPr>
                <w:rFonts w:hint="eastAsia" w:ascii="宋体" w:hAnsi="宋体" w:eastAsia="宋体" w:cs="宋体"/>
                <w:color w:val="auto"/>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3B34D5A1">
            <w:pPr>
              <w:spacing w:line="360" w:lineRule="auto"/>
              <w:outlineLvl w:val="9"/>
              <w:rPr>
                <w:rFonts w:hint="eastAsia" w:ascii="宋体" w:hAnsi="宋体" w:eastAsia="宋体" w:cs="宋体"/>
                <w:color w:val="auto"/>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77E1ED93">
            <w:pPr>
              <w:spacing w:line="360" w:lineRule="auto"/>
              <w:outlineLvl w:val="9"/>
              <w:rPr>
                <w:rFonts w:hint="eastAsia" w:ascii="宋体" w:hAnsi="宋体" w:eastAsia="宋体" w:cs="宋体"/>
                <w:color w:val="auto"/>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6D8F85EF">
            <w:pPr>
              <w:spacing w:line="360" w:lineRule="auto"/>
              <w:outlineLvl w:val="9"/>
              <w:rPr>
                <w:rFonts w:hint="eastAsia" w:ascii="宋体" w:hAnsi="宋体" w:eastAsia="宋体" w:cs="宋体"/>
                <w:color w:val="auto"/>
                <w:szCs w:val="21"/>
                <w:highlight w:val="none"/>
              </w:rPr>
            </w:pPr>
          </w:p>
        </w:tc>
      </w:tr>
      <w:tr w14:paraId="45625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5F4A64D6">
            <w:pPr>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7.材料员</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2063D1A0">
            <w:pPr>
              <w:spacing w:line="360" w:lineRule="auto"/>
              <w:outlineLvl w:val="9"/>
              <w:rPr>
                <w:rFonts w:hint="eastAsia" w:ascii="宋体" w:hAnsi="宋体" w:eastAsia="宋体" w:cs="宋体"/>
                <w:color w:val="auto"/>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3FEC6748">
            <w:pPr>
              <w:spacing w:line="360" w:lineRule="auto"/>
              <w:outlineLvl w:val="9"/>
              <w:rPr>
                <w:rFonts w:hint="eastAsia" w:ascii="宋体" w:hAnsi="宋体" w:eastAsia="宋体" w:cs="宋体"/>
                <w:color w:val="auto"/>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514C2C2D">
            <w:pPr>
              <w:spacing w:line="360" w:lineRule="auto"/>
              <w:outlineLvl w:val="9"/>
              <w:rPr>
                <w:rFonts w:hint="eastAsia" w:ascii="宋体" w:hAnsi="宋体" w:eastAsia="宋体" w:cs="宋体"/>
                <w:color w:val="auto"/>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6BC89FE8">
            <w:pPr>
              <w:spacing w:line="360" w:lineRule="auto"/>
              <w:outlineLvl w:val="9"/>
              <w:rPr>
                <w:rFonts w:hint="eastAsia" w:ascii="宋体" w:hAnsi="宋体" w:eastAsia="宋体" w:cs="宋体"/>
                <w:color w:val="auto"/>
                <w:szCs w:val="21"/>
                <w:highlight w:val="none"/>
              </w:rPr>
            </w:pPr>
          </w:p>
        </w:tc>
      </w:tr>
      <w:tr w14:paraId="2F662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723DD65F">
            <w:pPr>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1DA601A8">
            <w:pPr>
              <w:spacing w:line="360" w:lineRule="auto"/>
              <w:outlineLvl w:val="9"/>
              <w:rPr>
                <w:rFonts w:hint="eastAsia" w:ascii="宋体" w:hAnsi="宋体" w:eastAsia="宋体" w:cs="宋体"/>
                <w:color w:val="auto"/>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684705EF">
            <w:pPr>
              <w:spacing w:line="360" w:lineRule="auto"/>
              <w:outlineLvl w:val="9"/>
              <w:rPr>
                <w:rFonts w:hint="eastAsia" w:ascii="宋体" w:hAnsi="宋体" w:eastAsia="宋体" w:cs="宋体"/>
                <w:color w:val="auto"/>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08FC741A">
            <w:pPr>
              <w:spacing w:line="360" w:lineRule="auto"/>
              <w:outlineLvl w:val="9"/>
              <w:rPr>
                <w:rFonts w:hint="eastAsia" w:ascii="宋体" w:hAnsi="宋体" w:eastAsia="宋体" w:cs="宋体"/>
                <w:color w:val="auto"/>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42A04DC8">
            <w:pPr>
              <w:spacing w:line="360" w:lineRule="auto"/>
              <w:outlineLvl w:val="9"/>
              <w:rPr>
                <w:rFonts w:hint="eastAsia" w:ascii="宋体" w:hAnsi="宋体" w:eastAsia="宋体" w:cs="宋体"/>
                <w:color w:val="auto"/>
                <w:szCs w:val="21"/>
                <w:highlight w:val="none"/>
              </w:rPr>
            </w:pPr>
          </w:p>
        </w:tc>
      </w:tr>
    </w:tbl>
    <w:p w14:paraId="571757FE">
      <w:pPr>
        <w:spacing w:line="360" w:lineRule="auto"/>
        <w:outlineLvl w:val="9"/>
        <w:rPr>
          <w:rFonts w:hint="eastAsia" w:ascii="宋体" w:hAnsi="宋体" w:eastAsia="宋体" w:cs="宋体"/>
          <w:color w:val="auto"/>
          <w:spacing w:val="-2"/>
          <w:kern w:val="0"/>
          <w:szCs w:val="21"/>
          <w:highlight w:val="none"/>
          <w:lang w:eastAsia="zh-CN"/>
        </w:rPr>
      </w:pPr>
      <w:r>
        <w:rPr>
          <w:rFonts w:hint="eastAsia" w:ascii="宋体" w:hAnsi="宋体" w:eastAsia="宋体" w:cs="宋体"/>
          <w:bCs/>
          <w:color w:val="auto"/>
          <w:spacing w:val="-2"/>
          <w:szCs w:val="21"/>
          <w:highlight w:val="none"/>
        </w:rPr>
        <w:t>注：人员配备</w:t>
      </w:r>
      <w:r>
        <w:rPr>
          <w:rFonts w:hint="eastAsia" w:ascii="宋体" w:hAnsi="宋体" w:eastAsia="宋体" w:cs="宋体"/>
          <w:color w:val="auto"/>
          <w:spacing w:val="-2"/>
          <w:szCs w:val="21"/>
          <w:highlight w:val="none"/>
        </w:rPr>
        <w:t>应按桂林市建设与规划委员会市建规〔2006〕270号文《关于调整建筑施工现场项目部管理的通知》的规定执行，须满足最低要求。</w:t>
      </w:r>
      <w:r>
        <w:rPr>
          <w:rFonts w:hint="eastAsia" w:ascii="宋体" w:hAnsi="宋体" w:eastAsia="宋体" w:cs="宋体"/>
          <w:color w:val="auto"/>
          <w:spacing w:val="-2"/>
          <w:kern w:val="0"/>
          <w:szCs w:val="21"/>
          <w:highlight w:val="none"/>
        </w:rPr>
        <w:t>其中，项目经理至少应附身份证复印件及</w:t>
      </w:r>
      <w:r>
        <w:rPr>
          <w:rFonts w:hint="eastAsia" w:ascii="宋体" w:hAnsi="宋体" w:eastAsia="宋体" w:cs="宋体"/>
          <w:color w:val="auto"/>
          <w:spacing w:val="-2"/>
          <w:kern w:val="0"/>
          <w:szCs w:val="21"/>
          <w:highlight w:val="none"/>
          <w:lang w:eastAsia="zh-CN"/>
        </w:rPr>
        <w:t>注册建造师执业资格</w:t>
      </w:r>
      <w:r>
        <w:rPr>
          <w:rFonts w:hint="eastAsia" w:ascii="宋体" w:hAnsi="宋体" w:cs="宋体"/>
          <w:color w:val="auto"/>
          <w:spacing w:val="-2"/>
          <w:kern w:val="0"/>
          <w:szCs w:val="21"/>
          <w:highlight w:val="none"/>
          <w:lang w:eastAsia="zh-CN"/>
        </w:rPr>
        <w:t>证书、安全生产考核合格证书（B类） 复印件</w:t>
      </w:r>
      <w:r>
        <w:rPr>
          <w:rFonts w:hint="eastAsia" w:ascii="宋体" w:hAnsi="宋体" w:eastAsia="宋体" w:cs="宋体"/>
          <w:color w:val="auto"/>
          <w:spacing w:val="-2"/>
          <w:kern w:val="0"/>
          <w:szCs w:val="21"/>
          <w:highlight w:val="none"/>
        </w:rPr>
        <w:t>；技术负责人应附身份证复印件、职称证复印件；专职安全生产管理人员至少应附身份证复印件、专职安全员安全生产考核合格证书（C类）复印件；其他主要人员（施工员、质检（量）员、材料员）应附执业证或上岗证书复印件。上述复印件均需加盖供应商公章。</w:t>
      </w:r>
    </w:p>
    <w:p w14:paraId="1D577997">
      <w:pPr>
        <w:pStyle w:val="22"/>
        <w:spacing w:line="360" w:lineRule="auto"/>
        <w:jc w:val="center"/>
        <w:outlineLvl w:val="9"/>
        <w:rPr>
          <w:rFonts w:hint="eastAsia" w:ascii="宋体" w:hAnsi="宋体" w:eastAsia="宋体" w:cs="宋体"/>
          <w:b/>
          <w:color w:val="auto"/>
          <w:sz w:val="32"/>
          <w:szCs w:val="32"/>
          <w:highlight w:val="none"/>
        </w:rPr>
      </w:pPr>
    </w:p>
    <w:p w14:paraId="43498671">
      <w:pPr>
        <w:pStyle w:val="11"/>
        <w:spacing w:line="360" w:lineRule="auto"/>
        <w:ind w:left="2940"/>
        <w:outlineLvl w:val="9"/>
        <w:rPr>
          <w:rFonts w:hint="eastAsia" w:ascii="宋体" w:hAnsi="宋体" w:eastAsia="宋体" w:cs="宋体"/>
          <w:color w:val="auto"/>
          <w:highlight w:val="none"/>
        </w:rPr>
      </w:pPr>
    </w:p>
    <w:p w14:paraId="3A65C0C7">
      <w:pPr>
        <w:snapToGrid w:val="0"/>
        <w:spacing w:line="360" w:lineRule="auto"/>
        <w:ind w:firstLine="1890" w:firstLineChars="9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磋商供应商[公章(CA签章)，自然人签字或个人CA签章]：</w:t>
      </w:r>
      <w:r>
        <w:rPr>
          <w:rFonts w:hint="eastAsia" w:ascii="宋体" w:hAnsi="宋体" w:eastAsia="宋体" w:cs="宋体"/>
          <w:color w:val="auto"/>
          <w:highlight w:val="none"/>
          <w:u w:val="single"/>
        </w:rPr>
        <w:t xml:space="preserve">               </w:t>
      </w:r>
    </w:p>
    <w:p w14:paraId="41509D91">
      <w:pPr>
        <w:snapToGrid w:val="0"/>
        <w:spacing w:line="360" w:lineRule="auto"/>
        <w:ind w:firstLine="1890" w:firstLineChars="900"/>
        <w:outlineLvl w:val="9"/>
        <w:rPr>
          <w:rFonts w:hint="eastAsia" w:ascii="宋体" w:hAnsi="宋体" w:eastAsia="宋体" w:cs="宋体"/>
          <w:color w:val="auto"/>
          <w:highlight w:val="none"/>
          <w:u w:val="singl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p w14:paraId="3DE7FF56">
      <w:pPr>
        <w:pStyle w:val="16"/>
        <w:rPr>
          <w:rFonts w:hint="eastAsia"/>
        </w:rPr>
      </w:pPr>
    </w:p>
    <w:p w14:paraId="086DFB0D">
      <w:pPr>
        <w:pStyle w:val="22"/>
        <w:spacing w:line="360" w:lineRule="auto"/>
        <w:outlineLvl w:val="9"/>
        <w:rPr>
          <w:rFonts w:hint="eastAsia" w:hAnsi="宋体" w:cs="宋体"/>
          <w:b/>
          <w:color w:val="auto"/>
          <w:sz w:val="28"/>
          <w:szCs w:val="28"/>
          <w:highlight w:val="none"/>
          <w:lang w:val="en-US" w:eastAsia="zh-CN"/>
        </w:rPr>
      </w:pPr>
    </w:p>
    <w:p w14:paraId="1D46C6CE">
      <w:pPr>
        <w:pStyle w:val="22"/>
        <w:spacing w:line="360" w:lineRule="auto"/>
        <w:outlineLvl w:val="9"/>
        <w:rPr>
          <w:rFonts w:hint="eastAsia" w:hAnsi="宋体" w:cs="宋体"/>
          <w:b/>
          <w:color w:val="auto"/>
          <w:sz w:val="28"/>
          <w:szCs w:val="28"/>
          <w:highlight w:val="none"/>
          <w:lang w:val="en-US" w:eastAsia="zh-CN"/>
        </w:rPr>
      </w:pPr>
    </w:p>
    <w:p w14:paraId="1F27F7C9">
      <w:pPr>
        <w:pStyle w:val="22"/>
        <w:spacing w:line="360" w:lineRule="auto"/>
        <w:outlineLvl w:val="9"/>
        <w:rPr>
          <w:rFonts w:hint="eastAsia" w:ascii="宋体" w:hAnsi="宋体" w:eastAsia="宋体" w:cs="宋体"/>
          <w:b/>
          <w:color w:val="auto"/>
          <w:sz w:val="28"/>
          <w:szCs w:val="28"/>
          <w:highlight w:val="none"/>
        </w:rPr>
      </w:pPr>
      <w:r>
        <w:rPr>
          <w:rFonts w:hint="eastAsia"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.担任本工程的项目经理简历表（应附相关证书、身份证复印件）（必须提供）；</w:t>
      </w:r>
    </w:p>
    <w:p w14:paraId="6CDF2513">
      <w:pPr>
        <w:spacing w:line="360" w:lineRule="auto"/>
        <w:outlineLvl w:val="9"/>
        <w:rPr>
          <w:rFonts w:hint="eastAsia" w:ascii="宋体" w:hAnsi="宋体" w:eastAsia="宋体" w:cs="宋体"/>
          <w:color w:val="auto"/>
          <w:highlight w:val="none"/>
        </w:rPr>
      </w:pPr>
    </w:p>
    <w:p w14:paraId="2C6F6E89">
      <w:pPr>
        <w:spacing w:line="360" w:lineRule="auto"/>
        <w:jc w:val="center"/>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担任本工程的项目经理简历表</w:t>
      </w:r>
    </w:p>
    <w:p w14:paraId="5DFE3351">
      <w:pPr>
        <w:spacing w:line="360" w:lineRule="auto"/>
        <w:jc w:val="center"/>
        <w:outlineLvl w:val="9"/>
        <w:rPr>
          <w:rFonts w:hint="eastAsia" w:ascii="宋体" w:hAnsi="宋体" w:eastAsia="宋体" w:cs="宋体"/>
          <w:b/>
          <w:color w:val="auto"/>
          <w:sz w:val="32"/>
          <w:highlight w:val="none"/>
        </w:rPr>
      </w:pP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0"/>
        <w:gridCol w:w="1608"/>
        <w:gridCol w:w="1072"/>
        <w:gridCol w:w="28"/>
        <w:gridCol w:w="508"/>
        <w:gridCol w:w="536"/>
        <w:gridCol w:w="1072"/>
        <w:gridCol w:w="268"/>
        <w:gridCol w:w="496"/>
        <w:gridCol w:w="442"/>
        <w:gridCol w:w="1206"/>
      </w:tblGrid>
      <w:tr w14:paraId="335A1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0" w:type="dxa"/>
            <w:tcBorders>
              <w:top w:val="single" w:color="auto" w:sz="8" w:space="0"/>
              <w:left w:val="single" w:color="auto" w:sz="8" w:space="0"/>
            </w:tcBorders>
            <w:noWrap w:val="0"/>
            <w:vAlign w:val="top"/>
          </w:tcPr>
          <w:p w14:paraId="07176B1F">
            <w:pPr>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姓  名</w:t>
            </w:r>
          </w:p>
        </w:tc>
        <w:tc>
          <w:tcPr>
            <w:tcW w:w="1608" w:type="dxa"/>
            <w:tcBorders>
              <w:top w:val="single" w:color="auto" w:sz="8" w:space="0"/>
            </w:tcBorders>
            <w:noWrap w:val="0"/>
            <w:vAlign w:val="top"/>
          </w:tcPr>
          <w:p w14:paraId="5786C2E9">
            <w:pPr>
              <w:spacing w:line="360" w:lineRule="auto"/>
              <w:jc w:val="center"/>
              <w:outlineLvl w:val="9"/>
              <w:rPr>
                <w:rFonts w:hint="eastAsia" w:ascii="宋体" w:hAnsi="宋体" w:eastAsia="宋体" w:cs="宋体"/>
                <w:color w:val="auto"/>
                <w:highlight w:val="none"/>
              </w:rPr>
            </w:pPr>
          </w:p>
        </w:tc>
        <w:tc>
          <w:tcPr>
            <w:tcW w:w="1072" w:type="dxa"/>
            <w:tcBorders>
              <w:top w:val="single" w:color="auto" w:sz="8" w:space="0"/>
            </w:tcBorders>
            <w:noWrap w:val="0"/>
            <w:vAlign w:val="top"/>
          </w:tcPr>
          <w:p w14:paraId="16E1F980">
            <w:pPr>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性  别</w:t>
            </w:r>
          </w:p>
        </w:tc>
        <w:tc>
          <w:tcPr>
            <w:tcW w:w="1072" w:type="dxa"/>
            <w:gridSpan w:val="3"/>
            <w:tcBorders>
              <w:top w:val="single" w:color="auto" w:sz="8" w:space="0"/>
            </w:tcBorders>
            <w:noWrap w:val="0"/>
            <w:vAlign w:val="top"/>
          </w:tcPr>
          <w:p w14:paraId="7E302B19">
            <w:pPr>
              <w:spacing w:line="360" w:lineRule="auto"/>
              <w:jc w:val="center"/>
              <w:outlineLvl w:val="9"/>
              <w:rPr>
                <w:rFonts w:hint="eastAsia" w:ascii="宋体" w:hAnsi="宋体" w:eastAsia="宋体" w:cs="宋体"/>
                <w:color w:val="auto"/>
                <w:highlight w:val="none"/>
              </w:rPr>
            </w:pPr>
          </w:p>
        </w:tc>
        <w:tc>
          <w:tcPr>
            <w:tcW w:w="1340" w:type="dxa"/>
            <w:gridSpan w:val="2"/>
            <w:tcBorders>
              <w:top w:val="single" w:color="auto" w:sz="8" w:space="0"/>
            </w:tcBorders>
            <w:noWrap w:val="0"/>
            <w:vAlign w:val="top"/>
          </w:tcPr>
          <w:p w14:paraId="1086E0EA">
            <w:pPr>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年  龄</w:t>
            </w:r>
          </w:p>
        </w:tc>
        <w:tc>
          <w:tcPr>
            <w:tcW w:w="2144" w:type="dxa"/>
            <w:gridSpan w:val="3"/>
            <w:tcBorders>
              <w:top w:val="single" w:color="auto" w:sz="8" w:space="0"/>
              <w:right w:val="single" w:color="auto" w:sz="8" w:space="0"/>
            </w:tcBorders>
            <w:noWrap w:val="0"/>
            <w:vAlign w:val="top"/>
          </w:tcPr>
          <w:p w14:paraId="689D7E32">
            <w:pPr>
              <w:spacing w:line="360" w:lineRule="auto"/>
              <w:jc w:val="center"/>
              <w:outlineLvl w:val="9"/>
              <w:rPr>
                <w:rFonts w:hint="eastAsia" w:ascii="宋体" w:hAnsi="宋体" w:eastAsia="宋体" w:cs="宋体"/>
                <w:color w:val="auto"/>
                <w:highlight w:val="none"/>
              </w:rPr>
            </w:pPr>
          </w:p>
        </w:tc>
      </w:tr>
      <w:tr w14:paraId="788B4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0" w:type="dxa"/>
            <w:tcBorders>
              <w:left w:val="single" w:color="auto" w:sz="8" w:space="0"/>
            </w:tcBorders>
            <w:noWrap w:val="0"/>
            <w:vAlign w:val="top"/>
          </w:tcPr>
          <w:p w14:paraId="258A6507">
            <w:pPr>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职  务</w:t>
            </w:r>
          </w:p>
        </w:tc>
        <w:tc>
          <w:tcPr>
            <w:tcW w:w="1608" w:type="dxa"/>
            <w:noWrap w:val="0"/>
            <w:vAlign w:val="top"/>
          </w:tcPr>
          <w:p w14:paraId="4CC2F668">
            <w:pPr>
              <w:spacing w:line="360" w:lineRule="auto"/>
              <w:jc w:val="center"/>
              <w:outlineLvl w:val="9"/>
              <w:rPr>
                <w:rFonts w:hint="eastAsia" w:ascii="宋体" w:hAnsi="宋体" w:eastAsia="宋体" w:cs="宋体"/>
                <w:color w:val="auto"/>
                <w:highlight w:val="none"/>
              </w:rPr>
            </w:pPr>
          </w:p>
        </w:tc>
        <w:tc>
          <w:tcPr>
            <w:tcW w:w="1072" w:type="dxa"/>
            <w:noWrap w:val="0"/>
            <w:vAlign w:val="top"/>
          </w:tcPr>
          <w:p w14:paraId="586F34B5">
            <w:pPr>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职  称</w:t>
            </w:r>
          </w:p>
        </w:tc>
        <w:tc>
          <w:tcPr>
            <w:tcW w:w="1072" w:type="dxa"/>
            <w:gridSpan w:val="3"/>
            <w:noWrap w:val="0"/>
            <w:vAlign w:val="top"/>
          </w:tcPr>
          <w:p w14:paraId="730AF467">
            <w:pPr>
              <w:spacing w:line="360" w:lineRule="auto"/>
              <w:jc w:val="center"/>
              <w:outlineLvl w:val="9"/>
              <w:rPr>
                <w:rFonts w:hint="eastAsia" w:ascii="宋体" w:hAnsi="宋体" w:eastAsia="宋体" w:cs="宋体"/>
                <w:color w:val="auto"/>
                <w:highlight w:val="none"/>
              </w:rPr>
            </w:pPr>
          </w:p>
        </w:tc>
        <w:tc>
          <w:tcPr>
            <w:tcW w:w="1340" w:type="dxa"/>
            <w:gridSpan w:val="2"/>
            <w:noWrap w:val="0"/>
            <w:vAlign w:val="top"/>
          </w:tcPr>
          <w:p w14:paraId="1EB8FADD">
            <w:pPr>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学  历</w:t>
            </w:r>
          </w:p>
        </w:tc>
        <w:tc>
          <w:tcPr>
            <w:tcW w:w="2144" w:type="dxa"/>
            <w:gridSpan w:val="3"/>
            <w:tcBorders>
              <w:right w:val="single" w:color="auto" w:sz="8" w:space="0"/>
            </w:tcBorders>
            <w:noWrap w:val="0"/>
            <w:vAlign w:val="top"/>
          </w:tcPr>
          <w:p w14:paraId="7AA11EC8">
            <w:pPr>
              <w:spacing w:line="360" w:lineRule="auto"/>
              <w:jc w:val="center"/>
              <w:outlineLvl w:val="9"/>
              <w:rPr>
                <w:rFonts w:hint="eastAsia" w:ascii="宋体" w:hAnsi="宋体" w:eastAsia="宋体" w:cs="宋体"/>
                <w:color w:val="auto"/>
                <w:highlight w:val="none"/>
              </w:rPr>
            </w:pPr>
          </w:p>
        </w:tc>
      </w:tr>
      <w:tr w14:paraId="54C44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80" w:type="dxa"/>
            <w:tcBorders>
              <w:left w:val="single" w:color="auto" w:sz="8" w:space="0"/>
            </w:tcBorders>
            <w:noWrap w:val="0"/>
            <w:vAlign w:val="top"/>
          </w:tcPr>
          <w:p w14:paraId="451A5B52">
            <w:pPr>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专  业</w:t>
            </w:r>
          </w:p>
        </w:tc>
        <w:tc>
          <w:tcPr>
            <w:tcW w:w="2708" w:type="dxa"/>
            <w:gridSpan w:val="3"/>
            <w:noWrap w:val="0"/>
            <w:vAlign w:val="top"/>
          </w:tcPr>
          <w:p w14:paraId="1541F4D3">
            <w:pPr>
              <w:spacing w:line="360" w:lineRule="auto"/>
              <w:outlineLvl w:val="9"/>
              <w:rPr>
                <w:rFonts w:hint="eastAsia" w:ascii="宋体" w:hAnsi="宋体" w:eastAsia="宋体" w:cs="宋体"/>
                <w:color w:val="auto"/>
                <w:highlight w:val="none"/>
              </w:rPr>
            </w:pPr>
          </w:p>
        </w:tc>
        <w:tc>
          <w:tcPr>
            <w:tcW w:w="2880" w:type="dxa"/>
            <w:gridSpan w:val="5"/>
            <w:noWrap w:val="0"/>
            <w:vAlign w:val="top"/>
          </w:tcPr>
          <w:p w14:paraId="1F5AF35D">
            <w:pPr>
              <w:spacing w:line="360" w:lineRule="auto"/>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从事项目经理年限</w:t>
            </w:r>
          </w:p>
        </w:tc>
        <w:tc>
          <w:tcPr>
            <w:tcW w:w="1648" w:type="dxa"/>
            <w:gridSpan w:val="2"/>
            <w:tcBorders>
              <w:right w:val="single" w:color="auto" w:sz="8" w:space="0"/>
            </w:tcBorders>
            <w:noWrap w:val="0"/>
            <w:vAlign w:val="top"/>
          </w:tcPr>
          <w:p w14:paraId="17A6041C">
            <w:pPr>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 xml:space="preserve">         (年)</w:t>
            </w:r>
          </w:p>
        </w:tc>
      </w:tr>
      <w:tr w14:paraId="4C60F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416" w:type="dxa"/>
            <w:gridSpan w:val="11"/>
            <w:tcBorders>
              <w:left w:val="single" w:color="auto" w:sz="8" w:space="0"/>
              <w:right w:val="single" w:color="auto" w:sz="8" w:space="0"/>
            </w:tcBorders>
            <w:noWrap w:val="0"/>
            <w:vAlign w:val="top"/>
          </w:tcPr>
          <w:p w14:paraId="03751847">
            <w:pPr>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已完工程项目情况</w:t>
            </w:r>
          </w:p>
        </w:tc>
      </w:tr>
      <w:tr w14:paraId="03409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0" w:type="dxa"/>
            <w:tcBorders>
              <w:left w:val="single" w:color="auto" w:sz="8" w:space="0"/>
            </w:tcBorders>
            <w:noWrap w:val="0"/>
            <w:vAlign w:val="top"/>
          </w:tcPr>
          <w:p w14:paraId="3A5567E5">
            <w:pPr>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建设单位</w:t>
            </w:r>
          </w:p>
        </w:tc>
        <w:tc>
          <w:tcPr>
            <w:tcW w:w="1608" w:type="dxa"/>
            <w:noWrap w:val="0"/>
            <w:vAlign w:val="top"/>
          </w:tcPr>
          <w:p w14:paraId="7CDE9942">
            <w:pPr>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项目名称</w:t>
            </w:r>
          </w:p>
        </w:tc>
        <w:tc>
          <w:tcPr>
            <w:tcW w:w="1608" w:type="dxa"/>
            <w:gridSpan w:val="3"/>
            <w:noWrap w:val="0"/>
            <w:vAlign w:val="top"/>
          </w:tcPr>
          <w:p w14:paraId="01A0337A">
            <w:pPr>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建设规模</w:t>
            </w:r>
          </w:p>
        </w:tc>
        <w:tc>
          <w:tcPr>
            <w:tcW w:w="1608" w:type="dxa"/>
            <w:gridSpan w:val="2"/>
            <w:noWrap w:val="0"/>
            <w:vAlign w:val="top"/>
          </w:tcPr>
          <w:p w14:paraId="76DAF6A5">
            <w:pPr>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开、竣工日期</w:t>
            </w:r>
          </w:p>
        </w:tc>
        <w:tc>
          <w:tcPr>
            <w:tcW w:w="1206" w:type="dxa"/>
            <w:gridSpan w:val="3"/>
            <w:noWrap w:val="0"/>
            <w:vAlign w:val="top"/>
          </w:tcPr>
          <w:p w14:paraId="7240CC1C">
            <w:pPr>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工程质量</w:t>
            </w:r>
          </w:p>
        </w:tc>
        <w:tc>
          <w:tcPr>
            <w:tcW w:w="1206" w:type="dxa"/>
            <w:tcBorders>
              <w:right w:val="single" w:color="auto" w:sz="8" w:space="0"/>
            </w:tcBorders>
            <w:noWrap w:val="0"/>
            <w:vAlign w:val="top"/>
          </w:tcPr>
          <w:p w14:paraId="3286EBA6">
            <w:pPr>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受奖情况</w:t>
            </w:r>
          </w:p>
        </w:tc>
      </w:tr>
      <w:tr w14:paraId="1BEC2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0" w:type="dxa"/>
            <w:tcBorders>
              <w:left w:val="single" w:color="auto" w:sz="8" w:space="0"/>
            </w:tcBorders>
            <w:noWrap w:val="0"/>
            <w:vAlign w:val="top"/>
          </w:tcPr>
          <w:p w14:paraId="5D05C56F">
            <w:pPr>
              <w:spacing w:line="360" w:lineRule="auto"/>
              <w:jc w:val="center"/>
              <w:outlineLvl w:val="9"/>
              <w:rPr>
                <w:rFonts w:hint="eastAsia" w:ascii="宋体" w:hAnsi="宋体" w:eastAsia="宋体" w:cs="宋体"/>
                <w:color w:val="auto"/>
                <w:highlight w:val="none"/>
              </w:rPr>
            </w:pPr>
          </w:p>
        </w:tc>
        <w:tc>
          <w:tcPr>
            <w:tcW w:w="1608" w:type="dxa"/>
            <w:noWrap w:val="0"/>
            <w:vAlign w:val="top"/>
          </w:tcPr>
          <w:p w14:paraId="00ED0730">
            <w:pPr>
              <w:spacing w:line="360" w:lineRule="auto"/>
              <w:jc w:val="center"/>
              <w:outlineLvl w:val="9"/>
              <w:rPr>
                <w:rFonts w:hint="eastAsia" w:ascii="宋体" w:hAnsi="宋体" w:eastAsia="宋体" w:cs="宋体"/>
                <w:color w:val="auto"/>
                <w:highlight w:val="none"/>
              </w:rPr>
            </w:pPr>
          </w:p>
        </w:tc>
        <w:tc>
          <w:tcPr>
            <w:tcW w:w="1608" w:type="dxa"/>
            <w:gridSpan w:val="3"/>
            <w:noWrap w:val="0"/>
            <w:vAlign w:val="top"/>
          </w:tcPr>
          <w:p w14:paraId="79D608AF">
            <w:pPr>
              <w:spacing w:line="360" w:lineRule="auto"/>
              <w:jc w:val="center"/>
              <w:outlineLvl w:val="9"/>
              <w:rPr>
                <w:rFonts w:hint="eastAsia" w:ascii="宋体" w:hAnsi="宋体" w:eastAsia="宋体" w:cs="宋体"/>
                <w:color w:val="auto"/>
                <w:highlight w:val="none"/>
              </w:rPr>
            </w:pPr>
          </w:p>
        </w:tc>
        <w:tc>
          <w:tcPr>
            <w:tcW w:w="1608" w:type="dxa"/>
            <w:gridSpan w:val="2"/>
            <w:noWrap w:val="0"/>
            <w:vAlign w:val="top"/>
          </w:tcPr>
          <w:p w14:paraId="25CA9FDD">
            <w:pPr>
              <w:spacing w:line="360" w:lineRule="auto"/>
              <w:jc w:val="center"/>
              <w:outlineLvl w:val="9"/>
              <w:rPr>
                <w:rFonts w:hint="eastAsia" w:ascii="宋体" w:hAnsi="宋体" w:eastAsia="宋体" w:cs="宋体"/>
                <w:color w:val="auto"/>
                <w:highlight w:val="none"/>
              </w:rPr>
            </w:pPr>
          </w:p>
        </w:tc>
        <w:tc>
          <w:tcPr>
            <w:tcW w:w="1206" w:type="dxa"/>
            <w:gridSpan w:val="3"/>
            <w:noWrap w:val="0"/>
            <w:vAlign w:val="top"/>
          </w:tcPr>
          <w:p w14:paraId="02AFA59B">
            <w:pPr>
              <w:spacing w:line="360" w:lineRule="auto"/>
              <w:jc w:val="center"/>
              <w:outlineLvl w:val="9"/>
              <w:rPr>
                <w:rFonts w:hint="eastAsia" w:ascii="宋体" w:hAnsi="宋体" w:eastAsia="宋体" w:cs="宋体"/>
                <w:color w:val="auto"/>
                <w:highlight w:val="none"/>
              </w:rPr>
            </w:pPr>
          </w:p>
        </w:tc>
        <w:tc>
          <w:tcPr>
            <w:tcW w:w="1206" w:type="dxa"/>
            <w:tcBorders>
              <w:right w:val="single" w:color="auto" w:sz="8" w:space="0"/>
            </w:tcBorders>
            <w:noWrap w:val="0"/>
            <w:vAlign w:val="top"/>
          </w:tcPr>
          <w:p w14:paraId="18166671">
            <w:pPr>
              <w:spacing w:line="360" w:lineRule="auto"/>
              <w:jc w:val="center"/>
              <w:outlineLvl w:val="9"/>
              <w:rPr>
                <w:rFonts w:hint="eastAsia" w:ascii="宋体" w:hAnsi="宋体" w:eastAsia="宋体" w:cs="宋体"/>
                <w:color w:val="auto"/>
                <w:highlight w:val="none"/>
              </w:rPr>
            </w:pPr>
          </w:p>
        </w:tc>
      </w:tr>
      <w:tr w14:paraId="2D624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0" w:type="dxa"/>
            <w:tcBorders>
              <w:left w:val="single" w:color="auto" w:sz="8" w:space="0"/>
            </w:tcBorders>
            <w:noWrap w:val="0"/>
            <w:vAlign w:val="top"/>
          </w:tcPr>
          <w:p w14:paraId="103FFD29">
            <w:pPr>
              <w:spacing w:line="360" w:lineRule="auto"/>
              <w:jc w:val="center"/>
              <w:outlineLvl w:val="9"/>
              <w:rPr>
                <w:rFonts w:hint="eastAsia" w:ascii="宋体" w:hAnsi="宋体" w:eastAsia="宋体" w:cs="宋体"/>
                <w:color w:val="auto"/>
                <w:highlight w:val="none"/>
              </w:rPr>
            </w:pPr>
          </w:p>
        </w:tc>
        <w:tc>
          <w:tcPr>
            <w:tcW w:w="1608" w:type="dxa"/>
            <w:noWrap w:val="0"/>
            <w:vAlign w:val="top"/>
          </w:tcPr>
          <w:p w14:paraId="05FEC203">
            <w:pPr>
              <w:spacing w:line="360" w:lineRule="auto"/>
              <w:jc w:val="center"/>
              <w:outlineLvl w:val="9"/>
              <w:rPr>
                <w:rFonts w:hint="eastAsia" w:ascii="宋体" w:hAnsi="宋体" w:eastAsia="宋体" w:cs="宋体"/>
                <w:color w:val="auto"/>
                <w:highlight w:val="none"/>
              </w:rPr>
            </w:pPr>
          </w:p>
        </w:tc>
        <w:tc>
          <w:tcPr>
            <w:tcW w:w="1608" w:type="dxa"/>
            <w:gridSpan w:val="3"/>
            <w:noWrap w:val="0"/>
            <w:vAlign w:val="top"/>
          </w:tcPr>
          <w:p w14:paraId="103DE4F4">
            <w:pPr>
              <w:spacing w:line="360" w:lineRule="auto"/>
              <w:jc w:val="center"/>
              <w:outlineLvl w:val="9"/>
              <w:rPr>
                <w:rFonts w:hint="eastAsia" w:ascii="宋体" w:hAnsi="宋体" w:eastAsia="宋体" w:cs="宋体"/>
                <w:color w:val="auto"/>
                <w:highlight w:val="none"/>
              </w:rPr>
            </w:pPr>
          </w:p>
        </w:tc>
        <w:tc>
          <w:tcPr>
            <w:tcW w:w="1608" w:type="dxa"/>
            <w:gridSpan w:val="2"/>
            <w:noWrap w:val="0"/>
            <w:vAlign w:val="top"/>
          </w:tcPr>
          <w:p w14:paraId="7C910F48">
            <w:pPr>
              <w:spacing w:line="360" w:lineRule="auto"/>
              <w:jc w:val="center"/>
              <w:outlineLvl w:val="9"/>
              <w:rPr>
                <w:rFonts w:hint="eastAsia" w:ascii="宋体" w:hAnsi="宋体" w:eastAsia="宋体" w:cs="宋体"/>
                <w:color w:val="auto"/>
                <w:highlight w:val="none"/>
              </w:rPr>
            </w:pPr>
          </w:p>
        </w:tc>
        <w:tc>
          <w:tcPr>
            <w:tcW w:w="1206" w:type="dxa"/>
            <w:gridSpan w:val="3"/>
            <w:noWrap w:val="0"/>
            <w:vAlign w:val="top"/>
          </w:tcPr>
          <w:p w14:paraId="0D7F5FD6">
            <w:pPr>
              <w:spacing w:line="360" w:lineRule="auto"/>
              <w:jc w:val="center"/>
              <w:outlineLvl w:val="9"/>
              <w:rPr>
                <w:rFonts w:hint="eastAsia" w:ascii="宋体" w:hAnsi="宋体" w:eastAsia="宋体" w:cs="宋体"/>
                <w:color w:val="auto"/>
                <w:highlight w:val="none"/>
              </w:rPr>
            </w:pPr>
          </w:p>
        </w:tc>
        <w:tc>
          <w:tcPr>
            <w:tcW w:w="1206" w:type="dxa"/>
            <w:tcBorders>
              <w:right w:val="single" w:color="auto" w:sz="8" w:space="0"/>
            </w:tcBorders>
            <w:noWrap w:val="0"/>
            <w:vAlign w:val="top"/>
          </w:tcPr>
          <w:p w14:paraId="733F2EB0">
            <w:pPr>
              <w:spacing w:line="360" w:lineRule="auto"/>
              <w:jc w:val="center"/>
              <w:outlineLvl w:val="9"/>
              <w:rPr>
                <w:rFonts w:hint="eastAsia" w:ascii="宋体" w:hAnsi="宋体" w:eastAsia="宋体" w:cs="宋体"/>
                <w:color w:val="auto"/>
                <w:highlight w:val="none"/>
              </w:rPr>
            </w:pPr>
          </w:p>
        </w:tc>
      </w:tr>
      <w:tr w14:paraId="2EE72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0" w:type="dxa"/>
            <w:tcBorders>
              <w:left w:val="single" w:color="auto" w:sz="8" w:space="0"/>
            </w:tcBorders>
            <w:noWrap w:val="0"/>
            <w:vAlign w:val="top"/>
          </w:tcPr>
          <w:p w14:paraId="64FB4021">
            <w:pPr>
              <w:spacing w:line="360" w:lineRule="auto"/>
              <w:jc w:val="center"/>
              <w:outlineLvl w:val="9"/>
              <w:rPr>
                <w:rFonts w:hint="eastAsia" w:ascii="宋体" w:hAnsi="宋体" w:eastAsia="宋体" w:cs="宋体"/>
                <w:color w:val="auto"/>
                <w:highlight w:val="none"/>
              </w:rPr>
            </w:pPr>
          </w:p>
        </w:tc>
        <w:tc>
          <w:tcPr>
            <w:tcW w:w="1608" w:type="dxa"/>
            <w:noWrap w:val="0"/>
            <w:vAlign w:val="top"/>
          </w:tcPr>
          <w:p w14:paraId="544F56AC">
            <w:pPr>
              <w:spacing w:line="360" w:lineRule="auto"/>
              <w:jc w:val="center"/>
              <w:outlineLvl w:val="9"/>
              <w:rPr>
                <w:rFonts w:hint="eastAsia" w:ascii="宋体" w:hAnsi="宋体" w:eastAsia="宋体" w:cs="宋体"/>
                <w:color w:val="auto"/>
                <w:highlight w:val="none"/>
              </w:rPr>
            </w:pPr>
          </w:p>
        </w:tc>
        <w:tc>
          <w:tcPr>
            <w:tcW w:w="1608" w:type="dxa"/>
            <w:gridSpan w:val="3"/>
            <w:noWrap w:val="0"/>
            <w:vAlign w:val="top"/>
          </w:tcPr>
          <w:p w14:paraId="04C587F2">
            <w:pPr>
              <w:spacing w:line="360" w:lineRule="auto"/>
              <w:jc w:val="center"/>
              <w:outlineLvl w:val="9"/>
              <w:rPr>
                <w:rFonts w:hint="eastAsia" w:ascii="宋体" w:hAnsi="宋体" w:eastAsia="宋体" w:cs="宋体"/>
                <w:color w:val="auto"/>
                <w:highlight w:val="none"/>
              </w:rPr>
            </w:pPr>
          </w:p>
        </w:tc>
        <w:tc>
          <w:tcPr>
            <w:tcW w:w="1608" w:type="dxa"/>
            <w:gridSpan w:val="2"/>
            <w:noWrap w:val="0"/>
            <w:vAlign w:val="top"/>
          </w:tcPr>
          <w:p w14:paraId="1568759C">
            <w:pPr>
              <w:spacing w:line="360" w:lineRule="auto"/>
              <w:jc w:val="center"/>
              <w:outlineLvl w:val="9"/>
              <w:rPr>
                <w:rFonts w:hint="eastAsia" w:ascii="宋体" w:hAnsi="宋体" w:eastAsia="宋体" w:cs="宋体"/>
                <w:color w:val="auto"/>
                <w:highlight w:val="none"/>
              </w:rPr>
            </w:pPr>
          </w:p>
        </w:tc>
        <w:tc>
          <w:tcPr>
            <w:tcW w:w="1206" w:type="dxa"/>
            <w:gridSpan w:val="3"/>
            <w:noWrap w:val="0"/>
            <w:vAlign w:val="top"/>
          </w:tcPr>
          <w:p w14:paraId="7C48E5CA">
            <w:pPr>
              <w:spacing w:line="360" w:lineRule="auto"/>
              <w:jc w:val="center"/>
              <w:outlineLvl w:val="9"/>
              <w:rPr>
                <w:rFonts w:hint="eastAsia" w:ascii="宋体" w:hAnsi="宋体" w:eastAsia="宋体" w:cs="宋体"/>
                <w:color w:val="auto"/>
                <w:highlight w:val="none"/>
              </w:rPr>
            </w:pPr>
          </w:p>
        </w:tc>
        <w:tc>
          <w:tcPr>
            <w:tcW w:w="1206" w:type="dxa"/>
            <w:tcBorders>
              <w:right w:val="single" w:color="auto" w:sz="8" w:space="0"/>
            </w:tcBorders>
            <w:noWrap w:val="0"/>
            <w:vAlign w:val="top"/>
          </w:tcPr>
          <w:p w14:paraId="396266B3">
            <w:pPr>
              <w:spacing w:line="360" w:lineRule="auto"/>
              <w:jc w:val="center"/>
              <w:outlineLvl w:val="9"/>
              <w:rPr>
                <w:rFonts w:hint="eastAsia" w:ascii="宋体" w:hAnsi="宋体" w:eastAsia="宋体" w:cs="宋体"/>
                <w:color w:val="auto"/>
                <w:highlight w:val="none"/>
              </w:rPr>
            </w:pPr>
          </w:p>
        </w:tc>
      </w:tr>
      <w:tr w14:paraId="318EE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0" w:type="dxa"/>
            <w:tcBorders>
              <w:left w:val="single" w:color="auto" w:sz="8" w:space="0"/>
            </w:tcBorders>
            <w:noWrap w:val="0"/>
            <w:vAlign w:val="top"/>
          </w:tcPr>
          <w:p w14:paraId="270B66E7">
            <w:pPr>
              <w:spacing w:line="360" w:lineRule="auto"/>
              <w:jc w:val="center"/>
              <w:outlineLvl w:val="9"/>
              <w:rPr>
                <w:rFonts w:hint="eastAsia" w:ascii="宋体" w:hAnsi="宋体" w:eastAsia="宋体" w:cs="宋体"/>
                <w:color w:val="auto"/>
                <w:highlight w:val="none"/>
              </w:rPr>
            </w:pPr>
          </w:p>
        </w:tc>
        <w:tc>
          <w:tcPr>
            <w:tcW w:w="1608" w:type="dxa"/>
            <w:noWrap w:val="0"/>
            <w:vAlign w:val="top"/>
          </w:tcPr>
          <w:p w14:paraId="689C3F1D">
            <w:pPr>
              <w:spacing w:line="360" w:lineRule="auto"/>
              <w:jc w:val="center"/>
              <w:outlineLvl w:val="9"/>
              <w:rPr>
                <w:rFonts w:hint="eastAsia" w:ascii="宋体" w:hAnsi="宋体" w:eastAsia="宋体" w:cs="宋体"/>
                <w:color w:val="auto"/>
                <w:highlight w:val="none"/>
              </w:rPr>
            </w:pPr>
          </w:p>
        </w:tc>
        <w:tc>
          <w:tcPr>
            <w:tcW w:w="1608" w:type="dxa"/>
            <w:gridSpan w:val="3"/>
            <w:noWrap w:val="0"/>
            <w:vAlign w:val="top"/>
          </w:tcPr>
          <w:p w14:paraId="19B08DBF">
            <w:pPr>
              <w:spacing w:line="360" w:lineRule="auto"/>
              <w:jc w:val="center"/>
              <w:outlineLvl w:val="9"/>
              <w:rPr>
                <w:rFonts w:hint="eastAsia" w:ascii="宋体" w:hAnsi="宋体" w:eastAsia="宋体" w:cs="宋体"/>
                <w:color w:val="auto"/>
                <w:highlight w:val="none"/>
              </w:rPr>
            </w:pPr>
          </w:p>
        </w:tc>
        <w:tc>
          <w:tcPr>
            <w:tcW w:w="1608" w:type="dxa"/>
            <w:gridSpan w:val="2"/>
            <w:noWrap w:val="0"/>
            <w:vAlign w:val="top"/>
          </w:tcPr>
          <w:p w14:paraId="095AED15">
            <w:pPr>
              <w:spacing w:line="360" w:lineRule="auto"/>
              <w:jc w:val="center"/>
              <w:outlineLvl w:val="9"/>
              <w:rPr>
                <w:rFonts w:hint="eastAsia" w:ascii="宋体" w:hAnsi="宋体" w:eastAsia="宋体" w:cs="宋体"/>
                <w:color w:val="auto"/>
                <w:highlight w:val="none"/>
              </w:rPr>
            </w:pPr>
          </w:p>
        </w:tc>
        <w:tc>
          <w:tcPr>
            <w:tcW w:w="1206" w:type="dxa"/>
            <w:gridSpan w:val="3"/>
            <w:noWrap w:val="0"/>
            <w:vAlign w:val="top"/>
          </w:tcPr>
          <w:p w14:paraId="1A6C5F54">
            <w:pPr>
              <w:spacing w:line="360" w:lineRule="auto"/>
              <w:jc w:val="center"/>
              <w:outlineLvl w:val="9"/>
              <w:rPr>
                <w:rFonts w:hint="eastAsia" w:ascii="宋体" w:hAnsi="宋体" w:eastAsia="宋体" w:cs="宋体"/>
                <w:color w:val="auto"/>
                <w:highlight w:val="none"/>
              </w:rPr>
            </w:pPr>
          </w:p>
        </w:tc>
        <w:tc>
          <w:tcPr>
            <w:tcW w:w="1206" w:type="dxa"/>
            <w:tcBorders>
              <w:right w:val="single" w:color="auto" w:sz="8" w:space="0"/>
            </w:tcBorders>
            <w:noWrap w:val="0"/>
            <w:vAlign w:val="top"/>
          </w:tcPr>
          <w:p w14:paraId="0DB6BD35">
            <w:pPr>
              <w:spacing w:line="360" w:lineRule="auto"/>
              <w:jc w:val="center"/>
              <w:outlineLvl w:val="9"/>
              <w:rPr>
                <w:rFonts w:hint="eastAsia" w:ascii="宋体" w:hAnsi="宋体" w:eastAsia="宋体" w:cs="宋体"/>
                <w:color w:val="auto"/>
                <w:highlight w:val="none"/>
              </w:rPr>
            </w:pPr>
          </w:p>
        </w:tc>
      </w:tr>
      <w:tr w14:paraId="11C26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0" w:type="dxa"/>
            <w:tcBorders>
              <w:left w:val="single" w:color="auto" w:sz="8" w:space="0"/>
            </w:tcBorders>
            <w:noWrap w:val="0"/>
            <w:vAlign w:val="top"/>
          </w:tcPr>
          <w:p w14:paraId="1A473E3D">
            <w:pPr>
              <w:spacing w:line="360" w:lineRule="auto"/>
              <w:jc w:val="center"/>
              <w:outlineLvl w:val="9"/>
              <w:rPr>
                <w:rFonts w:hint="eastAsia" w:ascii="宋体" w:hAnsi="宋体" w:eastAsia="宋体" w:cs="宋体"/>
                <w:color w:val="auto"/>
                <w:highlight w:val="none"/>
              </w:rPr>
            </w:pPr>
          </w:p>
        </w:tc>
        <w:tc>
          <w:tcPr>
            <w:tcW w:w="1608" w:type="dxa"/>
            <w:noWrap w:val="0"/>
            <w:vAlign w:val="top"/>
          </w:tcPr>
          <w:p w14:paraId="73E5EC40">
            <w:pPr>
              <w:spacing w:line="360" w:lineRule="auto"/>
              <w:jc w:val="center"/>
              <w:outlineLvl w:val="9"/>
              <w:rPr>
                <w:rFonts w:hint="eastAsia" w:ascii="宋体" w:hAnsi="宋体" w:eastAsia="宋体" w:cs="宋体"/>
                <w:color w:val="auto"/>
                <w:highlight w:val="none"/>
              </w:rPr>
            </w:pPr>
          </w:p>
        </w:tc>
        <w:tc>
          <w:tcPr>
            <w:tcW w:w="1608" w:type="dxa"/>
            <w:gridSpan w:val="3"/>
            <w:noWrap w:val="0"/>
            <w:vAlign w:val="top"/>
          </w:tcPr>
          <w:p w14:paraId="35617BE0">
            <w:pPr>
              <w:spacing w:line="360" w:lineRule="auto"/>
              <w:jc w:val="center"/>
              <w:outlineLvl w:val="9"/>
              <w:rPr>
                <w:rFonts w:hint="eastAsia" w:ascii="宋体" w:hAnsi="宋体" w:eastAsia="宋体" w:cs="宋体"/>
                <w:color w:val="auto"/>
                <w:highlight w:val="none"/>
              </w:rPr>
            </w:pPr>
          </w:p>
        </w:tc>
        <w:tc>
          <w:tcPr>
            <w:tcW w:w="1608" w:type="dxa"/>
            <w:gridSpan w:val="2"/>
            <w:noWrap w:val="0"/>
            <w:vAlign w:val="top"/>
          </w:tcPr>
          <w:p w14:paraId="73331AB2">
            <w:pPr>
              <w:spacing w:line="360" w:lineRule="auto"/>
              <w:jc w:val="center"/>
              <w:outlineLvl w:val="9"/>
              <w:rPr>
                <w:rFonts w:hint="eastAsia" w:ascii="宋体" w:hAnsi="宋体" w:eastAsia="宋体" w:cs="宋体"/>
                <w:color w:val="auto"/>
                <w:highlight w:val="none"/>
              </w:rPr>
            </w:pPr>
          </w:p>
        </w:tc>
        <w:tc>
          <w:tcPr>
            <w:tcW w:w="1206" w:type="dxa"/>
            <w:gridSpan w:val="3"/>
            <w:noWrap w:val="0"/>
            <w:vAlign w:val="top"/>
          </w:tcPr>
          <w:p w14:paraId="4FE95FCE">
            <w:pPr>
              <w:spacing w:line="360" w:lineRule="auto"/>
              <w:jc w:val="center"/>
              <w:outlineLvl w:val="9"/>
              <w:rPr>
                <w:rFonts w:hint="eastAsia" w:ascii="宋体" w:hAnsi="宋体" w:eastAsia="宋体" w:cs="宋体"/>
                <w:color w:val="auto"/>
                <w:highlight w:val="none"/>
              </w:rPr>
            </w:pPr>
          </w:p>
        </w:tc>
        <w:tc>
          <w:tcPr>
            <w:tcW w:w="1206" w:type="dxa"/>
            <w:tcBorders>
              <w:right w:val="single" w:color="auto" w:sz="8" w:space="0"/>
            </w:tcBorders>
            <w:noWrap w:val="0"/>
            <w:vAlign w:val="top"/>
          </w:tcPr>
          <w:p w14:paraId="4BE1A24D">
            <w:pPr>
              <w:spacing w:line="360" w:lineRule="auto"/>
              <w:jc w:val="center"/>
              <w:outlineLvl w:val="9"/>
              <w:rPr>
                <w:rFonts w:hint="eastAsia" w:ascii="宋体" w:hAnsi="宋体" w:eastAsia="宋体" w:cs="宋体"/>
                <w:color w:val="auto"/>
                <w:highlight w:val="none"/>
              </w:rPr>
            </w:pPr>
          </w:p>
        </w:tc>
      </w:tr>
      <w:tr w14:paraId="68DC0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0" w:type="dxa"/>
            <w:tcBorders>
              <w:left w:val="single" w:color="auto" w:sz="8" w:space="0"/>
            </w:tcBorders>
            <w:noWrap w:val="0"/>
            <w:vAlign w:val="top"/>
          </w:tcPr>
          <w:p w14:paraId="13D61369">
            <w:pPr>
              <w:spacing w:line="360" w:lineRule="auto"/>
              <w:jc w:val="center"/>
              <w:outlineLvl w:val="9"/>
              <w:rPr>
                <w:rFonts w:hint="eastAsia" w:ascii="宋体" w:hAnsi="宋体" w:eastAsia="宋体" w:cs="宋体"/>
                <w:color w:val="auto"/>
                <w:highlight w:val="none"/>
              </w:rPr>
            </w:pPr>
          </w:p>
        </w:tc>
        <w:tc>
          <w:tcPr>
            <w:tcW w:w="1608" w:type="dxa"/>
            <w:noWrap w:val="0"/>
            <w:vAlign w:val="top"/>
          </w:tcPr>
          <w:p w14:paraId="40D4F162">
            <w:pPr>
              <w:spacing w:line="360" w:lineRule="auto"/>
              <w:jc w:val="center"/>
              <w:outlineLvl w:val="9"/>
              <w:rPr>
                <w:rFonts w:hint="eastAsia" w:ascii="宋体" w:hAnsi="宋体" w:eastAsia="宋体" w:cs="宋体"/>
                <w:color w:val="auto"/>
                <w:highlight w:val="none"/>
              </w:rPr>
            </w:pPr>
          </w:p>
        </w:tc>
        <w:tc>
          <w:tcPr>
            <w:tcW w:w="1608" w:type="dxa"/>
            <w:gridSpan w:val="3"/>
            <w:noWrap w:val="0"/>
            <w:vAlign w:val="top"/>
          </w:tcPr>
          <w:p w14:paraId="712685E4">
            <w:pPr>
              <w:spacing w:line="360" w:lineRule="auto"/>
              <w:jc w:val="center"/>
              <w:outlineLvl w:val="9"/>
              <w:rPr>
                <w:rFonts w:hint="eastAsia" w:ascii="宋体" w:hAnsi="宋体" w:eastAsia="宋体" w:cs="宋体"/>
                <w:color w:val="auto"/>
                <w:highlight w:val="none"/>
              </w:rPr>
            </w:pPr>
          </w:p>
        </w:tc>
        <w:tc>
          <w:tcPr>
            <w:tcW w:w="1608" w:type="dxa"/>
            <w:gridSpan w:val="2"/>
            <w:noWrap w:val="0"/>
            <w:vAlign w:val="top"/>
          </w:tcPr>
          <w:p w14:paraId="607F3C7F">
            <w:pPr>
              <w:spacing w:line="360" w:lineRule="auto"/>
              <w:jc w:val="center"/>
              <w:outlineLvl w:val="9"/>
              <w:rPr>
                <w:rFonts w:hint="eastAsia" w:ascii="宋体" w:hAnsi="宋体" w:eastAsia="宋体" w:cs="宋体"/>
                <w:color w:val="auto"/>
                <w:highlight w:val="none"/>
              </w:rPr>
            </w:pPr>
          </w:p>
        </w:tc>
        <w:tc>
          <w:tcPr>
            <w:tcW w:w="1206" w:type="dxa"/>
            <w:gridSpan w:val="3"/>
            <w:noWrap w:val="0"/>
            <w:vAlign w:val="top"/>
          </w:tcPr>
          <w:p w14:paraId="31A35A70">
            <w:pPr>
              <w:spacing w:line="360" w:lineRule="auto"/>
              <w:jc w:val="center"/>
              <w:outlineLvl w:val="9"/>
              <w:rPr>
                <w:rFonts w:hint="eastAsia" w:ascii="宋体" w:hAnsi="宋体" w:eastAsia="宋体" w:cs="宋体"/>
                <w:color w:val="auto"/>
                <w:highlight w:val="none"/>
              </w:rPr>
            </w:pPr>
          </w:p>
        </w:tc>
        <w:tc>
          <w:tcPr>
            <w:tcW w:w="1206" w:type="dxa"/>
            <w:tcBorders>
              <w:right w:val="single" w:color="auto" w:sz="8" w:space="0"/>
            </w:tcBorders>
            <w:noWrap w:val="0"/>
            <w:vAlign w:val="top"/>
          </w:tcPr>
          <w:p w14:paraId="0EFE41C7">
            <w:pPr>
              <w:spacing w:line="360" w:lineRule="auto"/>
              <w:jc w:val="center"/>
              <w:outlineLvl w:val="9"/>
              <w:rPr>
                <w:rFonts w:hint="eastAsia" w:ascii="宋体" w:hAnsi="宋体" w:eastAsia="宋体" w:cs="宋体"/>
                <w:color w:val="auto"/>
                <w:highlight w:val="none"/>
              </w:rPr>
            </w:pPr>
          </w:p>
        </w:tc>
      </w:tr>
      <w:tr w14:paraId="5E41A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0" w:type="dxa"/>
            <w:tcBorders>
              <w:left w:val="single" w:color="auto" w:sz="8" w:space="0"/>
            </w:tcBorders>
            <w:noWrap w:val="0"/>
            <w:vAlign w:val="top"/>
          </w:tcPr>
          <w:p w14:paraId="219E2F33">
            <w:pPr>
              <w:spacing w:line="360" w:lineRule="auto"/>
              <w:jc w:val="center"/>
              <w:outlineLvl w:val="9"/>
              <w:rPr>
                <w:rFonts w:hint="eastAsia" w:ascii="宋体" w:hAnsi="宋体" w:eastAsia="宋体" w:cs="宋体"/>
                <w:color w:val="auto"/>
                <w:highlight w:val="none"/>
              </w:rPr>
            </w:pPr>
          </w:p>
        </w:tc>
        <w:tc>
          <w:tcPr>
            <w:tcW w:w="1608" w:type="dxa"/>
            <w:noWrap w:val="0"/>
            <w:vAlign w:val="top"/>
          </w:tcPr>
          <w:p w14:paraId="7FBB684B">
            <w:pPr>
              <w:spacing w:line="360" w:lineRule="auto"/>
              <w:jc w:val="center"/>
              <w:outlineLvl w:val="9"/>
              <w:rPr>
                <w:rFonts w:hint="eastAsia" w:ascii="宋体" w:hAnsi="宋体" w:eastAsia="宋体" w:cs="宋体"/>
                <w:color w:val="auto"/>
                <w:highlight w:val="none"/>
              </w:rPr>
            </w:pPr>
          </w:p>
        </w:tc>
        <w:tc>
          <w:tcPr>
            <w:tcW w:w="1608" w:type="dxa"/>
            <w:gridSpan w:val="3"/>
            <w:noWrap w:val="0"/>
            <w:vAlign w:val="top"/>
          </w:tcPr>
          <w:p w14:paraId="2257751D">
            <w:pPr>
              <w:spacing w:line="360" w:lineRule="auto"/>
              <w:jc w:val="center"/>
              <w:outlineLvl w:val="9"/>
              <w:rPr>
                <w:rFonts w:hint="eastAsia" w:ascii="宋体" w:hAnsi="宋体" w:eastAsia="宋体" w:cs="宋体"/>
                <w:color w:val="auto"/>
                <w:highlight w:val="none"/>
              </w:rPr>
            </w:pPr>
          </w:p>
        </w:tc>
        <w:tc>
          <w:tcPr>
            <w:tcW w:w="1608" w:type="dxa"/>
            <w:gridSpan w:val="2"/>
            <w:noWrap w:val="0"/>
            <w:vAlign w:val="top"/>
          </w:tcPr>
          <w:p w14:paraId="2195D127">
            <w:pPr>
              <w:spacing w:line="360" w:lineRule="auto"/>
              <w:jc w:val="center"/>
              <w:outlineLvl w:val="9"/>
              <w:rPr>
                <w:rFonts w:hint="eastAsia" w:ascii="宋体" w:hAnsi="宋体" w:eastAsia="宋体" w:cs="宋体"/>
                <w:color w:val="auto"/>
                <w:highlight w:val="none"/>
              </w:rPr>
            </w:pPr>
          </w:p>
        </w:tc>
        <w:tc>
          <w:tcPr>
            <w:tcW w:w="1206" w:type="dxa"/>
            <w:gridSpan w:val="3"/>
            <w:noWrap w:val="0"/>
            <w:vAlign w:val="top"/>
          </w:tcPr>
          <w:p w14:paraId="204F2E53">
            <w:pPr>
              <w:spacing w:line="360" w:lineRule="auto"/>
              <w:jc w:val="center"/>
              <w:outlineLvl w:val="9"/>
              <w:rPr>
                <w:rFonts w:hint="eastAsia" w:ascii="宋体" w:hAnsi="宋体" w:eastAsia="宋体" w:cs="宋体"/>
                <w:color w:val="auto"/>
                <w:highlight w:val="none"/>
              </w:rPr>
            </w:pPr>
          </w:p>
        </w:tc>
        <w:tc>
          <w:tcPr>
            <w:tcW w:w="1206" w:type="dxa"/>
            <w:tcBorders>
              <w:right w:val="single" w:color="auto" w:sz="8" w:space="0"/>
            </w:tcBorders>
            <w:noWrap w:val="0"/>
            <w:vAlign w:val="top"/>
          </w:tcPr>
          <w:p w14:paraId="540A2E35">
            <w:pPr>
              <w:spacing w:line="360" w:lineRule="auto"/>
              <w:jc w:val="center"/>
              <w:outlineLvl w:val="9"/>
              <w:rPr>
                <w:rFonts w:hint="eastAsia" w:ascii="宋体" w:hAnsi="宋体" w:eastAsia="宋体" w:cs="宋体"/>
                <w:color w:val="auto"/>
                <w:highlight w:val="none"/>
              </w:rPr>
            </w:pPr>
          </w:p>
        </w:tc>
      </w:tr>
      <w:tr w14:paraId="75019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0" w:type="dxa"/>
            <w:tcBorders>
              <w:left w:val="single" w:color="auto" w:sz="8" w:space="0"/>
              <w:bottom w:val="single" w:color="auto" w:sz="8" w:space="0"/>
            </w:tcBorders>
            <w:noWrap w:val="0"/>
            <w:vAlign w:val="top"/>
          </w:tcPr>
          <w:p w14:paraId="6C9D132B">
            <w:pPr>
              <w:spacing w:line="360" w:lineRule="auto"/>
              <w:jc w:val="center"/>
              <w:outlineLvl w:val="9"/>
              <w:rPr>
                <w:rFonts w:hint="eastAsia" w:ascii="宋体" w:hAnsi="宋体" w:eastAsia="宋体" w:cs="宋体"/>
                <w:color w:val="auto"/>
                <w:highlight w:val="none"/>
              </w:rPr>
            </w:pPr>
          </w:p>
        </w:tc>
        <w:tc>
          <w:tcPr>
            <w:tcW w:w="1608" w:type="dxa"/>
            <w:tcBorders>
              <w:bottom w:val="single" w:color="auto" w:sz="8" w:space="0"/>
            </w:tcBorders>
            <w:noWrap w:val="0"/>
            <w:vAlign w:val="top"/>
          </w:tcPr>
          <w:p w14:paraId="14DEB89A">
            <w:pPr>
              <w:spacing w:line="360" w:lineRule="auto"/>
              <w:jc w:val="center"/>
              <w:outlineLvl w:val="9"/>
              <w:rPr>
                <w:rFonts w:hint="eastAsia" w:ascii="宋体" w:hAnsi="宋体" w:eastAsia="宋体" w:cs="宋体"/>
                <w:color w:val="auto"/>
                <w:highlight w:val="none"/>
              </w:rPr>
            </w:pPr>
          </w:p>
        </w:tc>
        <w:tc>
          <w:tcPr>
            <w:tcW w:w="1608" w:type="dxa"/>
            <w:gridSpan w:val="3"/>
            <w:tcBorders>
              <w:bottom w:val="single" w:color="auto" w:sz="8" w:space="0"/>
            </w:tcBorders>
            <w:noWrap w:val="0"/>
            <w:vAlign w:val="top"/>
          </w:tcPr>
          <w:p w14:paraId="0ED3FCD2">
            <w:pPr>
              <w:spacing w:line="360" w:lineRule="auto"/>
              <w:jc w:val="center"/>
              <w:outlineLvl w:val="9"/>
              <w:rPr>
                <w:rFonts w:hint="eastAsia" w:ascii="宋体" w:hAnsi="宋体" w:eastAsia="宋体" w:cs="宋体"/>
                <w:color w:val="auto"/>
                <w:highlight w:val="none"/>
              </w:rPr>
            </w:pPr>
          </w:p>
        </w:tc>
        <w:tc>
          <w:tcPr>
            <w:tcW w:w="1608" w:type="dxa"/>
            <w:gridSpan w:val="2"/>
            <w:tcBorders>
              <w:bottom w:val="single" w:color="auto" w:sz="8" w:space="0"/>
            </w:tcBorders>
            <w:noWrap w:val="0"/>
            <w:vAlign w:val="top"/>
          </w:tcPr>
          <w:p w14:paraId="7D5EAA65">
            <w:pPr>
              <w:spacing w:line="360" w:lineRule="auto"/>
              <w:jc w:val="center"/>
              <w:outlineLvl w:val="9"/>
              <w:rPr>
                <w:rFonts w:hint="eastAsia" w:ascii="宋体" w:hAnsi="宋体" w:eastAsia="宋体" w:cs="宋体"/>
                <w:color w:val="auto"/>
                <w:highlight w:val="none"/>
              </w:rPr>
            </w:pPr>
          </w:p>
        </w:tc>
        <w:tc>
          <w:tcPr>
            <w:tcW w:w="1206" w:type="dxa"/>
            <w:gridSpan w:val="3"/>
            <w:tcBorders>
              <w:bottom w:val="single" w:color="auto" w:sz="8" w:space="0"/>
            </w:tcBorders>
            <w:noWrap w:val="0"/>
            <w:vAlign w:val="top"/>
          </w:tcPr>
          <w:p w14:paraId="4CF102F0">
            <w:pPr>
              <w:spacing w:line="360" w:lineRule="auto"/>
              <w:jc w:val="center"/>
              <w:outlineLvl w:val="9"/>
              <w:rPr>
                <w:rFonts w:hint="eastAsia" w:ascii="宋体" w:hAnsi="宋体" w:eastAsia="宋体" w:cs="宋体"/>
                <w:color w:val="auto"/>
                <w:highlight w:val="none"/>
              </w:rPr>
            </w:pPr>
          </w:p>
        </w:tc>
        <w:tc>
          <w:tcPr>
            <w:tcW w:w="1206" w:type="dxa"/>
            <w:tcBorders>
              <w:bottom w:val="single" w:color="auto" w:sz="8" w:space="0"/>
              <w:right w:val="single" w:color="auto" w:sz="8" w:space="0"/>
            </w:tcBorders>
            <w:noWrap w:val="0"/>
            <w:vAlign w:val="top"/>
          </w:tcPr>
          <w:p w14:paraId="32E70771">
            <w:pPr>
              <w:spacing w:line="360" w:lineRule="auto"/>
              <w:jc w:val="center"/>
              <w:outlineLvl w:val="9"/>
              <w:rPr>
                <w:rFonts w:hint="eastAsia" w:ascii="宋体" w:hAnsi="宋体" w:eastAsia="宋体" w:cs="宋体"/>
                <w:color w:val="auto"/>
                <w:highlight w:val="none"/>
              </w:rPr>
            </w:pPr>
          </w:p>
        </w:tc>
      </w:tr>
    </w:tbl>
    <w:p w14:paraId="1A420C48">
      <w:pPr>
        <w:snapToGrid w:val="0"/>
        <w:spacing w:line="360" w:lineRule="auto"/>
        <w:outlineLvl w:val="9"/>
        <w:rPr>
          <w:rFonts w:hint="eastAsia" w:ascii="宋体" w:hAnsi="宋体" w:eastAsia="宋体" w:cs="宋体"/>
          <w:b/>
          <w:color w:val="auto"/>
          <w:sz w:val="24"/>
          <w:highlight w:val="none"/>
        </w:rPr>
      </w:pPr>
    </w:p>
    <w:p w14:paraId="36B5337E">
      <w:pPr>
        <w:widowControl/>
        <w:spacing w:line="360" w:lineRule="auto"/>
        <w:ind w:firstLine="3092" w:firstLineChars="1100"/>
        <w:jc w:val="left"/>
        <w:outlineLvl w:val="9"/>
        <w:rPr>
          <w:rFonts w:hint="eastAsia" w:ascii="宋体" w:hAnsi="宋体" w:eastAsia="宋体" w:cs="宋体"/>
          <w:b/>
          <w:color w:val="auto"/>
          <w:kern w:val="0"/>
          <w:sz w:val="28"/>
          <w:szCs w:val="28"/>
          <w:highlight w:val="none"/>
          <w:lang w:bidi="ar"/>
        </w:rPr>
      </w:pPr>
    </w:p>
    <w:p w14:paraId="60A2EBCE">
      <w:pPr>
        <w:widowControl/>
        <w:spacing w:line="360" w:lineRule="auto"/>
        <w:ind w:firstLine="1470" w:firstLineChars="7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磋商供应商[公章(CA签章)，自然人签字或个人CA签章]：</w:t>
      </w:r>
      <w:r>
        <w:rPr>
          <w:rFonts w:hint="eastAsia" w:ascii="宋体" w:hAnsi="宋体" w:eastAsia="宋体" w:cs="宋体"/>
          <w:color w:val="auto"/>
          <w:szCs w:val="21"/>
          <w:highlight w:val="none"/>
          <w:u w:val="single"/>
        </w:rPr>
        <w:t xml:space="preserve">                                                       </w:t>
      </w:r>
    </w:p>
    <w:p w14:paraId="0BFEF73C">
      <w:pPr>
        <w:pStyle w:val="22"/>
        <w:spacing w:line="360" w:lineRule="auto"/>
        <w:ind w:left="2940" w:leftChars="1400" w:firstLine="630" w:firstLineChars="300"/>
        <w:outlineLvl w:val="9"/>
        <w:rPr>
          <w:rFonts w:hint="eastAsia" w:ascii="宋体" w:hAnsi="宋体" w:eastAsia="宋体" w:cs="宋体"/>
          <w:color w:val="auto"/>
          <w:highlight w:val="none"/>
        </w:rPr>
      </w:pPr>
    </w:p>
    <w:p w14:paraId="21AD2A27">
      <w:pPr>
        <w:pStyle w:val="22"/>
        <w:spacing w:line="360" w:lineRule="auto"/>
        <w:ind w:firstLine="4638" w:firstLineChars="1650"/>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p>
    <w:p w14:paraId="27C78D41">
      <w:pPr>
        <w:pStyle w:val="22"/>
        <w:spacing w:line="360" w:lineRule="auto"/>
        <w:outlineLvl w:val="9"/>
        <w:rPr>
          <w:rFonts w:hint="eastAsia" w:ascii="宋体" w:hAnsi="宋体" w:eastAsia="宋体" w:cs="宋体"/>
          <w:b/>
          <w:color w:val="auto"/>
          <w:sz w:val="28"/>
          <w:szCs w:val="28"/>
          <w:highlight w:val="none"/>
        </w:rPr>
      </w:pPr>
    </w:p>
    <w:p w14:paraId="561146F3">
      <w:pPr>
        <w:snapToGrid w:val="0"/>
        <w:spacing w:line="360" w:lineRule="auto"/>
        <w:ind w:firstLine="4830" w:firstLineChars="2300"/>
        <w:outlineLvl w:val="9"/>
        <w:rPr>
          <w:rFonts w:hint="eastAsia" w:ascii="宋体" w:hAnsi="宋体" w:eastAsia="宋体" w:cs="宋体"/>
          <w:color w:val="auto"/>
          <w:highlight w:val="none"/>
          <w:u w:val="singl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p w14:paraId="0F609538">
      <w:pPr>
        <w:snapToGrid w:val="0"/>
        <w:spacing w:line="360" w:lineRule="auto"/>
        <w:ind w:firstLine="3570" w:firstLineChars="1700"/>
        <w:outlineLvl w:val="9"/>
        <w:rPr>
          <w:rFonts w:hint="eastAsia" w:ascii="宋体" w:hAnsi="宋体" w:eastAsia="宋体" w:cs="宋体"/>
          <w:color w:val="auto"/>
          <w:highlight w:val="none"/>
          <w:u w:val="single"/>
        </w:rPr>
      </w:pPr>
    </w:p>
    <w:p w14:paraId="10265969">
      <w:pPr>
        <w:pStyle w:val="16"/>
        <w:spacing w:line="360" w:lineRule="auto"/>
        <w:outlineLvl w:val="9"/>
        <w:rPr>
          <w:rFonts w:hint="eastAsia" w:ascii="宋体" w:hAnsi="宋体" w:eastAsia="宋体" w:cs="宋体"/>
          <w:color w:val="auto"/>
          <w:highlight w:val="none"/>
          <w:u w:val="single"/>
        </w:rPr>
      </w:pPr>
    </w:p>
    <w:p w14:paraId="15923522">
      <w:pPr>
        <w:pStyle w:val="271"/>
        <w:outlineLvl w:val="9"/>
        <w:rPr>
          <w:rFonts w:hint="eastAsia" w:ascii="宋体" w:hAnsi="宋体" w:eastAsia="宋体" w:cs="宋体"/>
          <w:color w:val="auto"/>
          <w:highlight w:val="none"/>
        </w:rPr>
      </w:pPr>
    </w:p>
    <w:p w14:paraId="3395AF2D">
      <w:pPr>
        <w:pStyle w:val="22"/>
        <w:spacing w:line="360" w:lineRule="auto"/>
        <w:outlineLvl w:val="9"/>
        <w:rPr>
          <w:rFonts w:hint="eastAsia" w:ascii="宋体" w:hAnsi="宋体" w:eastAsia="宋体" w:cs="宋体"/>
          <w:b/>
          <w:color w:val="auto"/>
          <w:sz w:val="28"/>
          <w:szCs w:val="28"/>
          <w:highlight w:val="none"/>
        </w:rPr>
      </w:pPr>
      <w:r>
        <w:rPr>
          <w:rFonts w:hint="eastAsia"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.施工组织设计方案（必须提供）；</w:t>
      </w:r>
    </w:p>
    <w:p w14:paraId="25841ABA">
      <w:pPr>
        <w:snapToGrid w:val="0"/>
        <w:spacing w:line="360" w:lineRule="auto"/>
        <w:jc w:val="center"/>
        <w:outlineLvl w:val="9"/>
        <w:rPr>
          <w:rFonts w:hint="eastAsia" w:ascii="宋体" w:hAnsi="宋体" w:eastAsia="宋体" w:cs="宋体"/>
          <w:b/>
          <w:color w:val="auto"/>
          <w:sz w:val="24"/>
          <w:highlight w:val="none"/>
        </w:rPr>
      </w:pPr>
    </w:p>
    <w:p w14:paraId="02AAFD5A">
      <w:pPr>
        <w:snapToGrid w:val="0"/>
        <w:spacing w:line="360" w:lineRule="auto"/>
        <w:jc w:val="center"/>
        <w:outlineLvl w:val="9"/>
        <w:rPr>
          <w:rFonts w:hint="eastAsia" w:ascii="宋体" w:hAnsi="宋体" w:eastAsia="宋体" w:cs="宋体"/>
          <w:color w:val="auto"/>
          <w:highlight w:val="none"/>
        </w:rPr>
      </w:pPr>
      <w:r>
        <w:rPr>
          <w:rFonts w:hint="eastAsia" w:ascii="宋体" w:hAnsi="宋体" w:eastAsia="宋体" w:cs="宋体"/>
          <w:b/>
          <w:color w:val="auto"/>
          <w:sz w:val="24"/>
          <w:highlight w:val="none"/>
        </w:rPr>
        <w:t>施工组织设计方案（格式）</w:t>
      </w:r>
    </w:p>
    <w:p w14:paraId="29482508">
      <w:pPr>
        <w:pStyle w:val="87"/>
        <w:spacing w:line="360" w:lineRule="auto"/>
        <w:ind w:firstLine="425"/>
        <w:outlineLvl w:val="9"/>
        <w:rPr>
          <w:rFonts w:hint="eastAsia" w:ascii="宋体" w:hAnsi="宋体" w:eastAsia="宋体" w:cs="宋体"/>
          <w:color w:val="auto"/>
          <w:highlight w:val="none"/>
        </w:rPr>
      </w:pPr>
      <w:r>
        <w:rPr>
          <w:rFonts w:hint="eastAsia" w:ascii="宋体" w:hAnsi="宋体" w:eastAsia="宋体" w:cs="宋体"/>
          <w:color w:val="auto"/>
          <w:highlight w:val="none"/>
        </w:rPr>
        <w:t>1.  供应商编制施工组织设计的要求：</w:t>
      </w:r>
    </w:p>
    <w:p w14:paraId="69293B0A">
      <w:pPr>
        <w:pStyle w:val="87"/>
        <w:spacing w:line="360" w:lineRule="auto"/>
        <w:ind w:firstLine="425"/>
        <w:outlineLvl w:val="9"/>
        <w:rPr>
          <w:rFonts w:hint="eastAsia" w:ascii="宋体" w:hAnsi="宋体" w:eastAsia="宋体" w:cs="宋体"/>
          <w:color w:val="auto"/>
          <w:highlight w:val="none"/>
        </w:rPr>
      </w:pPr>
      <w:r>
        <w:rPr>
          <w:rFonts w:hint="eastAsia" w:ascii="宋体" w:hAnsi="宋体" w:eastAsia="宋体" w:cs="宋体"/>
          <w:color w:val="auto"/>
          <w:highlight w:val="none"/>
        </w:rPr>
        <w:t>编制时应按以下章顺序采用文字并结合图表形式进行说明：</w:t>
      </w:r>
    </w:p>
    <w:p w14:paraId="58FC4120">
      <w:pPr>
        <w:pStyle w:val="87"/>
        <w:spacing w:line="360" w:lineRule="auto"/>
        <w:ind w:firstLine="425"/>
        <w:outlineLvl w:val="9"/>
        <w:rPr>
          <w:rFonts w:hint="eastAsia" w:ascii="宋体" w:hAnsi="宋体" w:eastAsia="宋体" w:cs="宋体"/>
          <w:color w:val="auto"/>
          <w:highlight w:val="none"/>
        </w:rPr>
      </w:pPr>
      <w:r>
        <w:rPr>
          <w:rFonts w:hint="eastAsia" w:ascii="宋体" w:hAnsi="宋体" w:eastAsia="宋体" w:cs="宋体"/>
          <w:color w:val="auto"/>
          <w:highlight w:val="none"/>
        </w:rPr>
        <w:t>第一章 总体概述；</w:t>
      </w:r>
    </w:p>
    <w:p w14:paraId="2C335535">
      <w:pPr>
        <w:pStyle w:val="87"/>
        <w:spacing w:line="360" w:lineRule="auto"/>
        <w:ind w:firstLine="425"/>
        <w:outlineLvl w:val="9"/>
        <w:rPr>
          <w:rFonts w:hint="eastAsia" w:ascii="宋体" w:hAnsi="宋体" w:eastAsia="宋体" w:cs="宋体"/>
          <w:color w:val="auto"/>
          <w:highlight w:val="none"/>
        </w:rPr>
      </w:pPr>
      <w:r>
        <w:rPr>
          <w:rFonts w:hint="eastAsia" w:ascii="宋体" w:hAnsi="宋体" w:eastAsia="宋体" w:cs="宋体"/>
          <w:color w:val="auto"/>
          <w:highlight w:val="none"/>
        </w:rPr>
        <w:t>第二章 主要施工方法；</w:t>
      </w:r>
    </w:p>
    <w:p w14:paraId="365B9739">
      <w:pPr>
        <w:pStyle w:val="87"/>
        <w:spacing w:line="360" w:lineRule="auto"/>
        <w:ind w:firstLine="425"/>
        <w:outlineLvl w:val="9"/>
        <w:rPr>
          <w:rFonts w:hint="eastAsia" w:ascii="宋体" w:hAnsi="宋体" w:eastAsia="宋体" w:cs="宋体"/>
          <w:color w:val="auto"/>
          <w:highlight w:val="none"/>
        </w:rPr>
      </w:pPr>
      <w:r>
        <w:rPr>
          <w:rFonts w:hint="eastAsia" w:ascii="宋体" w:hAnsi="宋体" w:eastAsia="宋体" w:cs="宋体"/>
          <w:color w:val="auto"/>
          <w:highlight w:val="none"/>
        </w:rPr>
        <w:t>第三章 人员及机械设备配置；</w:t>
      </w:r>
    </w:p>
    <w:p w14:paraId="24F6980E">
      <w:pPr>
        <w:pStyle w:val="87"/>
        <w:spacing w:line="360" w:lineRule="auto"/>
        <w:ind w:firstLine="425"/>
        <w:outlineLvl w:val="9"/>
        <w:rPr>
          <w:rFonts w:hint="eastAsia" w:ascii="宋体" w:hAnsi="宋体" w:eastAsia="宋体" w:cs="宋体"/>
          <w:color w:val="auto"/>
          <w:highlight w:val="none"/>
        </w:rPr>
      </w:pPr>
      <w:r>
        <w:rPr>
          <w:rFonts w:hint="eastAsia" w:ascii="宋体" w:hAnsi="宋体" w:eastAsia="宋体" w:cs="宋体"/>
          <w:color w:val="auto"/>
          <w:highlight w:val="none"/>
        </w:rPr>
        <w:t>第四章</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工期保证体系及保证措施；</w:t>
      </w:r>
    </w:p>
    <w:p w14:paraId="51C0145C">
      <w:pPr>
        <w:pStyle w:val="87"/>
        <w:spacing w:line="360" w:lineRule="auto"/>
        <w:ind w:firstLine="425"/>
        <w:outlineLvl w:val="9"/>
        <w:rPr>
          <w:rFonts w:hint="eastAsia" w:ascii="宋体" w:hAnsi="宋体" w:eastAsia="宋体" w:cs="宋体"/>
          <w:color w:val="auto"/>
          <w:highlight w:val="none"/>
        </w:rPr>
      </w:pPr>
      <w:r>
        <w:rPr>
          <w:rFonts w:hint="eastAsia" w:ascii="宋体" w:hAnsi="宋体" w:eastAsia="宋体" w:cs="宋体"/>
          <w:color w:val="auto"/>
          <w:highlight w:val="none"/>
        </w:rPr>
        <w:t>第五章 工程质量管理体系及保证措施；</w:t>
      </w:r>
    </w:p>
    <w:p w14:paraId="54335B8C">
      <w:pPr>
        <w:pStyle w:val="87"/>
        <w:spacing w:line="360" w:lineRule="auto"/>
        <w:ind w:firstLine="425"/>
        <w:outlineLvl w:val="9"/>
        <w:rPr>
          <w:rFonts w:hint="eastAsia" w:ascii="宋体" w:hAnsi="宋体" w:eastAsia="宋体" w:cs="宋体"/>
          <w:color w:val="auto"/>
          <w:highlight w:val="none"/>
        </w:rPr>
      </w:pPr>
      <w:r>
        <w:rPr>
          <w:rFonts w:hint="eastAsia" w:ascii="宋体" w:hAnsi="宋体" w:eastAsia="宋体" w:cs="宋体"/>
          <w:color w:val="auto"/>
          <w:highlight w:val="none"/>
        </w:rPr>
        <w:t>第六章 安全生产管理体系及保证措施；</w:t>
      </w:r>
    </w:p>
    <w:p w14:paraId="7A84520F">
      <w:pPr>
        <w:pStyle w:val="87"/>
        <w:spacing w:line="360" w:lineRule="auto"/>
        <w:ind w:firstLine="425"/>
        <w:outlineLvl w:val="9"/>
        <w:rPr>
          <w:rFonts w:hint="eastAsia" w:ascii="宋体" w:hAnsi="宋体" w:eastAsia="宋体" w:cs="宋体"/>
          <w:color w:val="auto"/>
          <w:highlight w:val="none"/>
        </w:rPr>
      </w:pPr>
      <w:r>
        <w:rPr>
          <w:rFonts w:hint="eastAsia" w:ascii="宋体" w:hAnsi="宋体" w:eastAsia="宋体" w:cs="宋体"/>
          <w:color w:val="auto"/>
          <w:highlight w:val="none"/>
        </w:rPr>
        <w:t>第七章 环境保护、水土保持保证体系及保证措施；</w:t>
      </w:r>
    </w:p>
    <w:p w14:paraId="16555D7F">
      <w:pPr>
        <w:pStyle w:val="87"/>
        <w:spacing w:line="360" w:lineRule="auto"/>
        <w:ind w:firstLine="425"/>
        <w:outlineLvl w:val="9"/>
        <w:rPr>
          <w:rFonts w:hint="eastAsia" w:ascii="宋体" w:hAnsi="宋体" w:eastAsia="宋体" w:cs="宋体"/>
          <w:color w:val="auto"/>
          <w:highlight w:val="none"/>
        </w:rPr>
      </w:pPr>
      <w:r>
        <w:rPr>
          <w:rFonts w:hint="eastAsia" w:ascii="宋体" w:hAnsi="宋体" w:eastAsia="宋体" w:cs="宋体"/>
          <w:color w:val="auto"/>
          <w:highlight w:val="none"/>
        </w:rPr>
        <w:t>第八章 文明施工、体系及保证措施；</w:t>
      </w:r>
    </w:p>
    <w:p w14:paraId="559C6EE9">
      <w:pPr>
        <w:pStyle w:val="87"/>
        <w:spacing w:line="360" w:lineRule="auto"/>
        <w:ind w:firstLine="425"/>
        <w:outlineLvl w:val="9"/>
        <w:rPr>
          <w:rFonts w:hint="eastAsia" w:ascii="宋体" w:hAnsi="宋体" w:eastAsia="宋体" w:cs="宋体"/>
          <w:color w:val="auto"/>
          <w:highlight w:val="none"/>
        </w:rPr>
      </w:pPr>
      <w:r>
        <w:rPr>
          <w:rFonts w:hint="eastAsia" w:ascii="宋体" w:hAnsi="宋体" w:eastAsia="宋体" w:cs="宋体"/>
          <w:color w:val="auto"/>
          <w:highlight w:val="none"/>
        </w:rPr>
        <w:t>第九章 项目风险预测与防范，事故应急预案。</w:t>
      </w:r>
    </w:p>
    <w:p w14:paraId="542F737C">
      <w:pPr>
        <w:pStyle w:val="87"/>
        <w:spacing w:line="360" w:lineRule="auto"/>
        <w:ind w:firstLine="425"/>
        <w:outlineLvl w:val="9"/>
        <w:rPr>
          <w:rFonts w:hint="eastAsia" w:ascii="宋体" w:hAnsi="宋体" w:eastAsia="宋体" w:cs="宋体"/>
          <w:color w:val="auto"/>
          <w:highlight w:val="none"/>
        </w:rPr>
      </w:pPr>
      <w:r>
        <w:rPr>
          <w:rFonts w:hint="eastAsia" w:ascii="宋体" w:hAnsi="宋体" w:eastAsia="宋体" w:cs="宋体"/>
          <w:color w:val="auto"/>
          <w:highlight w:val="none"/>
        </w:rPr>
        <w:t>2.施工组织设计除采用文字表述外可附下列图表，图表及格式要求附后。</w:t>
      </w:r>
    </w:p>
    <w:p w14:paraId="6614A9A0">
      <w:pPr>
        <w:pStyle w:val="87"/>
        <w:spacing w:line="360" w:lineRule="auto"/>
        <w:ind w:firstLine="425"/>
        <w:outlineLvl w:val="9"/>
        <w:rPr>
          <w:rFonts w:hint="eastAsia" w:ascii="宋体" w:hAnsi="宋体" w:eastAsia="宋体" w:cs="宋体"/>
          <w:color w:val="auto"/>
          <w:highlight w:val="none"/>
        </w:rPr>
      </w:pPr>
      <w:r>
        <w:rPr>
          <w:rFonts w:hint="eastAsia" w:ascii="宋体" w:hAnsi="宋体" w:eastAsia="宋体" w:cs="宋体"/>
          <w:color w:val="auto"/>
          <w:highlight w:val="none"/>
        </w:rPr>
        <w:t>附表一</w:t>
      </w:r>
      <w:r>
        <w:rPr>
          <w:rFonts w:hint="eastAsia" w:ascii="宋体" w:hAnsi="宋体" w:eastAsia="宋体" w:cs="宋体"/>
          <w:color w:val="auto"/>
          <w:highlight w:val="none"/>
        </w:rPr>
        <w:tab/>
      </w:r>
      <w:r>
        <w:rPr>
          <w:rFonts w:hint="eastAsia" w:ascii="宋体" w:hAnsi="宋体" w:eastAsia="宋体" w:cs="宋体"/>
          <w:color w:val="auto"/>
          <w:spacing w:val="-1"/>
          <w:highlight w:val="none"/>
        </w:rPr>
        <w:t>拟</w:t>
      </w:r>
      <w:r>
        <w:rPr>
          <w:rFonts w:hint="eastAsia" w:ascii="宋体" w:hAnsi="宋体" w:eastAsia="宋体" w:cs="宋体"/>
          <w:color w:val="auto"/>
          <w:highlight w:val="none"/>
        </w:rPr>
        <w:t>投入本项目的主要施工设备表</w:t>
      </w:r>
    </w:p>
    <w:p w14:paraId="0DB984A6">
      <w:pPr>
        <w:pStyle w:val="87"/>
        <w:spacing w:line="360" w:lineRule="auto"/>
        <w:ind w:firstLine="425"/>
        <w:outlineLvl w:val="9"/>
        <w:rPr>
          <w:rFonts w:hint="eastAsia" w:ascii="宋体" w:hAnsi="宋体" w:eastAsia="宋体" w:cs="宋体"/>
          <w:color w:val="auto"/>
          <w:highlight w:val="none"/>
        </w:rPr>
      </w:pPr>
      <w:r>
        <w:rPr>
          <w:rFonts w:hint="eastAsia" w:ascii="宋体" w:hAnsi="宋体" w:eastAsia="宋体" w:cs="宋体"/>
          <w:color w:val="auto"/>
          <w:highlight w:val="none"/>
        </w:rPr>
        <w:t>附表二</w:t>
      </w:r>
      <w:r>
        <w:rPr>
          <w:rFonts w:hint="eastAsia" w:ascii="宋体" w:hAnsi="宋体" w:eastAsia="宋体" w:cs="宋体"/>
          <w:color w:val="auto"/>
          <w:highlight w:val="none"/>
        </w:rPr>
        <w:tab/>
      </w:r>
      <w:r>
        <w:rPr>
          <w:rFonts w:hint="eastAsia" w:ascii="宋体" w:hAnsi="宋体" w:eastAsia="宋体" w:cs="宋体"/>
          <w:color w:val="auto"/>
          <w:spacing w:val="-1"/>
          <w:highlight w:val="none"/>
        </w:rPr>
        <w:t>拟</w:t>
      </w:r>
      <w:r>
        <w:rPr>
          <w:rFonts w:hint="eastAsia" w:ascii="宋体" w:hAnsi="宋体" w:eastAsia="宋体" w:cs="宋体"/>
          <w:color w:val="auto"/>
          <w:highlight w:val="none"/>
        </w:rPr>
        <w:t>配备本项目的试验和检测仪器设备表</w:t>
      </w:r>
    </w:p>
    <w:p w14:paraId="4EE0F503">
      <w:pPr>
        <w:pStyle w:val="87"/>
        <w:spacing w:line="360" w:lineRule="auto"/>
        <w:ind w:firstLine="425"/>
        <w:outlineLvl w:val="9"/>
        <w:rPr>
          <w:rFonts w:hint="eastAsia" w:ascii="宋体" w:hAnsi="宋体" w:eastAsia="宋体" w:cs="宋体"/>
          <w:color w:val="auto"/>
          <w:highlight w:val="none"/>
        </w:rPr>
      </w:pPr>
      <w:r>
        <w:rPr>
          <w:rFonts w:hint="eastAsia" w:ascii="宋体" w:hAnsi="宋体" w:eastAsia="宋体" w:cs="宋体"/>
          <w:color w:val="auto"/>
          <w:highlight w:val="none"/>
        </w:rPr>
        <w:t>附表三</w:t>
      </w:r>
      <w:r>
        <w:rPr>
          <w:rFonts w:hint="eastAsia" w:ascii="宋体" w:hAnsi="宋体" w:eastAsia="宋体" w:cs="宋体"/>
          <w:color w:val="auto"/>
          <w:highlight w:val="none"/>
        </w:rPr>
        <w:tab/>
      </w:r>
      <w:r>
        <w:rPr>
          <w:rFonts w:hint="eastAsia" w:ascii="宋体" w:hAnsi="宋体" w:eastAsia="宋体" w:cs="宋体"/>
          <w:color w:val="auto"/>
          <w:spacing w:val="-1"/>
          <w:highlight w:val="none"/>
        </w:rPr>
        <w:t>劳</w:t>
      </w:r>
      <w:r>
        <w:rPr>
          <w:rFonts w:hint="eastAsia" w:ascii="宋体" w:hAnsi="宋体" w:eastAsia="宋体" w:cs="宋体"/>
          <w:color w:val="auto"/>
          <w:highlight w:val="none"/>
        </w:rPr>
        <w:t>动力计划表</w:t>
      </w:r>
    </w:p>
    <w:p w14:paraId="1A3776AB">
      <w:pPr>
        <w:pStyle w:val="87"/>
        <w:spacing w:line="360" w:lineRule="auto"/>
        <w:ind w:firstLine="425"/>
        <w:outlineLvl w:val="9"/>
        <w:rPr>
          <w:rFonts w:hint="eastAsia" w:ascii="宋体" w:hAnsi="宋体" w:eastAsia="宋体" w:cs="宋体"/>
          <w:color w:val="auto"/>
          <w:highlight w:val="none"/>
        </w:rPr>
      </w:pPr>
      <w:r>
        <w:rPr>
          <w:rFonts w:hint="eastAsia" w:ascii="宋体" w:hAnsi="宋体" w:eastAsia="宋体" w:cs="宋体"/>
          <w:color w:val="auto"/>
          <w:highlight w:val="none"/>
        </w:rPr>
        <w:t>附表四</w:t>
      </w:r>
      <w:r>
        <w:rPr>
          <w:rFonts w:hint="eastAsia" w:ascii="宋体" w:hAnsi="宋体" w:eastAsia="宋体" w:cs="宋体"/>
          <w:color w:val="auto"/>
          <w:highlight w:val="none"/>
        </w:rPr>
        <w:tab/>
      </w:r>
      <w:r>
        <w:rPr>
          <w:rFonts w:hint="eastAsia" w:ascii="宋体" w:hAnsi="宋体" w:eastAsia="宋体" w:cs="宋体"/>
          <w:color w:val="auto"/>
          <w:highlight w:val="none"/>
        </w:rPr>
        <w:t>计划开、竣工日期和施工进度网络图或横道图</w:t>
      </w:r>
    </w:p>
    <w:p w14:paraId="7CC4EB12">
      <w:pPr>
        <w:pStyle w:val="87"/>
        <w:spacing w:line="360" w:lineRule="auto"/>
        <w:ind w:firstLine="425"/>
        <w:outlineLvl w:val="9"/>
        <w:rPr>
          <w:rFonts w:hint="eastAsia" w:ascii="宋体" w:hAnsi="宋体" w:eastAsia="宋体" w:cs="宋体"/>
          <w:color w:val="auto"/>
          <w:highlight w:val="none"/>
        </w:rPr>
      </w:pPr>
      <w:r>
        <w:rPr>
          <w:rFonts w:hint="eastAsia" w:ascii="宋体" w:hAnsi="宋体" w:eastAsia="宋体" w:cs="宋体"/>
          <w:color w:val="auto"/>
          <w:highlight w:val="none"/>
        </w:rPr>
        <w:t>附表五</w:t>
      </w:r>
      <w:r>
        <w:rPr>
          <w:rFonts w:hint="eastAsia" w:ascii="宋体" w:hAnsi="宋体" w:eastAsia="宋体" w:cs="宋体"/>
          <w:color w:val="auto"/>
          <w:highlight w:val="none"/>
        </w:rPr>
        <w:tab/>
      </w:r>
      <w:r>
        <w:rPr>
          <w:rFonts w:hint="eastAsia" w:ascii="宋体" w:hAnsi="宋体" w:eastAsia="宋体" w:cs="宋体"/>
          <w:color w:val="auto"/>
          <w:spacing w:val="-1"/>
          <w:highlight w:val="none"/>
        </w:rPr>
        <w:t>施</w:t>
      </w:r>
      <w:r>
        <w:rPr>
          <w:rFonts w:hint="eastAsia" w:ascii="宋体" w:hAnsi="宋体" w:eastAsia="宋体" w:cs="宋体"/>
          <w:color w:val="auto"/>
          <w:highlight w:val="none"/>
        </w:rPr>
        <w:t>工总平面图</w:t>
      </w:r>
    </w:p>
    <w:p w14:paraId="21072452">
      <w:pPr>
        <w:pStyle w:val="87"/>
        <w:spacing w:line="360" w:lineRule="auto"/>
        <w:ind w:firstLine="425"/>
        <w:outlineLvl w:val="9"/>
        <w:rPr>
          <w:rFonts w:hint="eastAsia" w:ascii="宋体" w:hAnsi="宋体" w:eastAsia="宋体" w:cs="宋体"/>
          <w:color w:val="auto"/>
          <w:highlight w:val="none"/>
        </w:rPr>
      </w:pPr>
      <w:r>
        <w:rPr>
          <w:rFonts w:hint="eastAsia" w:ascii="宋体" w:hAnsi="宋体" w:eastAsia="宋体" w:cs="宋体"/>
          <w:color w:val="auto"/>
          <w:position w:val="-2"/>
          <w:highlight w:val="none"/>
        </w:rPr>
        <w:t>附表六</w:t>
      </w:r>
      <w:r>
        <w:rPr>
          <w:rFonts w:hint="eastAsia" w:ascii="宋体" w:hAnsi="宋体" w:eastAsia="宋体" w:cs="宋体"/>
          <w:color w:val="auto"/>
          <w:position w:val="-2"/>
          <w:highlight w:val="none"/>
        </w:rPr>
        <w:tab/>
      </w:r>
      <w:r>
        <w:rPr>
          <w:rFonts w:hint="eastAsia" w:ascii="宋体" w:hAnsi="宋体" w:eastAsia="宋体" w:cs="宋体"/>
          <w:color w:val="auto"/>
          <w:spacing w:val="-1"/>
          <w:position w:val="-2"/>
          <w:highlight w:val="none"/>
        </w:rPr>
        <w:t>临</w:t>
      </w:r>
      <w:r>
        <w:rPr>
          <w:rFonts w:hint="eastAsia" w:ascii="宋体" w:hAnsi="宋体" w:eastAsia="宋体" w:cs="宋体"/>
          <w:color w:val="auto"/>
          <w:position w:val="-2"/>
          <w:highlight w:val="none"/>
        </w:rPr>
        <w:t>时用地表</w:t>
      </w:r>
    </w:p>
    <w:p w14:paraId="063AD51D">
      <w:pPr>
        <w:spacing w:line="360" w:lineRule="auto"/>
        <w:outlineLvl w:val="9"/>
        <w:rPr>
          <w:rFonts w:hint="eastAsia" w:ascii="宋体" w:hAnsi="宋体" w:eastAsia="宋体" w:cs="宋体"/>
          <w:color w:val="auto"/>
          <w:highlight w:val="none"/>
        </w:rPr>
      </w:pPr>
      <w:bookmarkStart w:id="464" w:name="_Toc483317224"/>
      <w:bookmarkStart w:id="465" w:name="_Toc418752351"/>
      <w:bookmarkStart w:id="466" w:name="_Toc418751905"/>
    </w:p>
    <w:p w14:paraId="0FF6A2CC">
      <w:pPr>
        <w:pStyle w:val="16"/>
        <w:rPr>
          <w:rFonts w:hint="eastAsia" w:ascii="宋体" w:hAnsi="宋体" w:eastAsia="宋体" w:cs="宋体"/>
          <w:color w:val="auto"/>
          <w:highlight w:val="none"/>
        </w:rPr>
      </w:pPr>
    </w:p>
    <w:p w14:paraId="5A828B3E">
      <w:pPr>
        <w:pStyle w:val="16"/>
        <w:rPr>
          <w:rFonts w:hint="eastAsia" w:ascii="宋体" w:hAnsi="宋体" w:eastAsia="宋体" w:cs="宋体"/>
          <w:color w:val="auto"/>
          <w:highlight w:val="none"/>
        </w:rPr>
      </w:pPr>
    </w:p>
    <w:p w14:paraId="54ABBA6D">
      <w:pPr>
        <w:pStyle w:val="16"/>
        <w:rPr>
          <w:rFonts w:hint="eastAsia" w:ascii="宋体" w:hAnsi="宋体" w:eastAsia="宋体" w:cs="宋体"/>
          <w:color w:val="auto"/>
          <w:highlight w:val="none"/>
        </w:rPr>
      </w:pPr>
    </w:p>
    <w:p w14:paraId="0CE14840">
      <w:pPr>
        <w:pStyle w:val="16"/>
        <w:rPr>
          <w:rFonts w:hint="eastAsia" w:ascii="宋体" w:hAnsi="宋体" w:eastAsia="宋体" w:cs="宋体"/>
          <w:color w:val="auto"/>
          <w:highlight w:val="none"/>
        </w:rPr>
      </w:pPr>
    </w:p>
    <w:p w14:paraId="6D2590DE">
      <w:pPr>
        <w:pStyle w:val="16"/>
        <w:rPr>
          <w:rFonts w:hint="eastAsia" w:ascii="宋体" w:hAnsi="宋体" w:eastAsia="宋体" w:cs="宋体"/>
          <w:color w:val="auto"/>
          <w:highlight w:val="none"/>
        </w:rPr>
      </w:pPr>
    </w:p>
    <w:p w14:paraId="4E2ED58F">
      <w:pPr>
        <w:pStyle w:val="16"/>
        <w:rPr>
          <w:rFonts w:hint="eastAsia" w:ascii="宋体" w:hAnsi="宋体" w:eastAsia="宋体" w:cs="宋体"/>
          <w:color w:val="auto"/>
          <w:highlight w:val="none"/>
        </w:rPr>
      </w:pPr>
    </w:p>
    <w:p w14:paraId="38D57F45">
      <w:pPr>
        <w:pStyle w:val="16"/>
        <w:rPr>
          <w:rFonts w:hint="eastAsia" w:ascii="宋体" w:hAnsi="宋体" w:eastAsia="宋体" w:cs="宋体"/>
          <w:color w:val="auto"/>
          <w:highlight w:val="none"/>
        </w:rPr>
      </w:pPr>
    </w:p>
    <w:p w14:paraId="62D0789A">
      <w:pPr>
        <w:pStyle w:val="16"/>
        <w:rPr>
          <w:rFonts w:hint="eastAsia" w:ascii="宋体" w:hAnsi="宋体" w:eastAsia="宋体" w:cs="宋体"/>
          <w:color w:val="auto"/>
          <w:highlight w:val="none"/>
        </w:rPr>
      </w:pPr>
    </w:p>
    <w:p w14:paraId="490E4F7B">
      <w:pPr>
        <w:pStyle w:val="16"/>
        <w:rPr>
          <w:rFonts w:hint="eastAsia" w:ascii="宋体" w:hAnsi="宋体" w:eastAsia="宋体" w:cs="宋体"/>
          <w:color w:val="auto"/>
          <w:highlight w:val="none"/>
        </w:rPr>
      </w:pPr>
    </w:p>
    <w:p w14:paraId="3E7570B2">
      <w:pPr>
        <w:pStyle w:val="16"/>
        <w:rPr>
          <w:rFonts w:hint="eastAsia" w:ascii="宋体" w:hAnsi="宋体" w:eastAsia="宋体" w:cs="宋体"/>
          <w:color w:val="auto"/>
          <w:highlight w:val="none"/>
        </w:rPr>
      </w:pPr>
    </w:p>
    <w:p w14:paraId="436D9A30">
      <w:pPr>
        <w:pStyle w:val="16"/>
        <w:rPr>
          <w:rFonts w:hint="eastAsia" w:ascii="宋体" w:hAnsi="宋体" w:eastAsia="宋体" w:cs="宋体"/>
          <w:color w:val="auto"/>
          <w:highlight w:val="none"/>
        </w:rPr>
      </w:pPr>
    </w:p>
    <w:p w14:paraId="27C31802">
      <w:pPr>
        <w:spacing w:line="360" w:lineRule="auto"/>
        <w:outlineLvl w:val="9"/>
        <w:rPr>
          <w:rFonts w:hint="eastAsia" w:ascii="宋体" w:hAnsi="宋体" w:eastAsia="宋体" w:cs="宋体"/>
          <w:b/>
          <w:color w:val="auto"/>
          <w:highlight w:val="none"/>
        </w:rPr>
      </w:pPr>
      <w:r>
        <w:rPr>
          <w:rFonts w:hint="eastAsia" w:ascii="宋体" w:hAnsi="宋体" w:eastAsia="宋体" w:cs="宋体"/>
          <w:b/>
          <w:color w:val="auto"/>
          <w:highlight w:val="none"/>
        </w:rPr>
        <w:t>附表一：拟投入本项目的主要施工设备表</w:t>
      </w:r>
      <w:bookmarkEnd w:id="464"/>
      <w:bookmarkEnd w:id="465"/>
      <w:bookmarkEnd w:id="466"/>
    </w:p>
    <w:tbl>
      <w:tblPr>
        <w:tblStyle w:val="37"/>
        <w:tblW w:w="9648" w:type="dxa"/>
        <w:jc w:val="center"/>
        <w:tblLayout w:type="fixed"/>
        <w:tblCellMar>
          <w:top w:w="0" w:type="dxa"/>
          <w:left w:w="0" w:type="dxa"/>
          <w:bottom w:w="0" w:type="dxa"/>
          <w:right w:w="0" w:type="dxa"/>
        </w:tblCellMar>
      </w:tblPr>
      <w:tblGrid>
        <w:gridCol w:w="734"/>
        <w:gridCol w:w="1198"/>
        <w:gridCol w:w="839"/>
        <w:gridCol w:w="1092"/>
        <w:gridCol w:w="741"/>
        <w:gridCol w:w="814"/>
        <w:gridCol w:w="1337"/>
        <w:gridCol w:w="965"/>
        <w:gridCol w:w="1164"/>
        <w:gridCol w:w="764"/>
      </w:tblGrid>
      <w:tr w14:paraId="414FB68F">
        <w:tblPrEx>
          <w:tblCellMar>
            <w:top w:w="0" w:type="dxa"/>
            <w:left w:w="0" w:type="dxa"/>
            <w:bottom w:w="0" w:type="dxa"/>
            <w:right w:w="0" w:type="dxa"/>
          </w:tblCellMar>
        </w:tblPrEx>
        <w:trPr>
          <w:trHeight w:val="827" w:hRule="atLeast"/>
          <w:jc w:val="center"/>
        </w:trPr>
        <w:tc>
          <w:tcPr>
            <w:tcW w:w="734" w:type="dxa"/>
            <w:tcBorders>
              <w:top w:val="single" w:color="000000" w:sz="4" w:space="0"/>
              <w:left w:val="single" w:color="000000" w:sz="4" w:space="0"/>
              <w:bottom w:val="single" w:color="000000" w:sz="4" w:space="0"/>
              <w:right w:val="single" w:color="000000" w:sz="4" w:space="0"/>
            </w:tcBorders>
            <w:noWrap w:val="0"/>
            <w:vAlign w:val="center"/>
          </w:tcPr>
          <w:p w14:paraId="484C7A61">
            <w:pPr>
              <w:pStyle w:val="87"/>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1198" w:type="dxa"/>
            <w:tcBorders>
              <w:top w:val="single" w:color="000000" w:sz="4" w:space="0"/>
              <w:left w:val="nil"/>
              <w:bottom w:val="single" w:color="000000" w:sz="4" w:space="0"/>
              <w:right w:val="single" w:color="000000" w:sz="4" w:space="0"/>
            </w:tcBorders>
            <w:noWrap w:val="0"/>
            <w:vAlign w:val="center"/>
          </w:tcPr>
          <w:p w14:paraId="3CEA1904">
            <w:pPr>
              <w:pStyle w:val="87"/>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设备名称</w:t>
            </w:r>
          </w:p>
        </w:tc>
        <w:tc>
          <w:tcPr>
            <w:tcW w:w="839" w:type="dxa"/>
            <w:tcBorders>
              <w:top w:val="single" w:color="000000" w:sz="4" w:space="0"/>
              <w:left w:val="nil"/>
              <w:bottom w:val="single" w:color="000000" w:sz="4" w:space="0"/>
              <w:right w:val="single" w:color="000000" w:sz="4" w:space="0"/>
            </w:tcBorders>
            <w:noWrap w:val="0"/>
            <w:vAlign w:val="center"/>
          </w:tcPr>
          <w:p w14:paraId="1B5AAD47">
            <w:pPr>
              <w:pStyle w:val="87"/>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型号</w:t>
            </w:r>
          </w:p>
          <w:p w14:paraId="0DB2ED77">
            <w:pPr>
              <w:pStyle w:val="87"/>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规格</w:t>
            </w:r>
          </w:p>
        </w:tc>
        <w:tc>
          <w:tcPr>
            <w:tcW w:w="1092" w:type="dxa"/>
            <w:tcBorders>
              <w:top w:val="single" w:color="000000" w:sz="4" w:space="0"/>
              <w:left w:val="nil"/>
              <w:bottom w:val="single" w:color="000000" w:sz="4" w:space="0"/>
              <w:right w:val="single" w:color="000000" w:sz="4" w:space="0"/>
            </w:tcBorders>
            <w:noWrap w:val="0"/>
            <w:vAlign w:val="center"/>
          </w:tcPr>
          <w:p w14:paraId="32CFA794">
            <w:pPr>
              <w:pStyle w:val="87"/>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数量</w:t>
            </w:r>
          </w:p>
        </w:tc>
        <w:tc>
          <w:tcPr>
            <w:tcW w:w="741" w:type="dxa"/>
            <w:tcBorders>
              <w:top w:val="single" w:color="000000" w:sz="4" w:space="0"/>
              <w:left w:val="nil"/>
              <w:bottom w:val="single" w:color="000000" w:sz="4" w:space="0"/>
              <w:right w:val="single" w:color="000000" w:sz="4" w:space="0"/>
            </w:tcBorders>
            <w:noWrap w:val="0"/>
            <w:vAlign w:val="center"/>
          </w:tcPr>
          <w:p w14:paraId="4CFD7430">
            <w:pPr>
              <w:pStyle w:val="87"/>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国别</w:t>
            </w:r>
          </w:p>
          <w:p w14:paraId="2D2D2A71">
            <w:pPr>
              <w:pStyle w:val="87"/>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产地</w:t>
            </w:r>
          </w:p>
        </w:tc>
        <w:tc>
          <w:tcPr>
            <w:tcW w:w="814" w:type="dxa"/>
            <w:tcBorders>
              <w:top w:val="single" w:color="000000" w:sz="4" w:space="0"/>
              <w:left w:val="nil"/>
              <w:bottom w:val="single" w:color="000000" w:sz="4" w:space="0"/>
              <w:right w:val="single" w:color="000000" w:sz="4" w:space="0"/>
            </w:tcBorders>
            <w:noWrap w:val="0"/>
            <w:vAlign w:val="center"/>
          </w:tcPr>
          <w:p w14:paraId="6014C9A1">
            <w:pPr>
              <w:pStyle w:val="87"/>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制造</w:t>
            </w:r>
          </w:p>
          <w:p w14:paraId="004F129E">
            <w:pPr>
              <w:pStyle w:val="87"/>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年份</w:t>
            </w:r>
          </w:p>
        </w:tc>
        <w:tc>
          <w:tcPr>
            <w:tcW w:w="1337" w:type="dxa"/>
            <w:tcBorders>
              <w:top w:val="single" w:color="000000" w:sz="4" w:space="0"/>
              <w:left w:val="nil"/>
              <w:bottom w:val="single" w:color="000000" w:sz="4" w:space="0"/>
              <w:right w:val="single" w:color="000000" w:sz="4" w:space="0"/>
            </w:tcBorders>
            <w:noWrap w:val="0"/>
            <w:vAlign w:val="center"/>
          </w:tcPr>
          <w:p w14:paraId="2F206874">
            <w:pPr>
              <w:pStyle w:val="87"/>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额定功率</w:t>
            </w:r>
          </w:p>
          <w:p w14:paraId="602E8C45">
            <w:pPr>
              <w:pStyle w:val="87"/>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（KW）</w:t>
            </w:r>
          </w:p>
        </w:tc>
        <w:tc>
          <w:tcPr>
            <w:tcW w:w="965" w:type="dxa"/>
            <w:tcBorders>
              <w:top w:val="single" w:color="000000" w:sz="4" w:space="0"/>
              <w:left w:val="nil"/>
              <w:bottom w:val="single" w:color="000000" w:sz="4" w:space="0"/>
              <w:right w:val="single" w:color="000000" w:sz="4" w:space="0"/>
            </w:tcBorders>
            <w:noWrap w:val="0"/>
            <w:vAlign w:val="center"/>
          </w:tcPr>
          <w:p w14:paraId="67AE78AB">
            <w:pPr>
              <w:pStyle w:val="87"/>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生产</w:t>
            </w:r>
          </w:p>
          <w:p w14:paraId="5D9DCA1A">
            <w:pPr>
              <w:pStyle w:val="87"/>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能力</w:t>
            </w:r>
          </w:p>
        </w:tc>
        <w:tc>
          <w:tcPr>
            <w:tcW w:w="1164" w:type="dxa"/>
            <w:tcBorders>
              <w:top w:val="single" w:color="000000" w:sz="4" w:space="0"/>
              <w:left w:val="nil"/>
              <w:bottom w:val="single" w:color="000000" w:sz="4" w:space="0"/>
              <w:right w:val="single" w:color="000000" w:sz="4" w:space="0"/>
            </w:tcBorders>
            <w:noWrap w:val="0"/>
            <w:vAlign w:val="center"/>
          </w:tcPr>
          <w:p w14:paraId="3F891519">
            <w:pPr>
              <w:pStyle w:val="87"/>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用于施</w:t>
            </w:r>
          </w:p>
          <w:p w14:paraId="7F5078FD">
            <w:pPr>
              <w:pStyle w:val="87"/>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工部位</w:t>
            </w:r>
          </w:p>
        </w:tc>
        <w:tc>
          <w:tcPr>
            <w:tcW w:w="764" w:type="dxa"/>
            <w:tcBorders>
              <w:top w:val="single" w:color="000000" w:sz="4" w:space="0"/>
              <w:left w:val="nil"/>
              <w:bottom w:val="single" w:color="000000" w:sz="4" w:space="0"/>
              <w:right w:val="single" w:color="000000" w:sz="4" w:space="0"/>
            </w:tcBorders>
            <w:noWrap w:val="0"/>
            <w:vAlign w:val="center"/>
          </w:tcPr>
          <w:p w14:paraId="33505873">
            <w:pPr>
              <w:pStyle w:val="87"/>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备注</w:t>
            </w:r>
          </w:p>
        </w:tc>
      </w:tr>
      <w:tr w14:paraId="23EE5653">
        <w:tblPrEx>
          <w:tblCellMar>
            <w:top w:w="0" w:type="dxa"/>
            <w:left w:w="0" w:type="dxa"/>
            <w:bottom w:w="0" w:type="dxa"/>
            <w:right w:w="0" w:type="dxa"/>
          </w:tblCellMar>
        </w:tblPrEx>
        <w:trPr>
          <w:trHeight w:val="450" w:hRule="atLeast"/>
          <w:jc w:val="center"/>
        </w:trPr>
        <w:tc>
          <w:tcPr>
            <w:tcW w:w="734" w:type="dxa"/>
            <w:tcBorders>
              <w:top w:val="single" w:color="000000" w:sz="4" w:space="0"/>
              <w:left w:val="single" w:color="000000" w:sz="4" w:space="0"/>
              <w:bottom w:val="single" w:color="000000" w:sz="4" w:space="0"/>
              <w:right w:val="single" w:color="000000" w:sz="4" w:space="0"/>
            </w:tcBorders>
            <w:noWrap w:val="0"/>
            <w:vAlign w:val="top"/>
          </w:tcPr>
          <w:p w14:paraId="105E9E59">
            <w:pPr>
              <w:pStyle w:val="87"/>
              <w:spacing w:line="360" w:lineRule="auto"/>
              <w:outlineLvl w:val="9"/>
              <w:rPr>
                <w:rFonts w:hint="eastAsia" w:ascii="宋体" w:hAnsi="宋体" w:eastAsia="宋体" w:cs="宋体"/>
                <w:color w:val="auto"/>
                <w:highlight w:val="none"/>
              </w:rPr>
            </w:pPr>
          </w:p>
        </w:tc>
        <w:tc>
          <w:tcPr>
            <w:tcW w:w="1198" w:type="dxa"/>
            <w:tcBorders>
              <w:top w:val="single" w:color="000000" w:sz="4" w:space="0"/>
              <w:left w:val="nil"/>
              <w:bottom w:val="single" w:color="000000" w:sz="4" w:space="0"/>
              <w:right w:val="single" w:color="000000" w:sz="4" w:space="0"/>
            </w:tcBorders>
            <w:noWrap w:val="0"/>
            <w:vAlign w:val="top"/>
          </w:tcPr>
          <w:p w14:paraId="45A9B071">
            <w:pPr>
              <w:pStyle w:val="87"/>
              <w:spacing w:line="360" w:lineRule="auto"/>
              <w:outlineLvl w:val="9"/>
              <w:rPr>
                <w:rFonts w:hint="eastAsia" w:ascii="宋体" w:hAnsi="宋体" w:eastAsia="宋体" w:cs="宋体"/>
                <w:color w:val="auto"/>
                <w:highlight w:val="none"/>
              </w:rPr>
            </w:pPr>
          </w:p>
        </w:tc>
        <w:tc>
          <w:tcPr>
            <w:tcW w:w="839" w:type="dxa"/>
            <w:tcBorders>
              <w:top w:val="single" w:color="000000" w:sz="4" w:space="0"/>
              <w:left w:val="nil"/>
              <w:bottom w:val="single" w:color="000000" w:sz="4" w:space="0"/>
              <w:right w:val="single" w:color="000000" w:sz="4" w:space="0"/>
            </w:tcBorders>
            <w:noWrap w:val="0"/>
            <w:vAlign w:val="top"/>
          </w:tcPr>
          <w:p w14:paraId="13EAEFED">
            <w:pPr>
              <w:pStyle w:val="87"/>
              <w:spacing w:line="360" w:lineRule="auto"/>
              <w:outlineLvl w:val="9"/>
              <w:rPr>
                <w:rFonts w:hint="eastAsia" w:ascii="宋体" w:hAnsi="宋体" w:eastAsia="宋体" w:cs="宋体"/>
                <w:color w:val="auto"/>
                <w:highlight w:val="none"/>
              </w:rPr>
            </w:pPr>
          </w:p>
        </w:tc>
        <w:tc>
          <w:tcPr>
            <w:tcW w:w="1092" w:type="dxa"/>
            <w:tcBorders>
              <w:top w:val="single" w:color="000000" w:sz="4" w:space="0"/>
              <w:left w:val="nil"/>
              <w:bottom w:val="single" w:color="000000" w:sz="4" w:space="0"/>
              <w:right w:val="single" w:color="000000" w:sz="4" w:space="0"/>
            </w:tcBorders>
            <w:noWrap w:val="0"/>
            <w:vAlign w:val="top"/>
          </w:tcPr>
          <w:p w14:paraId="5E82B1C2">
            <w:pPr>
              <w:pStyle w:val="87"/>
              <w:spacing w:line="360" w:lineRule="auto"/>
              <w:outlineLvl w:val="9"/>
              <w:rPr>
                <w:rFonts w:hint="eastAsia" w:ascii="宋体" w:hAnsi="宋体" w:eastAsia="宋体" w:cs="宋体"/>
                <w:color w:val="auto"/>
                <w:highlight w:val="none"/>
              </w:rPr>
            </w:pPr>
          </w:p>
        </w:tc>
        <w:tc>
          <w:tcPr>
            <w:tcW w:w="741" w:type="dxa"/>
            <w:tcBorders>
              <w:top w:val="single" w:color="000000" w:sz="4" w:space="0"/>
              <w:left w:val="nil"/>
              <w:bottom w:val="single" w:color="000000" w:sz="4" w:space="0"/>
              <w:right w:val="single" w:color="000000" w:sz="4" w:space="0"/>
            </w:tcBorders>
            <w:noWrap w:val="0"/>
            <w:vAlign w:val="top"/>
          </w:tcPr>
          <w:p w14:paraId="36792B63">
            <w:pPr>
              <w:pStyle w:val="87"/>
              <w:spacing w:line="360" w:lineRule="auto"/>
              <w:outlineLvl w:val="9"/>
              <w:rPr>
                <w:rFonts w:hint="eastAsia" w:ascii="宋体" w:hAnsi="宋体" w:eastAsia="宋体" w:cs="宋体"/>
                <w:color w:val="auto"/>
                <w:highlight w:val="none"/>
              </w:rPr>
            </w:pPr>
          </w:p>
        </w:tc>
        <w:tc>
          <w:tcPr>
            <w:tcW w:w="814" w:type="dxa"/>
            <w:tcBorders>
              <w:top w:val="single" w:color="000000" w:sz="4" w:space="0"/>
              <w:left w:val="nil"/>
              <w:bottom w:val="single" w:color="000000" w:sz="4" w:space="0"/>
              <w:right w:val="single" w:color="000000" w:sz="4" w:space="0"/>
            </w:tcBorders>
            <w:noWrap w:val="0"/>
            <w:vAlign w:val="top"/>
          </w:tcPr>
          <w:p w14:paraId="1F7B2108">
            <w:pPr>
              <w:pStyle w:val="87"/>
              <w:spacing w:line="360" w:lineRule="auto"/>
              <w:outlineLvl w:val="9"/>
              <w:rPr>
                <w:rFonts w:hint="eastAsia" w:ascii="宋体" w:hAnsi="宋体" w:eastAsia="宋体" w:cs="宋体"/>
                <w:color w:val="auto"/>
                <w:highlight w:val="none"/>
              </w:rPr>
            </w:pPr>
          </w:p>
        </w:tc>
        <w:tc>
          <w:tcPr>
            <w:tcW w:w="1337" w:type="dxa"/>
            <w:tcBorders>
              <w:top w:val="single" w:color="000000" w:sz="4" w:space="0"/>
              <w:left w:val="nil"/>
              <w:bottom w:val="single" w:color="000000" w:sz="4" w:space="0"/>
              <w:right w:val="single" w:color="000000" w:sz="4" w:space="0"/>
            </w:tcBorders>
            <w:noWrap w:val="0"/>
            <w:vAlign w:val="top"/>
          </w:tcPr>
          <w:p w14:paraId="61A44527">
            <w:pPr>
              <w:pStyle w:val="87"/>
              <w:spacing w:line="360" w:lineRule="auto"/>
              <w:outlineLvl w:val="9"/>
              <w:rPr>
                <w:rFonts w:hint="eastAsia" w:ascii="宋体" w:hAnsi="宋体" w:eastAsia="宋体" w:cs="宋体"/>
                <w:color w:val="auto"/>
                <w:highlight w:val="none"/>
              </w:rPr>
            </w:pPr>
          </w:p>
        </w:tc>
        <w:tc>
          <w:tcPr>
            <w:tcW w:w="965" w:type="dxa"/>
            <w:tcBorders>
              <w:top w:val="single" w:color="000000" w:sz="4" w:space="0"/>
              <w:left w:val="nil"/>
              <w:bottom w:val="single" w:color="000000" w:sz="4" w:space="0"/>
              <w:right w:val="single" w:color="000000" w:sz="4" w:space="0"/>
            </w:tcBorders>
            <w:noWrap w:val="0"/>
            <w:vAlign w:val="top"/>
          </w:tcPr>
          <w:p w14:paraId="4C30348B">
            <w:pPr>
              <w:pStyle w:val="87"/>
              <w:spacing w:line="360" w:lineRule="auto"/>
              <w:outlineLvl w:val="9"/>
              <w:rPr>
                <w:rFonts w:hint="eastAsia" w:ascii="宋体" w:hAnsi="宋体" w:eastAsia="宋体" w:cs="宋体"/>
                <w:color w:val="auto"/>
                <w:highlight w:val="none"/>
              </w:rPr>
            </w:pPr>
          </w:p>
        </w:tc>
        <w:tc>
          <w:tcPr>
            <w:tcW w:w="1164" w:type="dxa"/>
            <w:tcBorders>
              <w:top w:val="single" w:color="000000" w:sz="4" w:space="0"/>
              <w:left w:val="nil"/>
              <w:bottom w:val="single" w:color="000000" w:sz="4" w:space="0"/>
              <w:right w:val="single" w:color="000000" w:sz="4" w:space="0"/>
            </w:tcBorders>
            <w:noWrap w:val="0"/>
            <w:vAlign w:val="top"/>
          </w:tcPr>
          <w:p w14:paraId="13E91DCA">
            <w:pPr>
              <w:pStyle w:val="87"/>
              <w:spacing w:line="360" w:lineRule="auto"/>
              <w:outlineLvl w:val="9"/>
              <w:rPr>
                <w:rFonts w:hint="eastAsia" w:ascii="宋体" w:hAnsi="宋体" w:eastAsia="宋体" w:cs="宋体"/>
                <w:color w:val="auto"/>
                <w:highlight w:val="none"/>
              </w:rPr>
            </w:pPr>
          </w:p>
        </w:tc>
        <w:tc>
          <w:tcPr>
            <w:tcW w:w="764" w:type="dxa"/>
            <w:tcBorders>
              <w:top w:val="single" w:color="000000" w:sz="4" w:space="0"/>
              <w:left w:val="nil"/>
              <w:bottom w:val="single" w:color="000000" w:sz="4" w:space="0"/>
              <w:right w:val="single" w:color="000000" w:sz="4" w:space="0"/>
            </w:tcBorders>
            <w:noWrap w:val="0"/>
            <w:vAlign w:val="top"/>
          </w:tcPr>
          <w:p w14:paraId="3B4C1530">
            <w:pPr>
              <w:pStyle w:val="87"/>
              <w:spacing w:line="360" w:lineRule="auto"/>
              <w:outlineLvl w:val="9"/>
              <w:rPr>
                <w:rFonts w:hint="eastAsia" w:ascii="宋体" w:hAnsi="宋体" w:eastAsia="宋体" w:cs="宋体"/>
                <w:color w:val="auto"/>
                <w:highlight w:val="none"/>
              </w:rPr>
            </w:pPr>
          </w:p>
        </w:tc>
      </w:tr>
      <w:tr w14:paraId="0DF483C2">
        <w:tblPrEx>
          <w:tblCellMar>
            <w:top w:w="0" w:type="dxa"/>
            <w:left w:w="0" w:type="dxa"/>
            <w:bottom w:w="0" w:type="dxa"/>
            <w:right w:w="0" w:type="dxa"/>
          </w:tblCellMar>
        </w:tblPrEx>
        <w:trPr>
          <w:trHeight w:val="450" w:hRule="atLeast"/>
          <w:jc w:val="center"/>
        </w:trPr>
        <w:tc>
          <w:tcPr>
            <w:tcW w:w="734" w:type="dxa"/>
            <w:tcBorders>
              <w:top w:val="single" w:color="000000" w:sz="4" w:space="0"/>
              <w:left w:val="single" w:color="000000" w:sz="4" w:space="0"/>
              <w:bottom w:val="single" w:color="000000" w:sz="4" w:space="0"/>
              <w:right w:val="single" w:color="000000" w:sz="4" w:space="0"/>
            </w:tcBorders>
            <w:noWrap w:val="0"/>
            <w:vAlign w:val="top"/>
          </w:tcPr>
          <w:p w14:paraId="4B77DAB6">
            <w:pPr>
              <w:pStyle w:val="87"/>
              <w:spacing w:line="360" w:lineRule="auto"/>
              <w:outlineLvl w:val="9"/>
              <w:rPr>
                <w:rFonts w:hint="eastAsia" w:ascii="宋体" w:hAnsi="宋体" w:eastAsia="宋体" w:cs="宋体"/>
                <w:color w:val="auto"/>
                <w:highlight w:val="none"/>
              </w:rPr>
            </w:pPr>
          </w:p>
        </w:tc>
        <w:tc>
          <w:tcPr>
            <w:tcW w:w="1198" w:type="dxa"/>
            <w:tcBorders>
              <w:top w:val="single" w:color="000000" w:sz="4" w:space="0"/>
              <w:left w:val="nil"/>
              <w:bottom w:val="single" w:color="000000" w:sz="4" w:space="0"/>
              <w:right w:val="single" w:color="000000" w:sz="4" w:space="0"/>
            </w:tcBorders>
            <w:noWrap w:val="0"/>
            <w:vAlign w:val="top"/>
          </w:tcPr>
          <w:p w14:paraId="4DB7034A">
            <w:pPr>
              <w:pStyle w:val="87"/>
              <w:spacing w:line="360" w:lineRule="auto"/>
              <w:outlineLvl w:val="9"/>
              <w:rPr>
                <w:rFonts w:hint="eastAsia" w:ascii="宋体" w:hAnsi="宋体" w:eastAsia="宋体" w:cs="宋体"/>
                <w:color w:val="auto"/>
                <w:highlight w:val="none"/>
              </w:rPr>
            </w:pPr>
          </w:p>
        </w:tc>
        <w:tc>
          <w:tcPr>
            <w:tcW w:w="839" w:type="dxa"/>
            <w:tcBorders>
              <w:top w:val="single" w:color="000000" w:sz="4" w:space="0"/>
              <w:left w:val="nil"/>
              <w:bottom w:val="single" w:color="000000" w:sz="4" w:space="0"/>
              <w:right w:val="single" w:color="000000" w:sz="4" w:space="0"/>
            </w:tcBorders>
            <w:noWrap w:val="0"/>
            <w:vAlign w:val="top"/>
          </w:tcPr>
          <w:p w14:paraId="43E17A8C">
            <w:pPr>
              <w:pStyle w:val="87"/>
              <w:spacing w:line="360" w:lineRule="auto"/>
              <w:outlineLvl w:val="9"/>
              <w:rPr>
                <w:rFonts w:hint="eastAsia" w:ascii="宋体" w:hAnsi="宋体" w:eastAsia="宋体" w:cs="宋体"/>
                <w:color w:val="auto"/>
                <w:highlight w:val="none"/>
              </w:rPr>
            </w:pPr>
          </w:p>
        </w:tc>
        <w:tc>
          <w:tcPr>
            <w:tcW w:w="1092" w:type="dxa"/>
            <w:tcBorders>
              <w:top w:val="single" w:color="000000" w:sz="4" w:space="0"/>
              <w:left w:val="nil"/>
              <w:bottom w:val="single" w:color="000000" w:sz="4" w:space="0"/>
              <w:right w:val="single" w:color="000000" w:sz="4" w:space="0"/>
            </w:tcBorders>
            <w:noWrap w:val="0"/>
            <w:vAlign w:val="top"/>
          </w:tcPr>
          <w:p w14:paraId="1F591C62">
            <w:pPr>
              <w:pStyle w:val="87"/>
              <w:spacing w:line="360" w:lineRule="auto"/>
              <w:outlineLvl w:val="9"/>
              <w:rPr>
                <w:rFonts w:hint="eastAsia" w:ascii="宋体" w:hAnsi="宋体" w:eastAsia="宋体" w:cs="宋体"/>
                <w:color w:val="auto"/>
                <w:highlight w:val="none"/>
              </w:rPr>
            </w:pPr>
          </w:p>
        </w:tc>
        <w:tc>
          <w:tcPr>
            <w:tcW w:w="741" w:type="dxa"/>
            <w:tcBorders>
              <w:top w:val="single" w:color="000000" w:sz="4" w:space="0"/>
              <w:left w:val="nil"/>
              <w:bottom w:val="single" w:color="000000" w:sz="4" w:space="0"/>
              <w:right w:val="single" w:color="000000" w:sz="4" w:space="0"/>
            </w:tcBorders>
            <w:noWrap w:val="0"/>
            <w:vAlign w:val="top"/>
          </w:tcPr>
          <w:p w14:paraId="776D30C9">
            <w:pPr>
              <w:pStyle w:val="87"/>
              <w:spacing w:line="360" w:lineRule="auto"/>
              <w:outlineLvl w:val="9"/>
              <w:rPr>
                <w:rFonts w:hint="eastAsia" w:ascii="宋体" w:hAnsi="宋体" w:eastAsia="宋体" w:cs="宋体"/>
                <w:color w:val="auto"/>
                <w:highlight w:val="none"/>
              </w:rPr>
            </w:pPr>
          </w:p>
        </w:tc>
        <w:tc>
          <w:tcPr>
            <w:tcW w:w="814" w:type="dxa"/>
            <w:tcBorders>
              <w:top w:val="single" w:color="000000" w:sz="4" w:space="0"/>
              <w:left w:val="nil"/>
              <w:bottom w:val="single" w:color="000000" w:sz="4" w:space="0"/>
              <w:right w:val="single" w:color="000000" w:sz="4" w:space="0"/>
            </w:tcBorders>
            <w:noWrap w:val="0"/>
            <w:vAlign w:val="top"/>
          </w:tcPr>
          <w:p w14:paraId="675744B8">
            <w:pPr>
              <w:pStyle w:val="87"/>
              <w:spacing w:line="360" w:lineRule="auto"/>
              <w:outlineLvl w:val="9"/>
              <w:rPr>
                <w:rFonts w:hint="eastAsia" w:ascii="宋体" w:hAnsi="宋体" w:eastAsia="宋体" w:cs="宋体"/>
                <w:color w:val="auto"/>
                <w:highlight w:val="none"/>
              </w:rPr>
            </w:pPr>
          </w:p>
        </w:tc>
        <w:tc>
          <w:tcPr>
            <w:tcW w:w="1337" w:type="dxa"/>
            <w:tcBorders>
              <w:top w:val="single" w:color="000000" w:sz="4" w:space="0"/>
              <w:left w:val="nil"/>
              <w:bottom w:val="single" w:color="000000" w:sz="4" w:space="0"/>
              <w:right w:val="single" w:color="000000" w:sz="4" w:space="0"/>
            </w:tcBorders>
            <w:noWrap w:val="0"/>
            <w:vAlign w:val="top"/>
          </w:tcPr>
          <w:p w14:paraId="2EA3D6FF">
            <w:pPr>
              <w:pStyle w:val="87"/>
              <w:spacing w:line="360" w:lineRule="auto"/>
              <w:outlineLvl w:val="9"/>
              <w:rPr>
                <w:rFonts w:hint="eastAsia" w:ascii="宋体" w:hAnsi="宋体" w:eastAsia="宋体" w:cs="宋体"/>
                <w:color w:val="auto"/>
                <w:highlight w:val="none"/>
              </w:rPr>
            </w:pPr>
          </w:p>
        </w:tc>
        <w:tc>
          <w:tcPr>
            <w:tcW w:w="965" w:type="dxa"/>
            <w:tcBorders>
              <w:top w:val="single" w:color="000000" w:sz="4" w:space="0"/>
              <w:left w:val="nil"/>
              <w:bottom w:val="single" w:color="000000" w:sz="4" w:space="0"/>
              <w:right w:val="single" w:color="000000" w:sz="4" w:space="0"/>
            </w:tcBorders>
            <w:noWrap w:val="0"/>
            <w:vAlign w:val="top"/>
          </w:tcPr>
          <w:p w14:paraId="749A0232">
            <w:pPr>
              <w:pStyle w:val="87"/>
              <w:spacing w:line="360" w:lineRule="auto"/>
              <w:outlineLvl w:val="9"/>
              <w:rPr>
                <w:rFonts w:hint="eastAsia" w:ascii="宋体" w:hAnsi="宋体" w:eastAsia="宋体" w:cs="宋体"/>
                <w:color w:val="auto"/>
                <w:highlight w:val="none"/>
              </w:rPr>
            </w:pPr>
          </w:p>
        </w:tc>
        <w:tc>
          <w:tcPr>
            <w:tcW w:w="1164" w:type="dxa"/>
            <w:tcBorders>
              <w:top w:val="single" w:color="000000" w:sz="4" w:space="0"/>
              <w:left w:val="nil"/>
              <w:bottom w:val="single" w:color="000000" w:sz="4" w:space="0"/>
              <w:right w:val="single" w:color="000000" w:sz="4" w:space="0"/>
            </w:tcBorders>
            <w:noWrap w:val="0"/>
            <w:vAlign w:val="top"/>
          </w:tcPr>
          <w:p w14:paraId="628E5C0C">
            <w:pPr>
              <w:pStyle w:val="87"/>
              <w:spacing w:line="360" w:lineRule="auto"/>
              <w:outlineLvl w:val="9"/>
              <w:rPr>
                <w:rFonts w:hint="eastAsia" w:ascii="宋体" w:hAnsi="宋体" w:eastAsia="宋体" w:cs="宋体"/>
                <w:color w:val="auto"/>
                <w:highlight w:val="none"/>
              </w:rPr>
            </w:pPr>
          </w:p>
        </w:tc>
        <w:tc>
          <w:tcPr>
            <w:tcW w:w="764" w:type="dxa"/>
            <w:tcBorders>
              <w:top w:val="single" w:color="000000" w:sz="4" w:space="0"/>
              <w:left w:val="nil"/>
              <w:bottom w:val="single" w:color="000000" w:sz="4" w:space="0"/>
              <w:right w:val="single" w:color="000000" w:sz="4" w:space="0"/>
            </w:tcBorders>
            <w:noWrap w:val="0"/>
            <w:vAlign w:val="top"/>
          </w:tcPr>
          <w:p w14:paraId="2275F0DF">
            <w:pPr>
              <w:pStyle w:val="87"/>
              <w:spacing w:line="360" w:lineRule="auto"/>
              <w:outlineLvl w:val="9"/>
              <w:rPr>
                <w:rFonts w:hint="eastAsia" w:ascii="宋体" w:hAnsi="宋体" w:eastAsia="宋体" w:cs="宋体"/>
                <w:color w:val="auto"/>
                <w:highlight w:val="none"/>
              </w:rPr>
            </w:pPr>
          </w:p>
        </w:tc>
      </w:tr>
      <w:tr w14:paraId="1AED16A2">
        <w:tblPrEx>
          <w:tblCellMar>
            <w:top w:w="0" w:type="dxa"/>
            <w:left w:w="0" w:type="dxa"/>
            <w:bottom w:w="0" w:type="dxa"/>
            <w:right w:w="0" w:type="dxa"/>
          </w:tblCellMar>
        </w:tblPrEx>
        <w:trPr>
          <w:trHeight w:val="448" w:hRule="atLeast"/>
          <w:jc w:val="center"/>
        </w:trPr>
        <w:tc>
          <w:tcPr>
            <w:tcW w:w="734" w:type="dxa"/>
            <w:tcBorders>
              <w:top w:val="single" w:color="000000" w:sz="4" w:space="0"/>
              <w:left w:val="single" w:color="000000" w:sz="4" w:space="0"/>
              <w:bottom w:val="single" w:color="000000" w:sz="4" w:space="0"/>
              <w:right w:val="single" w:color="000000" w:sz="4" w:space="0"/>
            </w:tcBorders>
            <w:noWrap w:val="0"/>
            <w:vAlign w:val="top"/>
          </w:tcPr>
          <w:p w14:paraId="48B7927E">
            <w:pPr>
              <w:pStyle w:val="87"/>
              <w:spacing w:line="360" w:lineRule="auto"/>
              <w:outlineLvl w:val="9"/>
              <w:rPr>
                <w:rFonts w:hint="eastAsia" w:ascii="宋体" w:hAnsi="宋体" w:eastAsia="宋体" w:cs="宋体"/>
                <w:color w:val="auto"/>
                <w:highlight w:val="none"/>
              </w:rPr>
            </w:pPr>
          </w:p>
        </w:tc>
        <w:tc>
          <w:tcPr>
            <w:tcW w:w="1198" w:type="dxa"/>
            <w:tcBorders>
              <w:top w:val="single" w:color="000000" w:sz="4" w:space="0"/>
              <w:left w:val="nil"/>
              <w:bottom w:val="single" w:color="000000" w:sz="4" w:space="0"/>
              <w:right w:val="single" w:color="000000" w:sz="4" w:space="0"/>
            </w:tcBorders>
            <w:noWrap w:val="0"/>
            <w:vAlign w:val="top"/>
          </w:tcPr>
          <w:p w14:paraId="092353AD">
            <w:pPr>
              <w:pStyle w:val="87"/>
              <w:spacing w:line="360" w:lineRule="auto"/>
              <w:outlineLvl w:val="9"/>
              <w:rPr>
                <w:rFonts w:hint="eastAsia" w:ascii="宋体" w:hAnsi="宋体" w:eastAsia="宋体" w:cs="宋体"/>
                <w:color w:val="auto"/>
                <w:highlight w:val="none"/>
              </w:rPr>
            </w:pPr>
          </w:p>
        </w:tc>
        <w:tc>
          <w:tcPr>
            <w:tcW w:w="839" w:type="dxa"/>
            <w:tcBorders>
              <w:top w:val="single" w:color="000000" w:sz="4" w:space="0"/>
              <w:left w:val="nil"/>
              <w:bottom w:val="single" w:color="000000" w:sz="4" w:space="0"/>
              <w:right w:val="single" w:color="000000" w:sz="4" w:space="0"/>
            </w:tcBorders>
            <w:noWrap w:val="0"/>
            <w:vAlign w:val="top"/>
          </w:tcPr>
          <w:p w14:paraId="795F0C27">
            <w:pPr>
              <w:pStyle w:val="87"/>
              <w:spacing w:line="360" w:lineRule="auto"/>
              <w:outlineLvl w:val="9"/>
              <w:rPr>
                <w:rFonts w:hint="eastAsia" w:ascii="宋体" w:hAnsi="宋体" w:eastAsia="宋体" w:cs="宋体"/>
                <w:color w:val="auto"/>
                <w:highlight w:val="none"/>
              </w:rPr>
            </w:pPr>
          </w:p>
        </w:tc>
        <w:tc>
          <w:tcPr>
            <w:tcW w:w="1092" w:type="dxa"/>
            <w:tcBorders>
              <w:top w:val="single" w:color="000000" w:sz="4" w:space="0"/>
              <w:left w:val="nil"/>
              <w:bottom w:val="single" w:color="000000" w:sz="4" w:space="0"/>
              <w:right w:val="single" w:color="000000" w:sz="4" w:space="0"/>
            </w:tcBorders>
            <w:noWrap w:val="0"/>
            <w:vAlign w:val="top"/>
          </w:tcPr>
          <w:p w14:paraId="11DB0BE7">
            <w:pPr>
              <w:pStyle w:val="87"/>
              <w:spacing w:line="360" w:lineRule="auto"/>
              <w:outlineLvl w:val="9"/>
              <w:rPr>
                <w:rFonts w:hint="eastAsia" w:ascii="宋体" w:hAnsi="宋体" w:eastAsia="宋体" w:cs="宋体"/>
                <w:color w:val="auto"/>
                <w:highlight w:val="none"/>
              </w:rPr>
            </w:pPr>
          </w:p>
        </w:tc>
        <w:tc>
          <w:tcPr>
            <w:tcW w:w="741" w:type="dxa"/>
            <w:tcBorders>
              <w:top w:val="single" w:color="000000" w:sz="4" w:space="0"/>
              <w:left w:val="nil"/>
              <w:bottom w:val="single" w:color="000000" w:sz="4" w:space="0"/>
              <w:right w:val="single" w:color="000000" w:sz="4" w:space="0"/>
            </w:tcBorders>
            <w:noWrap w:val="0"/>
            <w:vAlign w:val="top"/>
          </w:tcPr>
          <w:p w14:paraId="76F01390">
            <w:pPr>
              <w:pStyle w:val="87"/>
              <w:spacing w:line="360" w:lineRule="auto"/>
              <w:outlineLvl w:val="9"/>
              <w:rPr>
                <w:rFonts w:hint="eastAsia" w:ascii="宋体" w:hAnsi="宋体" w:eastAsia="宋体" w:cs="宋体"/>
                <w:color w:val="auto"/>
                <w:highlight w:val="none"/>
              </w:rPr>
            </w:pPr>
          </w:p>
        </w:tc>
        <w:tc>
          <w:tcPr>
            <w:tcW w:w="814" w:type="dxa"/>
            <w:tcBorders>
              <w:top w:val="single" w:color="000000" w:sz="4" w:space="0"/>
              <w:left w:val="nil"/>
              <w:bottom w:val="single" w:color="000000" w:sz="4" w:space="0"/>
              <w:right w:val="single" w:color="000000" w:sz="4" w:space="0"/>
            </w:tcBorders>
            <w:noWrap w:val="0"/>
            <w:vAlign w:val="top"/>
          </w:tcPr>
          <w:p w14:paraId="5C2CBF09">
            <w:pPr>
              <w:pStyle w:val="87"/>
              <w:spacing w:line="360" w:lineRule="auto"/>
              <w:outlineLvl w:val="9"/>
              <w:rPr>
                <w:rFonts w:hint="eastAsia" w:ascii="宋体" w:hAnsi="宋体" w:eastAsia="宋体" w:cs="宋体"/>
                <w:color w:val="auto"/>
                <w:highlight w:val="none"/>
              </w:rPr>
            </w:pPr>
          </w:p>
        </w:tc>
        <w:tc>
          <w:tcPr>
            <w:tcW w:w="1337" w:type="dxa"/>
            <w:tcBorders>
              <w:top w:val="single" w:color="000000" w:sz="4" w:space="0"/>
              <w:left w:val="nil"/>
              <w:bottom w:val="single" w:color="000000" w:sz="4" w:space="0"/>
              <w:right w:val="single" w:color="000000" w:sz="4" w:space="0"/>
            </w:tcBorders>
            <w:noWrap w:val="0"/>
            <w:vAlign w:val="top"/>
          </w:tcPr>
          <w:p w14:paraId="30832DE5">
            <w:pPr>
              <w:pStyle w:val="87"/>
              <w:spacing w:line="360" w:lineRule="auto"/>
              <w:outlineLvl w:val="9"/>
              <w:rPr>
                <w:rFonts w:hint="eastAsia" w:ascii="宋体" w:hAnsi="宋体" w:eastAsia="宋体" w:cs="宋体"/>
                <w:color w:val="auto"/>
                <w:highlight w:val="none"/>
              </w:rPr>
            </w:pPr>
          </w:p>
        </w:tc>
        <w:tc>
          <w:tcPr>
            <w:tcW w:w="965" w:type="dxa"/>
            <w:tcBorders>
              <w:top w:val="single" w:color="000000" w:sz="4" w:space="0"/>
              <w:left w:val="nil"/>
              <w:bottom w:val="single" w:color="000000" w:sz="4" w:space="0"/>
              <w:right w:val="single" w:color="000000" w:sz="4" w:space="0"/>
            </w:tcBorders>
            <w:noWrap w:val="0"/>
            <w:vAlign w:val="top"/>
          </w:tcPr>
          <w:p w14:paraId="369D671A">
            <w:pPr>
              <w:pStyle w:val="87"/>
              <w:spacing w:line="360" w:lineRule="auto"/>
              <w:outlineLvl w:val="9"/>
              <w:rPr>
                <w:rFonts w:hint="eastAsia" w:ascii="宋体" w:hAnsi="宋体" w:eastAsia="宋体" w:cs="宋体"/>
                <w:color w:val="auto"/>
                <w:highlight w:val="none"/>
              </w:rPr>
            </w:pPr>
          </w:p>
        </w:tc>
        <w:tc>
          <w:tcPr>
            <w:tcW w:w="1164" w:type="dxa"/>
            <w:tcBorders>
              <w:top w:val="single" w:color="000000" w:sz="4" w:space="0"/>
              <w:left w:val="nil"/>
              <w:bottom w:val="single" w:color="000000" w:sz="4" w:space="0"/>
              <w:right w:val="single" w:color="000000" w:sz="4" w:space="0"/>
            </w:tcBorders>
            <w:noWrap w:val="0"/>
            <w:vAlign w:val="top"/>
          </w:tcPr>
          <w:p w14:paraId="5C8A1277">
            <w:pPr>
              <w:pStyle w:val="87"/>
              <w:spacing w:line="360" w:lineRule="auto"/>
              <w:outlineLvl w:val="9"/>
              <w:rPr>
                <w:rFonts w:hint="eastAsia" w:ascii="宋体" w:hAnsi="宋体" w:eastAsia="宋体" w:cs="宋体"/>
                <w:color w:val="auto"/>
                <w:highlight w:val="none"/>
              </w:rPr>
            </w:pPr>
          </w:p>
        </w:tc>
        <w:tc>
          <w:tcPr>
            <w:tcW w:w="764" w:type="dxa"/>
            <w:tcBorders>
              <w:top w:val="single" w:color="000000" w:sz="4" w:space="0"/>
              <w:left w:val="nil"/>
              <w:bottom w:val="single" w:color="000000" w:sz="4" w:space="0"/>
              <w:right w:val="single" w:color="000000" w:sz="4" w:space="0"/>
            </w:tcBorders>
            <w:noWrap w:val="0"/>
            <w:vAlign w:val="top"/>
          </w:tcPr>
          <w:p w14:paraId="3592B85E">
            <w:pPr>
              <w:pStyle w:val="87"/>
              <w:spacing w:line="360" w:lineRule="auto"/>
              <w:outlineLvl w:val="9"/>
              <w:rPr>
                <w:rFonts w:hint="eastAsia" w:ascii="宋体" w:hAnsi="宋体" w:eastAsia="宋体" w:cs="宋体"/>
                <w:color w:val="auto"/>
                <w:highlight w:val="none"/>
              </w:rPr>
            </w:pPr>
          </w:p>
        </w:tc>
      </w:tr>
      <w:tr w14:paraId="53A556C6">
        <w:tblPrEx>
          <w:tblCellMar>
            <w:top w:w="0" w:type="dxa"/>
            <w:left w:w="0" w:type="dxa"/>
            <w:bottom w:w="0" w:type="dxa"/>
            <w:right w:w="0" w:type="dxa"/>
          </w:tblCellMar>
        </w:tblPrEx>
        <w:trPr>
          <w:trHeight w:val="450" w:hRule="atLeast"/>
          <w:jc w:val="center"/>
        </w:trPr>
        <w:tc>
          <w:tcPr>
            <w:tcW w:w="734" w:type="dxa"/>
            <w:tcBorders>
              <w:top w:val="single" w:color="000000" w:sz="4" w:space="0"/>
              <w:left w:val="single" w:color="000000" w:sz="4" w:space="0"/>
              <w:bottom w:val="single" w:color="000000" w:sz="4" w:space="0"/>
              <w:right w:val="single" w:color="000000" w:sz="4" w:space="0"/>
            </w:tcBorders>
            <w:noWrap w:val="0"/>
            <w:vAlign w:val="top"/>
          </w:tcPr>
          <w:p w14:paraId="7A2F43AC">
            <w:pPr>
              <w:pStyle w:val="87"/>
              <w:spacing w:line="360" w:lineRule="auto"/>
              <w:outlineLvl w:val="9"/>
              <w:rPr>
                <w:rFonts w:hint="eastAsia" w:ascii="宋体" w:hAnsi="宋体" w:eastAsia="宋体" w:cs="宋体"/>
                <w:color w:val="auto"/>
                <w:highlight w:val="none"/>
              </w:rPr>
            </w:pPr>
          </w:p>
        </w:tc>
        <w:tc>
          <w:tcPr>
            <w:tcW w:w="1198" w:type="dxa"/>
            <w:tcBorders>
              <w:top w:val="single" w:color="000000" w:sz="4" w:space="0"/>
              <w:left w:val="nil"/>
              <w:bottom w:val="single" w:color="000000" w:sz="4" w:space="0"/>
              <w:right w:val="single" w:color="000000" w:sz="4" w:space="0"/>
            </w:tcBorders>
            <w:noWrap w:val="0"/>
            <w:vAlign w:val="top"/>
          </w:tcPr>
          <w:p w14:paraId="06386737">
            <w:pPr>
              <w:pStyle w:val="87"/>
              <w:spacing w:line="360" w:lineRule="auto"/>
              <w:outlineLvl w:val="9"/>
              <w:rPr>
                <w:rFonts w:hint="eastAsia" w:ascii="宋体" w:hAnsi="宋体" w:eastAsia="宋体" w:cs="宋体"/>
                <w:color w:val="auto"/>
                <w:highlight w:val="none"/>
              </w:rPr>
            </w:pPr>
          </w:p>
        </w:tc>
        <w:tc>
          <w:tcPr>
            <w:tcW w:w="839" w:type="dxa"/>
            <w:tcBorders>
              <w:top w:val="single" w:color="000000" w:sz="4" w:space="0"/>
              <w:left w:val="nil"/>
              <w:bottom w:val="single" w:color="000000" w:sz="4" w:space="0"/>
              <w:right w:val="single" w:color="000000" w:sz="4" w:space="0"/>
            </w:tcBorders>
            <w:noWrap w:val="0"/>
            <w:vAlign w:val="top"/>
          </w:tcPr>
          <w:p w14:paraId="32E08A9C">
            <w:pPr>
              <w:pStyle w:val="87"/>
              <w:spacing w:line="360" w:lineRule="auto"/>
              <w:outlineLvl w:val="9"/>
              <w:rPr>
                <w:rFonts w:hint="eastAsia" w:ascii="宋体" w:hAnsi="宋体" w:eastAsia="宋体" w:cs="宋体"/>
                <w:color w:val="auto"/>
                <w:highlight w:val="none"/>
              </w:rPr>
            </w:pPr>
          </w:p>
        </w:tc>
        <w:tc>
          <w:tcPr>
            <w:tcW w:w="1092" w:type="dxa"/>
            <w:tcBorders>
              <w:top w:val="single" w:color="000000" w:sz="4" w:space="0"/>
              <w:left w:val="nil"/>
              <w:bottom w:val="single" w:color="000000" w:sz="4" w:space="0"/>
              <w:right w:val="single" w:color="000000" w:sz="4" w:space="0"/>
            </w:tcBorders>
            <w:noWrap w:val="0"/>
            <w:vAlign w:val="top"/>
          </w:tcPr>
          <w:p w14:paraId="3B1E50AF">
            <w:pPr>
              <w:pStyle w:val="87"/>
              <w:spacing w:line="360" w:lineRule="auto"/>
              <w:outlineLvl w:val="9"/>
              <w:rPr>
                <w:rFonts w:hint="eastAsia" w:ascii="宋体" w:hAnsi="宋体" w:eastAsia="宋体" w:cs="宋体"/>
                <w:color w:val="auto"/>
                <w:highlight w:val="none"/>
              </w:rPr>
            </w:pPr>
          </w:p>
        </w:tc>
        <w:tc>
          <w:tcPr>
            <w:tcW w:w="741" w:type="dxa"/>
            <w:tcBorders>
              <w:top w:val="single" w:color="000000" w:sz="4" w:space="0"/>
              <w:left w:val="nil"/>
              <w:bottom w:val="single" w:color="000000" w:sz="4" w:space="0"/>
              <w:right w:val="single" w:color="000000" w:sz="4" w:space="0"/>
            </w:tcBorders>
            <w:noWrap w:val="0"/>
            <w:vAlign w:val="top"/>
          </w:tcPr>
          <w:p w14:paraId="4491DC8D">
            <w:pPr>
              <w:pStyle w:val="87"/>
              <w:spacing w:line="360" w:lineRule="auto"/>
              <w:outlineLvl w:val="9"/>
              <w:rPr>
                <w:rFonts w:hint="eastAsia" w:ascii="宋体" w:hAnsi="宋体" w:eastAsia="宋体" w:cs="宋体"/>
                <w:color w:val="auto"/>
                <w:highlight w:val="none"/>
              </w:rPr>
            </w:pPr>
          </w:p>
        </w:tc>
        <w:tc>
          <w:tcPr>
            <w:tcW w:w="814" w:type="dxa"/>
            <w:tcBorders>
              <w:top w:val="single" w:color="000000" w:sz="4" w:space="0"/>
              <w:left w:val="nil"/>
              <w:bottom w:val="single" w:color="000000" w:sz="4" w:space="0"/>
              <w:right w:val="single" w:color="000000" w:sz="4" w:space="0"/>
            </w:tcBorders>
            <w:noWrap w:val="0"/>
            <w:vAlign w:val="top"/>
          </w:tcPr>
          <w:p w14:paraId="52B6F399">
            <w:pPr>
              <w:pStyle w:val="87"/>
              <w:spacing w:line="360" w:lineRule="auto"/>
              <w:outlineLvl w:val="9"/>
              <w:rPr>
                <w:rFonts w:hint="eastAsia" w:ascii="宋体" w:hAnsi="宋体" w:eastAsia="宋体" w:cs="宋体"/>
                <w:color w:val="auto"/>
                <w:highlight w:val="none"/>
              </w:rPr>
            </w:pPr>
          </w:p>
        </w:tc>
        <w:tc>
          <w:tcPr>
            <w:tcW w:w="1337" w:type="dxa"/>
            <w:tcBorders>
              <w:top w:val="single" w:color="000000" w:sz="4" w:space="0"/>
              <w:left w:val="nil"/>
              <w:bottom w:val="single" w:color="000000" w:sz="4" w:space="0"/>
              <w:right w:val="single" w:color="000000" w:sz="4" w:space="0"/>
            </w:tcBorders>
            <w:noWrap w:val="0"/>
            <w:vAlign w:val="top"/>
          </w:tcPr>
          <w:p w14:paraId="565E4F66">
            <w:pPr>
              <w:pStyle w:val="87"/>
              <w:spacing w:line="360" w:lineRule="auto"/>
              <w:outlineLvl w:val="9"/>
              <w:rPr>
                <w:rFonts w:hint="eastAsia" w:ascii="宋体" w:hAnsi="宋体" w:eastAsia="宋体" w:cs="宋体"/>
                <w:color w:val="auto"/>
                <w:highlight w:val="none"/>
              </w:rPr>
            </w:pPr>
          </w:p>
        </w:tc>
        <w:tc>
          <w:tcPr>
            <w:tcW w:w="965" w:type="dxa"/>
            <w:tcBorders>
              <w:top w:val="single" w:color="000000" w:sz="4" w:space="0"/>
              <w:left w:val="nil"/>
              <w:bottom w:val="single" w:color="000000" w:sz="4" w:space="0"/>
              <w:right w:val="single" w:color="000000" w:sz="4" w:space="0"/>
            </w:tcBorders>
            <w:noWrap w:val="0"/>
            <w:vAlign w:val="top"/>
          </w:tcPr>
          <w:p w14:paraId="723468B2">
            <w:pPr>
              <w:pStyle w:val="87"/>
              <w:spacing w:line="360" w:lineRule="auto"/>
              <w:outlineLvl w:val="9"/>
              <w:rPr>
                <w:rFonts w:hint="eastAsia" w:ascii="宋体" w:hAnsi="宋体" w:eastAsia="宋体" w:cs="宋体"/>
                <w:color w:val="auto"/>
                <w:highlight w:val="none"/>
              </w:rPr>
            </w:pPr>
          </w:p>
        </w:tc>
        <w:tc>
          <w:tcPr>
            <w:tcW w:w="1164" w:type="dxa"/>
            <w:tcBorders>
              <w:top w:val="single" w:color="000000" w:sz="4" w:space="0"/>
              <w:left w:val="nil"/>
              <w:bottom w:val="single" w:color="000000" w:sz="4" w:space="0"/>
              <w:right w:val="single" w:color="000000" w:sz="4" w:space="0"/>
            </w:tcBorders>
            <w:noWrap w:val="0"/>
            <w:vAlign w:val="top"/>
          </w:tcPr>
          <w:p w14:paraId="22FC7ACA">
            <w:pPr>
              <w:pStyle w:val="87"/>
              <w:spacing w:line="360" w:lineRule="auto"/>
              <w:outlineLvl w:val="9"/>
              <w:rPr>
                <w:rFonts w:hint="eastAsia" w:ascii="宋体" w:hAnsi="宋体" w:eastAsia="宋体" w:cs="宋体"/>
                <w:color w:val="auto"/>
                <w:highlight w:val="none"/>
              </w:rPr>
            </w:pPr>
          </w:p>
        </w:tc>
        <w:tc>
          <w:tcPr>
            <w:tcW w:w="764" w:type="dxa"/>
            <w:tcBorders>
              <w:top w:val="single" w:color="000000" w:sz="4" w:space="0"/>
              <w:left w:val="nil"/>
              <w:bottom w:val="single" w:color="000000" w:sz="4" w:space="0"/>
              <w:right w:val="single" w:color="000000" w:sz="4" w:space="0"/>
            </w:tcBorders>
            <w:noWrap w:val="0"/>
            <w:vAlign w:val="top"/>
          </w:tcPr>
          <w:p w14:paraId="5BC1FCC2">
            <w:pPr>
              <w:pStyle w:val="87"/>
              <w:spacing w:line="360" w:lineRule="auto"/>
              <w:outlineLvl w:val="9"/>
              <w:rPr>
                <w:rFonts w:hint="eastAsia" w:ascii="宋体" w:hAnsi="宋体" w:eastAsia="宋体" w:cs="宋体"/>
                <w:color w:val="auto"/>
                <w:highlight w:val="none"/>
              </w:rPr>
            </w:pPr>
          </w:p>
        </w:tc>
      </w:tr>
    </w:tbl>
    <w:p w14:paraId="2AB1B287">
      <w:pPr>
        <w:pStyle w:val="87"/>
        <w:spacing w:line="360" w:lineRule="auto"/>
        <w:outlineLvl w:val="9"/>
        <w:rPr>
          <w:rFonts w:hint="eastAsia" w:ascii="宋体" w:hAnsi="宋体" w:eastAsia="宋体" w:cs="宋体"/>
          <w:b/>
          <w:color w:val="auto"/>
          <w:highlight w:val="none"/>
        </w:rPr>
      </w:pPr>
      <w:r>
        <w:rPr>
          <w:rFonts w:hint="eastAsia" w:ascii="宋体" w:hAnsi="宋体" w:eastAsia="宋体" w:cs="宋体"/>
          <w:color w:val="auto"/>
          <w:highlight w:val="none"/>
        </w:rPr>
        <w:t xml:space="preserve"> </w:t>
      </w:r>
      <w:bookmarkStart w:id="467" w:name="_Toc483317225"/>
      <w:bookmarkStart w:id="468" w:name="_Toc418752352"/>
      <w:bookmarkStart w:id="469" w:name="_Toc418751906"/>
      <w:r>
        <w:rPr>
          <w:rFonts w:hint="eastAsia" w:ascii="宋体" w:hAnsi="宋体" w:eastAsia="宋体" w:cs="宋体"/>
          <w:b/>
          <w:color w:val="auto"/>
          <w:highlight w:val="none"/>
        </w:rPr>
        <w:t>附表二：拟配备本项目的试验和检测仪器设备表</w:t>
      </w:r>
      <w:bookmarkEnd w:id="467"/>
      <w:bookmarkEnd w:id="468"/>
      <w:bookmarkEnd w:id="469"/>
    </w:p>
    <w:tbl>
      <w:tblPr>
        <w:tblStyle w:val="37"/>
        <w:tblW w:w="9648" w:type="dxa"/>
        <w:jc w:val="center"/>
        <w:tblLayout w:type="fixed"/>
        <w:tblCellMar>
          <w:top w:w="0" w:type="dxa"/>
          <w:left w:w="0" w:type="dxa"/>
          <w:bottom w:w="0" w:type="dxa"/>
          <w:right w:w="0" w:type="dxa"/>
        </w:tblCellMar>
      </w:tblPr>
      <w:tblGrid>
        <w:gridCol w:w="759"/>
        <w:gridCol w:w="1239"/>
        <w:gridCol w:w="866"/>
        <w:gridCol w:w="1129"/>
        <w:gridCol w:w="766"/>
        <w:gridCol w:w="841"/>
        <w:gridCol w:w="1382"/>
        <w:gridCol w:w="1885"/>
        <w:gridCol w:w="781"/>
      </w:tblGrid>
      <w:tr w14:paraId="24A1799F">
        <w:tblPrEx>
          <w:tblCellMar>
            <w:top w:w="0" w:type="dxa"/>
            <w:left w:w="0" w:type="dxa"/>
            <w:bottom w:w="0" w:type="dxa"/>
            <w:right w:w="0" w:type="dxa"/>
          </w:tblCellMar>
        </w:tblPrEx>
        <w:trPr>
          <w:trHeight w:val="890" w:hRule="atLeast"/>
          <w:jc w:val="center"/>
        </w:trPr>
        <w:tc>
          <w:tcPr>
            <w:tcW w:w="759" w:type="dxa"/>
            <w:tcBorders>
              <w:top w:val="single" w:color="000000" w:sz="4" w:space="0"/>
              <w:left w:val="single" w:color="000000" w:sz="4" w:space="0"/>
              <w:bottom w:val="single" w:color="000000" w:sz="4" w:space="0"/>
              <w:right w:val="single" w:color="000000" w:sz="4" w:space="0"/>
            </w:tcBorders>
            <w:noWrap w:val="0"/>
            <w:vAlign w:val="center"/>
          </w:tcPr>
          <w:p w14:paraId="3C48CD0F">
            <w:pPr>
              <w:pStyle w:val="87"/>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highlight w:val="none"/>
              </w:rPr>
              <w:t>序号</w:t>
            </w:r>
          </w:p>
        </w:tc>
        <w:tc>
          <w:tcPr>
            <w:tcW w:w="1239" w:type="dxa"/>
            <w:tcBorders>
              <w:top w:val="single" w:color="000000" w:sz="4" w:space="0"/>
              <w:left w:val="nil"/>
              <w:bottom w:val="single" w:color="000000" w:sz="4" w:space="0"/>
              <w:right w:val="single" w:color="000000" w:sz="4" w:space="0"/>
            </w:tcBorders>
            <w:noWrap w:val="0"/>
            <w:vAlign w:val="center"/>
          </w:tcPr>
          <w:p w14:paraId="3C5D6B3F">
            <w:pPr>
              <w:pStyle w:val="87"/>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仪器设备</w:t>
            </w:r>
          </w:p>
          <w:p w14:paraId="32371976">
            <w:pPr>
              <w:pStyle w:val="87"/>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highlight w:val="none"/>
              </w:rPr>
              <w:t>名称</w:t>
            </w:r>
          </w:p>
        </w:tc>
        <w:tc>
          <w:tcPr>
            <w:tcW w:w="866" w:type="dxa"/>
            <w:tcBorders>
              <w:top w:val="single" w:color="000000" w:sz="4" w:space="0"/>
              <w:left w:val="nil"/>
              <w:bottom w:val="single" w:color="000000" w:sz="4" w:space="0"/>
              <w:right w:val="single" w:color="000000" w:sz="4" w:space="0"/>
            </w:tcBorders>
            <w:noWrap w:val="0"/>
            <w:vAlign w:val="center"/>
          </w:tcPr>
          <w:p w14:paraId="4226F9A8">
            <w:pPr>
              <w:pStyle w:val="87"/>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型号</w:t>
            </w:r>
          </w:p>
          <w:p w14:paraId="5A7A1100">
            <w:pPr>
              <w:pStyle w:val="87"/>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highlight w:val="none"/>
              </w:rPr>
              <w:t>规格</w:t>
            </w:r>
          </w:p>
        </w:tc>
        <w:tc>
          <w:tcPr>
            <w:tcW w:w="1129" w:type="dxa"/>
            <w:tcBorders>
              <w:top w:val="single" w:color="000000" w:sz="4" w:space="0"/>
              <w:left w:val="nil"/>
              <w:bottom w:val="single" w:color="000000" w:sz="4" w:space="0"/>
              <w:right w:val="single" w:color="000000" w:sz="4" w:space="0"/>
            </w:tcBorders>
            <w:noWrap w:val="0"/>
            <w:vAlign w:val="center"/>
          </w:tcPr>
          <w:p w14:paraId="1C4802A8">
            <w:pPr>
              <w:pStyle w:val="87"/>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highlight w:val="none"/>
              </w:rPr>
              <w:t>数量</w:t>
            </w:r>
          </w:p>
        </w:tc>
        <w:tc>
          <w:tcPr>
            <w:tcW w:w="766" w:type="dxa"/>
            <w:tcBorders>
              <w:top w:val="single" w:color="000000" w:sz="4" w:space="0"/>
              <w:left w:val="nil"/>
              <w:bottom w:val="single" w:color="000000" w:sz="4" w:space="0"/>
              <w:right w:val="single" w:color="000000" w:sz="4" w:space="0"/>
            </w:tcBorders>
            <w:noWrap w:val="0"/>
            <w:vAlign w:val="center"/>
          </w:tcPr>
          <w:p w14:paraId="11869EF2">
            <w:pPr>
              <w:pStyle w:val="87"/>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国别</w:t>
            </w:r>
          </w:p>
          <w:p w14:paraId="1F4E9EE6">
            <w:pPr>
              <w:pStyle w:val="87"/>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highlight w:val="none"/>
              </w:rPr>
              <w:t>产地</w:t>
            </w:r>
          </w:p>
        </w:tc>
        <w:tc>
          <w:tcPr>
            <w:tcW w:w="841" w:type="dxa"/>
            <w:tcBorders>
              <w:top w:val="single" w:color="000000" w:sz="4" w:space="0"/>
              <w:left w:val="nil"/>
              <w:bottom w:val="single" w:color="000000" w:sz="4" w:space="0"/>
              <w:right w:val="single" w:color="000000" w:sz="4" w:space="0"/>
            </w:tcBorders>
            <w:noWrap w:val="0"/>
            <w:vAlign w:val="center"/>
          </w:tcPr>
          <w:p w14:paraId="35456A16">
            <w:pPr>
              <w:pStyle w:val="87"/>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制造</w:t>
            </w:r>
          </w:p>
          <w:p w14:paraId="505C9872">
            <w:pPr>
              <w:pStyle w:val="87"/>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highlight w:val="none"/>
              </w:rPr>
              <w:t>年份</w:t>
            </w:r>
          </w:p>
        </w:tc>
        <w:tc>
          <w:tcPr>
            <w:tcW w:w="1382" w:type="dxa"/>
            <w:tcBorders>
              <w:top w:val="single" w:color="000000" w:sz="4" w:space="0"/>
              <w:left w:val="nil"/>
              <w:bottom w:val="single" w:color="000000" w:sz="4" w:space="0"/>
              <w:right w:val="single" w:color="000000" w:sz="4" w:space="0"/>
            </w:tcBorders>
            <w:noWrap w:val="0"/>
            <w:vAlign w:val="center"/>
          </w:tcPr>
          <w:p w14:paraId="788EDE98">
            <w:pPr>
              <w:pStyle w:val="87"/>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已使用</w:t>
            </w:r>
          </w:p>
          <w:p w14:paraId="06F3BBA7">
            <w:pPr>
              <w:pStyle w:val="87"/>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highlight w:val="none"/>
              </w:rPr>
              <w:t>台时数</w:t>
            </w:r>
          </w:p>
        </w:tc>
        <w:tc>
          <w:tcPr>
            <w:tcW w:w="1885" w:type="dxa"/>
            <w:tcBorders>
              <w:top w:val="single" w:color="000000" w:sz="4" w:space="0"/>
              <w:left w:val="nil"/>
              <w:bottom w:val="single" w:color="000000" w:sz="4" w:space="0"/>
              <w:right w:val="single" w:color="000000" w:sz="4" w:space="0"/>
            </w:tcBorders>
            <w:noWrap w:val="0"/>
            <w:vAlign w:val="center"/>
          </w:tcPr>
          <w:p w14:paraId="42AA144A">
            <w:pPr>
              <w:pStyle w:val="87"/>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highlight w:val="none"/>
              </w:rPr>
              <w:t>用途</w:t>
            </w:r>
          </w:p>
        </w:tc>
        <w:tc>
          <w:tcPr>
            <w:tcW w:w="781" w:type="dxa"/>
            <w:tcBorders>
              <w:top w:val="single" w:color="000000" w:sz="4" w:space="0"/>
              <w:left w:val="nil"/>
              <w:bottom w:val="single" w:color="000000" w:sz="4" w:space="0"/>
              <w:right w:val="single" w:color="000000" w:sz="4" w:space="0"/>
            </w:tcBorders>
            <w:noWrap w:val="0"/>
            <w:vAlign w:val="center"/>
          </w:tcPr>
          <w:p w14:paraId="4F4C3125">
            <w:pPr>
              <w:pStyle w:val="87"/>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highlight w:val="none"/>
              </w:rPr>
              <w:t>备注</w:t>
            </w:r>
          </w:p>
        </w:tc>
      </w:tr>
      <w:tr w14:paraId="62DE1125">
        <w:tblPrEx>
          <w:tblCellMar>
            <w:top w:w="0" w:type="dxa"/>
            <w:left w:w="0" w:type="dxa"/>
            <w:bottom w:w="0" w:type="dxa"/>
            <w:right w:w="0" w:type="dxa"/>
          </w:tblCellMar>
        </w:tblPrEx>
        <w:trPr>
          <w:trHeight w:val="450" w:hRule="atLeast"/>
          <w:jc w:val="center"/>
        </w:trPr>
        <w:tc>
          <w:tcPr>
            <w:tcW w:w="759" w:type="dxa"/>
            <w:tcBorders>
              <w:top w:val="single" w:color="000000" w:sz="4" w:space="0"/>
              <w:left w:val="single" w:color="000000" w:sz="4" w:space="0"/>
              <w:bottom w:val="single" w:color="000000" w:sz="4" w:space="0"/>
              <w:right w:val="single" w:color="000000" w:sz="4" w:space="0"/>
            </w:tcBorders>
            <w:noWrap w:val="0"/>
            <w:vAlign w:val="top"/>
          </w:tcPr>
          <w:p w14:paraId="014C38BC">
            <w:pPr>
              <w:pStyle w:val="87"/>
              <w:spacing w:line="360" w:lineRule="auto"/>
              <w:outlineLvl w:val="9"/>
              <w:rPr>
                <w:rFonts w:hint="eastAsia" w:ascii="宋体" w:hAnsi="宋体" w:eastAsia="宋体" w:cs="宋体"/>
                <w:color w:val="auto"/>
                <w:sz w:val="24"/>
                <w:szCs w:val="24"/>
                <w:highlight w:val="none"/>
              </w:rPr>
            </w:pPr>
          </w:p>
        </w:tc>
        <w:tc>
          <w:tcPr>
            <w:tcW w:w="1239" w:type="dxa"/>
            <w:tcBorders>
              <w:top w:val="single" w:color="000000" w:sz="4" w:space="0"/>
              <w:left w:val="nil"/>
              <w:bottom w:val="single" w:color="000000" w:sz="4" w:space="0"/>
              <w:right w:val="single" w:color="000000" w:sz="4" w:space="0"/>
            </w:tcBorders>
            <w:noWrap w:val="0"/>
            <w:vAlign w:val="top"/>
          </w:tcPr>
          <w:p w14:paraId="60EEE735">
            <w:pPr>
              <w:pStyle w:val="87"/>
              <w:spacing w:line="360" w:lineRule="auto"/>
              <w:outlineLvl w:val="9"/>
              <w:rPr>
                <w:rFonts w:hint="eastAsia" w:ascii="宋体" w:hAnsi="宋体" w:eastAsia="宋体" w:cs="宋体"/>
                <w:color w:val="auto"/>
                <w:sz w:val="24"/>
                <w:szCs w:val="24"/>
                <w:highlight w:val="none"/>
              </w:rPr>
            </w:pPr>
          </w:p>
        </w:tc>
        <w:tc>
          <w:tcPr>
            <w:tcW w:w="866" w:type="dxa"/>
            <w:tcBorders>
              <w:top w:val="single" w:color="000000" w:sz="4" w:space="0"/>
              <w:left w:val="nil"/>
              <w:bottom w:val="single" w:color="000000" w:sz="4" w:space="0"/>
              <w:right w:val="single" w:color="000000" w:sz="4" w:space="0"/>
            </w:tcBorders>
            <w:noWrap w:val="0"/>
            <w:vAlign w:val="top"/>
          </w:tcPr>
          <w:p w14:paraId="39BD6A44">
            <w:pPr>
              <w:pStyle w:val="87"/>
              <w:spacing w:line="360" w:lineRule="auto"/>
              <w:outlineLvl w:val="9"/>
              <w:rPr>
                <w:rFonts w:hint="eastAsia" w:ascii="宋体" w:hAnsi="宋体" w:eastAsia="宋体" w:cs="宋体"/>
                <w:color w:val="auto"/>
                <w:sz w:val="24"/>
                <w:szCs w:val="24"/>
                <w:highlight w:val="none"/>
              </w:rPr>
            </w:pPr>
          </w:p>
        </w:tc>
        <w:tc>
          <w:tcPr>
            <w:tcW w:w="1129" w:type="dxa"/>
            <w:tcBorders>
              <w:top w:val="single" w:color="000000" w:sz="4" w:space="0"/>
              <w:left w:val="nil"/>
              <w:bottom w:val="single" w:color="000000" w:sz="4" w:space="0"/>
              <w:right w:val="single" w:color="000000" w:sz="4" w:space="0"/>
            </w:tcBorders>
            <w:noWrap w:val="0"/>
            <w:vAlign w:val="top"/>
          </w:tcPr>
          <w:p w14:paraId="3EE952B5">
            <w:pPr>
              <w:pStyle w:val="87"/>
              <w:spacing w:line="360" w:lineRule="auto"/>
              <w:outlineLvl w:val="9"/>
              <w:rPr>
                <w:rFonts w:hint="eastAsia" w:ascii="宋体" w:hAnsi="宋体" w:eastAsia="宋体" w:cs="宋体"/>
                <w:color w:val="auto"/>
                <w:sz w:val="24"/>
                <w:szCs w:val="24"/>
                <w:highlight w:val="none"/>
              </w:rPr>
            </w:pPr>
          </w:p>
        </w:tc>
        <w:tc>
          <w:tcPr>
            <w:tcW w:w="766" w:type="dxa"/>
            <w:tcBorders>
              <w:top w:val="single" w:color="000000" w:sz="4" w:space="0"/>
              <w:left w:val="nil"/>
              <w:bottom w:val="single" w:color="000000" w:sz="4" w:space="0"/>
              <w:right w:val="single" w:color="000000" w:sz="4" w:space="0"/>
            </w:tcBorders>
            <w:noWrap w:val="0"/>
            <w:vAlign w:val="top"/>
          </w:tcPr>
          <w:p w14:paraId="06F41AD2">
            <w:pPr>
              <w:pStyle w:val="87"/>
              <w:spacing w:line="360" w:lineRule="auto"/>
              <w:outlineLvl w:val="9"/>
              <w:rPr>
                <w:rFonts w:hint="eastAsia" w:ascii="宋体" w:hAnsi="宋体" w:eastAsia="宋体" w:cs="宋体"/>
                <w:color w:val="auto"/>
                <w:sz w:val="24"/>
                <w:szCs w:val="24"/>
                <w:highlight w:val="none"/>
              </w:rPr>
            </w:pPr>
          </w:p>
        </w:tc>
        <w:tc>
          <w:tcPr>
            <w:tcW w:w="841" w:type="dxa"/>
            <w:tcBorders>
              <w:top w:val="single" w:color="000000" w:sz="4" w:space="0"/>
              <w:left w:val="nil"/>
              <w:bottom w:val="single" w:color="000000" w:sz="4" w:space="0"/>
              <w:right w:val="single" w:color="000000" w:sz="4" w:space="0"/>
            </w:tcBorders>
            <w:noWrap w:val="0"/>
            <w:vAlign w:val="top"/>
          </w:tcPr>
          <w:p w14:paraId="4A78B225">
            <w:pPr>
              <w:pStyle w:val="87"/>
              <w:spacing w:line="360" w:lineRule="auto"/>
              <w:outlineLvl w:val="9"/>
              <w:rPr>
                <w:rFonts w:hint="eastAsia" w:ascii="宋体" w:hAnsi="宋体" w:eastAsia="宋体" w:cs="宋体"/>
                <w:color w:val="auto"/>
                <w:sz w:val="24"/>
                <w:szCs w:val="24"/>
                <w:highlight w:val="none"/>
              </w:rPr>
            </w:pPr>
          </w:p>
        </w:tc>
        <w:tc>
          <w:tcPr>
            <w:tcW w:w="1382" w:type="dxa"/>
            <w:tcBorders>
              <w:top w:val="single" w:color="000000" w:sz="4" w:space="0"/>
              <w:left w:val="nil"/>
              <w:bottom w:val="single" w:color="000000" w:sz="4" w:space="0"/>
              <w:right w:val="single" w:color="000000" w:sz="4" w:space="0"/>
            </w:tcBorders>
            <w:noWrap w:val="0"/>
            <w:vAlign w:val="top"/>
          </w:tcPr>
          <w:p w14:paraId="427B2132">
            <w:pPr>
              <w:pStyle w:val="87"/>
              <w:spacing w:line="360" w:lineRule="auto"/>
              <w:outlineLvl w:val="9"/>
              <w:rPr>
                <w:rFonts w:hint="eastAsia" w:ascii="宋体" w:hAnsi="宋体" w:eastAsia="宋体" w:cs="宋体"/>
                <w:color w:val="auto"/>
                <w:sz w:val="24"/>
                <w:szCs w:val="24"/>
                <w:highlight w:val="none"/>
              </w:rPr>
            </w:pPr>
          </w:p>
        </w:tc>
        <w:tc>
          <w:tcPr>
            <w:tcW w:w="1885" w:type="dxa"/>
            <w:tcBorders>
              <w:top w:val="single" w:color="000000" w:sz="4" w:space="0"/>
              <w:left w:val="nil"/>
              <w:bottom w:val="single" w:color="000000" w:sz="4" w:space="0"/>
              <w:right w:val="single" w:color="000000" w:sz="4" w:space="0"/>
            </w:tcBorders>
            <w:noWrap w:val="0"/>
            <w:vAlign w:val="top"/>
          </w:tcPr>
          <w:p w14:paraId="4E75F6FC">
            <w:pPr>
              <w:pStyle w:val="87"/>
              <w:spacing w:line="360" w:lineRule="auto"/>
              <w:outlineLvl w:val="9"/>
              <w:rPr>
                <w:rFonts w:hint="eastAsia" w:ascii="宋体" w:hAnsi="宋体" w:eastAsia="宋体" w:cs="宋体"/>
                <w:color w:val="auto"/>
                <w:sz w:val="24"/>
                <w:szCs w:val="24"/>
                <w:highlight w:val="none"/>
              </w:rPr>
            </w:pPr>
          </w:p>
        </w:tc>
        <w:tc>
          <w:tcPr>
            <w:tcW w:w="781" w:type="dxa"/>
            <w:tcBorders>
              <w:top w:val="single" w:color="000000" w:sz="4" w:space="0"/>
              <w:left w:val="nil"/>
              <w:bottom w:val="single" w:color="000000" w:sz="4" w:space="0"/>
              <w:right w:val="single" w:color="000000" w:sz="4" w:space="0"/>
            </w:tcBorders>
            <w:noWrap w:val="0"/>
            <w:vAlign w:val="top"/>
          </w:tcPr>
          <w:p w14:paraId="0BF6FA05">
            <w:pPr>
              <w:pStyle w:val="87"/>
              <w:spacing w:line="360" w:lineRule="auto"/>
              <w:outlineLvl w:val="9"/>
              <w:rPr>
                <w:rFonts w:hint="eastAsia" w:ascii="宋体" w:hAnsi="宋体" w:eastAsia="宋体" w:cs="宋体"/>
                <w:color w:val="auto"/>
                <w:sz w:val="24"/>
                <w:szCs w:val="24"/>
                <w:highlight w:val="none"/>
              </w:rPr>
            </w:pPr>
          </w:p>
        </w:tc>
      </w:tr>
      <w:tr w14:paraId="28D01749">
        <w:tblPrEx>
          <w:tblCellMar>
            <w:top w:w="0" w:type="dxa"/>
            <w:left w:w="0" w:type="dxa"/>
            <w:bottom w:w="0" w:type="dxa"/>
            <w:right w:w="0" w:type="dxa"/>
          </w:tblCellMar>
        </w:tblPrEx>
        <w:trPr>
          <w:trHeight w:val="450" w:hRule="atLeast"/>
          <w:jc w:val="center"/>
        </w:trPr>
        <w:tc>
          <w:tcPr>
            <w:tcW w:w="759" w:type="dxa"/>
            <w:tcBorders>
              <w:top w:val="single" w:color="000000" w:sz="4" w:space="0"/>
              <w:left w:val="single" w:color="000000" w:sz="4" w:space="0"/>
              <w:bottom w:val="single" w:color="000000" w:sz="4" w:space="0"/>
              <w:right w:val="single" w:color="000000" w:sz="4" w:space="0"/>
            </w:tcBorders>
            <w:noWrap w:val="0"/>
            <w:vAlign w:val="top"/>
          </w:tcPr>
          <w:p w14:paraId="080A5BCC">
            <w:pPr>
              <w:pStyle w:val="87"/>
              <w:spacing w:line="360" w:lineRule="auto"/>
              <w:outlineLvl w:val="9"/>
              <w:rPr>
                <w:rFonts w:hint="eastAsia" w:ascii="宋体" w:hAnsi="宋体" w:eastAsia="宋体" w:cs="宋体"/>
                <w:color w:val="auto"/>
                <w:sz w:val="24"/>
                <w:szCs w:val="24"/>
                <w:highlight w:val="none"/>
              </w:rPr>
            </w:pPr>
          </w:p>
        </w:tc>
        <w:tc>
          <w:tcPr>
            <w:tcW w:w="1239" w:type="dxa"/>
            <w:tcBorders>
              <w:top w:val="single" w:color="000000" w:sz="4" w:space="0"/>
              <w:left w:val="nil"/>
              <w:bottom w:val="single" w:color="000000" w:sz="4" w:space="0"/>
              <w:right w:val="single" w:color="000000" w:sz="4" w:space="0"/>
            </w:tcBorders>
            <w:noWrap w:val="0"/>
            <w:vAlign w:val="top"/>
          </w:tcPr>
          <w:p w14:paraId="5AA54E96">
            <w:pPr>
              <w:pStyle w:val="87"/>
              <w:spacing w:line="360" w:lineRule="auto"/>
              <w:outlineLvl w:val="9"/>
              <w:rPr>
                <w:rFonts w:hint="eastAsia" w:ascii="宋体" w:hAnsi="宋体" w:eastAsia="宋体" w:cs="宋体"/>
                <w:color w:val="auto"/>
                <w:sz w:val="24"/>
                <w:szCs w:val="24"/>
                <w:highlight w:val="none"/>
              </w:rPr>
            </w:pPr>
          </w:p>
        </w:tc>
        <w:tc>
          <w:tcPr>
            <w:tcW w:w="866" w:type="dxa"/>
            <w:tcBorders>
              <w:top w:val="single" w:color="000000" w:sz="4" w:space="0"/>
              <w:left w:val="nil"/>
              <w:bottom w:val="single" w:color="000000" w:sz="4" w:space="0"/>
              <w:right w:val="single" w:color="000000" w:sz="4" w:space="0"/>
            </w:tcBorders>
            <w:noWrap w:val="0"/>
            <w:vAlign w:val="top"/>
          </w:tcPr>
          <w:p w14:paraId="0D390201">
            <w:pPr>
              <w:pStyle w:val="87"/>
              <w:spacing w:line="360" w:lineRule="auto"/>
              <w:outlineLvl w:val="9"/>
              <w:rPr>
                <w:rFonts w:hint="eastAsia" w:ascii="宋体" w:hAnsi="宋体" w:eastAsia="宋体" w:cs="宋体"/>
                <w:color w:val="auto"/>
                <w:sz w:val="24"/>
                <w:szCs w:val="24"/>
                <w:highlight w:val="none"/>
              </w:rPr>
            </w:pPr>
          </w:p>
        </w:tc>
        <w:tc>
          <w:tcPr>
            <w:tcW w:w="1129" w:type="dxa"/>
            <w:tcBorders>
              <w:top w:val="single" w:color="000000" w:sz="4" w:space="0"/>
              <w:left w:val="nil"/>
              <w:bottom w:val="single" w:color="000000" w:sz="4" w:space="0"/>
              <w:right w:val="single" w:color="000000" w:sz="4" w:space="0"/>
            </w:tcBorders>
            <w:noWrap w:val="0"/>
            <w:vAlign w:val="top"/>
          </w:tcPr>
          <w:p w14:paraId="2D5D5F42">
            <w:pPr>
              <w:pStyle w:val="87"/>
              <w:spacing w:line="360" w:lineRule="auto"/>
              <w:outlineLvl w:val="9"/>
              <w:rPr>
                <w:rFonts w:hint="eastAsia" w:ascii="宋体" w:hAnsi="宋体" w:eastAsia="宋体" w:cs="宋体"/>
                <w:color w:val="auto"/>
                <w:sz w:val="24"/>
                <w:szCs w:val="24"/>
                <w:highlight w:val="none"/>
              </w:rPr>
            </w:pPr>
          </w:p>
        </w:tc>
        <w:tc>
          <w:tcPr>
            <w:tcW w:w="766" w:type="dxa"/>
            <w:tcBorders>
              <w:top w:val="single" w:color="000000" w:sz="4" w:space="0"/>
              <w:left w:val="nil"/>
              <w:bottom w:val="single" w:color="000000" w:sz="4" w:space="0"/>
              <w:right w:val="single" w:color="000000" w:sz="4" w:space="0"/>
            </w:tcBorders>
            <w:noWrap w:val="0"/>
            <w:vAlign w:val="top"/>
          </w:tcPr>
          <w:p w14:paraId="4070867D">
            <w:pPr>
              <w:pStyle w:val="87"/>
              <w:spacing w:line="360" w:lineRule="auto"/>
              <w:outlineLvl w:val="9"/>
              <w:rPr>
                <w:rFonts w:hint="eastAsia" w:ascii="宋体" w:hAnsi="宋体" w:eastAsia="宋体" w:cs="宋体"/>
                <w:color w:val="auto"/>
                <w:sz w:val="24"/>
                <w:szCs w:val="24"/>
                <w:highlight w:val="none"/>
              </w:rPr>
            </w:pPr>
          </w:p>
        </w:tc>
        <w:tc>
          <w:tcPr>
            <w:tcW w:w="841" w:type="dxa"/>
            <w:tcBorders>
              <w:top w:val="single" w:color="000000" w:sz="4" w:space="0"/>
              <w:left w:val="nil"/>
              <w:bottom w:val="single" w:color="000000" w:sz="4" w:space="0"/>
              <w:right w:val="single" w:color="000000" w:sz="4" w:space="0"/>
            </w:tcBorders>
            <w:noWrap w:val="0"/>
            <w:vAlign w:val="top"/>
          </w:tcPr>
          <w:p w14:paraId="6B0DBAAE">
            <w:pPr>
              <w:pStyle w:val="87"/>
              <w:spacing w:line="360" w:lineRule="auto"/>
              <w:outlineLvl w:val="9"/>
              <w:rPr>
                <w:rFonts w:hint="eastAsia" w:ascii="宋体" w:hAnsi="宋体" w:eastAsia="宋体" w:cs="宋体"/>
                <w:color w:val="auto"/>
                <w:sz w:val="24"/>
                <w:szCs w:val="24"/>
                <w:highlight w:val="none"/>
              </w:rPr>
            </w:pPr>
          </w:p>
        </w:tc>
        <w:tc>
          <w:tcPr>
            <w:tcW w:w="1382" w:type="dxa"/>
            <w:tcBorders>
              <w:top w:val="single" w:color="000000" w:sz="4" w:space="0"/>
              <w:left w:val="nil"/>
              <w:bottom w:val="single" w:color="000000" w:sz="4" w:space="0"/>
              <w:right w:val="single" w:color="000000" w:sz="4" w:space="0"/>
            </w:tcBorders>
            <w:noWrap w:val="0"/>
            <w:vAlign w:val="top"/>
          </w:tcPr>
          <w:p w14:paraId="21B9C41C">
            <w:pPr>
              <w:pStyle w:val="87"/>
              <w:spacing w:line="360" w:lineRule="auto"/>
              <w:outlineLvl w:val="9"/>
              <w:rPr>
                <w:rFonts w:hint="eastAsia" w:ascii="宋体" w:hAnsi="宋体" w:eastAsia="宋体" w:cs="宋体"/>
                <w:color w:val="auto"/>
                <w:sz w:val="24"/>
                <w:szCs w:val="24"/>
                <w:highlight w:val="none"/>
              </w:rPr>
            </w:pPr>
          </w:p>
        </w:tc>
        <w:tc>
          <w:tcPr>
            <w:tcW w:w="1885" w:type="dxa"/>
            <w:tcBorders>
              <w:top w:val="single" w:color="000000" w:sz="4" w:space="0"/>
              <w:left w:val="nil"/>
              <w:bottom w:val="single" w:color="000000" w:sz="4" w:space="0"/>
              <w:right w:val="single" w:color="000000" w:sz="4" w:space="0"/>
            </w:tcBorders>
            <w:noWrap w:val="0"/>
            <w:vAlign w:val="top"/>
          </w:tcPr>
          <w:p w14:paraId="1B20E764">
            <w:pPr>
              <w:pStyle w:val="87"/>
              <w:spacing w:line="360" w:lineRule="auto"/>
              <w:outlineLvl w:val="9"/>
              <w:rPr>
                <w:rFonts w:hint="eastAsia" w:ascii="宋体" w:hAnsi="宋体" w:eastAsia="宋体" w:cs="宋体"/>
                <w:color w:val="auto"/>
                <w:sz w:val="24"/>
                <w:szCs w:val="24"/>
                <w:highlight w:val="none"/>
              </w:rPr>
            </w:pPr>
          </w:p>
        </w:tc>
        <w:tc>
          <w:tcPr>
            <w:tcW w:w="781" w:type="dxa"/>
            <w:tcBorders>
              <w:top w:val="single" w:color="000000" w:sz="4" w:space="0"/>
              <w:left w:val="nil"/>
              <w:bottom w:val="single" w:color="000000" w:sz="4" w:space="0"/>
              <w:right w:val="single" w:color="000000" w:sz="4" w:space="0"/>
            </w:tcBorders>
            <w:noWrap w:val="0"/>
            <w:vAlign w:val="top"/>
          </w:tcPr>
          <w:p w14:paraId="15D3673F">
            <w:pPr>
              <w:pStyle w:val="87"/>
              <w:spacing w:line="360" w:lineRule="auto"/>
              <w:outlineLvl w:val="9"/>
              <w:rPr>
                <w:rFonts w:hint="eastAsia" w:ascii="宋体" w:hAnsi="宋体" w:eastAsia="宋体" w:cs="宋体"/>
                <w:color w:val="auto"/>
                <w:sz w:val="24"/>
                <w:szCs w:val="24"/>
                <w:highlight w:val="none"/>
              </w:rPr>
            </w:pPr>
          </w:p>
        </w:tc>
      </w:tr>
      <w:tr w14:paraId="441218B4">
        <w:tblPrEx>
          <w:tblCellMar>
            <w:top w:w="0" w:type="dxa"/>
            <w:left w:w="0" w:type="dxa"/>
            <w:bottom w:w="0" w:type="dxa"/>
            <w:right w:w="0" w:type="dxa"/>
          </w:tblCellMar>
        </w:tblPrEx>
        <w:trPr>
          <w:trHeight w:val="450" w:hRule="atLeast"/>
          <w:jc w:val="center"/>
        </w:trPr>
        <w:tc>
          <w:tcPr>
            <w:tcW w:w="759" w:type="dxa"/>
            <w:tcBorders>
              <w:top w:val="single" w:color="000000" w:sz="4" w:space="0"/>
              <w:left w:val="single" w:color="000000" w:sz="4" w:space="0"/>
              <w:bottom w:val="single" w:color="000000" w:sz="4" w:space="0"/>
              <w:right w:val="single" w:color="000000" w:sz="4" w:space="0"/>
            </w:tcBorders>
            <w:noWrap w:val="0"/>
            <w:vAlign w:val="top"/>
          </w:tcPr>
          <w:p w14:paraId="0180EBC0">
            <w:pPr>
              <w:pStyle w:val="87"/>
              <w:spacing w:line="360" w:lineRule="auto"/>
              <w:outlineLvl w:val="9"/>
              <w:rPr>
                <w:rFonts w:hint="eastAsia" w:ascii="宋体" w:hAnsi="宋体" w:eastAsia="宋体" w:cs="宋体"/>
                <w:color w:val="auto"/>
                <w:sz w:val="24"/>
                <w:szCs w:val="24"/>
                <w:highlight w:val="none"/>
              </w:rPr>
            </w:pPr>
          </w:p>
        </w:tc>
        <w:tc>
          <w:tcPr>
            <w:tcW w:w="1239" w:type="dxa"/>
            <w:tcBorders>
              <w:top w:val="single" w:color="000000" w:sz="4" w:space="0"/>
              <w:left w:val="nil"/>
              <w:bottom w:val="single" w:color="000000" w:sz="4" w:space="0"/>
              <w:right w:val="single" w:color="000000" w:sz="4" w:space="0"/>
            </w:tcBorders>
            <w:noWrap w:val="0"/>
            <w:vAlign w:val="top"/>
          </w:tcPr>
          <w:p w14:paraId="4DC1BE6A">
            <w:pPr>
              <w:pStyle w:val="87"/>
              <w:spacing w:line="360" w:lineRule="auto"/>
              <w:outlineLvl w:val="9"/>
              <w:rPr>
                <w:rFonts w:hint="eastAsia" w:ascii="宋体" w:hAnsi="宋体" w:eastAsia="宋体" w:cs="宋体"/>
                <w:color w:val="auto"/>
                <w:sz w:val="24"/>
                <w:szCs w:val="24"/>
                <w:highlight w:val="none"/>
              </w:rPr>
            </w:pPr>
          </w:p>
        </w:tc>
        <w:tc>
          <w:tcPr>
            <w:tcW w:w="866" w:type="dxa"/>
            <w:tcBorders>
              <w:top w:val="single" w:color="000000" w:sz="4" w:space="0"/>
              <w:left w:val="nil"/>
              <w:bottom w:val="single" w:color="000000" w:sz="4" w:space="0"/>
              <w:right w:val="single" w:color="000000" w:sz="4" w:space="0"/>
            </w:tcBorders>
            <w:noWrap w:val="0"/>
            <w:vAlign w:val="top"/>
          </w:tcPr>
          <w:p w14:paraId="5BC53B49">
            <w:pPr>
              <w:pStyle w:val="87"/>
              <w:spacing w:line="360" w:lineRule="auto"/>
              <w:outlineLvl w:val="9"/>
              <w:rPr>
                <w:rFonts w:hint="eastAsia" w:ascii="宋体" w:hAnsi="宋体" w:eastAsia="宋体" w:cs="宋体"/>
                <w:color w:val="auto"/>
                <w:sz w:val="24"/>
                <w:szCs w:val="24"/>
                <w:highlight w:val="none"/>
              </w:rPr>
            </w:pPr>
          </w:p>
        </w:tc>
        <w:tc>
          <w:tcPr>
            <w:tcW w:w="1129" w:type="dxa"/>
            <w:tcBorders>
              <w:top w:val="single" w:color="000000" w:sz="4" w:space="0"/>
              <w:left w:val="nil"/>
              <w:bottom w:val="single" w:color="000000" w:sz="4" w:space="0"/>
              <w:right w:val="single" w:color="000000" w:sz="4" w:space="0"/>
            </w:tcBorders>
            <w:noWrap w:val="0"/>
            <w:vAlign w:val="top"/>
          </w:tcPr>
          <w:p w14:paraId="33E4EF43">
            <w:pPr>
              <w:pStyle w:val="87"/>
              <w:spacing w:line="360" w:lineRule="auto"/>
              <w:outlineLvl w:val="9"/>
              <w:rPr>
                <w:rFonts w:hint="eastAsia" w:ascii="宋体" w:hAnsi="宋体" w:eastAsia="宋体" w:cs="宋体"/>
                <w:color w:val="auto"/>
                <w:sz w:val="24"/>
                <w:szCs w:val="24"/>
                <w:highlight w:val="none"/>
              </w:rPr>
            </w:pPr>
          </w:p>
        </w:tc>
        <w:tc>
          <w:tcPr>
            <w:tcW w:w="766" w:type="dxa"/>
            <w:tcBorders>
              <w:top w:val="single" w:color="000000" w:sz="4" w:space="0"/>
              <w:left w:val="nil"/>
              <w:bottom w:val="single" w:color="000000" w:sz="4" w:space="0"/>
              <w:right w:val="single" w:color="000000" w:sz="4" w:space="0"/>
            </w:tcBorders>
            <w:noWrap w:val="0"/>
            <w:vAlign w:val="top"/>
          </w:tcPr>
          <w:p w14:paraId="4C786080">
            <w:pPr>
              <w:pStyle w:val="87"/>
              <w:spacing w:line="360" w:lineRule="auto"/>
              <w:outlineLvl w:val="9"/>
              <w:rPr>
                <w:rFonts w:hint="eastAsia" w:ascii="宋体" w:hAnsi="宋体" w:eastAsia="宋体" w:cs="宋体"/>
                <w:color w:val="auto"/>
                <w:sz w:val="24"/>
                <w:szCs w:val="24"/>
                <w:highlight w:val="none"/>
              </w:rPr>
            </w:pPr>
          </w:p>
        </w:tc>
        <w:tc>
          <w:tcPr>
            <w:tcW w:w="841" w:type="dxa"/>
            <w:tcBorders>
              <w:top w:val="single" w:color="000000" w:sz="4" w:space="0"/>
              <w:left w:val="nil"/>
              <w:bottom w:val="single" w:color="000000" w:sz="4" w:space="0"/>
              <w:right w:val="single" w:color="000000" w:sz="4" w:space="0"/>
            </w:tcBorders>
            <w:noWrap w:val="0"/>
            <w:vAlign w:val="top"/>
          </w:tcPr>
          <w:p w14:paraId="62CB800B">
            <w:pPr>
              <w:pStyle w:val="87"/>
              <w:spacing w:line="360" w:lineRule="auto"/>
              <w:outlineLvl w:val="9"/>
              <w:rPr>
                <w:rFonts w:hint="eastAsia" w:ascii="宋体" w:hAnsi="宋体" w:eastAsia="宋体" w:cs="宋体"/>
                <w:color w:val="auto"/>
                <w:sz w:val="24"/>
                <w:szCs w:val="24"/>
                <w:highlight w:val="none"/>
              </w:rPr>
            </w:pPr>
          </w:p>
        </w:tc>
        <w:tc>
          <w:tcPr>
            <w:tcW w:w="1382" w:type="dxa"/>
            <w:tcBorders>
              <w:top w:val="single" w:color="000000" w:sz="4" w:space="0"/>
              <w:left w:val="nil"/>
              <w:bottom w:val="single" w:color="000000" w:sz="4" w:space="0"/>
              <w:right w:val="single" w:color="000000" w:sz="4" w:space="0"/>
            </w:tcBorders>
            <w:noWrap w:val="0"/>
            <w:vAlign w:val="top"/>
          </w:tcPr>
          <w:p w14:paraId="76B0E9CE">
            <w:pPr>
              <w:pStyle w:val="87"/>
              <w:spacing w:line="360" w:lineRule="auto"/>
              <w:outlineLvl w:val="9"/>
              <w:rPr>
                <w:rFonts w:hint="eastAsia" w:ascii="宋体" w:hAnsi="宋体" w:eastAsia="宋体" w:cs="宋体"/>
                <w:color w:val="auto"/>
                <w:sz w:val="24"/>
                <w:szCs w:val="24"/>
                <w:highlight w:val="none"/>
              </w:rPr>
            </w:pPr>
          </w:p>
        </w:tc>
        <w:tc>
          <w:tcPr>
            <w:tcW w:w="1885" w:type="dxa"/>
            <w:tcBorders>
              <w:top w:val="single" w:color="000000" w:sz="4" w:space="0"/>
              <w:left w:val="nil"/>
              <w:bottom w:val="single" w:color="000000" w:sz="4" w:space="0"/>
              <w:right w:val="single" w:color="000000" w:sz="4" w:space="0"/>
            </w:tcBorders>
            <w:noWrap w:val="0"/>
            <w:vAlign w:val="top"/>
          </w:tcPr>
          <w:p w14:paraId="12F2CC52">
            <w:pPr>
              <w:pStyle w:val="87"/>
              <w:spacing w:line="360" w:lineRule="auto"/>
              <w:outlineLvl w:val="9"/>
              <w:rPr>
                <w:rFonts w:hint="eastAsia" w:ascii="宋体" w:hAnsi="宋体" w:eastAsia="宋体" w:cs="宋体"/>
                <w:color w:val="auto"/>
                <w:sz w:val="24"/>
                <w:szCs w:val="24"/>
                <w:highlight w:val="none"/>
              </w:rPr>
            </w:pPr>
          </w:p>
        </w:tc>
        <w:tc>
          <w:tcPr>
            <w:tcW w:w="781" w:type="dxa"/>
            <w:tcBorders>
              <w:top w:val="single" w:color="000000" w:sz="4" w:space="0"/>
              <w:left w:val="nil"/>
              <w:bottom w:val="single" w:color="000000" w:sz="4" w:space="0"/>
              <w:right w:val="single" w:color="000000" w:sz="4" w:space="0"/>
            </w:tcBorders>
            <w:noWrap w:val="0"/>
            <w:vAlign w:val="top"/>
          </w:tcPr>
          <w:p w14:paraId="74F82A1C">
            <w:pPr>
              <w:pStyle w:val="87"/>
              <w:spacing w:line="360" w:lineRule="auto"/>
              <w:outlineLvl w:val="9"/>
              <w:rPr>
                <w:rFonts w:hint="eastAsia" w:ascii="宋体" w:hAnsi="宋体" w:eastAsia="宋体" w:cs="宋体"/>
                <w:color w:val="auto"/>
                <w:sz w:val="24"/>
                <w:szCs w:val="24"/>
                <w:highlight w:val="none"/>
              </w:rPr>
            </w:pPr>
          </w:p>
        </w:tc>
      </w:tr>
      <w:tr w14:paraId="40BA2559">
        <w:tblPrEx>
          <w:tblCellMar>
            <w:top w:w="0" w:type="dxa"/>
            <w:left w:w="0" w:type="dxa"/>
            <w:bottom w:w="0" w:type="dxa"/>
            <w:right w:w="0" w:type="dxa"/>
          </w:tblCellMar>
        </w:tblPrEx>
        <w:trPr>
          <w:trHeight w:val="450" w:hRule="atLeast"/>
          <w:jc w:val="center"/>
        </w:trPr>
        <w:tc>
          <w:tcPr>
            <w:tcW w:w="759" w:type="dxa"/>
            <w:tcBorders>
              <w:top w:val="single" w:color="000000" w:sz="4" w:space="0"/>
              <w:left w:val="single" w:color="000000" w:sz="4" w:space="0"/>
              <w:bottom w:val="single" w:color="000000" w:sz="4" w:space="0"/>
              <w:right w:val="single" w:color="000000" w:sz="4" w:space="0"/>
            </w:tcBorders>
            <w:noWrap w:val="0"/>
            <w:vAlign w:val="top"/>
          </w:tcPr>
          <w:p w14:paraId="39F5EA59">
            <w:pPr>
              <w:pStyle w:val="87"/>
              <w:spacing w:line="360" w:lineRule="auto"/>
              <w:outlineLvl w:val="9"/>
              <w:rPr>
                <w:rFonts w:hint="eastAsia" w:ascii="宋体" w:hAnsi="宋体" w:eastAsia="宋体" w:cs="宋体"/>
                <w:color w:val="auto"/>
                <w:sz w:val="24"/>
                <w:szCs w:val="24"/>
                <w:highlight w:val="none"/>
              </w:rPr>
            </w:pPr>
          </w:p>
        </w:tc>
        <w:tc>
          <w:tcPr>
            <w:tcW w:w="1239" w:type="dxa"/>
            <w:tcBorders>
              <w:top w:val="single" w:color="000000" w:sz="4" w:space="0"/>
              <w:left w:val="nil"/>
              <w:bottom w:val="single" w:color="000000" w:sz="4" w:space="0"/>
              <w:right w:val="single" w:color="000000" w:sz="4" w:space="0"/>
            </w:tcBorders>
            <w:noWrap w:val="0"/>
            <w:vAlign w:val="top"/>
          </w:tcPr>
          <w:p w14:paraId="33F9BCF8">
            <w:pPr>
              <w:pStyle w:val="87"/>
              <w:spacing w:line="360" w:lineRule="auto"/>
              <w:outlineLvl w:val="9"/>
              <w:rPr>
                <w:rFonts w:hint="eastAsia" w:ascii="宋体" w:hAnsi="宋体" w:eastAsia="宋体" w:cs="宋体"/>
                <w:color w:val="auto"/>
                <w:sz w:val="24"/>
                <w:szCs w:val="24"/>
                <w:highlight w:val="none"/>
              </w:rPr>
            </w:pPr>
          </w:p>
        </w:tc>
        <w:tc>
          <w:tcPr>
            <w:tcW w:w="866" w:type="dxa"/>
            <w:tcBorders>
              <w:top w:val="single" w:color="000000" w:sz="4" w:space="0"/>
              <w:left w:val="nil"/>
              <w:bottom w:val="single" w:color="000000" w:sz="4" w:space="0"/>
              <w:right w:val="single" w:color="000000" w:sz="4" w:space="0"/>
            </w:tcBorders>
            <w:noWrap w:val="0"/>
            <w:vAlign w:val="top"/>
          </w:tcPr>
          <w:p w14:paraId="72C51CA3">
            <w:pPr>
              <w:pStyle w:val="87"/>
              <w:spacing w:line="360" w:lineRule="auto"/>
              <w:outlineLvl w:val="9"/>
              <w:rPr>
                <w:rFonts w:hint="eastAsia" w:ascii="宋体" w:hAnsi="宋体" w:eastAsia="宋体" w:cs="宋体"/>
                <w:color w:val="auto"/>
                <w:sz w:val="24"/>
                <w:szCs w:val="24"/>
                <w:highlight w:val="none"/>
              </w:rPr>
            </w:pPr>
          </w:p>
        </w:tc>
        <w:tc>
          <w:tcPr>
            <w:tcW w:w="1129" w:type="dxa"/>
            <w:tcBorders>
              <w:top w:val="single" w:color="000000" w:sz="4" w:space="0"/>
              <w:left w:val="nil"/>
              <w:bottom w:val="single" w:color="000000" w:sz="4" w:space="0"/>
              <w:right w:val="single" w:color="000000" w:sz="4" w:space="0"/>
            </w:tcBorders>
            <w:noWrap w:val="0"/>
            <w:vAlign w:val="top"/>
          </w:tcPr>
          <w:p w14:paraId="30DCEED3">
            <w:pPr>
              <w:pStyle w:val="87"/>
              <w:spacing w:line="360" w:lineRule="auto"/>
              <w:outlineLvl w:val="9"/>
              <w:rPr>
                <w:rFonts w:hint="eastAsia" w:ascii="宋体" w:hAnsi="宋体" w:eastAsia="宋体" w:cs="宋体"/>
                <w:color w:val="auto"/>
                <w:sz w:val="24"/>
                <w:szCs w:val="24"/>
                <w:highlight w:val="none"/>
              </w:rPr>
            </w:pPr>
          </w:p>
        </w:tc>
        <w:tc>
          <w:tcPr>
            <w:tcW w:w="766" w:type="dxa"/>
            <w:tcBorders>
              <w:top w:val="single" w:color="000000" w:sz="4" w:space="0"/>
              <w:left w:val="nil"/>
              <w:bottom w:val="single" w:color="000000" w:sz="4" w:space="0"/>
              <w:right w:val="single" w:color="000000" w:sz="4" w:space="0"/>
            </w:tcBorders>
            <w:noWrap w:val="0"/>
            <w:vAlign w:val="top"/>
          </w:tcPr>
          <w:p w14:paraId="7289F0BE">
            <w:pPr>
              <w:pStyle w:val="87"/>
              <w:spacing w:line="360" w:lineRule="auto"/>
              <w:outlineLvl w:val="9"/>
              <w:rPr>
                <w:rFonts w:hint="eastAsia" w:ascii="宋体" w:hAnsi="宋体" w:eastAsia="宋体" w:cs="宋体"/>
                <w:color w:val="auto"/>
                <w:sz w:val="24"/>
                <w:szCs w:val="24"/>
                <w:highlight w:val="none"/>
              </w:rPr>
            </w:pPr>
          </w:p>
        </w:tc>
        <w:tc>
          <w:tcPr>
            <w:tcW w:w="841" w:type="dxa"/>
            <w:tcBorders>
              <w:top w:val="single" w:color="000000" w:sz="4" w:space="0"/>
              <w:left w:val="nil"/>
              <w:bottom w:val="single" w:color="000000" w:sz="4" w:space="0"/>
              <w:right w:val="single" w:color="000000" w:sz="4" w:space="0"/>
            </w:tcBorders>
            <w:noWrap w:val="0"/>
            <w:vAlign w:val="top"/>
          </w:tcPr>
          <w:p w14:paraId="46151ED4">
            <w:pPr>
              <w:pStyle w:val="87"/>
              <w:spacing w:line="360" w:lineRule="auto"/>
              <w:outlineLvl w:val="9"/>
              <w:rPr>
                <w:rFonts w:hint="eastAsia" w:ascii="宋体" w:hAnsi="宋体" w:eastAsia="宋体" w:cs="宋体"/>
                <w:color w:val="auto"/>
                <w:sz w:val="24"/>
                <w:szCs w:val="24"/>
                <w:highlight w:val="none"/>
              </w:rPr>
            </w:pPr>
          </w:p>
        </w:tc>
        <w:tc>
          <w:tcPr>
            <w:tcW w:w="1382" w:type="dxa"/>
            <w:tcBorders>
              <w:top w:val="single" w:color="000000" w:sz="4" w:space="0"/>
              <w:left w:val="nil"/>
              <w:bottom w:val="single" w:color="000000" w:sz="4" w:space="0"/>
              <w:right w:val="single" w:color="000000" w:sz="4" w:space="0"/>
            </w:tcBorders>
            <w:noWrap w:val="0"/>
            <w:vAlign w:val="top"/>
          </w:tcPr>
          <w:p w14:paraId="0813EFE1">
            <w:pPr>
              <w:pStyle w:val="87"/>
              <w:spacing w:line="360" w:lineRule="auto"/>
              <w:outlineLvl w:val="9"/>
              <w:rPr>
                <w:rFonts w:hint="eastAsia" w:ascii="宋体" w:hAnsi="宋体" w:eastAsia="宋体" w:cs="宋体"/>
                <w:color w:val="auto"/>
                <w:sz w:val="24"/>
                <w:szCs w:val="24"/>
                <w:highlight w:val="none"/>
              </w:rPr>
            </w:pPr>
          </w:p>
        </w:tc>
        <w:tc>
          <w:tcPr>
            <w:tcW w:w="1885" w:type="dxa"/>
            <w:tcBorders>
              <w:top w:val="single" w:color="000000" w:sz="4" w:space="0"/>
              <w:left w:val="nil"/>
              <w:bottom w:val="single" w:color="000000" w:sz="4" w:space="0"/>
              <w:right w:val="single" w:color="000000" w:sz="4" w:space="0"/>
            </w:tcBorders>
            <w:noWrap w:val="0"/>
            <w:vAlign w:val="top"/>
          </w:tcPr>
          <w:p w14:paraId="21244C1C">
            <w:pPr>
              <w:pStyle w:val="87"/>
              <w:spacing w:line="360" w:lineRule="auto"/>
              <w:outlineLvl w:val="9"/>
              <w:rPr>
                <w:rFonts w:hint="eastAsia" w:ascii="宋体" w:hAnsi="宋体" w:eastAsia="宋体" w:cs="宋体"/>
                <w:color w:val="auto"/>
                <w:sz w:val="24"/>
                <w:szCs w:val="24"/>
                <w:highlight w:val="none"/>
              </w:rPr>
            </w:pPr>
          </w:p>
        </w:tc>
        <w:tc>
          <w:tcPr>
            <w:tcW w:w="781" w:type="dxa"/>
            <w:tcBorders>
              <w:top w:val="single" w:color="000000" w:sz="4" w:space="0"/>
              <w:left w:val="nil"/>
              <w:bottom w:val="single" w:color="000000" w:sz="4" w:space="0"/>
              <w:right w:val="single" w:color="000000" w:sz="4" w:space="0"/>
            </w:tcBorders>
            <w:noWrap w:val="0"/>
            <w:vAlign w:val="top"/>
          </w:tcPr>
          <w:p w14:paraId="4F1D251A">
            <w:pPr>
              <w:pStyle w:val="87"/>
              <w:spacing w:line="360" w:lineRule="auto"/>
              <w:outlineLvl w:val="9"/>
              <w:rPr>
                <w:rFonts w:hint="eastAsia" w:ascii="宋体" w:hAnsi="宋体" w:eastAsia="宋体" w:cs="宋体"/>
                <w:color w:val="auto"/>
                <w:sz w:val="24"/>
                <w:szCs w:val="24"/>
                <w:highlight w:val="none"/>
              </w:rPr>
            </w:pPr>
          </w:p>
        </w:tc>
      </w:tr>
    </w:tbl>
    <w:p w14:paraId="236D8385">
      <w:pPr>
        <w:pStyle w:val="87"/>
        <w:spacing w:line="360" w:lineRule="auto"/>
        <w:outlineLvl w:val="9"/>
        <w:rPr>
          <w:rFonts w:hint="eastAsia" w:ascii="宋体" w:hAnsi="宋体" w:eastAsia="宋体" w:cs="宋体"/>
          <w:b/>
          <w:color w:val="auto"/>
          <w:highlight w:val="none"/>
        </w:rPr>
      </w:pPr>
      <w:r>
        <w:rPr>
          <w:rFonts w:hint="eastAsia" w:ascii="宋体" w:hAnsi="宋体" w:eastAsia="宋体" w:cs="宋体"/>
          <w:color w:val="auto"/>
          <w:sz w:val="20"/>
          <w:szCs w:val="20"/>
          <w:highlight w:val="none"/>
        </w:rPr>
        <w:t xml:space="preserve"> </w:t>
      </w:r>
      <w:bookmarkStart w:id="470" w:name="_Toc418751907"/>
      <w:bookmarkStart w:id="471" w:name="_Toc483317226"/>
      <w:bookmarkStart w:id="472" w:name="_Toc418752353"/>
      <w:r>
        <w:rPr>
          <w:rFonts w:hint="eastAsia" w:ascii="宋体" w:hAnsi="宋体" w:eastAsia="宋体" w:cs="宋体"/>
          <w:b/>
          <w:color w:val="auto"/>
          <w:highlight w:val="none"/>
        </w:rPr>
        <w:t>附表三：劳动力计划表</w:t>
      </w:r>
      <w:bookmarkEnd w:id="470"/>
      <w:bookmarkEnd w:id="471"/>
      <w:bookmarkEnd w:id="472"/>
    </w:p>
    <w:p w14:paraId="322A24AB">
      <w:pPr>
        <w:pStyle w:val="87"/>
        <w:spacing w:line="360" w:lineRule="auto"/>
        <w:jc w:val="right"/>
        <w:outlineLvl w:val="9"/>
        <w:rPr>
          <w:rFonts w:hint="eastAsia" w:ascii="宋体" w:hAnsi="宋体" w:eastAsia="宋体" w:cs="宋体"/>
          <w:color w:val="auto"/>
          <w:highlight w:val="none"/>
        </w:rPr>
      </w:pPr>
      <w:r>
        <w:rPr>
          <w:rFonts w:hint="eastAsia" w:ascii="宋体" w:hAnsi="宋体" w:eastAsia="宋体" w:cs="宋体"/>
          <w:color w:val="auto"/>
          <w:highlight w:val="none"/>
        </w:rPr>
        <w:t>单位：人</w:t>
      </w:r>
    </w:p>
    <w:tbl>
      <w:tblPr>
        <w:tblStyle w:val="37"/>
        <w:tblW w:w="9648" w:type="dxa"/>
        <w:jc w:val="center"/>
        <w:tblLayout w:type="fixed"/>
        <w:tblCellMar>
          <w:top w:w="0" w:type="dxa"/>
          <w:left w:w="0" w:type="dxa"/>
          <w:bottom w:w="0" w:type="dxa"/>
          <w:right w:w="0" w:type="dxa"/>
        </w:tblCellMar>
      </w:tblPr>
      <w:tblGrid>
        <w:gridCol w:w="938"/>
        <w:gridCol w:w="1478"/>
        <w:gridCol w:w="1204"/>
        <w:gridCol w:w="1206"/>
        <w:gridCol w:w="1204"/>
        <w:gridCol w:w="1206"/>
        <w:gridCol w:w="1204"/>
        <w:gridCol w:w="1208"/>
      </w:tblGrid>
      <w:tr w14:paraId="0EECB8FD">
        <w:tblPrEx>
          <w:tblCellMar>
            <w:top w:w="0" w:type="dxa"/>
            <w:left w:w="0" w:type="dxa"/>
            <w:bottom w:w="0" w:type="dxa"/>
            <w:right w:w="0" w:type="dxa"/>
          </w:tblCellMar>
        </w:tblPrEx>
        <w:trPr>
          <w:trHeight w:val="448" w:hRule="atLeast"/>
          <w:jc w:val="center"/>
        </w:trPr>
        <w:tc>
          <w:tcPr>
            <w:tcW w:w="938" w:type="dxa"/>
            <w:tcBorders>
              <w:top w:val="single" w:color="000000" w:sz="4" w:space="0"/>
              <w:left w:val="single" w:color="000000" w:sz="4" w:space="0"/>
              <w:bottom w:val="single" w:color="000000" w:sz="4" w:space="0"/>
              <w:right w:val="single" w:color="000000" w:sz="4" w:space="0"/>
            </w:tcBorders>
            <w:noWrap w:val="0"/>
            <w:vAlign w:val="center"/>
          </w:tcPr>
          <w:p w14:paraId="3F0766F8">
            <w:pPr>
              <w:pStyle w:val="87"/>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highlight w:val="none"/>
              </w:rPr>
              <w:t>工种</w:t>
            </w:r>
          </w:p>
        </w:tc>
        <w:tc>
          <w:tcPr>
            <w:tcW w:w="8710" w:type="dxa"/>
            <w:gridSpan w:val="7"/>
            <w:tcBorders>
              <w:top w:val="single" w:color="000000" w:sz="4" w:space="0"/>
              <w:left w:val="nil"/>
              <w:bottom w:val="single" w:color="000000" w:sz="4" w:space="0"/>
              <w:right w:val="single" w:color="000000" w:sz="4" w:space="0"/>
            </w:tcBorders>
            <w:noWrap w:val="0"/>
            <w:vAlign w:val="center"/>
          </w:tcPr>
          <w:p w14:paraId="06AC914C">
            <w:pPr>
              <w:pStyle w:val="87"/>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highlight w:val="none"/>
              </w:rPr>
              <w:t>按工程施工阶段投入劳动力情况</w:t>
            </w:r>
          </w:p>
        </w:tc>
      </w:tr>
      <w:tr w14:paraId="355605CC">
        <w:tblPrEx>
          <w:tblCellMar>
            <w:top w:w="0" w:type="dxa"/>
            <w:left w:w="0" w:type="dxa"/>
            <w:bottom w:w="0" w:type="dxa"/>
            <w:right w:w="0" w:type="dxa"/>
          </w:tblCellMar>
        </w:tblPrEx>
        <w:trPr>
          <w:trHeight w:val="450" w:hRule="atLeast"/>
          <w:jc w:val="center"/>
        </w:trPr>
        <w:tc>
          <w:tcPr>
            <w:tcW w:w="938" w:type="dxa"/>
            <w:tcBorders>
              <w:top w:val="single" w:color="000000" w:sz="4" w:space="0"/>
              <w:left w:val="single" w:color="000000" w:sz="4" w:space="0"/>
              <w:bottom w:val="single" w:color="000000" w:sz="4" w:space="0"/>
              <w:right w:val="single" w:color="000000" w:sz="4" w:space="0"/>
            </w:tcBorders>
            <w:noWrap w:val="0"/>
            <w:vAlign w:val="top"/>
          </w:tcPr>
          <w:p w14:paraId="00E53D9A">
            <w:pPr>
              <w:pStyle w:val="87"/>
              <w:spacing w:line="360" w:lineRule="auto"/>
              <w:outlineLvl w:val="9"/>
              <w:rPr>
                <w:rFonts w:hint="eastAsia" w:ascii="宋体" w:hAnsi="宋体" w:eastAsia="宋体" w:cs="宋体"/>
                <w:color w:val="auto"/>
                <w:sz w:val="24"/>
                <w:szCs w:val="24"/>
                <w:highlight w:val="none"/>
              </w:rPr>
            </w:pPr>
          </w:p>
        </w:tc>
        <w:tc>
          <w:tcPr>
            <w:tcW w:w="1478" w:type="dxa"/>
            <w:tcBorders>
              <w:top w:val="single" w:color="000000" w:sz="4" w:space="0"/>
              <w:left w:val="nil"/>
              <w:bottom w:val="single" w:color="000000" w:sz="4" w:space="0"/>
              <w:right w:val="single" w:color="000000" w:sz="4" w:space="0"/>
            </w:tcBorders>
            <w:noWrap w:val="0"/>
            <w:vAlign w:val="top"/>
          </w:tcPr>
          <w:p w14:paraId="18E2D859">
            <w:pPr>
              <w:pStyle w:val="87"/>
              <w:spacing w:line="360" w:lineRule="auto"/>
              <w:outlineLvl w:val="9"/>
              <w:rPr>
                <w:rFonts w:hint="eastAsia" w:ascii="宋体" w:hAnsi="宋体" w:eastAsia="宋体" w:cs="宋体"/>
                <w:color w:val="auto"/>
                <w:sz w:val="24"/>
                <w:szCs w:val="24"/>
                <w:highlight w:val="none"/>
              </w:rPr>
            </w:pPr>
          </w:p>
        </w:tc>
        <w:tc>
          <w:tcPr>
            <w:tcW w:w="1204" w:type="dxa"/>
            <w:tcBorders>
              <w:top w:val="single" w:color="000000" w:sz="4" w:space="0"/>
              <w:left w:val="nil"/>
              <w:bottom w:val="single" w:color="000000" w:sz="4" w:space="0"/>
              <w:right w:val="single" w:color="000000" w:sz="4" w:space="0"/>
            </w:tcBorders>
            <w:noWrap w:val="0"/>
            <w:vAlign w:val="top"/>
          </w:tcPr>
          <w:p w14:paraId="51D795EC">
            <w:pPr>
              <w:pStyle w:val="87"/>
              <w:spacing w:line="360" w:lineRule="auto"/>
              <w:outlineLvl w:val="9"/>
              <w:rPr>
                <w:rFonts w:hint="eastAsia" w:ascii="宋体" w:hAnsi="宋体" w:eastAsia="宋体" w:cs="宋体"/>
                <w:color w:val="auto"/>
                <w:sz w:val="24"/>
                <w:szCs w:val="24"/>
                <w:highlight w:val="none"/>
              </w:rPr>
            </w:pPr>
          </w:p>
        </w:tc>
        <w:tc>
          <w:tcPr>
            <w:tcW w:w="1206" w:type="dxa"/>
            <w:tcBorders>
              <w:top w:val="single" w:color="000000" w:sz="4" w:space="0"/>
              <w:left w:val="nil"/>
              <w:bottom w:val="single" w:color="000000" w:sz="4" w:space="0"/>
              <w:right w:val="single" w:color="000000" w:sz="4" w:space="0"/>
            </w:tcBorders>
            <w:noWrap w:val="0"/>
            <w:vAlign w:val="top"/>
          </w:tcPr>
          <w:p w14:paraId="12C64F05">
            <w:pPr>
              <w:pStyle w:val="87"/>
              <w:spacing w:line="360" w:lineRule="auto"/>
              <w:outlineLvl w:val="9"/>
              <w:rPr>
                <w:rFonts w:hint="eastAsia" w:ascii="宋体" w:hAnsi="宋体" w:eastAsia="宋体" w:cs="宋体"/>
                <w:color w:val="auto"/>
                <w:sz w:val="24"/>
                <w:szCs w:val="24"/>
                <w:highlight w:val="none"/>
              </w:rPr>
            </w:pPr>
          </w:p>
        </w:tc>
        <w:tc>
          <w:tcPr>
            <w:tcW w:w="1204" w:type="dxa"/>
            <w:tcBorders>
              <w:top w:val="single" w:color="000000" w:sz="4" w:space="0"/>
              <w:left w:val="nil"/>
              <w:bottom w:val="single" w:color="000000" w:sz="4" w:space="0"/>
              <w:right w:val="single" w:color="000000" w:sz="4" w:space="0"/>
            </w:tcBorders>
            <w:noWrap w:val="0"/>
            <w:vAlign w:val="top"/>
          </w:tcPr>
          <w:p w14:paraId="0F65C492">
            <w:pPr>
              <w:pStyle w:val="87"/>
              <w:spacing w:line="360" w:lineRule="auto"/>
              <w:outlineLvl w:val="9"/>
              <w:rPr>
                <w:rFonts w:hint="eastAsia" w:ascii="宋体" w:hAnsi="宋体" w:eastAsia="宋体" w:cs="宋体"/>
                <w:color w:val="auto"/>
                <w:sz w:val="24"/>
                <w:szCs w:val="24"/>
                <w:highlight w:val="none"/>
              </w:rPr>
            </w:pPr>
          </w:p>
        </w:tc>
        <w:tc>
          <w:tcPr>
            <w:tcW w:w="1206" w:type="dxa"/>
            <w:tcBorders>
              <w:top w:val="single" w:color="000000" w:sz="4" w:space="0"/>
              <w:left w:val="nil"/>
              <w:bottom w:val="single" w:color="000000" w:sz="4" w:space="0"/>
              <w:right w:val="single" w:color="000000" w:sz="4" w:space="0"/>
            </w:tcBorders>
            <w:noWrap w:val="0"/>
            <w:vAlign w:val="top"/>
          </w:tcPr>
          <w:p w14:paraId="5767307A">
            <w:pPr>
              <w:pStyle w:val="87"/>
              <w:spacing w:line="360" w:lineRule="auto"/>
              <w:outlineLvl w:val="9"/>
              <w:rPr>
                <w:rFonts w:hint="eastAsia" w:ascii="宋体" w:hAnsi="宋体" w:eastAsia="宋体" w:cs="宋体"/>
                <w:color w:val="auto"/>
                <w:sz w:val="24"/>
                <w:szCs w:val="24"/>
                <w:highlight w:val="none"/>
              </w:rPr>
            </w:pPr>
          </w:p>
        </w:tc>
        <w:tc>
          <w:tcPr>
            <w:tcW w:w="1204" w:type="dxa"/>
            <w:tcBorders>
              <w:top w:val="single" w:color="000000" w:sz="4" w:space="0"/>
              <w:left w:val="nil"/>
              <w:bottom w:val="single" w:color="000000" w:sz="4" w:space="0"/>
              <w:right w:val="single" w:color="000000" w:sz="4" w:space="0"/>
            </w:tcBorders>
            <w:noWrap w:val="0"/>
            <w:vAlign w:val="top"/>
          </w:tcPr>
          <w:p w14:paraId="6D8AD53B">
            <w:pPr>
              <w:pStyle w:val="87"/>
              <w:spacing w:line="360" w:lineRule="auto"/>
              <w:outlineLvl w:val="9"/>
              <w:rPr>
                <w:rFonts w:hint="eastAsia" w:ascii="宋体" w:hAnsi="宋体" w:eastAsia="宋体" w:cs="宋体"/>
                <w:color w:val="auto"/>
                <w:sz w:val="24"/>
                <w:szCs w:val="24"/>
                <w:highlight w:val="none"/>
              </w:rPr>
            </w:pPr>
          </w:p>
        </w:tc>
        <w:tc>
          <w:tcPr>
            <w:tcW w:w="1208" w:type="dxa"/>
            <w:tcBorders>
              <w:top w:val="single" w:color="000000" w:sz="4" w:space="0"/>
              <w:left w:val="nil"/>
              <w:bottom w:val="single" w:color="000000" w:sz="4" w:space="0"/>
              <w:right w:val="single" w:color="000000" w:sz="4" w:space="0"/>
            </w:tcBorders>
            <w:noWrap w:val="0"/>
            <w:vAlign w:val="top"/>
          </w:tcPr>
          <w:p w14:paraId="49AE97F3">
            <w:pPr>
              <w:pStyle w:val="87"/>
              <w:spacing w:line="360" w:lineRule="auto"/>
              <w:outlineLvl w:val="9"/>
              <w:rPr>
                <w:rFonts w:hint="eastAsia" w:ascii="宋体" w:hAnsi="宋体" w:eastAsia="宋体" w:cs="宋体"/>
                <w:color w:val="auto"/>
                <w:sz w:val="24"/>
                <w:szCs w:val="24"/>
                <w:highlight w:val="none"/>
              </w:rPr>
            </w:pPr>
          </w:p>
        </w:tc>
      </w:tr>
      <w:tr w14:paraId="00C28176">
        <w:tblPrEx>
          <w:tblCellMar>
            <w:top w:w="0" w:type="dxa"/>
            <w:left w:w="0" w:type="dxa"/>
            <w:bottom w:w="0" w:type="dxa"/>
            <w:right w:w="0" w:type="dxa"/>
          </w:tblCellMar>
        </w:tblPrEx>
        <w:trPr>
          <w:trHeight w:val="450" w:hRule="atLeast"/>
          <w:jc w:val="center"/>
        </w:trPr>
        <w:tc>
          <w:tcPr>
            <w:tcW w:w="938" w:type="dxa"/>
            <w:tcBorders>
              <w:top w:val="single" w:color="000000" w:sz="4" w:space="0"/>
              <w:left w:val="single" w:color="000000" w:sz="4" w:space="0"/>
              <w:bottom w:val="single" w:color="000000" w:sz="4" w:space="0"/>
              <w:right w:val="single" w:color="000000" w:sz="4" w:space="0"/>
            </w:tcBorders>
            <w:noWrap w:val="0"/>
            <w:vAlign w:val="top"/>
          </w:tcPr>
          <w:p w14:paraId="49D3DD49">
            <w:pPr>
              <w:pStyle w:val="87"/>
              <w:spacing w:line="360" w:lineRule="auto"/>
              <w:outlineLvl w:val="9"/>
              <w:rPr>
                <w:rFonts w:hint="eastAsia" w:ascii="宋体" w:hAnsi="宋体" w:eastAsia="宋体" w:cs="宋体"/>
                <w:color w:val="auto"/>
                <w:sz w:val="24"/>
                <w:szCs w:val="24"/>
                <w:highlight w:val="none"/>
              </w:rPr>
            </w:pPr>
          </w:p>
        </w:tc>
        <w:tc>
          <w:tcPr>
            <w:tcW w:w="1478" w:type="dxa"/>
            <w:tcBorders>
              <w:top w:val="single" w:color="000000" w:sz="4" w:space="0"/>
              <w:left w:val="nil"/>
              <w:bottom w:val="single" w:color="000000" w:sz="4" w:space="0"/>
              <w:right w:val="single" w:color="000000" w:sz="4" w:space="0"/>
            </w:tcBorders>
            <w:noWrap w:val="0"/>
            <w:vAlign w:val="top"/>
          </w:tcPr>
          <w:p w14:paraId="729FC4AE">
            <w:pPr>
              <w:pStyle w:val="87"/>
              <w:spacing w:line="360" w:lineRule="auto"/>
              <w:outlineLvl w:val="9"/>
              <w:rPr>
                <w:rFonts w:hint="eastAsia" w:ascii="宋体" w:hAnsi="宋体" w:eastAsia="宋体" w:cs="宋体"/>
                <w:color w:val="auto"/>
                <w:sz w:val="24"/>
                <w:szCs w:val="24"/>
                <w:highlight w:val="none"/>
              </w:rPr>
            </w:pPr>
          </w:p>
        </w:tc>
        <w:tc>
          <w:tcPr>
            <w:tcW w:w="1204" w:type="dxa"/>
            <w:tcBorders>
              <w:top w:val="single" w:color="000000" w:sz="4" w:space="0"/>
              <w:left w:val="nil"/>
              <w:bottom w:val="single" w:color="000000" w:sz="4" w:space="0"/>
              <w:right w:val="single" w:color="000000" w:sz="4" w:space="0"/>
            </w:tcBorders>
            <w:noWrap w:val="0"/>
            <w:vAlign w:val="top"/>
          </w:tcPr>
          <w:p w14:paraId="68919EB3">
            <w:pPr>
              <w:pStyle w:val="87"/>
              <w:spacing w:line="360" w:lineRule="auto"/>
              <w:outlineLvl w:val="9"/>
              <w:rPr>
                <w:rFonts w:hint="eastAsia" w:ascii="宋体" w:hAnsi="宋体" w:eastAsia="宋体" w:cs="宋体"/>
                <w:color w:val="auto"/>
                <w:sz w:val="24"/>
                <w:szCs w:val="24"/>
                <w:highlight w:val="none"/>
              </w:rPr>
            </w:pPr>
          </w:p>
        </w:tc>
        <w:tc>
          <w:tcPr>
            <w:tcW w:w="1206" w:type="dxa"/>
            <w:tcBorders>
              <w:top w:val="single" w:color="000000" w:sz="4" w:space="0"/>
              <w:left w:val="nil"/>
              <w:bottom w:val="single" w:color="000000" w:sz="4" w:space="0"/>
              <w:right w:val="single" w:color="000000" w:sz="4" w:space="0"/>
            </w:tcBorders>
            <w:noWrap w:val="0"/>
            <w:vAlign w:val="top"/>
          </w:tcPr>
          <w:p w14:paraId="4F9CF015">
            <w:pPr>
              <w:pStyle w:val="87"/>
              <w:spacing w:line="360" w:lineRule="auto"/>
              <w:outlineLvl w:val="9"/>
              <w:rPr>
                <w:rFonts w:hint="eastAsia" w:ascii="宋体" w:hAnsi="宋体" w:eastAsia="宋体" w:cs="宋体"/>
                <w:color w:val="auto"/>
                <w:sz w:val="24"/>
                <w:szCs w:val="24"/>
                <w:highlight w:val="none"/>
              </w:rPr>
            </w:pPr>
          </w:p>
        </w:tc>
        <w:tc>
          <w:tcPr>
            <w:tcW w:w="1204" w:type="dxa"/>
            <w:tcBorders>
              <w:top w:val="single" w:color="000000" w:sz="4" w:space="0"/>
              <w:left w:val="nil"/>
              <w:bottom w:val="single" w:color="000000" w:sz="4" w:space="0"/>
              <w:right w:val="single" w:color="000000" w:sz="4" w:space="0"/>
            </w:tcBorders>
            <w:noWrap w:val="0"/>
            <w:vAlign w:val="top"/>
          </w:tcPr>
          <w:p w14:paraId="09B50CA8">
            <w:pPr>
              <w:pStyle w:val="87"/>
              <w:spacing w:line="360" w:lineRule="auto"/>
              <w:outlineLvl w:val="9"/>
              <w:rPr>
                <w:rFonts w:hint="eastAsia" w:ascii="宋体" w:hAnsi="宋体" w:eastAsia="宋体" w:cs="宋体"/>
                <w:color w:val="auto"/>
                <w:sz w:val="24"/>
                <w:szCs w:val="24"/>
                <w:highlight w:val="none"/>
              </w:rPr>
            </w:pPr>
          </w:p>
        </w:tc>
        <w:tc>
          <w:tcPr>
            <w:tcW w:w="1206" w:type="dxa"/>
            <w:tcBorders>
              <w:top w:val="single" w:color="000000" w:sz="4" w:space="0"/>
              <w:left w:val="nil"/>
              <w:bottom w:val="single" w:color="000000" w:sz="4" w:space="0"/>
              <w:right w:val="single" w:color="000000" w:sz="4" w:space="0"/>
            </w:tcBorders>
            <w:noWrap w:val="0"/>
            <w:vAlign w:val="top"/>
          </w:tcPr>
          <w:p w14:paraId="47C846B4">
            <w:pPr>
              <w:pStyle w:val="87"/>
              <w:spacing w:line="360" w:lineRule="auto"/>
              <w:outlineLvl w:val="9"/>
              <w:rPr>
                <w:rFonts w:hint="eastAsia" w:ascii="宋体" w:hAnsi="宋体" w:eastAsia="宋体" w:cs="宋体"/>
                <w:color w:val="auto"/>
                <w:sz w:val="24"/>
                <w:szCs w:val="24"/>
                <w:highlight w:val="none"/>
              </w:rPr>
            </w:pPr>
          </w:p>
        </w:tc>
        <w:tc>
          <w:tcPr>
            <w:tcW w:w="1204" w:type="dxa"/>
            <w:tcBorders>
              <w:top w:val="single" w:color="000000" w:sz="4" w:space="0"/>
              <w:left w:val="nil"/>
              <w:bottom w:val="single" w:color="000000" w:sz="4" w:space="0"/>
              <w:right w:val="single" w:color="000000" w:sz="4" w:space="0"/>
            </w:tcBorders>
            <w:noWrap w:val="0"/>
            <w:vAlign w:val="top"/>
          </w:tcPr>
          <w:p w14:paraId="1C7B7908">
            <w:pPr>
              <w:pStyle w:val="87"/>
              <w:spacing w:line="360" w:lineRule="auto"/>
              <w:outlineLvl w:val="9"/>
              <w:rPr>
                <w:rFonts w:hint="eastAsia" w:ascii="宋体" w:hAnsi="宋体" w:eastAsia="宋体" w:cs="宋体"/>
                <w:color w:val="auto"/>
                <w:sz w:val="24"/>
                <w:szCs w:val="24"/>
                <w:highlight w:val="none"/>
              </w:rPr>
            </w:pPr>
          </w:p>
        </w:tc>
        <w:tc>
          <w:tcPr>
            <w:tcW w:w="1208" w:type="dxa"/>
            <w:tcBorders>
              <w:top w:val="single" w:color="000000" w:sz="4" w:space="0"/>
              <w:left w:val="nil"/>
              <w:bottom w:val="single" w:color="000000" w:sz="4" w:space="0"/>
              <w:right w:val="single" w:color="000000" w:sz="4" w:space="0"/>
            </w:tcBorders>
            <w:noWrap w:val="0"/>
            <w:vAlign w:val="top"/>
          </w:tcPr>
          <w:p w14:paraId="29508A2F">
            <w:pPr>
              <w:pStyle w:val="87"/>
              <w:spacing w:line="360" w:lineRule="auto"/>
              <w:outlineLvl w:val="9"/>
              <w:rPr>
                <w:rFonts w:hint="eastAsia" w:ascii="宋体" w:hAnsi="宋体" w:eastAsia="宋体" w:cs="宋体"/>
                <w:color w:val="auto"/>
                <w:sz w:val="24"/>
                <w:szCs w:val="24"/>
                <w:highlight w:val="none"/>
              </w:rPr>
            </w:pPr>
          </w:p>
        </w:tc>
      </w:tr>
      <w:tr w14:paraId="61BEA3BB">
        <w:tblPrEx>
          <w:tblCellMar>
            <w:top w:w="0" w:type="dxa"/>
            <w:left w:w="0" w:type="dxa"/>
            <w:bottom w:w="0" w:type="dxa"/>
            <w:right w:w="0" w:type="dxa"/>
          </w:tblCellMar>
        </w:tblPrEx>
        <w:trPr>
          <w:trHeight w:val="450" w:hRule="atLeast"/>
          <w:jc w:val="center"/>
        </w:trPr>
        <w:tc>
          <w:tcPr>
            <w:tcW w:w="938" w:type="dxa"/>
            <w:tcBorders>
              <w:top w:val="single" w:color="000000" w:sz="4" w:space="0"/>
              <w:left w:val="single" w:color="000000" w:sz="4" w:space="0"/>
              <w:bottom w:val="single" w:color="000000" w:sz="4" w:space="0"/>
              <w:right w:val="single" w:color="000000" w:sz="4" w:space="0"/>
            </w:tcBorders>
            <w:noWrap w:val="0"/>
            <w:vAlign w:val="top"/>
          </w:tcPr>
          <w:p w14:paraId="1DC8CD4E">
            <w:pPr>
              <w:pStyle w:val="87"/>
              <w:spacing w:line="360" w:lineRule="auto"/>
              <w:outlineLvl w:val="9"/>
              <w:rPr>
                <w:rFonts w:hint="eastAsia" w:ascii="宋体" w:hAnsi="宋体" w:eastAsia="宋体" w:cs="宋体"/>
                <w:color w:val="auto"/>
                <w:sz w:val="24"/>
                <w:szCs w:val="24"/>
                <w:highlight w:val="none"/>
              </w:rPr>
            </w:pPr>
          </w:p>
        </w:tc>
        <w:tc>
          <w:tcPr>
            <w:tcW w:w="1478" w:type="dxa"/>
            <w:tcBorders>
              <w:top w:val="single" w:color="000000" w:sz="4" w:space="0"/>
              <w:left w:val="nil"/>
              <w:bottom w:val="single" w:color="000000" w:sz="4" w:space="0"/>
              <w:right w:val="single" w:color="000000" w:sz="4" w:space="0"/>
            </w:tcBorders>
            <w:noWrap w:val="0"/>
            <w:vAlign w:val="top"/>
          </w:tcPr>
          <w:p w14:paraId="29913C51">
            <w:pPr>
              <w:pStyle w:val="87"/>
              <w:spacing w:line="360" w:lineRule="auto"/>
              <w:outlineLvl w:val="9"/>
              <w:rPr>
                <w:rFonts w:hint="eastAsia" w:ascii="宋体" w:hAnsi="宋体" w:eastAsia="宋体" w:cs="宋体"/>
                <w:color w:val="auto"/>
                <w:sz w:val="24"/>
                <w:szCs w:val="24"/>
                <w:highlight w:val="none"/>
              </w:rPr>
            </w:pPr>
          </w:p>
        </w:tc>
        <w:tc>
          <w:tcPr>
            <w:tcW w:w="1204" w:type="dxa"/>
            <w:tcBorders>
              <w:top w:val="single" w:color="000000" w:sz="4" w:space="0"/>
              <w:left w:val="nil"/>
              <w:bottom w:val="single" w:color="000000" w:sz="4" w:space="0"/>
              <w:right w:val="single" w:color="000000" w:sz="4" w:space="0"/>
            </w:tcBorders>
            <w:noWrap w:val="0"/>
            <w:vAlign w:val="top"/>
          </w:tcPr>
          <w:p w14:paraId="7F17166E">
            <w:pPr>
              <w:pStyle w:val="87"/>
              <w:spacing w:line="360" w:lineRule="auto"/>
              <w:outlineLvl w:val="9"/>
              <w:rPr>
                <w:rFonts w:hint="eastAsia" w:ascii="宋体" w:hAnsi="宋体" w:eastAsia="宋体" w:cs="宋体"/>
                <w:color w:val="auto"/>
                <w:sz w:val="24"/>
                <w:szCs w:val="24"/>
                <w:highlight w:val="none"/>
              </w:rPr>
            </w:pPr>
          </w:p>
        </w:tc>
        <w:tc>
          <w:tcPr>
            <w:tcW w:w="1206" w:type="dxa"/>
            <w:tcBorders>
              <w:top w:val="single" w:color="000000" w:sz="4" w:space="0"/>
              <w:left w:val="nil"/>
              <w:bottom w:val="single" w:color="000000" w:sz="4" w:space="0"/>
              <w:right w:val="single" w:color="000000" w:sz="4" w:space="0"/>
            </w:tcBorders>
            <w:noWrap w:val="0"/>
            <w:vAlign w:val="top"/>
          </w:tcPr>
          <w:p w14:paraId="4442F01C">
            <w:pPr>
              <w:pStyle w:val="87"/>
              <w:spacing w:line="360" w:lineRule="auto"/>
              <w:outlineLvl w:val="9"/>
              <w:rPr>
                <w:rFonts w:hint="eastAsia" w:ascii="宋体" w:hAnsi="宋体" w:eastAsia="宋体" w:cs="宋体"/>
                <w:color w:val="auto"/>
                <w:sz w:val="24"/>
                <w:szCs w:val="24"/>
                <w:highlight w:val="none"/>
              </w:rPr>
            </w:pPr>
          </w:p>
        </w:tc>
        <w:tc>
          <w:tcPr>
            <w:tcW w:w="1204" w:type="dxa"/>
            <w:tcBorders>
              <w:top w:val="single" w:color="000000" w:sz="4" w:space="0"/>
              <w:left w:val="nil"/>
              <w:bottom w:val="single" w:color="000000" w:sz="4" w:space="0"/>
              <w:right w:val="single" w:color="000000" w:sz="4" w:space="0"/>
            </w:tcBorders>
            <w:noWrap w:val="0"/>
            <w:vAlign w:val="top"/>
          </w:tcPr>
          <w:p w14:paraId="5CCB2522">
            <w:pPr>
              <w:pStyle w:val="87"/>
              <w:spacing w:line="360" w:lineRule="auto"/>
              <w:outlineLvl w:val="9"/>
              <w:rPr>
                <w:rFonts w:hint="eastAsia" w:ascii="宋体" w:hAnsi="宋体" w:eastAsia="宋体" w:cs="宋体"/>
                <w:color w:val="auto"/>
                <w:sz w:val="24"/>
                <w:szCs w:val="24"/>
                <w:highlight w:val="none"/>
              </w:rPr>
            </w:pPr>
          </w:p>
        </w:tc>
        <w:tc>
          <w:tcPr>
            <w:tcW w:w="1206" w:type="dxa"/>
            <w:tcBorders>
              <w:top w:val="single" w:color="000000" w:sz="4" w:space="0"/>
              <w:left w:val="nil"/>
              <w:bottom w:val="single" w:color="000000" w:sz="4" w:space="0"/>
              <w:right w:val="single" w:color="000000" w:sz="4" w:space="0"/>
            </w:tcBorders>
            <w:noWrap w:val="0"/>
            <w:vAlign w:val="top"/>
          </w:tcPr>
          <w:p w14:paraId="18A8F0BD">
            <w:pPr>
              <w:pStyle w:val="87"/>
              <w:spacing w:line="360" w:lineRule="auto"/>
              <w:outlineLvl w:val="9"/>
              <w:rPr>
                <w:rFonts w:hint="eastAsia" w:ascii="宋体" w:hAnsi="宋体" w:eastAsia="宋体" w:cs="宋体"/>
                <w:color w:val="auto"/>
                <w:sz w:val="24"/>
                <w:szCs w:val="24"/>
                <w:highlight w:val="none"/>
              </w:rPr>
            </w:pPr>
          </w:p>
        </w:tc>
        <w:tc>
          <w:tcPr>
            <w:tcW w:w="1204" w:type="dxa"/>
            <w:tcBorders>
              <w:top w:val="single" w:color="000000" w:sz="4" w:space="0"/>
              <w:left w:val="nil"/>
              <w:bottom w:val="single" w:color="000000" w:sz="4" w:space="0"/>
              <w:right w:val="single" w:color="000000" w:sz="4" w:space="0"/>
            </w:tcBorders>
            <w:noWrap w:val="0"/>
            <w:vAlign w:val="top"/>
          </w:tcPr>
          <w:p w14:paraId="3DAFE6E6">
            <w:pPr>
              <w:pStyle w:val="87"/>
              <w:spacing w:line="360" w:lineRule="auto"/>
              <w:outlineLvl w:val="9"/>
              <w:rPr>
                <w:rFonts w:hint="eastAsia" w:ascii="宋体" w:hAnsi="宋体" w:eastAsia="宋体" w:cs="宋体"/>
                <w:color w:val="auto"/>
                <w:sz w:val="24"/>
                <w:szCs w:val="24"/>
                <w:highlight w:val="none"/>
              </w:rPr>
            </w:pPr>
          </w:p>
        </w:tc>
        <w:tc>
          <w:tcPr>
            <w:tcW w:w="1208" w:type="dxa"/>
            <w:tcBorders>
              <w:top w:val="single" w:color="000000" w:sz="4" w:space="0"/>
              <w:left w:val="nil"/>
              <w:bottom w:val="single" w:color="000000" w:sz="4" w:space="0"/>
              <w:right w:val="single" w:color="000000" w:sz="4" w:space="0"/>
            </w:tcBorders>
            <w:noWrap w:val="0"/>
            <w:vAlign w:val="top"/>
          </w:tcPr>
          <w:p w14:paraId="6480E313">
            <w:pPr>
              <w:pStyle w:val="87"/>
              <w:spacing w:line="360" w:lineRule="auto"/>
              <w:outlineLvl w:val="9"/>
              <w:rPr>
                <w:rFonts w:hint="eastAsia" w:ascii="宋体" w:hAnsi="宋体" w:eastAsia="宋体" w:cs="宋体"/>
                <w:color w:val="auto"/>
                <w:sz w:val="24"/>
                <w:szCs w:val="24"/>
                <w:highlight w:val="none"/>
              </w:rPr>
            </w:pPr>
          </w:p>
        </w:tc>
      </w:tr>
      <w:tr w14:paraId="0C0A5087">
        <w:tblPrEx>
          <w:tblCellMar>
            <w:top w:w="0" w:type="dxa"/>
            <w:left w:w="0" w:type="dxa"/>
            <w:bottom w:w="0" w:type="dxa"/>
            <w:right w:w="0" w:type="dxa"/>
          </w:tblCellMar>
        </w:tblPrEx>
        <w:trPr>
          <w:trHeight w:val="450" w:hRule="atLeast"/>
          <w:jc w:val="center"/>
        </w:trPr>
        <w:tc>
          <w:tcPr>
            <w:tcW w:w="938" w:type="dxa"/>
            <w:tcBorders>
              <w:top w:val="single" w:color="000000" w:sz="4" w:space="0"/>
              <w:left w:val="single" w:color="000000" w:sz="4" w:space="0"/>
              <w:bottom w:val="single" w:color="000000" w:sz="4" w:space="0"/>
              <w:right w:val="single" w:color="000000" w:sz="4" w:space="0"/>
            </w:tcBorders>
            <w:noWrap w:val="0"/>
            <w:vAlign w:val="top"/>
          </w:tcPr>
          <w:p w14:paraId="66126D7E">
            <w:pPr>
              <w:pStyle w:val="87"/>
              <w:spacing w:line="360" w:lineRule="auto"/>
              <w:outlineLvl w:val="9"/>
              <w:rPr>
                <w:rFonts w:hint="eastAsia" w:ascii="宋体" w:hAnsi="宋体" w:eastAsia="宋体" w:cs="宋体"/>
                <w:color w:val="auto"/>
                <w:sz w:val="24"/>
                <w:szCs w:val="24"/>
                <w:highlight w:val="none"/>
              </w:rPr>
            </w:pPr>
          </w:p>
        </w:tc>
        <w:tc>
          <w:tcPr>
            <w:tcW w:w="1478" w:type="dxa"/>
            <w:tcBorders>
              <w:top w:val="single" w:color="000000" w:sz="4" w:space="0"/>
              <w:left w:val="nil"/>
              <w:bottom w:val="single" w:color="000000" w:sz="4" w:space="0"/>
              <w:right w:val="single" w:color="000000" w:sz="4" w:space="0"/>
            </w:tcBorders>
            <w:noWrap w:val="0"/>
            <w:vAlign w:val="top"/>
          </w:tcPr>
          <w:p w14:paraId="52CF34FA">
            <w:pPr>
              <w:pStyle w:val="87"/>
              <w:spacing w:line="360" w:lineRule="auto"/>
              <w:outlineLvl w:val="9"/>
              <w:rPr>
                <w:rFonts w:hint="eastAsia" w:ascii="宋体" w:hAnsi="宋体" w:eastAsia="宋体" w:cs="宋体"/>
                <w:color w:val="auto"/>
                <w:sz w:val="24"/>
                <w:szCs w:val="24"/>
                <w:highlight w:val="none"/>
              </w:rPr>
            </w:pPr>
          </w:p>
        </w:tc>
        <w:tc>
          <w:tcPr>
            <w:tcW w:w="1204" w:type="dxa"/>
            <w:tcBorders>
              <w:top w:val="single" w:color="000000" w:sz="4" w:space="0"/>
              <w:left w:val="nil"/>
              <w:bottom w:val="single" w:color="000000" w:sz="4" w:space="0"/>
              <w:right w:val="single" w:color="000000" w:sz="4" w:space="0"/>
            </w:tcBorders>
            <w:noWrap w:val="0"/>
            <w:vAlign w:val="top"/>
          </w:tcPr>
          <w:p w14:paraId="4439F78C">
            <w:pPr>
              <w:pStyle w:val="87"/>
              <w:spacing w:line="360" w:lineRule="auto"/>
              <w:outlineLvl w:val="9"/>
              <w:rPr>
                <w:rFonts w:hint="eastAsia" w:ascii="宋体" w:hAnsi="宋体" w:eastAsia="宋体" w:cs="宋体"/>
                <w:color w:val="auto"/>
                <w:sz w:val="24"/>
                <w:szCs w:val="24"/>
                <w:highlight w:val="none"/>
              </w:rPr>
            </w:pPr>
          </w:p>
        </w:tc>
        <w:tc>
          <w:tcPr>
            <w:tcW w:w="1206" w:type="dxa"/>
            <w:tcBorders>
              <w:top w:val="single" w:color="000000" w:sz="4" w:space="0"/>
              <w:left w:val="nil"/>
              <w:bottom w:val="single" w:color="000000" w:sz="4" w:space="0"/>
              <w:right w:val="single" w:color="000000" w:sz="4" w:space="0"/>
            </w:tcBorders>
            <w:noWrap w:val="0"/>
            <w:vAlign w:val="top"/>
          </w:tcPr>
          <w:p w14:paraId="74B4F172">
            <w:pPr>
              <w:pStyle w:val="87"/>
              <w:spacing w:line="360" w:lineRule="auto"/>
              <w:outlineLvl w:val="9"/>
              <w:rPr>
                <w:rFonts w:hint="eastAsia" w:ascii="宋体" w:hAnsi="宋体" w:eastAsia="宋体" w:cs="宋体"/>
                <w:color w:val="auto"/>
                <w:sz w:val="24"/>
                <w:szCs w:val="24"/>
                <w:highlight w:val="none"/>
              </w:rPr>
            </w:pPr>
          </w:p>
        </w:tc>
        <w:tc>
          <w:tcPr>
            <w:tcW w:w="1204" w:type="dxa"/>
            <w:tcBorders>
              <w:top w:val="single" w:color="000000" w:sz="4" w:space="0"/>
              <w:left w:val="nil"/>
              <w:bottom w:val="single" w:color="000000" w:sz="4" w:space="0"/>
              <w:right w:val="single" w:color="000000" w:sz="4" w:space="0"/>
            </w:tcBorders>
            <w:noWrap w:val="0"/>
            <w:vAlign w:val="top"/>
          </w:tcPr>
          <w:p w14:paraId="5A8F1E99">
            <w:pPr>
              <w:pStyle w:val="87"/>
              <w:spacing w:line="360" w:lineRule="auto"/>
              <w:outlineLvl w:val="9"/>
              <w:rPr>
                <w:rFonts w:hint="eastAsia" w:ascii="宋体" w:hAnsi="宋体" w:eastAsia="宋体" w:cs="宋体"/>
                <w:color w:val="auto"/>
                <w:sz w:val="24"/>
                <w:szCs w:val="24"/>
                <w:highlight w:val="none"/>
              </w:rPr>
            </w:pPr>
          </w:p>
        </w:tc>
        <w:tc>
          <w:tcPr>
            <w:tcW w:w="1206" w:type="dxa"/>
            <w:tcBorders>
              <w:top w:val="single" w:color="000000" w:sz="4" w:space="0"/>
              <w:left w:val="nil"/>
              <w:bottom w:val="single" w:color="000000" w:sz="4" w:space="0"/>
              <w:right w:val="single" w:color="000000" w:sz="4" w:space="0"/>
            </w:tcBorders>
            <w:noWrap w:val="0"/>
            <w:vAlign w:val="top"/>
          </w:tcPr>
          <w:p w14:paraId="05F07E57">
            <w:pPr>
              <w:pStyle w:val="87"/>
              <w:spacing w:line="360" w:lineRule="auto"/>
              <w:outlineLvl w:val="9"/>
              <w:rPr>
                <w:rFonts w:hint="eastAsia" w:ascii="宋体" w:hAnsi="宋体" w:eastAsia="宋体" w:cs="宋体"/>
                <w:color w:val="auto"/>
                <w:sz w:val="24"/>
                <w:szCs w:val="24"/>
                <w:highlight w:val="none"/>
              </w:rPr>
            </w:pPr>
          </w:p>
        </w:tc>
        <w:tc>
          <w:tcPr>
            <w:tcW w:w="1204" w:type="dxa"/>
            <w:tcBorders>
              <w:top w:val="single" w:color="000000" w:sz="4" w:space="0"/>
              <w:left w:val="nil"/>
              <w:bottom w:val="single" w:color="000000" w:sz="4" w:space="0"/>
              <w:right w:val="single" w:color="000000" w:sz="4" w:space="0"/>
            </w:tcBorders>
            <w:noWrap w:val="0"/>
            <w:vAlign w:val="top"/>
          </w:tcPr>
          <w:p w14:paraId="6D7ACA29">
            <w:pPr>
              <w:pStyle w:val="87"/>
              <w:spacing w:line="360" w:lineRule="auto"/>
              <w:outlineLvl w:val="9"/>
              <w:rPr>
                <w:rFonts w:hint="eastAsia" w:ascii="宋体" w:hAnsi="宋体" w:eastAsia="宋体" w:cs="宋体"/>
                <w:color w:val="auto"/>
                <w:sz w:val="24"/>
                <w:szCs w:val="24"/>
                <w:highlight w:val="none"/>
              </w:rPr>
            </w:pPr>
          </w:p>
        </w:tc>
        <w:tc>
          <w:tcPr>
            <w:tcW w:w="1208" w:type="dxa"/>
            <w:tcBorders>
              <w:top w:val="single" w:color="000000" w:sz="4" w:space="0"/>
              <w:left w:val="nil"/>
              <w:bottom w:val="single" w:color="000000" w:sz="4" w:space="0"/>
              <w:right w:val="single" w:color="000000" w:sz="4" w:space="0"/>
            </w:tcBorders>
            <w:noWrap w:val="0"/>
            <w:vAlign w:val="top"/>
          </w:tcPr>
          <w:p w14:paraId="7C32113F">
            <w:pPr>
              <w:pStyle w:val="87"/>
              <w:spacing w:line="360" w:lineRule="auto"/>
              <w:outlineLvl w:val="9"/>
              <w:rPr>
                <w:rFonts w:hint="eastAsia" w:ascii="宋体" w:hAnsi="宋体" w:eastAsia="宋体" w:cs="宋体"/>
                <w:color w:val="auto"/>
                <w:sz w:val="24"/>
                <w:szCs w:val="24"/>
                <w:highlight w:val="none"/>
              </w:rPr>
            </w:pPr>
          </w:p>
        </w:tc>
      </w:tr>
    </w:tbl>
    <w:p w14:paraId="20795401">
      <w:pPr>
        <w:pStyle w:val="87"/>
        <w:spacing w:line="360" w:lineRule="auto"/>
        <w:outlineLvl w:val="9"/>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xml:space="preserve"> </w:t>
      </w:r>
    </w:p>
    <w:p w14:paraId="080F780D">
      <w:pPr>
        <w:spacing w:line="360" w:lineRule="auto"/>
        <w:outlineLvl w:val="9"/>
        <w:rPr>
          <w:rFonts w:hint="eastAsia" w:ascii="宋体" w:hAnsi="宋体" w:eastAsia="宋体" w:cs="宋体"/>
          <w:color w:val="auto"/>
          <w:sz w:val="20"/>
          <w:szCs w:val="20"/>
          <w:highlight w:val="none"/>
        </w:rPr>
      </w:pPr>
      <w:bookmarkStart w:id="473" w:name="_Toc483317227"/>
      <w:bookmarkStart w:id="474" w:name="_Toc418752354"/>
      <w:bookmarkStart w:id="475" w:name="_Toc418751908"/>
      <w:r>
        <w:rPr>
          <w:rFonts w:hint="eastAsia" w:ascii="宋体" w:hAnsi="宋体" w:eastAsia="宋体" w:cs="宋体"/>
          <w:b/>
          <w:color w:val="auto"/>
          <w:highlight w:val="none"/>
        </w:rPr>
        <w:t>附表四：计划开、竣工日期和施工进度网络图或横道图</w:t>
      </w:r>
      <w:bookmarkEnd w:id="473"/>
      <w:bookmarkEnd w:id="474"/>
      <w:bookmarkEnd w:id="475"/>
    </w:p>
    <w:p w14:paraId="2C6D4353">
      <w:pPr>
        <w:pStyle w:val="87"/>
        <w:spacing w:line="360" w:lineRule="auto"/>
        <w:ind w:firstLine="424"/>
        <w:outlineLvl w:val="9"/>
        <w:rPr>
          <w:rFonts w:hint="eastAsia" w:ascii="宋体" w:hAnsi="宋体" w:eastAsia="宋体" w:cs="宋体"/>
          <w:color w:val="auto"/>
          <w:highlight w:val="none"/>
        </w:rPr>
      </w:pPr>
      <w:r>
        <w:rPr>
          <w:rFonts w:hint="eastAsia" w:ascii="宋体" w:hAnsi="宋体" w:eastAsia="宋体" w:cs="宋体"/>
          <w:color w:val="auto"/>
          <w:highlight w:val="none"/>
        </w:rPr>
        <w:t>1.供应商应递交施工进度网络图或横道图</w:t>
      </w:r>
      <w:r>
        <w:rPr>
          <w:rFonts w:hint="eastAsia" w:ascii="宋体" w:hAnsi="宋体" w:eastAsia="宋体" w:cs="宋体"/>
          <w:color w:val="auto"/>
          <w:spacing w:val="1"/>
          <w:highlight w:val="none"/>
        </w:rPr>
        <w:t>，说</w:t>
      </w:r>
      <w:r>
        <w:rPr>
          <w:rFonts w:hint="eastAsia" w:ascii="宋体" w:hAnsi="宋体" w:eastAsia="宋体" w:cs="宋体"/>
          <w:color w:val="auto"/>
          <w:spacing w:val="2"/>
          <w:highlight w:val="none"/>
        </w:rPr>
        <w:t>明</w:t>
      </w:r>
      <w:r>
        <w:rPr>
          <w:rFonts w:hint="eastAsia" w:ascii="宋体" w:hAnsi="宋体" w:eastAsia="宋体" w:cs="宋体"/>
          <w:color w:val="auto"/>
          <w:spacing w:val="1"/>
          <w:highlight w:val="none"/>
        </w:rPr>
        <w:t>按</w:t>
      </w:r>
      <w:r>
        <w:rPr>
          <w:rFonts w:hint="eastAsia" w:ascii="宋体" w:hAnsi="宋体" w:eastAsia="宋体" w:cs="宋体"/>
          <w:color w:val="auto"/>
          <w:spacing w:val="2"/>
          <w:highlight w:val="none"/>
        </w:rPr>
        <w:t>竞争性磋商</w:t>
      </w:r>
      <w:r>
        <w:rPr>
          <w:rFonts w:hint="eastAsia" w:ascii="宋体" w:hAnsi="宋体" w:eastAsia="宋体" w:cs="宋体"/>
          <w:color w:val="auto"/>
          <w:spacing w:val="1"/>
          <w:highlight w:val="none"/>
        </w:rPr>
        <w:t>文</w:t>
      </w:r>
      <w:r>
        <w:rPr>
          <w:rFonts w:hint="eastAsia" w:ascii="宋体" w:hAnsi="宋体" w:eastAsia="宋体" w:cs="宋体"/>
          <w:color w:val="auto"/>
          <w:spacing w:val="2"/>
          <w:highlight w:val="none"/>
        </w:rPr>
        <w:t>件</w:t>
      </w:r>
      <w:r>
        <w:rPr>
          <w:rFonts w:hint="eastAsia" w:ascii="宋体" w:hAnsi="宋体" w:eastAsia="宋体" w:cs="宋体"/>
          <w:color w:val="auto"/>
          <w:spacing w:val="1"/>
          <w:highlight w:val="none"/>
        </w:rPr>
        <w:t>要</w:t>
      </w:r>
      <w:r>
        <w:rPr>
          <w:rFonts w:hint="eastAsia" w:ascii="宋体" w:hAnsi="宋体" w:eastAsia="宋体" w:cs="宋体"/>
          <w:color w:val="auto"/>
          <w:spacing w:val="2"/>
          <w:highlight w:val="none"/>
        </w:rPr>
        <w:t>求</w:t>
      </w:r>
      <w:r>
        <w:rPr>
          <w:rFonts w:hint="eastAsia" w:ascii="宋体" w:hAnsi="宋体" w:eastAsia="宋体" w:cs="宋体"/>
          <w:color w:val="auto"/>
          <w:spacing w:val="1"/>
          <w:highlight w:val="none"/>
        </w:rPr>
        <w:t>的计</w:t>
      </w:r>
      <w:r>
        <w:rPr>
          <w:rFonts w:hint="eastAsia" w:ascii="宋体" w:hAnsi="宋体" w:eastAsia="宋体" w:cs="宋体"/>
          <w:color w:val="auto"/>
          <w:spacing w:val="2"/>
          <w:highlight w:val="none"/>
        </w:rPr>
        <w:t>划</w:t>
      </w:r>
      <w:r>
        <w:rPr>
          <w:rFonts w:hint="eastAsia" w:ascii="宋体" w:hAnsi="宋体" w:eastAsia="宋体" w:cs="宋体"/>
          <w:color w:val="auto"/>
          <w:spacing w:val="1"/>
          <w:highlight w:val="none"/>
        </w:rPr>
        <w:t>工</w:t>
      </w:r>
      <w:r>
        <w:rPr>
          <w:rFonts w:hint="eastAsia" w:ascii="宋体" w:hAnsi="宋体" w:eastAsia="宋体" w:cs="宋体"/>
          <w:color w:val="auto"/>
          <w:spacing w:val="4"/>
          <w:highlight w:val="none"/>
        </w:rPr>
        <w:t>期</w:t>
      </w:r>
      <w:r>
        <w:rPr>
          <w:rFonts w:hint="eastAsia" w:ascii="宋体" w:hAnsi="宋体" w:eastAsia="宋体" w:cs="宋体"/>
          <w:color w:val="auto"/>
          <w:spacing w:val="2"/>
          <w:highlight w:val="none"/>
        </w:rPr>
        <w:t>进</w:t>
      </w:r>
      <w:r>
        <w:rPr>
          <w:rFonts w:hint="eastAsia" w:ascii="宋体" w:hAnsi="宋体" w:eastAsia="宋体" w:cs="宋体"/>
          <w:color w:val="auto"/>
          <w:spacing w:val="1"/>
          <w:highlight w:val="none"/>
        </w:rPr>
        <w:t>行</w:t>
      </w:r>
      <w:r>
        <w:rPr>
          <w:rFonts w:hint="eastAsia" w:ascii="宋体" w:hAnsi="宋体" w:eastAsia="宋体" w:cs="宋体"/>
          <w:color w:val="auto"/>
          <w:highlight w:val="none"/>
        </w:rPr>
        <w:t>施工的各个关键日期。</w:t>
      </w:r>
    </w:p>
    <w:p w14:paraId="253B8FDE">
      <w:pPr>
        <w:pStyle w:val="87"/>
        <w:spacing w:line="360" w:lineRule="auto"/>
        <w:ind w:firstLine="424"/>
        <w:outlineLvl w:val="9"/>
        <w:rPr>
          <w:rFonts w:hint="eastAsia" w:ascii="宋体" w:hAnsi="宋体" w:eastAsia="宋体" w:cs="宋体"/>
          <w:color w:val="auto"/>
          <w:sz w:val="20"/>
          <w:szCs w:val="20"/>
          <w:highlight w:val="none"/>
        </w:rPr>
      </w:pPr>
      <w:r>
        <w:rPr>
          <w:rFonts w:hint="eastAsia" w:ascii="宋体" w:hAnsi="宋体" w:eastAsia="宋体" w:cs="宋体"/>
          <w:color w:val="auto"/>
          <w:highlight w:val="none"/>
        </w:rPr>
        <w:t>2.计划开工日期：自合同签订之日起至 年 月 日。</w:t>
      </w:r>
    </w:p>
    <w:p w14:paraId="63F55268">
      <w:pPr>
        <w:spacing w:line="360" w:lineRule="auto"/>
        <w:outlineLvl w:val="9"/>
        <w:rPr>
          <w:rFonts w:hint="eastAsia" w:ascii="宋体" w:hAnsi="宋体" w:eastAsia="宋体" w:cs="宋体"/>
          <w:color w:val="auto"/>
          <w:sz w:val="20"/>
          <w:szCs w:val="20"/>
          <w:highlight w:val="none"/>
        </w:rPr>
      </w:pPr>
      <w:bookmarkStart w:id="476" w:name="_Toc418751909"/>
      <w:bookmarkStart w:id="477" w:name="_Toc418752355"/>
      <w:bookmarkStart w:id="478" w:name="_Toc483317228"/>
      <w:r>
        <w:rPr>
          <w:rFonts w:hint="eastAsia" w:ascii="宋体" w:hAnsi="宋体" w:eastAsia="宋体" w:cs="宋体"/>
          <w:b/>
          <w:color w:val="auto"/>
          <w:highlight w:val="none"/>
        </w:rPr>
        <w:t>附表五：施工总平面图</w:t>
      </w:r>
      <w:bookmarkEnd w:id="476"/>
      <w:bookmarkEnd w:id="477"/>
      <w:bookmarkEnd w:id="478"/>
    </w:p>
    <w:p w14:paraId="2B7BDD20">
      <w:pPr>
        <w:pStyle w:val="87"/>
        <w:spacing w:line="360" w:lineRule="auto"/>
        <w:ind w:firstLine="424"/>
        <w:outlineLvl w:val="9"/>
        <w:rPr>
          <w:rFonts w:hint="eastAsia" w:ascii="宋体" w:hAnsi="宋体" w:eastAsia="宋体" w:cs="宋体"/>
          <w:color w:val="auto"/>
          <w:sz w:val="20"/>
          <w:szCs w:val="20"/>
          <w:highlight w:val="none"/>
        </w:rPr>
      </w:pPr>
      <w:r>
        <w:rPr>
          <w:rFonts w:hint="eastAsia" w:ascii="宋体" w:hAnsi="宋体" w:eastAsia="宋体" w:cs="宋体"/>
          <w:color w:val="auto"/>
          <w:highlight w:val="none"/>
        </w:rPr>
        <w:t>供应商应递交一份施工总平面图</w:t>
      </w:r>
      <w:r>
        <w:rPr>
          <w:rFonts w:hint="eastAsia" w:ascii="宋体" w:hAnsi="宋体" w:eastAsia="宋体" w:cs="宋体"/>
          <w:color w:val="auto"/>
          <w:spacing w:val="-47"/>
          <w:highlight w:val="none"/>
        </w:rPr>
        <w:t>，</w:t>
      </w:r>
      <w:r>
        <w:rPr>
          <w:rFonts w:hint="eastAsia" w:ascii="宋体" w:hAnsi="宋体" w:eastAsia="宋体" w:cs="宋体"/>
          <w:color w:val="auto"/>
          <w:highlight w:val="none"/>
        </w:rPr>
        <w:t>绘出现场临时设施布置图表并附文字说明</w:t>
      </w:r>
      <w:r>
        <w:rPr>
          <w:rFonts w:hint="eastAsia" w:ascii="宋体" w:hAnsi="宋体" w:eastAsia="宋体" w:cs="宋体"/>
          <w:color w:val="auto"/>
          <w:spacing w:val="-47"/>
          <w:highlight w:val="none"/>
        </w:rPr>
        <w:t>，</w:t>
      </w:r>
      <w:r>
        <w:rPr>
          <w:rFonts w:hint="eastAsia" w:ascii="宋体" w:hAnsi="宋体" w:eastAsia="宋体" w:cs="宋体"/>
          <w:color w:val="auto"/>
          <w:highlight w:val="none"/>
        </w:rPr>
        <w:t>说明临时设施</w:t>
      </w:r>
      <w:r>
        <w:rPr>
          <w:rFonts w:hint="eastAsia" w:ascii="宋体" w:hAnsi="宋体" w:eastAsia="宋体" w:cs="宋体"/>
          <w:color w:val="auto"/>
          <w:spacing w:val="-11"/>
          <w:highlight w:val="none"/>
        </w:rPr>
        <w:t>、</w:t>
      </w:r>
      <w:r>
        <w:rPr>
          <w:rFonts w:hint="eastAsia" w:ascii="宋体" w:hAnsi="宋体" w:eastAsia="宋体" w:cs="宋体"/>
          <w:color w:val="auto"/>
          <w:highlight w:val="none"/>
        </w:rPr>
        <w:t>加工车间</w:t>
      </w:r>
      <w:r>
        <w:rPr>
          <w:rFonts w:hint="eastAsia" w:ascii="宋体" w:hAnsi="宋体" w:eastAsia="宋体" w:cs="宋体"/>
          <w:color w:val="auto"/>
          <w:spacing w:val="-11"/>
          <w:highlight w:val="none"/>
        </w:rPr>
        <w:t>、</w:t>
      </w:r>
      <w:r>
        <w:rPr>
          <w:rFonts w:hint="eastAsia" w:ascii="宋体" w:hAnsi="宋体" w:eastAsia="宋体" w:cs="宋体"/>
          <w:color w:val="auto"/>
          <w:highlight w:val="none"/>
        </w:rPr>
        <w:t>现场办公</w:t>
      </w:r>
      <w:r>
        <w:rPr>
          <w:rFonts w:hint="eastAsia" w:ascii="宋体" w:hAnsi="宋体" w:eastAsia="宋体" w:cs="宋体"/>
          <w:color w:val="auto"/>
          <w:spacing w:val="-11"/>
          <w:highlight w:val="none"/>
        </w:rPr>
        <w:t>、</w:t>
      </w:r>
      <w:r>
        <w:rPr>
          <w:rFonts w:hint="eastAsia" w:ascii="宋体" w:hAnsi="宋体" w:eastAsia="宋体" w:cs="宋体"/>
          <w:color w:val="auto"/>
          <w:highlight w:val="none"/>
        </w:rPr>
        <w:t>设备及仓储</w:t>
      </w:r>
      <w:r>
        <w:rPr>
          <w:rFonts w:hint="eastAsia" w:ascii="宋体" w:hAnsi="宋体" w:eastAsia="宋体" w:cs="宋体"/>
          <w:color w:val="auto"/>
          <w:spacing w:val="-11"/>
          <w:highlight w:val="none"/>
        </w:rPr>
        <w:t>、</w:t>
      </w:r>
      <w:r>
        <w:rPr>
          <w:rFonts w:hint="eastAsia" w:ascii="宋体" w:hAnsi="宋体" w:eastAsia="宋体" w:cs="宋体"/>
          <w:color w:val="auto"/>
          <w:highlight w:val="none"/>
        </w:rPr>
        <w:t>供电</w:t>
      </w:r>
      <w:r>
        <w:rPr>
          <w:rFonts w:hint="eastAsia" w:ascii="宋体" w:hAnsi="宋体" w:eastAsia="宋体" w:cs="宋体"/>
          <w:color w:val="auto"/>
          <w:spacing w:val="-11"/>
          <w:highlight w:val="none"/>
        </w:rPr>
        <w:t>、</w:t>
      </w:r>
      <w:r>
        <w:rPr>
          <w:rFonts w:hint="eastAsia" w:ascii="宋体" w:hAnsi="宋体" w:eastAsia="宋体" w:cs="宋体"/>
          <w:color w:val="auto"/>
          <w:highlight w:val="none"/>
        </w:rPr>
        <w:t>供水</w:t>
      </w:r>
      <w:r>
        <w:rPr>
          <w:rFonts w:hint="eastAsia" w:ascii="宋体" w:hAnsi="宋体" w:eastAsia="宋体" w:cs="宋体"/>
          <w:color w:val="auto"/>
          <w:spacing w:val="-10"/>
          <w:highlight w:val="none"/>
        </w:rPr>
        <w:t>、</w:t>
      </w:r>
      <w:r>
        <w:rPr>
          <w:rFonts w:hint="eastAsia" w:ascii="宋体" w:hAnsi="宋体" w:eastAsia="宋体" w:cs="宋体"/>
          <w:color w:val="auto"/>
          <w:highlight w:val="none"/>
        </w:rPr>
        <w:t>卫生</w:t>
      </w:r>
      <w:r>
        <w:rPr>
          <w:rFonts w:hint="eastAsia" w:ascii="宋体" w:hAnsi="宋体" w:eastAsia="宋体" w:cs="宋体"/>
          <w:color w:val="auto"/>
          <w:spacing w:val="-11"/>
          <w:highlight w:val="none"/>
        </w:rPr>
        <w:t>、</w:t>
      </w:r>
      <w:r>
        <w:rPr>
          <w:rFonts w:hint="eastAsia" w:ascii="宋体" w:hAnsi="宋体" w:eastAsia="宋体" w:cs="宋体"/>
          <w:color w:val="auto"/>
          <w:highlight w:val="none"/>
        </w:rPr>
        <w:t>生活</w:t>
      </w:r>
      <w:r>
        <w:rPr>
          <w:rFonts w:hint="eastAsia" w:ascii="宋体" w:hAnsi="宋体" w:eastAsia="宋体" w:cs="宋体"/>
          <w:color w:val="auto"/>
          <w:spacing w:val="-11"/>
          <w:highlight w:val="none"/>
        </w:rPr>
        <w:t>、</w:t>
      </w:r>
      <w:r>
        <w:rPr>
          <w:rFonts w:hint="eastAsia" w:ascii="宋体" w:hAnsi="宋体" w:eastAsia="宋体" w:cs="宋体"/>
          <w:color w:val="auto"/>
          <w:highlight w:val="none"/>
        </w:rPr>
        <w:t>道路</w:t>
      </w:r>
      <w:r>
        <w:rPr>
          <w:rFonts w:hint="eastAsia" w:ascii="宋体" w:hAnsi="宋体" w:eastAsia="宋体" w:cs="宋体"/>
          <w:color w:val="auto"/>
          <w:spacing w:val="-11"/>
          <w:highlight w:val="none"/>
        </w:rPr>
        <w:t>、</w:t>
      </w:r>
      <w:r>
        <w:rPr>
          <w:rFonts w:hint="eastAsia" w:ascii="宋体" w:hAnsi="宋体" w:eastAsia="宋体" w:cs="宋体"/>
          <w:color w:val="auto"/>
          <w:spacing w:val="1"/>
          <w:highlight w:val="none"/>
        </w:rPr>
        <w:t>消</w:t>
      </w:r>
      <w:r>
        <w:rPr>
          <w:rFonts w:hint="eastAsia" w:ascii="宋体" w:hAnsi="宋体" w:eastAsia="宋体" w:cs="宋体"/>
          <w:color w:val="auto"/>
          <w:highlight w:val="none"/>
        </w:rPr>
        <w:t>防等设施的情况和布置。</w:t>
      </w:r>
    </w:p>
    <w:p w14:paraId="79CC735D">
      <w:pPr>
        <w:spacing w:line="360" w:lineRule="auto"/>
        <w:outlineLvl w:val="9"/>
        <w:rPr>
          <w:rFonts w:hint="eastAsia" w:ascii="宋体" w:hAnsi="宋体" w:eastAsia="宋体" w:cs="宋体"/>
          <w:b/>
          <w:color w:val="auto"/>
          <w:highlight w:val="none"/>
        </w:rPr>
      </w:pPr>
      <w:bookmarkStart w:id="479" w:name="_Toc418752356"/>
      <w:bookmarkStart w:id="480" w:name="_Toc418751910"/>
      <w:bookmarkStart w:id="481" w:name="_Toc483317229"/>
      <w:r>
        <w:rPr>
          <w:rFonts w:hint="eastAsia" w:ascii="宋体" w:hAnsi="宋体" w:eastAsia="宋体" w:cs="宋体"/>
          <w:b/>
          <w:color w:val="auto"/>
          <w:highlight w:val="none"/>
        </w:rPr>
        <w:t>附表六：临时用地表</w:t>
      </w:r>
      <w:bookmarkEnd w:id="479"/>
      <w:bookmarkEnd w:id="480"/>
      <w:bookmarkEnd w:id="481"/>
    </w:p>
    <w:tbl>
      <w:tblPr>
        <w:tblStyle w:val="37"/>
        <w:tblW w:w="9648" w:type="dxa"/>
        <w:jc w:val="center"/>
        <w:tblLayout w:type="fixed"/>
        <w:tblCellMar>
          <w:top w:w="0" w:type="dxa"/>
          <w:left w:w="0" w:type="dxa"/>
          <w:bottom w:w="0" w:type="dxa"/>
          <w:right w:w="0" w:type="dxa"/>
        </w:tblCellMar>
      </w:tblPr>
      <w:tblGrid>
        <w:gridCol w:w="2412"/>
        <w:gridCol w:w="2412"/>
        <w:gridCol w:w="2412"/>
        <w:gridCol w:w="2412"/>
      </w:tblGrid>
      <w:tr w14:paraId="264A57A2">
        <w:tblPrEx>
          <w:tblCellMar>
            <w:top w:w="0" w:type="dxa"/>
            <w:left w:w="0" w:type="dxa"/>
            <w:bottom w:w="0" w:type="dxa"/>
            <w:right w:w="0" w:type="dxa"/>
          </w:tblCellMar>
        </w:tblPrEx>
        <w:trPr>
          <w:trHeight w:val="450" w:hRule="atLeast"/>
          <w:jc w:val="center"/>
        </w:trPr>
        <w:tc>
          <w:tcPr>
            <w:tcW w:w="2412" w:type="dxa"/>
            <w:tcBorders>
              <w:top w:val="single" w:color="000000" w:sz="4" w:space="0"/>
              <w:left w:val="single" w:color="000000" w:sz="4" w:space="0"/>
              <w:bottom w:val="single" w:color="000000" w:sz="4" w:space="0"/>
              <w:right w:val="single" w:color="000000" w:sz="4" w:space="0"/>
            </w:tcBorders>
            <w:noWrap w:val="0"/>
            <w:vAlign w:val="center"/>
          </w:tcPr>
          <w:p w14:paraId="4347E2E8">
            <w:pPr>
              <w:pStyle w:val="87"/>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highlight w:val="none"/>
              </w:rPr>
              <w:t>用 </w:t>
            </w:r>
            <w:r>
              <w:rPr>
                <w:rFonts w:hint="eastAsia" w:ascii="宋体" w:hAnsi="宋体" w:eastAsia="宋体" w:cs="宋体"/>
                <w:color w:val="auto"/>
                <w:spacing w:val="1"/>
                <w:highlight w:val="none"/>
              </w:rPr>
              <w:t> </w:t>
            </w:r>
            <w:r>
              <w:rPr>
                <w:rFonts w:hint="eastAsia" w:ascii="宋体" w:hAnsi="宋体" w:eastAsia="宋体" w:cs="宋体"/>
                <w:color w:val="auto"/>
                <w:highlight w:val="none"/>
              </w:rPr>
              <w:t>途</w:t>
            </w:r>
          </w:p>
        </w:tc>
        <w:tc>
          <w:tcPr>
            <w:tcW w:w="2412" w:type="dxa"/>
            <w:tcBorders>
              <w:top w:val="single" w:color="000000" w:sz="4" w:space="0"/>
              <w:left w:val="nil"/>
              <w:bottom w:val="single" w:color="000000" w:sz="4" w:space="0"/>
              <w:right w:val="single" w:color="000000" w:sz="4" w:space="0"/>
            </w:tcBorders>
            <w:noWrap w:val="0"/>
            <w:vAlign w:val="center"/>
          </w:tcPr>
          <w:p w14:paraId="734C5C7F">
            <w:pPr>
              <w:pStyle w:val="87"/>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highlight w:val="none"/>
              </w:rPr>
              <w:t>面 </w:t>
            </w:r>
            <w:r>
              <w:rPr>
                <w:rFonts w:hint="eastAsia" w:ascii="宋体" w:hAnsi="宋体" w:eastAsia="宋体" w:cs="宋体"/>
                <w:color w:val="auto"/>
                <w:spacing w:val="1"/>
                <w:highlight w:val="none"/>
              </w:rPr>
              <w:t> </w:t>
            </w:r>
            <w:r>
              <w:rPr>
                <w:rFonts w:hint="eastAsia" w:ascii="宋体" w:hAnsi="宋体" w:eastAsia="宋体" w:cs="宋体"/>
                <w:color w:val="auto"/>
                <w:highlight w:val="none"/>
              </w:rPr>
              <w:t>积（平</w:t>
            </w:r>
            <w:r>
              <w:rPr>
                <w:rFonts w:hint="eastAsia" w:ascii="宋体" w:hAnsi="宋体" w:eastAsia="宋体" w:cs="宋体"/>
                <w:color w:val="auto"/>
                <w:spacing w:val="-1"/>
                <w:highlight w:val="none"/>
              </w:rPr>
              <w:t>方</w:t>
            </w:r>
            <w:r>
              <w:rPr>
                <w:rFonts w:hint="eastAsia" w:ascii="宋体" w:hAnsi="宋体" w:eastAsia="宋体" w:cs="宋体"/>
                <w:color w:val="auto"/>
                <w:highlight w:val="none"/>
              </w:rPr>
              <w:t>米）</w:t>
            </w:r>
          </w:p>
        </w:tc>
        <w:tc>
          <w:tcPr>
            <w:tcW w:w="2412" w:type="dxa"/>
            <w:tcBorders>
              <w:top w:val="single" w:color="000000" w:sz="4" w:space="0"/>
              <w:left w:val="nil"/>
              <w:bottom w:val="single" w:color="000000" w:sz="4" w:space="0"/>
              <w:right w:val="single" w:color="000000" w:sz="4" w:space="0"/>
            </w:tcBorders>
            <w:noWrap w:val="0"/>
            <w:vAlign w:val="center"/>
          </w:tcPr>
          <w:p w14:paraId="15D8B654">
            <w:pPr>
              <w:pStyle w:val="87"/>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highlight w:val="none"/>
              </w:rPr>
              <w:t>位 </w:t>
            </w:r>
            <w:r>
              <w:rPr>
                <w:rFonts w:hint="eastAsia" w:ascii="宋体" w:hAnsi="宋体" w:eastAsia="宋体" w:cs="宋体"/>
                <w:color w:val="auto"/>
                <w:spacing w:val="1"/>
                <w:highlight w:val="none"/>
              </w:rPr>
              <w:t> </w:t>
            </w:r>
            <w:r>
              <w:rPr>
                <w:rFonts w:hint="eastAsia" w:ascii="宋体" w:hAnsi="宋体" w:eastAsia="宋体" w:cs="宋体"/>
                <w:color w:val="auto"/>
                <w:highlight w:val="none"/>
              </w:rPr>
              <w:t>置</w:t>
            </w:r>
          </w:p>
        </w:tc>
        <w:tc>
          <w:tcPr>
            <w:tcW w:w="2412" w:type="dxa"/>
            <w:tcBorders>
              <w:top w:val="single" w:color="000000" w:sz="4" w:space="0"/>
              <w:left w:val="nil"/>
              <w:bottom w:val="single" w:color="000000" w:sz="4" w:space="0"/>
              <w:right w:val="single" w:color="000000" w:sz="4" w:space="0"/>
            </w:tcBorders>
            <w:noWrap w:val="0"/>
            <w:vAlign w:val="center"/>
          </w:tcPr>
          <w:p w14:paraId="0BEE847C">
            <w:pPr>
              <w:pStyle w:val="87"/>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highlight w:val="none"/>
              </w:rPr>
              <w:t>需用时间</w:t>
            </w:r>
          </w:p>
        </w:tc>
      </w:tr>
      <w:tr w14:paraId="580907FD">
        <w:tblPrEx>
          <w:tblCellMar>
            <w:top w:w="0" w:type="dxa"/>
            <w:left w:w="0" w:type="dxa"/>
            <w:bottom w:w="0" w:type="dxa"/>
            <w:right w:w="0" w:type="dxa"/>
          </w:tblCellMar>
        </w:tblPrEx>
        <w:trPr>
          <w:trHeight w:val="450" w:hRule="atLeast"/>
          <w:jc w:val="center"/>
        </w:trPr>
        <w:tc>
          <w:tcPr>
            <w:tcW w:w="2412" w:type="dxa"/>
            <w:tcBorders>
              <w:top w:val="single" w:color="000000" w:sz="4" w:space="0"/>
              <w:left w:val="single" w:color="000000" w:sz="4" w:space="0"/>
              <w:bottom w:val="single" w:color="000000" w:sz="4" w:space="0"/>
              <w:right w:val="single" w:color="000000" w:sz="4" w:space="0"/>
            </w:tcBorders>
            <w:noWrap w:val="0"/>
            <w:vAlign w:val="top"/>
          </w:tcPr>
          <w:p w14:paraId="15FF63FD">
            <w:pPr>
              <w:pStyle w:val="87"/>
              <w:spacing w:line="360" w:lineRule="auto"/>
              <w:outlineLvl w:val="9"/>
              <w:rPr>
                <w:rFonts w:hint="eastAsia" w:ascii="宋体" w:hAnsi="宋体" w:eastAsia="宋体" w:cs="宋体"/>
                <w:color w:val="auto"/>
                <w:sz w:val="24"/>
                <w:szCs w:val="24"/>
                <w:highlight w:val="none"/>
              </w:rPr>
            </w:pPr>
          </w:p>
        </w:tc>
        <w:tc>
          <w:tcPr>
            <w:tcW w:w="2412" w:type="dxa"/>
            <w:tcBorders>
              <w:top w:val="single" w:color="000000" w:sz="4" w:space="0"/>
              <w:left w:val="nil"/>
              <w:bottom w:val="single" w:color="000000" w:sz="4" w:space="0"/>
              <w:right w:val="single" w:color="000000" w:sz="4" w:space="0"/>
            </w:tcBorders>
            <w:noWrap w:val="0"/>
            <w:vAlign w:val="top"/>
          </w:tcPr>
          <w:p w14:paraId="27754A2D">
            <w:pPr>
              <w:pStyle w:val="87"/>
              <w:spacing w:line="360" w:lineRule="auto"/>
              <w:outlineLvl w:val="9"/>
              <w:rPr>
                <w:rFonts w:hint="eastAsia" w:ascii="宋体" w:hAnsi="宋体" w:eastAsia="宋体" w:cs="宋体"/>
                <w:color w:val="auto"/>
                <w:sz w:val="24"/>
                <w:szCs w:val="24"/>
                <w:highlight w:val="none"/>
              </w:rPr>
            </w:pPr>
          </w:p>
        </w:tc>
        <w:tc>
          <w:tcPr>
            <w:tcW w:w="2412" w:type="dxa"/>
            <w:tcBorders>
              <w:top w:val="single" w:color="000000" w:sz="4" w:space="0"/>
              <w:left w:val="nil"/>
              <w:bottom w:val="single" w:color="000000" w:sz="4" w:space="0"/>
              <w:right w:val="single" w:color="000000" w:sz="4" w:space="0"/>
            </w:tcBorders>
            <w:noWrap w:val="0"/>
            <w:vAlign w:val="top"/>
          </w:tcPr>
          <w:p w14:paraId="68771080">
            <w:pPr>
              <w:pStyle w:val="87"/>
              <w:spacing w:line="360" w:lineRule="auto"/>
              <w:outlineLvl w:val="9"/>
              <w:rPr>
                <w:rFonts w:hint="eastAsia" w:ascii="宋体" w:hAnsi="宋体" w:eastAsia="宋体" w:cs="宋体"/>
                <w:color w:val="auto"/>
                <w:sz w:val="24"/>
                <w:szCs w:val="24"/>
                <w:highlight w:val="none"/>
              </w:rPr>
            </w:pPr>
          </w:p>
        </w:tc>
        <w:tc>
          <w:tcPr>
            <w:tcW w:w="2412" w:type="dxa"/>
            <w:tcBorders>
              <w:top w:val="single" w:color="000000" w:sz="4" w:space="0"/>
              <w:left w:val="nil"/>
              <w:bottom w:val="single" w:color="000000" w:sz="4" w:space="0"/>
              <w:right w:val="single" w:color="000000" w:sz="4" w:space="0"/>
            </w:tcBorders>
            <w:noWrap w:val="0"/>
            <w:vAlign w:val="top"/>
          </w:tcPr>
          <w:p w14:paraId="3192D0E7">
            <w:pPr>
              <w:pStyle w:val="87"/>
              <w:spacing w:line="360" w:lineRule="auto"/>
              <w:outlineLvl w:val="9"/>
              <w:rPr>
                <w:rFonts w:hint="eastAsia" w:ascii="宋体" w:hAnsi="宋体" w:eastAsia="宋体" w:cs="宋体"/>
                <w:color w:val="auto"/>
                <w:sz w:val="24"/>
                <w:szCs w:val="24"/>
                <w:highlight w:val="none"/>
              </w:rPr>
            </w:pPr>
          </w:p>
        </w:tc>
      </w:tr>
      <w:tr w14:paraId="0CC8B9B3">
        <w:tblPrEx>
          <w:tblCellMar>
            <w:top w:w="0" w:type="dxa"/>
            <w:left w:w="0" w:type="dxa"/>
            <w:bottom w:w="0" w:type="dxa"/>
            <w:right w:w="0" w:type="dxa"/>
          </w:tblCellMar>
        </w:tblPrEx>
        <w:trPr>
          <w:trHeight w:val="450" w:hRule="atLeast"/>
          <w:jc w:val="center"/>
        </w:trPr>
        <w:tc>
          <w:tcPr>
            <w:tcW w:w="2412" w:type="dxa"/>
            <w:tcBorders>
              <w:top w:val="single" w:color="000000" w:sz="4" w:space="0"/>
              <w:left w:val="single" w:color="000000" w:sz="4" w:space="0"/>
              <w:bottom w:val="single" w:color="000000" w:sz="4" w:space="0"/>
              <w:right w:val="single" w:color="000000" w:sz="4" w:space="0"/>
            </w:tcBorders>
            <w:noWrap w:val="0"/>
            <w:vAlign w:val="top"/>
          </w:tcPr>
          <w:p w14:paraId="2BD279C1">
            <w:pPr>
              <w:pStyle w:val="87"/>
              <w:spacing w:line="360" w:lineRule="auto"/>
              <w:outlineLvl w:val="9"/>
              <w:rPr>
                <w:rFonts w:hint="eastAsia" w:ascii="宋体" w:hAnsi="宋体" w:eastAsia="宋体" w:cs="宋体"/>
                <w:color w:val="auto"/>
                <w:sz w:val="24"/>
                <w:szCs w:val="24"/>
                <w:highlight w:val="none"/>
              </w:rPr>
            </w:pPr>
          </w:p>
        </w:tc>
        <w:tc>
          <w:tcPr>
            <w:tcW w:w="2412" w:type="dxa"/>
            <w:tcBorders>
              <w:top w:val="single" w:color="000000" w:sz="4" w:space="0"/>
              <w:left w:val="nil"/>
              <w:bottom w:val="single" w:color="000000" w:sz="4" w:space="0"/>
              <w:right w:val="single" w:color="000000" w:sz="4" w:space="0"/>
            </w:tcBorders>
            <w:noWrap w:val="0"/>
            <w:vAlign w:val="top"/>
          </w:tcPr>
          <w:p w14:paraId="16D46447">
            <w:pPr>
              <w:pStyle w:val="87"/>
              <w:spacing w:line="360" w:lineRule="auto"/>
              <w:outlineLvl w:val="9"/>
              <w:rPr>
                <w:rFonts w:hint="eastAsia" w:ascii="宋体" w:hAnsi="宋体" w:eastAsia="宋体" w:cs="宋体"/>
                <w:color w:val="auto"/>
                <w:sz w:val="24"/>
                <w:szCs w:val="24"/>
                <w:highlight w:val="none"/>
              </w:rPr>
            </w:pPr>
          </w:p>
        </w:tc>
        <w:tc>
          <w:tcPr>
            <w:tcW w:w="2412" w:type="dxa"/>
            <w:tcBorders>
              <w:top w:val="single" w:color="000000" w:sz="4" w:space="0"/>
              <w:left w:val="nil"/>
              <w:bottom w:val="single" w:color="000000" w:sz="4" w:space="0"/>
              <w:right w:val="single" w:color="000000" w:sz="4" w:space="0"/>
            </w:tcBorders>
            <w:noWrap w:val="0"/>
            <w:vAlign w:val="top"/>
          </w:tcPr>
          <w:p w14:paraId="14AA5A9D">
            <w:pPr>
              <w:pStyle w:val="87"/>
              <w:spacing w:line="360" w:lineRule="auto"/>
              <w:outlineLvl w:val="9"/>
              <w:rPr>
                <w:rFonts w:hint="eastAsia" w:ascii="宋体" w:hAnsi="宋体" w:eastAsia="宋体" w:cs="宋体"/>
                <w:color w:val="auto"/>
                <w:sz w:val="24"/>
                <w:szCs w:val="24"/>
                <w:highlight w:val="none"/>
              </w:rPr>
            </w:pPr>
          </w:p>
        </w:tc>
        <w:tc>
          <w:tcPr>
            <w:tcW w:w="2412" w:type="dxa"/>
            <w:tcBorders>
              <w:top w:val="single" w:color="000000" w:sz="4" w:space="0"/>
              <w:left w:val="nil"/>
              <w:bottom w:val="single" w:color="000000" w:sz="4" w:space="0"/>
              <w:right w:val="single" w:color="000000" w:sz="4" w:space="0"/>
            </w:tcBorders>
            <w:noWrap w:val="0"/>
            <w:vAlign w:val="top"/>
          </w:tcPr>
          <w:p w14:paraId="06C985FE">
            <w:pPr>
              <w:pStyle w:val="87"/>
              <w:spacing w:line="360" w:lineRule="auto"/>
              <w:outlineLvl w:val="9"/>
              <w:rPr>
                <w:rFonts w:hint="eastAsia" w:ascii="宋体" w:hAnsi="宋体" w:eastAsia="宋体" w:cs="宋体"/>
                <w:color w:val="auto"/>
                <w:sz w:val="24"/>
                <w:szCs w:val="24"/>
                <w:highlight w:val="none"/>
              </w:rPr>
            </w:pPr>
          </w:p>
        </w:tc>
      </w:tr>
      <w:tr w14:paraId="2DC7D3E3">
        <w:tblPrEx>
          <w:tblCellMar>
            <w:top w:w="0" w:type="dxa"/>
            <w:left w:w="0" w:type="dxa"/>
            <w:bottom w:w="0" w:type="dxa"/>
            <w:right w:w="0" w:type="dxa"/>
          </w:tblCellMar>
        </w:tblPrEx>
        <w:trPr>
          <w:trHeight w:val="450" w:hRule="atLeast"/>
          <w:jc w:val="center"/>
        </w:trPr>
        <w:tc>
          <w:tcPr>
            <w:tcW w:w="2412" w:type="dxa"/>
            <w:tcBorders>
              <w:top w:val="single" w:color="000000" w:sz="4" w:space="0"/>
              <w:left w:val="single" w:color="000000" w:sz="4" w:space="0"/>
              <w:bottom w:val="single" w:color="000000" w:sz="4" w:space="0"/>
              <w:right w:val="single" w:color="000000" w:sz="4" w:space="0"/>
            </w:tcBorders>
            <w:noWrap w:val="0"/>
            <w:vAlign w:val="top"/>
          </w:tcPr>
          <w:p w14:paraId="675B13EF">
            <w:pPr>
              <w:pStyle w:val="87"/>
              <w:spacing w:line="360" w:lineRule="auto"/>
              <w:outlineLvl w:val="9"/>
              <w:rPr>
                <w:rFonts w:hint="eastAsia" w:ascii="宋体" w:hAnsi="宋体" w:eastAsia="宋体" w:cs="宋体"/>
                <w:color w:val="auto"/>
                <w:sz w:val="24"/>
                <w:szCs w:val="24"/>
                <w:highlight w:val="none"/>
              </w:rPr>
            </w:pPr>
          </w:p>
        </w:tc>
        <w:tc>
          <w:tcPr>
            <w:tcW w:w="2412" w:type="dxa"/>
            <w:tcBorders>
              <w:top w:val="single" w:color="000000" w:sz="4" w:space="0"/>
              <w:left w:val="nil"/>
              <w:bottom w:val="single" w:color="000000" w:sz="4" w:space="0"/>
              <w:right w:val="single" w:color="000000" w:sz="4" w:space="0"/>
            </w:tcBorders>
            <w:noWrap w:val="0"/>
            <w:vAlign w:val="top"/>
          </w:tcPr>
          <w:p w14:paraId="291CAB1C">
            <w:pPr>
              <w:pStyle w:val="87"/>
              <w:spacing w:line="360" w:lineRule="auto"/>
              <w:outlineLvl w:val="9"/>
              <w:rPr>
                <w:rFonts w:hint="eastAsia" w:ascii="宋体" w:hAnsi="宋体" w:eastAsia="宋体" w:cs="宋体"/>
                <w:color w:val="auto"/>
                <w:sz w:val="24"/>
                <w:szCs w:val="24"/>
                <w:highlight w:val="none"/>
              </w:rPr>
            </w:pPr>
          </w:p>
        </w:tc>
        <w:tc>
          <w:tcPr>
            <w:tcW w:w="2412" w:type="dxa"/>
            <w:tcBorders>
              <w:top w:val="single" w:color="000000" w:sz="4" w:space="0"/>
              <w:left w:val="nil"/>
              <w:bottom w:val="single" w:color="000000" w:sz="4" w:space="0"/>
              <w:right w:val="single" w:color="000000" w:sz="4" w:space="0"/>
            </w:tcBorders>
            <w:noWrap w:val="0"/>
            <w:vAlign w:val="top"/>
          </w:tcPr>
          <w:p w14:paraId="254B5268">
            <w:pPr>
              <w:pStyle w:val="87"/>
              <w:spacing w:line="360" w:lineRule="auto"/>
              <w:outlineLvl w:val="9"/>
              <w:rPr>
                <w:rFonts w:hint="eastAsia" w:ascii="宋体" w:hAnsi="宋体" w:eastAsia="宋体" w:cs="宋体"/>
                <w:color w:val="auto"/>
                <w:sz w:val="24"/>
                <w:szCs w:val="24"/>
                <w:highlight w:val="none"/>
              </w:rPr>
            </w:pPr>
          </w:p>
        </w:tc>
        <w:tc>
          <w:tcPr>
            <w:tcW w:w="2412" w:type="dxa"/>
            <w:tcBorders>
              <w:top w:val="single" w:color="000000" w:sz="4" w:space="0"/>
              <w:left w:val="nil"/>
              <w:bottom w:val="single" w:color="000000" w:sz="4" w:space="0"/>
              <w:right w:val="single" w:color="000000" w:sz="4" w:space="0"/>
            </w:tcBorders>
            <w:noWrap w:val="0"/>
            <w:vAlign w:val="top"/>
          </w:tcPr>
          <w:p w14:paraId="0C4C11F7">
            <w:pPr>
              <w:pStyle w:val="87"/>
              <w:spacing w:line="360" w:lineRule="auto"/>
              <w:outlineLvl w:val="9"/>
              <w:rPr>
                <w:rFonts w:hint="eastAsia" w:ascii="宋体" w:hAnsi="宋体" w:eastAsia="宋体" w:cs="宋体"/>
                <w:color w:val="auto"/>
                <w:sz w:val="24"/>
                <w:szCs w:val="24"/>
                <w:highlight w:val="none"/>
              </w:rPr>
            </w:pPr>
          </w:p>
        </w:tc>
      </w:tr>
    </w:tbl>
    <w:p w14:paraId="5FE5AA58">
      <w:pPr>
        <w:widowControl/>
        <w:spacing w:line="360" w:lineRule="auto"/>
        <w:jc w:val="center"/>
        <w:outlineLvl w:val="9"/>
        <w:rPr>
          <w:rFonts w:hint="eastAsia" w:ascii="宋体" w:hAnsi="宋体" w:eastAsia="宋体" w:cs="宋体"/>
          <w:b/>
          <w:color w:val="auto"/>
          <w:sz w:val="28"/>
          <w:szCs w:val="28"/>
          <w:highlight w:val="none"/>
        </w:rPr>
      </w:pPr>
      <w:r>
        <w:rPr>
          <w:rFonts w:hint="eastAsia" w:ascii="宋体" w:hAnsi="宋体" w:eastAsia="宋体" w:cs="宋体"/>
          <w:color w:val="auto"/>
          <w:szCs w:val="21"/>
          <w:highlight w:val="none"/>
        </w:rPr>
        <w:t>磋商供应商[公章(CA签章)，自然人签字或个人CA签章]：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p w14:paraId="636A9973">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45B09316">
      <w:pPr>
        <w:pStyle w:val="22"/>
        <w:spacing w:line="360" w:lineRule="auto"/>
        <w:outlineLvl w:val="9"/>
        <w:rPr>
          <w:rFonts w:hint="eastAsia" w:ascii="宋体" w:hAnsi="宋体" w:eastAsia="宋体" w:cs="宋体"/>
          <w:b/>
          <w:color w:val="auto"/>
          <w:sz w:val="28"/>
          <w:szCs w:val="28"/>
          <w:highlight w:val="none"/>
        </w:rPr>
      </w:pPr>
      <w:r>
        <w:rPr>
          <w:rFonts w:hint="eastAsia"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.工程完工服务承诺书（必须提供）；</w:t>
      </w:r>
    </w:p>
    <w:p w14:paraId="22C69FBC">
      <w:pPr>
        <w:pStyle w:val="11"/>
        <w:rPr>
          <w:rFonts w:hint="eastAsia"/>
        </w:rPr>
      </w:pPr>
    </w:p>
    <w:p w14:paraId="20A7C555">
      <w:pPr>
        <w:spacing w:line="360" w:lineRule="auto"/>
        <w:jc w:val="center"/>
        <w:outlineLvl w:val="9"/>
        <w:rPr>
          <w:rFonts w:hint="eastAsia" w:ascii="宋体" w:hAnsi="宋体" w:eastAsia="宋体" w:cs="宋体"/>
          <w:b/>
          <w:color w:val="auto"/>
          <w:sz w:val="24"/>
          <w:highlight w:val="none"/>
        </w:rPr>
      </w:pPr>
    </w:p>
    <w:p w14:paraId="3BAD44D1">
      <w:pPr>
        <w:spacing w:line="360" w:lineRule="auto"/>
        <w:jc w:val="center"/>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工程完工服务承诺书（格式）</w:t>
      </w:r>
    </w:p>
    <w:p w14:paraId="02DAEAA3">
      <w:pPr>
        <w:pStyle w:val="22"/>
        <w:spacing w:line="360" w:lineRule="auto"/>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（由</w:t>
      </w:r>
      <w:r>
        <w:rPr>
          <w:rFonts w:hint="eastAsia" w:ascii="宋体" w:hAnsi="宋体" w:eastAsia="宋体" w:cs="宋体"/>
          <w:color w:val="auto"/>
          <w:szCs w:val="21"/>
          <w:highlight w:val="none"/>
        </w:rPr>
        <w:t>供应商</w:t>
      </w:r>
      <w:r>
        <w:rPr>
          <w:rFonts w:hint="eastAsia" w:ascii="宋体" w:hAnsi="宋体" w:eastAsia="宋体" w:cs="宋体"/>
          <w:color w:val="auto"/>
          <w:highlight w:val="none"/>
        </w:rPr>
        <w:t>按《工程量清单》中工程完工服务及要求自行分别填写）</w:t>
      </w:r>
    </w:p>
    <w:p w14:paraId="114A58C5">
      <w:pPr>
        <w:pStyle w:val="22"/>
        <w:spacing w:line="360" w:lineRule="auto"/>
        <w:outlineLvl w:val="9"/>
        <w:rPr>
          <w:rFonts w:hint="eastAsia" w:ascii="宋体" w:hAnsi="宋体" w:eastAsia="宋体" w:cs="宋体"/>
          <w:color w:val="auto"/>
          <w:highlight w:val="none"/>
        </w:rPr>
      </w:pPr>
    </w:p>
    <w:p w14:paraId="6EFEAE7F">
      <w:pPr>
        <w:widowControl/>
        <w:spacing w:line="360" w:lineRule="auto"/>
        <w:ind w:firstLine="1470" w:firstLineChars="700"/>
        <w:jc w:val="left"/>
        <w:outlineLvl w:val="9"/>
        <w:rPr>
          <w:rFonts w:hint="eastAsia" w:ascii="宋体" w:hAnsi="宋体" w:eastAsia="宋体" w:cs="宋体"/>
          <w:color w:val="auto"/>
          <w:szCs w:val="21"/>
          <w:highlight w:val="none"/>
        </w:rPr>
      </w:pPr>
    </w:p>
    <w:p w14:paraId="0D7319BB">
      <w:pPr>
        <w:widowControl/>
        <w:spacing w:line="360" w:lineRule="auto"/>
        <w:ind w:firstLine="1470" w:firstLineChars="700"/>
        <w:jc w:val="left"/>
        <w:outlineLvl w:val="9"/>
        <w:rPr>
          <w:rFonts w:hint="eastAsia" w:ascii="宋体" w:hAnsi="宋体" w:eastAsia="宋体" w:cs="宋体"/>
          <w:color w:val="auto"/>
          <w:szCs w:val="21"/>
          <w:highlight w:val="none"/>
        </w:rPr>
      </w:pPr>
    </w:p>
    <w:p w14:paraId="3244DD65">
      <w:pPr>
        <w:widowControl/>
        <w:spacing w:line="360" w:lineRule="auto"/>
        <w:ind w:firstLine="1470" w:firstLineChars="7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磋商供应商[公章(CA签章)，自然人签字或个人CA签章]：</w:t>
      </w:r>
      <w:r>
        <w:rPr>
          <w:rFonts w:hint="eastAsia" w:ascii="宋体" w:hAnsi="宋体" w:eastAsia="宋体" w:cs="宋体"/>
          <w:color w:val="auto"/>
          <w:szCs w:val="21"/>
          <w:highlight w:val="none"/>
          <w:u w:val="single"/>
        </w:rPr>
        <w:t xml:space="preserve">                                                       </w:t>
      </w:r>
    </w:p>
    <w:p w14:paraId="76FEC439">
      <w:pPr>
        <w:pStyle w:val="22"/>
        <w:spacing w:line="360" w:lineRule="auto"/>
        <w:ind w:left="2940" w:leftChars="1400" w:firstLine="630" w:firstLineChars="300"/>
        <w:outlineLvl w:val="9"/>
        <w:rPr>
          <w:rFonts w:hint="eastAsia" w:ascii="宋体" w:hAnsi="宋体" w:eastAsia="宋体" w:cs="宋体"/>
          <w:color w:val="auto"/>
          <w:highlight w:val="none"/>
        </w:rPr>
      </w:pPr>
    </w:p>
    <w:p w14:paraId="4B19AF42">
      <w:pPr>
        <w:spacing w:line="360" w:lineRule="auto"/>
        <w:ind w:firstLine="1470" w:firstLineChars="700"/>
        <w:outlineLvl w:val="9"/>
        <w:rPr>
          <w:rFonts w:hint="eastAsia" w:ascii="宋体" w:hAnsi="宋体" w:eastAsia="宋体" w:cs="宋体"/>
          <w:color w:val="auto"/>
          <w:highlight w:val="non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p w14:paraId="7B7AAF2E">
      <w:pPr>
        <w:tabs>
          <w:tab w:val="left" w:pos="567"/>
        </w:tabs>
        <w:spacing w:line="360" w:lineRule="auto"/>
        <w:outlineLvl w:val="9"/>
        <w:rPr>
          <w:rFonts w:hint="eastAsia" w:ascii="宋体" w:hAnsi="宋体" w:eastAsia="宋体" w:cs="宋体"/>
          <w:color w:val="auto"/>
          <w:sz w:val="28"/>
          <w:szCs w:val="28"/>
          <w:highlight w:val="none"/>
        </w:rPr>
      </w:pPr>
    </w:p>
    <w:p w14:paraId="12AC5078">
      <w:pPr>
        <w:outlineLvl w:val="9"/>
        <w:rPr>
          <w:rFonts w:hint="eastAsia" w:ascii="宋体" w:hAnsi="宋体" w:eastAsia="宋体" w:cs="宋体"/>
          <w:color w:val="auto"/>
          <w:sz w:val="28"/>
          <w:szCs w:val="28"/>
          <w:highlight w:val="none"/>
        </w:rPr>
      </w:pPr>
    </w:p>
    <w:p w14:paraId="6A4A6507">
      <w:pPr>
        <w:outlineLvl w:val="9"/>
        <w:rPr>
          <w:rFonts w:hint="eastAsia" w:ascii="宋体" w:hAnsi="宋体" w:eastAsia="宋体" w:cs="宋体"/>
          <w:color w:val="auto"/>
          <w:sz w:val="28"/>
          <w:szCs w:val="28"/>
          <w:highlight w:val="none"/>
        </w:rPr>
      </w:pPr>
    </w:p>
    <w:p w14:paraId="1A302922">
      <w:pPr>
        <w:outlineLvl w:val="9"/>
        <w:rPr>
          <w:rFonts w:hint="eastAsia" w:ascii="宋体" w:hAnsi="宋体" w:eastAsia="宋体" w:cs="宋体"/>
          <w:color w:val="auto"/>
          <w:sz w:val="28"/>
          <w:szCs w:val="28"/>
          <w:highlight w:val="none"/>
        </w:rPr>
      </w:pPr>
    </w:p>
    <w:p w14:paraId="00FDF797">
      <w:pPr>
        <w:outlineLvl w:val="9"/>
        <w:rPr>
          <w:rFonts w:hint="eastAsia" w:ascii="宋体" w:hAnsi="宋体" w:eastAsia="宋体" w:cs="宋体"/>
          <w:color w:val="auto"/>
          <w:sz w:val="28"/>
          <w:szCs w:val="28"/>
          <w:highlight w:val="none"/>
        </w:rPr>
      </w:pPr>
    </w:p>
    <w:p w14:paraId="091B1C5D">
      <w:pPr>
        <w:outlineLvl w:val="9"/>
        <w:rPr>
          <w:rFonts w:hint="eastAsia" w:ascii="宋体" w:hAnsi="宋体" w:eastAsia="宋体" w:cs="宋体"/>
          <w:color w:val="auto"/>
          <w:sz w:val="28"/>
          <w:szCs w:val="28"/>
          <w:highlight w:val="none"/>
        </w:rPr>
      </w:pPr>
    </w:p>
    <w:p w14:paraId="0FB13011">
      <w:pPr>
        <w:outlineLvl w:val="9"/>
        <w:rPr>
          <w:rFonts w:hint="eastAsia" w:ascii="宋体" w:hAnsi="宋体" w:eastAsia="宋体" w:cs="宋体"/>
          <w:color w:val="auto"/>
          <w:sz w:val="28"/>
          <w:szCs w:val="28"/>
          <w:highlight w:val="none"/>
        </w:rPr>
      </w:pPr>
    </w:p>
    <w:p w14:paraId="3AB0963B">
      <w:pPr>
        <w:outlineLvl w:val="9"/>
        <w:rPr>
          <w:rFonts w:hint="eastAsia" w:ascii="宋体" w:hAnsi="宋体" w:eastAsia="宋体" w:cs="宋体"/>
          <w:color w:val="auto"/>
          <w:sz w:val="28"/>
          <w:szCs w:val="28"/>
          <w:highlight w:val="none"/>
        </w:rPr>
      </w:pPr>
    </w:p>
    <w:p w14:paraId="164F724B">
      <w:pPr>
        <w:outlineLvl w:val="9"/>
        <w:rPr>
          <w:rFonts w:hint="eastAsia" w:ascii="宋体" w:hAnsi="宋体" w:eastAsia="宋体" w:cs="宋体"/>
          <w:color w:val="auto"/>
          <w:sz w:val="28"/>
          <w:szCs w:val="28"/>
          <w:highlight w:val="none"/>
        </w:rPr>
      </w:pPr>
    </w:p>
    <w:p w14:paraId="44414032">
      <w:pPr>
        <w:outlineLvl w:val="9"/>
        <w:rPr>
          <w:rFonts w:hint="eastAsia" w:ascii="宋体" w:hAnsi="宋体" w:eastAsia="宋体" w:cs="宋体"/>
          <w:color w:val="auto"/>
          <w:sz w:val="28"/>
          <w:szCs w:val="28"/>
          <w:highlight w:val="none"/>
        </w:rPr>
      </w:pPr>
    </w:p>
    <w:p w14:paraId="232E93E6">
      <w:pPr>
        <w:outlineLvl w:val="9"/>
        <w:rPr>
          <w:rFonts w:hint="eastAsia" w:ascii="宋体" w:hAnsi="宋体" w:eastAsia="宋体" w:cs="宋体"/>
          <w:color w:val="auto"/>
          <w:sz w:val="28"/>
          <w:szCs w:val="28"/>
          <w:highlight w:val="none"/>
        </w:rPr>
      </w:pPr>
    </w:p>
    <w:p w14:paraId="1B5FBC7E">
      <w:pPr>
        <w:outlineLvl w:val="9"/>
        <w:rPr>
          <w:rFonts w:hint="eastAsia" w:ascii="宋体" w:hAnsi="宋体" w:eastAsia="宋体" w:cs="宋体"/>
          <w:color w:val="auto"/>
          <w:sz w:val="28"/>
          <w:szCs w:val="28"/>
          <w:highlight w:val="none"/>
        </w:rPr>
      </w:pPr>
    </w:p>
    <w:p w14:paraId="4F830073">
      <w:pPr>
        <w:outlineLvl w:val="9"/>
        <w:rPr>
          <w:rFonts w:hint="eastAsia" w:ascii="宋体" w:hAnsi="宋体" w:eastAsia="宋体" w:cs="宋体"/>
          <w:color w:val="auto"/>
          <w:sz w:val="28"/>
          <w:szCs w:val="28"/>
          <w:highlight w:val="none"/>
        </w:rPr>
      </w:pPr>
    </w:p>
    <w:p w14:paraId="3AE1AAAF">
      <w:pPr>
        <w:outlineLvl w:val="9"/>
        <w:rPr>
          <w:rFonts w:hint="eastAsia" w:ascii="宋体" w:hAnsi="宋体" w:eastAsia="宋体" w:cs="宋体"/>
          <w:color w:val="auto"/>
          <w:sz w:val="28"/>
          <w:szCs w:val="28"/>
          <w:highlight w:val="none"/>
        </w:rPr>
      </w:pPr>
    </w:p>
    <w:p w14:paraId="6D713EE1">
      <w:pPr>
        <w:tabs>
          <w:tab w:val="left" w:pos="567"/>
        </w:tabs>
        <w:spacing w:line="360" w:lineRule="auto"/>
        <w:outlineLvl w:val="9"/>
        <w:rPr>
          <w:rFonts w:hint="eastAsia" w:ascii="宋体" w:hAnsi="宋体" w:eastAsia="宋体" w:cs="宋体"/>
          <w:b/>
          <w:bCs w:val="0"/>
          <w:color w:val="auto"/>
          <w:kern w:val="2"/>
          <w:sz w:val="28"/>
          <w:szCs w:val="28"/>
          <w:highlight w:val="none"/>
          <w:lang w:val="en-US" w:eastAsia="zh-CN" w:bidi="ar-SA"/>
        </w:rPr>
      </w:pPr>
      <w:bookmarkStart w:id="482" w:name="_Toc32582"/>
      <w:bookmarkStart w:id="483" w:name="_Toc24798"/>
      <w:bookmarkStart w:id="484" w:name="_Toc28903"/>
      <w:r>
        <w:rPr>
          <w:rFonts w:hint="eastAsia" w:ascii="宋体" w:hAnsi="宋体" w:cs="宋体"/>
          <w:b/>
          <w:bCs w:val="0"/>
          <w:color w:val="auto"/>
          <w:kern w:val="2"/>
          <w:sz w:val="28"/>
          <w:szCs w:val="28"/>
          <w:highlight w:val="none"/>
          <w:lang w:val="en-US" w:eastAsia="zh-CN" w:bidi="ar-SA"/>
        </w:rPr>
        <w:t>8</w:t>
      </w:r>
      <w:r>
        <w:rPr>
          <w:rFonts w:hint="eastAsia" w:ascii="宋体" w:hAnsi="宋体" w:eastAsia="宋体" w:cs="宋体"/>
          <w:b/>
          <w:bCs w:val="0"/>
          <w:color w:val="auto"/>
          <w:kern w:val="2"/>
          <w:sz w:val="28"/>
          <w:szCs w:val="28"/>
          <w:highlight w:val="none"/>
          <w:lang w:val="en-US" w:eastAsia="zh-CN" w:bidi="ar-SA"/>
        </w:rPr>
        <w:t>.农民工工资保障金交纳与使用承诺书（必须提供）</w:t>
      </w:r>
      <w:bookmarkEnd w:id="482"/>
      <w:bookmarkEnd w:id="483"/>
      <w:r>
        <w:rPr>
          <w:rFonts w:hint="eastAsia" w:ascii="宋体" w:hAnsi="宋体" w:eastAsia="宋体" w:cs="宋体"/>
          <w:b/>
          <w:bCs w:val="0"/>
          <w:color w:val="auto"/>
          <w:kern w:val="2"/>
          <w:sz w:val="28"/>
          <w:szCs w:val="28"/>
          <w:highlight w:val="none"/>
          <w:lang w:val="en-US" w:eastAsia="zh-CN" w:bidi="ar-SA"/>
        </w:rPr>
        <w:t>；</w:t>
      </w:r>
      <w:bookmarkEnd w:id="484"/>
    </w:p>
    <w:p w14:paraId="58AA7BFB">
      <w:pPr>
        <w:spacing w:line="360" w:lineRule="auto"/>
        <w:ind w:firstLine="482" w:firstLineChars="200"/>
        <w:jc w:val="center"/>
        <w:outlineLvl w:val="9"/>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农民工工资保证金交纳与使用承诺书（格式）</w:t>
      </w:r>
    </w:p>
    <w:p w14:paraId="01713230">
      <w:pPr>
        <w:spacing w:line="360" w:lineRule="auto"/>
        <w:outlineLvl w:val="9"/>
        <w:rPr>
          <w:rFonts w:hint="eastAsia" w:ascii="宋体" w:hAnsi="宋体" w:eastAsia="宋体" w:cs="宋体"/>
          <w:color w:val="auto"/>
          <w:kern w:val="0"/>
          <w:szCs w:val="21"/>
          <w:highlight w:val="none"/>
        </w:rPr>
      </w:pPr>
    </w:p>
    <w:p w14:paraId="7DB2B79D">
      <w:pPr>
        <w:spacing w:line="360" w:lineRule="auto"/>
        <w:outlineLvl w:val="9"/>
        <w:rPr>
          <w:rFonts w:hint="eastAsia" w:ascii="宋体" w:hAnsi="宋体" w:eastAsia="宋体" w:cs="宋体"/>
          <w:b/>
          <w:color w:val="auto"/>
          <w:kern w:val="0"/>
          <w:szCs w:val="21"/>
          <w:highlight w:val="none"/>
          <w:u w:val="single"/>
        </w:rPr>
      </w:pPr>
      <w:r>
        <w:rPr>
          <w:rFonts w:hint="eastAsia" w:ascii="宋体" w:hAnsi="宋体" w:eastAsia="宋体" w:cs="宋体"/>
          <w:color w:val="auto"/>
          <w:kern w:val="0"/>
          <w:szCs w:val="21"/>
          <w:highlight w:val="none"/>
        </w:rPr>
        <w:t>致：</w:t>
      </w:r>
      <w:r>
        <w:rPr>
          <w:rFonts w:hint="eastAsia" w:ascii="宋体" w:hAnsi="宋体" w:cs="宋体"/>
          <w:color w:val="auto"/>
          <w:highlight w:val="none"/>
          <w:u w:val="single"/>
          <w:lang w:eastAsia="zh-CN"/>
        </w:rPr>
        <w:t>广西鼎策工程顾问有限责任公司</w:t>
      </w:r>
      <w:r>
        <w:rPr>
          <w:rFonts w:hint="eastAsia" w:ascii="宋体" w:hAnsi="宋体" w:eastAsia="宋体" w:cs="宋体"/>
          <w:color w:val="auto"/>
          <w:szCs w:val="21"/>
          <w:highlight w:val="none"/>
          <w:u w:val="single"/>
        </w:rPr>
        <w:t xml:space="preserve"> </w:t>
      </w:r>
    </w:p>
    <w:p w14:paraId="30E7C323">
      <w:pPr>
        <w:spacing w:line="360" w:lineRule="auto"/>
        <w:ind w:firstLine="420" w:firstLineChars="200"/>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我方在此承诺：</w:t>
      </w:r>
    </w:p>
    <w:p w14:paraId="31FBAF3D">
      <w:pPr>
        <w:spacing w:line="360" w:lineRule="auto"/>
        <w:ind w:firstLine="525" w:firstLineChars="250"/>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1.我方在本项目</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（项目名称及编号）响应文件递交截止之日前所承建工程中，无拖欠或克扣农民工工资的行为。</w:t>
      </w:r>
    </w:p>
    <w:p w14:paraId="33C494C8">
      <w:pPr>
        <w:spacing w:line="360" w:lineRule="auto"/>
        <w:ind w:firstLine="495"/>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 我方参与磋商的</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项目，一旦成交，我方保证在签订施工合同后，及时并足额将农民工工资保证金足额存入指定的账户，作为本项目农民工工资保证金。</w:t>
      </w:r>
    </w:p>
    <w:p w14:paraId="16C52590">
      <w:pPr>
        <w:spacing w:line="360" w:lineRule="auto"/>
        <w:ind w:firstLine="495"/>
        <w:outlineLvl w:val="9"/>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 如我方在承包的</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项目中出现拖欠农民工和工人工资情况的，由相关部门从其农民工工资保证金中先予划支。</w:t>
      </w:r>
    </w:p>
    <w:p w14:paraId="5C5509A9">
      <w:pPr>
        <w:spacing w:line="360" w:lineRule="auto"/>
        <w:ind w:left="420" w:leftChars="200"/>
        <w:outlineLvl w:val="9"/>
        <w:rPr>
          <w:rFonts w:hint="eastAsia" w:ascii="宋体" w:hAnsi="宋体" w:eastAsia="宋体" w:cs="宋体"/>
          <w:color w:val="auto"/>
          <w:highlight w:val="none"/>
        </w:rPr>
      </w:pPr>
      <w:r>
        <w:rPr>
          <w:rFonts w:hint="eastAsia" w:ascii="宋体" w:hAnsi="宋体" w:eastAsia="宋体" w:cs="宋体"/>
          <w:color w:val="auto"/>
          <w:kern w:val="0"/>
          <w:szCs w:val="21"/>
          <w:highlight w:val="none"/>
        </w:rPr>
        <w:t>4. 如我方不按时、足额存入农民工工资保证金，采购人有权取消我方承包资格。</w:t>
      </w:r>
    </w:p>
    <w:p w14:paraId="07278ED7">
      <w:pPr>
        <w:pStyle w:val="22"/>
        <w:spacing w:line="360" w:lineRule="auto"/>
        <w:outlineLvl w:val="9"/>
        <w:rPr>
          <w:rFonts w:hint="eastAsia" w:ascii="宋体" w:hAnsi="宋体" w:eastAsia="宋体" w:cs="宋体"/>
          <w:b/>
          <w:color w:val="auto"/>
          <w:sz w:val="28"/>
          <w:szCs w:val="28"/>
          <w:highlight w:val="none"/>
        </w:rPr>
      </w:pPr>
    </w:p>
    <w:p w14:paraId="6FA37E26">
      <w:pPr>
        <w:spacing w:line="360" w:lineRule="auto"/>
        <w:ind w:left="420"/>
        <w:jc w:val="center"/>
        <w:outlineLvl w:val="9"/>
        <w:rPr>
          <w:rFonts w:hint="eastAsia" w:ascii="宋体" w:hAnsi="宋体" w:eastAsia="宋体" w:cs="宋体"/>
          <w:b/>
          <w:bCs/>
          <w:color w:val="auto"/>
          <w:sz w:val="32"/>
          <w:szCs w:val="32"/>
          <w:highlight w:val="none"/>
        </w:rPr>
      </w:pPr>
      <w:bookmarkStart w:id="485" w:name="_Toc9339"/>
      <w:bookmarkStart w:id="486" w:name="_Toc28672"/>
      <w:bookmarkStart w:id="487" w:name="_Toc497927084"/>
    </w:p>
    <w:p w14:paraId="7305CC21">
      <w:pPr>
        <w:spacing w:line="360" w:lineRule="auto"/>
        <w:ind w:left="420"/>
        <w:jc w:val="center"/>
        <w:outlineLvl w:val="9"/>
        <w:rPr>
          <w:rFonts w:hint="eastAsia" w:ascii="宋体" w:hAnsi="宋体" w:eastAsia="宋体" w:cs="宋体"/>
          <w:b/>
          <w:bCs/>
          <w:color w:val="auto"/>
          <w:sz w:val="32"/>
          <w:szCs w:val="32"/>
          <w:highlight w:val="none"/>
        </w:rPr>
      </w:pPr>
    </w:p>
    <w:p w14:paraId="2891834D">
      <w:pPr>
        <w:widowControl/>
        <w:spacing w:line="360" w:lineRule="auto"/>
        <w:ind w:firstLine="1470" w:firstLineChars="7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磋商供应商[公章(CA签章)，自然人签字或个人CA签章]：</w:t>
      </w:r>
      <w:r>
        <w:rPr>
          <w:rFonts w:hint="eastAsia" w:ascii="宋体" w:hAnsi="宋体" w:eastAsia="宋体" w:cs="宋体"/>
          <w:color w:val="auto"/>
          <w:szCs w:val="21"/>
          <w:highlight w:val="none"/>
          <w:u w:val="single"/>
        </w:rPr>
        <w:t xml:space="preserve">                                                       </w:t>
      </w:r>
    </w:p>
    <w:p w14:paraId="75B6C71B">
      <w:pPr>
        <w:pStyle w:val="22"/>
        <w:spacing w:line="360" w:lineRule="auto"/>
        <w:ind w:left="2940" w:leftChars="1400" w:firstLine="630" w:firstLineChars="300"/>
        <w:outlineLvl w:val="9"/>
        <w:rPr>
          <w:rFonts w:hint="eastAsia" w:ascii="宋体" w:hAnsi="宋体" w:eastAsia="宋体" w:cs="宋体"/>
          <w:color w:val="auto"/>
          <w:highlight w:val="none"/>
        </w:rPr>
      </w:pPr>
    </w:p>
    <w:p w14:paraId="334B4B9E">
      <w:pPr>
        <w:spacing w:line="360" w:lineRule="auto"/>
        <w:ind w:left="420"/>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p w14:paraId="7C2BCCFA">
      <w:pPr>
        <w:tabs>
          <w:tab w:val="left" w:pos="567"/>
        </w:tabs>
        <w:spacing w:line="360" w:lineRule="auto"/>
        <w:outlineLvl w:val="9"/>
        <w:rPr>
          <w:rFonts w:hint="eastAsia" w:ascii="宋体" w:hAnsi="宋体" w:eastAsia="宋体" w:cs="宋体"/>
          <w:color w:val="auto"/>
          <w:sz w:val="28"/>
          <w:szCs w:val="28"/>
          <w:highlight w:val="none"/>
        </w:rPr>
      </w:pPr>
    </w:p>
    <w:p w14:paraId="25439870">
      <w:pPr>
        <w:outlineLvl w:val="9"/>
        <w:rPr>
          <w:rFonts w:hint="eastAsia" w:ascii="宋体" w:hAnsi="宋体" w:eastAsia="宋体" w:cs="宋体"/>
          <w:color w:val="auto"/>
          <w:sz w:val="28"/>
          <w:szCs w:val="28"/>
          <w:highlight w:val="none"/>
        </w:rPr>
      </w:pPr>
    </w:p>
    <w:p w14:paraId="576DE086">
      <w:pPr>
        <w:rPr>
          <w:rFonts w:hint="eastAsia" w:ascii="宋体" w:hAnsi="宋体" w:cs="宋体"/>
          <w:b/>
          <w:bCs w:val="0"/>
          <w:color w:val="auto"/>
          <w:kern w:val="2"/>
          <w:sz w:val="28"/>
          <w:szCs w:val="28"/>
          <w:highlight w:val="none"/>
          <w:lang w:val="en-US" w:eastAsia="zh-CN" w:bidi="ar-SA"/>
        </w:rPr>
      </w:pPr>
      <w:bookmarkStart w:id="488" w:name="_Toc11659"/>
      <w:bookmarkStart w:id="489" w:name="_Toc21352"/>
      <w:bookmarkStart w:id="490" w:name="_Toc10529"/>
      <w:r>
        <w:rPr>
          <w:rFonts w:hint="eastAsia" w:ascii="宋体" w:hAnsi="宋体" w:cs="宋体"/>
          <w:b/>
          <w:bCs w:val="0"/>
          <w:color w:val="auto"/>
          <w:kern w:val="2"/>
          <w:sz w:val="28"/>
          <w:szCs w:val="28"/>
          <w:highlight w:val="none"/>
          <w:lang w:val="en-US" w:eastAsia="zh-CN" w:bidi="ar-SA"/>
        </w:rPr>
        <w:br w:type="page"/>
      </w:r>
    </w:p>
    <w:bookmarkEnd w:id="488"/>
    <w:bookmarkEnd w:id="489"/>
    <w:bookmarkEnd w:id="490"/>
    <w:p w14:paraId="3331849A">
      <w:pPr>
        <w:spacing w:line="360" w:lineRule="auto"/>
        <w:outlineLvl w:val="9"/>
        <w:rPr>
          <w:rFonts w:hint="eastAsia" w:ascii="宋体" w:hAnsi="宋体" w:eastAsia="宋体" w:cs="宋体"/>
          <w:color w:val="auto"/>
          <w:highlight w:val="none"/>
        </w:rPr>
      </w:pPr>
    </w:p>
    <w:p w14:paraId="37790D00">
      <w:pPr>
        <w:spacing w:line="360" w:lineRule="auto"/>
        <w:ind w:left="420"/>
        <w:jc w:val="center"/>
        <w:outlineLvl w:val="9"/>
        <w:rPr>
          <w:rFonts w:hint="eastAsia" w:ascii="宋体" w:hAnsi="宋体" w:eastAsia="宋体" w:cs="宋体"/>
          <w:color w:val="auto"/>
          <w:szCs w:val="21"/>
          <w:highlight w:val="none"/>
        </w:rPr>
      </w:pPr>
      <w:r>
        <w:rPr>
          <w:rFonts w:hint="eastAsia" w:ascii="宋体" w:hAnsi="宋体" w:eastAsia="宋体" w:cs="宋体"/>
          <w:b/>
          <w:bCs/>
          <w:color w:val="auto"/>
          <w:sz w:val="32"/>
          <w:szCs w:val="32"/>
          <w:highlight w:val="none"/>
        </w:rPr>
        <w:t>（三）其他有效证明材料目录</w:t>
      </w:r>
      <w:bookmarkEnd w:id="485"/>
      <w:bookmarkEnd w:id="486"/>
      <w:bookmarkEnd w:id="487"/>
    </w:p>
    <w:p w14:paraId="5859A829">
      <w:pPr>
        <w:pageBreakBefore w:val="0"/>
        <w:widowControl w:val="0"/>
        <w:kinsoku/>
        <w:wordWrap/>
        <w:overflowPunct/>
        <w:topLinePunct w:val="0"/>
        <w:bidi w:val="0"/>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供应商20</w:t>
      </w:r>
      <w:r>
        <w:rPr>
          <w:rFonts w:hint="eastAsia" w:ascii="宋体" w:hAnsi="宋体" w:eastAsia="宋体" w:cs="宋体"/>
          <w:color w:val="auto"/>
          <w:szCs w:val="21"/>
          <w:highlight w:val="none"/>
          <w:lang w:val="en-US" w:eastAsia="zh-CN"/>
        </w:rPr>
        <w:t>2</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eastAsia="zh-CN"/>
        </w:rPr>
        <w:t>年1月1日以来具有水利工程相关类似</w:t>
      </w:r>
      <w:r>
        <w:rPr>
          <w:rFonts w:hint="eastAsia" w:ascii="宋体" w:hAnsi="宋体" w:eastAsia="宋体" w:cs="宋体"/>
          <w:color w:val="auto"/>
          <w:szCs w:val="21"/>
          <w:highlight w:val="none"/>
        </w:rPr>
        <w:t>业绩相关证明材料（无不良记录，以中标、成交通知书或签订的合同为准，并能清晰反映</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的名称、</w:t>
      </w:r>
      <w:r>
        <w:rPr>
          <w:rFonts w:hint="eastAsia" w:ascii="宋体" w:hAnsi="宋体" w:eastAsia="宋体" w:cs="宋体"/>
          <w:color w:val="auto"/>
          <w:szCs w:val="21"/>
          <w:highlight w:val="none"/>
          <w:lang w:eastAsia="zh-CN"/>
        </w:rPr>
        <w:t>采购内容</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金额</w:t>
      </w:r>
      <w:r>
        <w:rPr>
          <w:rFonts w:hint="eastAsia" w:ascii="宋体" w:hAnsi="宋体" w:eastAsia="宋体" w:cs="宋体"/>
          <w:color w:val="auto"/>
          <w:szCs w:val="21"/>
          <w:highlight w:val="none"/>
          <w:lang w:eastAsia="zh-CN"/>
        </w:rPr>
        <w:t>、采购时间</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（如有，请提供）；</w:t>
      </w:r>
      <w:r>
        <w:rPr>
          <w:rFonts w:hint="eastAsia" w:ascii="宋体" w:hAnsi="宋体" w:eastAsia="宋体" w:cs="宋体"/>
          <w:b/>
          <w:bCs/>
          <w:color w:val="auto"/>
          <w:szCs w:val="21"/>
          <w:highlight w:val="none"/>
          <w:lang w:val="en-US" w:eastAsia="zh-CN"/>
        </w:rPr>
        <w:t xml:space="preserve"> </w:t>
      </w:r>
    </w:p>
    <w:p w14:paraId="2C2A021F">
      <w:pPr>
        <w:spacing w:line="360" w:lineRule="auto"/>
        <w:ind w:firstLine="420" w:firstLineChars="200"/>
        <w:outlineLvl w:val="9"/>
        <w:rPr>
          <w:rFonts w:hint="eastAsia" w:ascii="宋体" w:hAnsi="宋体" w:eastAsia="宋体" w:cs="宋体"/>
          <w:color w:val="auto"/>
          <w:szCs w:val="21"/>
          <w:highlight w:val="none"/>
        </w:rPr>
      </w:pPr>
    </w:p>
    <w:p w14:paraId="3B14BE45">
      <w:pPr>
        <w:spacing w:line="360" w:lineRule="auto"/>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2.供应商可结合本项目的评审办法视自身情况自行提交其它相关证明材料。</w:t>
      </w:r>
    </w:p>
    <w:p w14:paraId="6281D9F3">
      <w:pPr>
        <w:spacing w:line="360" w:lineRule="auto"/>
        <w:ind w:firstLine="480" w:firstLineChars="200"/>
        <w:outlineLvl w:val="9"/>
        <w:rPr>
          <w:rFonts w:hint="eastAsia" w:ascii="宋体" w:hAnsi="宋体" w:eastAsia="宋体" w:cs="宋体"/>
          <w:color w:val="auto"/>
          <w:sz w:val="24"/>
          <w:highlight w:val="none"/>
        </w:rPr>
      </w:pPr>
    </w:p>
    <w:p w14:paraId="60275C9F">
      <w:pPr>
        <w:pStyle w:val="82"/>
        <w:spacing w:line="360" w:lineRule="auto"/>
        <w:outlineLvl w:val="9"/>
        <w:rPr>
          <w:rFonts w:hint="eastAsia" w:ascii="宋体" w:hAnsi="宋体" w:eastAsia="宋体" w:cs="宋体"/>
          <w:b/>
          <w:bCs/>
          <w:color w:val="auto"/>
          <w:highlight w:val="none"/>
        </w:rPr>
      </w:pPr>
    </w:p>
    <w:p w14:paraId="2C8CE949">
      <w:pPr>
        <w:pStyle w:val="82"/>
        <w:spacing w:line="360" w:lineRule="auto"/>
        <w:outlineLvl w:val="9"/>
        <w:rPr>
          <w:rFonts w:hint="eastAsia" w:ascii="宋体" w:hAnsi="宋体" w:eastAsia="宋体" w:cs="宋体"/>
          <w:b/>
          <w:bCs/>
          <w:color w:val="auto"/>
          <w:highlight w:val="none"/>
        </w:rPr>
      </w:pPr>
    </w:p>
    <w:p w14:paraId="7B255DBE">
      <w:pPr>
        <w:pStyle w:val="82"/>
        <w:spacing w:line="360" w:lineRule="auto"/>
        <w:outlineLvl w:val="9"/>
        <w:rPr>
          <w:rFonts w:hint="eastAsia" w:ascii="宋体" w:hAnsi="宋体" w:eastAsia="宋体" w:cs="宋体"/>
          <w:b/>
          <w:bCs/>
          <w:color w:val="auto"/>
          <w:highlight w:val="none"/>
        </w:rPr>
      </w:pPr>
    </w:p>
    <w:p w14:paraId="5CB23887">
      <w:pPr>
        <w:pStyle w:val="82"/>
        <w:spacing w:line="360" w:lineRule="auto"/>
        <w:outlineLvl w:val="9"/>
        <w:rPr>
          <w:rFonts w:hint="eastAsia" w:ascii="宋体" w:hAnsi="宋体" w:eastAsia="宋体" w:cs="宋体"/>
          <w:b/>
          <w:bCs/>
          <w:color w:val="auto"/>
          <w:highlight w:val="none"/>
        </w:rPr>
      </w:pPr>
    </w:p>
    <w:p w14:paraId="0B964114">
      <w:pPr>
        <w:pStyle w:val="82"/>
        <w:spacing w:line="360" w:lineRule="auto"/>
        <w:outlineLvl w:val="9"/>
        <w:rPr>
          <w:rFonts w:hint="eastAsia" w:ascii="宋体" w:hAnsi="宋体" w:eastAsia="宋体" w:cs="宋体"/>
          <w:b/>
          <w:bCs/>
          <w:color w:val="auto"/>
          <w:highlight w:val="none"/>
        </w:rPr>
      </w:pPr>
    </w:p>
    <w:p w14:paraId="57E93BB0">
      <w:pPr>
        <w:pStyle w:val="82"/>
        <w:spacing w:line="360" w:lineRule="auto"/>
        <w:outlineLvl w:val="9"/>
        <w:rPr>
          <w:rFonts w:hint="eastAsia" w:ascii="宋体" w:hAnsi="宋体" w:eastAsia="宋体" w:cs="宋体"/>
          <w:b/>
          <w:bCs/>
          <w:color w:val="auto"/>
          <w:highlight w:val="none"/>
        </w:rPr>
      </w:pPr>
    </w:p>
    <w:p w14:paraId="523F0D8A">
      <w:pPr>
        <w:pStyle w:val="82"/>
        <w:spacing w:line="360" w:lineRule="auto"/>
        <w:outlineLvl w:val="9"/>
        <w:rPr>
          <w:rFonts w:hint="eastAsia" w:ascii="宋体" w:hAnsi="宋体" w:eastAsia="宋体" w:cs="宋体"/>
          <w:b/>
          <w:bCs/>
          <w:color w:val="auto"/>
          <w:highlight w:val="none"/>
        </w:rPr>
      </w:pPr>
    </w:p>
    <w:p w14:paraId="57795704">
      <w:pPr>
        <w:pStyle w:val="82"/>
        <w:spacing w:line="360" w:lineRule="auto"/>
        <w:outlineLvl w:val="9"/>
        <w:rPr>
          <w:rFonts w:hint="eastAsia" w:ascii="宋体" w:hAnsi="宋体" w:eastAsia="宋体" w:cs="宋体"/>
          <w:b/>
          <w:bCs/>
          <w:color w:val="auto"/>
          <w:highlight w:val="none"/>
        </w:rPr>
      </w:pPr>
    </w:p>
    <w:p w14:paraId="705C1A72">
      <w:pPr>
        <w:pStyle w:val="82"/>
        <w:spacing w:line="360" w:lineRule="auto"/>
        <w:outlineLvl w:val="9"/>
        <w:rPr>
          <w:rFonts w:hint="eastAsia" w:ascii="宋体" w:hAnsi="宋体" w:eastAsia="宋体" w:cs="宋体"/>
          <w:b/>
          <w:bCs/>
          <w:color w:val="auto"/>
          <w:highlight w:val="none"/>
        </w:rPr>
      </w:pPr>
    </w:p>
    <w:p w14:paraId="72C2430A">
      <w:pPr>
        <w:pStyle w:val="82"/>
        <w:spacing w:line="360" w:lineRule="auto"/>
        <w:outlineLvl w:val="9"/>
        <w:rPr>
          <w:rFonts w:hint="eastAsia" w:ascii="宋体" w:hAnsi="宋体" w:eastAsia="宋体" w:cs="宋体"/>
          <w:b/>
          <w:bCs/>
          <w:color w:val="auto"/>
          <w:highlight w:val="none"/>
        </w:rPr>
      </w:pPr>
    </w:p>
    <w:p w14:paraId="468E6623">
      <w:pPr>
        <w:pStyle w:val="82"/>
        <w:spacing w:line="360" w:lineRule="auto"/>
        <w:outlineLvl w:val="9"/>
        <w:rPr>
          <w:rFonts w:hint="eastAsia" w:ascii="宋体" w:hAnsi="宋体" w:eastAsia="宋体" w:cs="宋体"/>
          <w:b/>
          <w:bCs/>
          <w:color w:val="auto"/>
          <w:highlight w:val="none"/>
        </w:rPr>
      </w:pPr>
    </w:p>
    <w:p w14:paraId="5738C8FF">
      <w:pPr>
        <w:pStyle w:val="82"/>
        <w:spacing w:line="360" w:lineRule="auto"/>
        <w:outlineLvl w:val="9"/>
        <w:rPr>
          <w:rFonts w:hint="eastAsia" w:ascii="宋体" w:hAnsi="宋体" w:eastAsia="宋体" w:cs="宋体"/>
          <w:b/>
          <w:bCs/>
          <w:color w:val="auto"/>
          <w:highlight w:val="none"/>
        </w:rPr>
      </w:pPr>
    </w:p>
    <w:p w14:paraId="5EC6F203">
      <w:pPr>
        <w:pStyle w:val="82"/>
        <w:spacing w:line="360" w:lineRule="auto"/>
        <w:outlineLvl w:val="9"/>
        <w:rPr>
          <w:rFonts w:hint="eastAsia" w:ascii="宋体" w:hAnsi="宋体" w:eastAsia="宋体" w:cs="宋体"/>
          <w:b/>
          <w:bCs/>
          <w:color w:val="auto"/>
          <w:highlight w:val="none"/>
        </w:rPr>
      </w:pPr>
    </w:p>
    <w:p w14:paraId="5E52E794">
      <w:pPr>
        <w:pStyle w:val="82"/>
        <w:spacing w:line="360" w:lineRule="auto"/>
        <w:outlineLvl w:val="9"/>
        <w:rPr>
          <w:rFonts w:hint="eastAsia" w:ascii="宋体" w:hAnsi="宋体" w:eastAsia="宋体" w:cs="宋体"/>
          <w:b/>
          <w:bCs/>
          <w:color w:val="auto"/>
          <w:highlight w:val="none"/>
        </w:rPr>
      </w:pPr>
    </w:p>
    <w:p w14:paraId="65628321">
      <w:pPr>
        <w:pStyle w:val="82"/>
        <w:spacing w:line="360" w:lineRule="auto"/>
        <w:outlineLvl w:val="9"/>
        <w:rPr>
          <w:rFonts w:hint="eastAsia" w:ascii="宋体" w:hAnsi="宋体" w:eastAsia="宋体" w:cs="宋体"/>
          <w:b/>
          <w:bCs/>
          <w:color w:val="auto"/>
          <w:highlight w:val="none"/>
        </w:rPr>
      </w:pPr>
    </w:p>
    <w:p w14:paraId="5A2EBB06">
      <w:pPr>
        <w:pStyle w:val="82"/>
        <w:spacing w:line="360" w:lineRule="auto"/>
        <w:outlineLvl w:val="9"/>
        <w:rPr>
          <w:rFonts w:hint="eastAsia" w:ascii="宋体" w:hAnsi="宋体" w:eastAsia="宋体" w:cs="宋体"/>
          <w:b/>
          <w:bCs/>
          <w:color w:val="auto"/>
          <w:highlight w:val="none"/>
        </w:rPr>
      </w:pPr>
    </w:p>
    <w:p w14:paraId="70A6634B">
      <w:pPr>
        <w:pStyle w:val="82"/>
        <w:spacing w:line="360" w:lineRule="auto"/>
        <w:outlineLvl w:val="9"/>
        <w:rPr>
          <w:rFonts w:hint="eastAsia" w:ascii="宋体" w:hAnsi="宋体" w:eastAsia="宋体" w:cs="宋体"/>
          <w:b/>
          <w:bCs/>
          <w:color w:val="auto"/>
          <w:highlight w:val="none"/>
        </w:rPr>
      </w:pPr>
    </w:p>
    <w:p w14:paraId="1A5AD570">
      <w:pPr>
        <w:pStyle w:val="82"/>
        <w:spacing w:line="360" w:lineRule="auto"/>
        <w:outlineLvl w:val="9"/>
        <w:rPr>
          <w:rFonts w:hint="eastAsia" w:ascii="宋体" w:hAnsi="宋体" w:eastAsia="宋体" w:cs="宋体"/>
          <w:b/>
          <w:bCs/>
          <w:color w:val="auto"/>
          <w:highlight w:val="none"/>
        </w:rPr>
      </w:pPr>
    </w:p>
    <w:p w14:paraId="6084F44E">
      <w:pPr>
        <w:pStyle w:val="82"/>
        <w:spacing w:line="360" w:lineRule="auto"/>
        <w:outlineLvl w:val="9"/>
        <w:rPr>
          <w:rFonts w:hint="eastAsia" w:ascii="宋体" w:hAnsi="宋体" w:eastAsia="宋体" w:cs="宋体"/>
          <w:b/>
          <w:bCs/>
          <w:color w:val="auto"/>
          <w:highlight w:val="none"/>
        </w:rPr>
      </w:pPr>
    </w:p>
    <w:p w14:paraId="2DE19C27">
      <w:pPr>
        <w:pStyle w:val="82"/>
        <w:spacing w:line="360" w:lineRule="auto"/>
        <w:outlineLvl w:val="9"/>
        <w:rPr>
          <w:rFonts w:hint="eastAsia" w:ascii="宋体" w:hAnsi="宋体" w:eastAsia="宋体" w:cs="宋体"/>
          <w:b/>
          <w:bCs/>
          <w:color w:val="auto"/>
          <w:highlight w:val="none"/>
        </w:rPr>
      </w:pPr>
    </w:p>
    <w:p w14:paraId="241334B5">
      <w:pPr>
        <w:pStyle w:val="82"/>
        <w:spacing w:line="360" w:lineRule="auto"/>
        <w:outlineLvl w:val="9"/>
        <w:rPr>
          <w:rFonts w:hint="eastAsia" w:ascii="宋体" w:hAnsi="宋体" w:eastAsia="宋体" w:cs="宋体"/>
          <w:b/>
          <w:bCs/>
          <w:color w:val="auto"/>
          <w:highlight w:val="none"/>
        </w:rPr>
      </w:pPr>
    </w:p>
    <w:p w14:paraId="52D7B36B">
      <w:pPr>
        <w:pStyle w:val="82"/>
        <w:spacing w:line="360" w:lineRule="auto"/>
        <w:outlineLvl w:val="9"/>
        <w:rPr>
          <w:rFonts w:hint="eastAsia" w:ascii="宋体" w:hAnsi="宋体" w:eastAsia="宋体" w:cs="宋体"/>
          <w:b/>
          <w:bCs/>
          <w:color w:val="auto"/>
          <w:highlight w:val="none"/>
        </w:rPr>
      </w:pPr>
    </w:p>
    <w:p w14:paraId="301C60E3">
      <w:pPr>
        <w:pageBreakBefore w:val="0"/>
        <w:widowControl w:val="0"/>
        <w:kinsoku/>
        <w:wordWrap/>
        <w:overflowPunct/>
        <w:topLinePunct w:val="0"/>
        <w:bidi w:val="0"/>
        <w:spacing w:line="360" w:lineRule="auto"/>
        <w:textAlignment w:val="auto"/>
        <w:outlineLvl w:val="9"/>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1.</w:t>
      </w:r>
      <w:r>
        <w:rPr>
          <w:rFonts w:hint="eastAsia" w:ascii="宋体" w:hAnsi="宋体" w:eastAsia="宋体" w:cs="宋体"/>
          <w:b/>
          <w:bCs/>
          <w:color w:val="auto"/>
          <w:sz w:val="28"/>
          <w:szCs w:val="28"/>
          <w:highlight w:val="none"/>
          <w:lang w:eastAsia="zh-CN"/>
        </w:rPr>
        <w:t>供应商20</w:t>
      </w:r>
      <w:r>
        <w:rPr>
          <w:rFonts w:hint="eastAsia" w:ascii="宋体" w:hAnsi="宋体" w:eastAsia="宋体" w:cs="宋体"/>
          <w:b/>
          <w:bCs/>
          <w:color w:val="auto"/>
          <w:sz w:val="28"/>
          <w:szCs w:val="28"/>
          <w:highlight w:val="none"/>
          <w:lang w:val="en-US" w:eastAsia="zh-CN"/>
        </w:rPr>
        <w:t>2</w:t>
      </w:r>
      <w:r>
        <w:rPr>
          <w:rFonts w:hint="eastAsia" w:ascii="宋体" w:hAnsi="宋体" w:cs="宋体"/>
          <w:b/>
          <w:bCs/>
          <w:color w:val="auto"/>
          <w:sz w:val="28"/>
          <w:szCs w:val="28"/>
          <w:highlight w:val="none"/>
          <w:lang w:val="en-US" w:eastAsia="zh-CN"/>
        </w:rPr>
        <w:t>3</w:t>
      </w:r>
      <w:r>
        <w:rPr>
          <w:rFonts w:hint="eastAsia" w:ascii="宋体" w:hAnsi="宋体" w:eastAsia="宋体" w:cs="宋体"/>
          <w:b/>
          <w:bCs/>
          <w:color w:val="auto"/>
          <w:sz w:val="28"/>
          <w:szCs w:val="28"/>
          <w:highlight w:val="none"/>
          <w:lang w:eastAsia="zh-CN"/>
        </w:rPr>
        <w:t>年1月1日以来具有水利工程相关类似</w:t>
      </w:r>
      <w:r>
        <w:rPr>
          <w:rFonts w:hint="eastAsia" w:ascii="宋体" w:hAnsi="宋体" w:eastAsia="宋体" w:cs="宋体"/>
          <w:b/>
          <w:bCs/>
          <w:color w:val="auto"/>
          <w:sz w:val="28"/>
          <w:szCs w:val="28"/>
          <w:highlight w:val="none"/>
        </w:rPr>
        <w:t>业绩相关证明材料（无不良记录，以中标、成交通知书或签订的合同为准，并能清晰反映</w:t>
      </w:r>
      <w:r>
        <w:rPr>
          <w:rFonts w:hint="eastAsia" w:ascii="宋体" w:hAnsi="宋体" w:eastAsia="宋体" w:cs="宋体"/>
          <w:b/>
          <w:bCs/>
          <w:color w:val="auto"/>
          <w:sz w:val="28"/>
          <w:szCs w:val="28"/>
          <w:highlight w:val="none"/>
          <w:lang w:eastAsia="zh-CN"/>
        </w:rPr>
        <w:t>项目</w:t>
      </w:r>
      <w:r>
        <w:rPr>
          <w:rFonts w:hint="eastAsia" w:ascii="宋体" w:hAnsi="宋体" w:eastAsia="宋体" w:cs="宋体"/>
          <w:b/>
          <w:bCs/>
          <w:color w:val="auto"/>
          <w:sz w:val="28"/>
          <w:szCs w:val="28"/>
          <w:highlight w:val="none"/>
        </w:rPr>
        <w:t>的名称、</w:t>
      </w:r>
      <w:r>
        <w:rPr>
          <w:rFonts w:hint="eastAsia" w:ascii="宋体" w:hAnsi="宋体" w:eastAsia="宋体" w:cs="宋体"/>
          <w:b/>
          <w:bCs/>
          <w:color w:val="auto"/>
          <w:sz w:val="28"/>
          <w:szCs w:val="28"/>
          <w:highlight w:val="none"/>
          <w:lang w:eastAsia="zh-CN"/>
        </w:rPr>
        <w:t>采购内容</w:t>
      </w:r>
      <w:r>
        <w:rPr>
          <w:rFonts w:hint="eastAsia" w:ascii="宋体" w:hAnsi="宋体" w:eastAsia="宋体" w:cs="宋体"/>
          <w:b/>
          <w:bCs/>
          <w:color w:val="auto"/>
          <w:sz w:val="28"/>
          <w:szCs w:val="28"/>
          <w:highlight w:val="none"/>
        </w:rPr>
        <w:t>、</w:t>
      </w:r>
      <w:r>
        <w:rPr>
          <w:rFonts w:hint="eastAsia" w:ascii="宋体" w:hAnsi="宋体" w:eastAsia="宋体" w:cs="宋体"/>
          <w:b/>
          <w:bCs/>
          <w:color w:val="auto"/>
          <w:sz w:val="28"/>
          <w:szCs w:val="28"/>
          <w:highlight w:val="none"/>
          <w:lang w:eastAsia="zh-CN"/>
        </w:rPr>
        <w:t>采购</w:t>
      </w:r>
      <w:r>
        <w:rPr>
          <w:rFonts w:hint="eastAsia" w:ascii="宋体" w:hAnsi="宋体" w:eastAsia="宋体" w:cs="宋体"/>
          <w:b/>
          <w:bCs/>
          <w:color w:val="auto"/>
          <w:sz w:val="28"/>
          <w:szCs w:val="28"/>
          <w:highlight w:val="none"/>
        </w:rPr>
        <w:t>金额</w:t>
      </w:r>
      <w:r>
        <w:rPr>
          <w:rFonts w:hint="eastAsia" w:ascii="宋体" w:hAnsi="宋体" w:eastAsia="宋体" w:cs="宋体"/>
          <w:b/>
          <w:bCs/>
          <w:color w:val="auto"/>
          <w:sz w:val="28"/>
          <w:szCs w:val="28"/>
          <w:highlight w:val="none"/>
          <w:lang w:eastAsia="zh-CN"/>
        </w:rPr>
        <w:t>、采购时间</w:t>
      </w:r>
      <w:r>
        <w:rPr>
          <w:rFonts w:hint="eastAsia" w:ascii="宋体" w:hAnsi="宋体" w:eastAsia="宋体" w:cs="宋体"/>
          <w:b/>
          <w:bCs/>
          <w:color w:val="auto"/>
          <w:sz w:val="28"/>
          <w:szCs w:val="28"/>
          <w:highlight w:val="none"/>
        </w:rPr>
        <w:t>）（如有，请提供）；</w:t>
      </w:r>
      <w:r>
        <w:rPr>
          <w:rFonts w:hint="eastAsia" w:ascii="宋体" w:hAnsi="宋体" w:eastAsia="宋体" w:cs="宋体"/>
          <w:b/>
          <w:bCs/>
          <w:color w:val="auto"/>
          <w:sz w:val="28"/>
          <w:szCs w:val="28"/>
          <w:highlight w:val="none"/>
          <w:lang w:val="en-US" w:eastAsia="zh-CN"/>
        </w:rPr>
        <w:t xml:space="preserve"> </w:t>
      </w:r>
    </w:p>
    <w:p w14:paraId="50B9EB66">
      <w:pPr>
        <w:spacing w:line="360" w:lineRule="auto"/>
        <w:outlineLvl w:val="9"/>
        <w:rPr>
          <w:rFonts w:hint="eastAsia" w:ascii="宋体" w:hAnsi="宋体" w:eastAsia="宋体" w:cs="宋体"/>
          <w:b/>
          <w:bCs/>
          <w:iCs/>
          <w:color w:val="auto"/>
          <w:sz w:val="28"/>
          <w:szCs w:val="28"/>
          <w:highlight w:val="none"/>
          <w:lang w:val="en-US" w:eastAsia="zh-CN"/>
        </w:rPr>
      </w:pPr>
    </w:p>
    <w:p w14:paraId="19BC4CA7">
      <w:pPr>
        <w:spacing w:line="360" w:lineRule="auto"/>
        <w:outlineLvl w:val="9"/>
        <w:rPr>
          <w:rFonts w:hint="eastAsia" w:ascii="宋体" w:hAnsi="宋体" w:eastAsia="宋体" w:cs="宋体"/>
          <w:b/>
          <w:bCs/>
          <w:iCs/>
          <w:color w:val="auto"/>
          <w:sz w:val="28"/>
          <w:szCs w:val="28"/>
          <w:highlight w:val="none"/>
          <w:lang w:val="en-US" w:eastAsia="zh-CN"/>
        </w:rPr>
      </w:pPr>
    </w:p>
    <w:p w14:paraId="0FEC26DD">
      <w:pPr>
        <w:spacing w:line="360" w:lineRule="auto"/>
        <w:outlineLvl w:val="9"/>
        <w:rPr>
          <w:rFonts w:hint="eastAsia" w:ascii="宋体" w:hAnsi="宋体" w:eastAsia="宋体" w:cs="宋体"/>
          <w:b/>
          <w:bCs/>
          <w:iCs/>
          <w:color w:val="auto"/>
          <w:sz w:val="28"/>
          <w:szCs w:val="28"/>
          <w:highlight w:val="none"/>
          <w:lang w:val="en-US" w:eastAsia="zh-CN"/>
        </w:rPr>
      </w:pPr>
    </w:p>
    <w:p w14:paraId="33461C35">
      <w:pPr>
        <w:spacing w:line="360" w:lineRule="auto"/>
        <w:outlineLvl w:val="9"/>
        <w:rPr>
          <w:rFonts w:hint="eastAsia" w:ascii="宋体" w:hAnsi="宋体" w:eastAsia="宋体" w:cs="宋体"/>
          <w:b/>
          <w:bCs/>
          <w:iCs/>
          <w:color w:val="auto"/>
          <w:sz w:val="28"/>
          <w:szCs w:val="28"/>
          <w:highlight w:val="none"/>
          <w:lang w:val="en-US" w:eastAsia="zh-CN"/>
        </w:rPr>
      </w:pPr>
    </w:p>
    <w:p w14:paraId="58786B35">
      <w:pPr>
        <w:spacing w:line="360" w:lineRule="auto"/>
        <w:outlineLvl w:val="9"/>
        <w:rPr>
          <w:rFonts w:hint="eastAsia" w:ascii="宋体" w:hAnsi="宋体" w:eastAsia="宋体" w:cs="宋体"/>
          <w:b/>
          <w:bCs/>
          <w:iCs/>
          <w:color w:val="auto"/>
          <w:sz w:val="28"/>
          <w:szCs w:val="28"/>
          <w:highlight w:val="none"/>
        </w:rPr>
      </w:pPr>
      <w:r>
        <w:rPr>
          <w:rFonts w:hint="eastAsia" w:ascii="宋体" w:hAnsi="宋体" w:eastAsia="宋体" w:cs="宋体"/>
          <w:b/>
          <w:bCs/>
          <w:iCs/>
          <w:color w:val="auto"/>
          <w:sz w:val="28"/>
          <w:szCs w:val="28"/>
          <w:highlight w:val="none"/>
          <w:lang w:val="en-US" w:eastAsia="zh-CN"/>
        </w:rPr>
        <w:t>2</w:t>
      </w:r>
      <w:r>
        <w:rPr>
          <w:rFonts w:hint="eastAsia" w:ascii="宋体" w:hAnsi="宋体" w:eastAsia="宋体" w:cs="宋体"/>
          <w:b/>
          <w:bCs/>
          <w:iCs/>
          <w:color w:val="auto"/>
          <w:sz w:val="28"/>
          <w:szCs w:val="28"/>
          <w:highlight w:val="none"/>
        </w:rPr>
        <w:t>.供应商可结合本项目自身情况自行提交其它相关证明材料。</w:t>
      </w:r>
    </w:p>
    <w:p w14:paraId="2650F2F2">
      <w:pPr>
        <w:spacing w:line="360" w:lineRule="auto"/>
        <w:outlineLvl w:val="9"/>
        <w:rPr>
          <w:rFonts w:hint="eastAsia" w:ascii="宋体" w:hAnsi="宋体" w:eastAsia="宋体" w:cs="宋体"/>
          <w:color w:val="auto"/>
          <w:highlight w:val="none"/>
        </w:rPr>
      </w:pPr>
    </w:p>
    <w:p w14:paraId="3F39CDAC">
      <w:pPr>
        <w:spacing w:line="360" w:lineRule="auto"/>
        <w:outlineLvl w:val="9"/>
        <w:rPr>
          <w:rFonts w:hint="eastAsia" w:ascii="宋体" w:hAnsi="宋体" w:eastAsia="宋体" w:cs="宋体"/>
          <w:color w:val="auto"/>
          <w:highlight w:val="none"/>
        </w:rPr>
      </w:pPr>
    </w:p>
    <w:p w14:paraId="7EB54194">
      <w:pPr>
        <w:spacing w:line="360" w:lineRule="auto"/>
        <w:jc w:val="center"/>
        <w:outlineLvl w:val="9"/>
        <w:rPr>
          <w:rFonts w:hint="eastAsia" w:ascii="宋体" w:hAnsi="宋体" w:eastAsia="宋体" w:cs="宋体"/>
          <w:color w:val="auto"/>
          <w:highlight w:val="none"/>
        </w:rPr>
      </w:pPr>
    </w:p>
    <w:p w14:paraId="2E9251C4">
      <w:pPr>
        <w:outlineLvl w:val="9"/>
        <w:rPr>
          <w:rFonts w:hint="eastAsia" w:ascii="宋体" w:hAnsi="宋体" w:eastAsia="宋体" w:cs="宋体"/>
          <w:color w:val="auto"/>
          <w:highlight w:val="none"/>
        </w:rPr>
      </w:pPr>
    </w:p>
    <w:p w14:paraId="64D7FBD2">
      <w:pPr>
        <w:outlineLvl w:val="9"/>
        <w:rPr>
          <w:rFonts w:hint="eastAsia" w:ascii="宋体" w:hAnsi="宋体" w:eastAsia="宋体" w:cs="宋体"/>
          <w:color w:val="auto"/>
          <w:highlight w:val="none"/>
        </w:rPr>
      </w:pPr>
    </w:p>
    <w:p w14:paraId="7B957DDE">
      <w:pPr>
        <w:outlineLvl w:val="9"/>
        <w:rPr>
          <w:rFonts w:hint="eastAsia" w:ascii="宋体" w:hAnsi="宋体" w:eastAsia="宋体" w:cs="宋体"/>
          <w:color w:val="auto"/>
          <w:highlight w:val="none"/>
        </w:rPr>
      </w:pPr>
    </w:p>
    <w:p w14:paraId="3F919151">
      <w:pPr>
        <w:outlineLvl w:val="9"/>
        <w:rPr>
          <w:rFonts w:hint="eastAsia" w:ascii="宋体" w:hAnsi="宋体" w:eastAsia="宋体" w:cs="宋体"/>
          <w:color w:val="auto"/>
          <w:highlight w:val="none"/>
        </w:rPr>
      </w:pPr>
    </w:p>
    <w:p w14:paraId="46E76404">
      <w:pPr>
        <w:outlineLvl w:val="9"/>
        <w:rPr>
          <w:rFonts w:hint="eastAsia" w:ascii="宋体" w:hAnsi="宋体" w:eastAsia="宋体" w:cs="宋体"/>
          <w:color w:val="auto"/>
          <w:highlight w:val="none"/>
        </w:rPr>
      </w:pPr>
    </w:p>
    <w:p w14:paraId="53C704BE">
      <w:pPr>
        <w:outlineLvl w:val="9"/>
        <w:rPr>
          <w:rFonts w:hint="eastAsia" w:ascii="宋体" w:hAnsi="宋体" w:eastAsia="宋体" w:cs="宋体"/>
          <w:color w:val="auto"/>
          <w:highlight w:val="none"/>
        </w:rPr>
      </w:pPr>
    </w:p>
    <w:p w14:paraId="775B26D4">
      <w:pPr>
        <w:outlineLvl w:val="9"/>
        <w:rPr>
          <w:rFonts w:hint="eastAsia" w:ascii="宋体" w:hAnsi="宋体" w:eastAsia="宋体" w:cs="宋体"/>
          <w:color w:val="auto"/>
          <w:highlight w:val="none"/>
        </w:rPr>
      </w:pPr>
    </w:p>
    <w:p w14:paraId="73FD799B">
      <w:pPr>
        <w:outlineLvl w:val="9"/>
        <w:rPr>
          <w:rFonts w:hint="eastAsia" w:ascii="宋体" w:hAnsi="宋体" w:eastAsia="宋体" w:cs="宋体"/>
          <w:color w:val="auto"/>
          <w:highlight w:val="none"/>
        </w:rPr>
      </w:pPr>
    </w:p>
    <w:p w14:paraId="0ABCDF43">
      <w:pPr>
        <w:outlineLvl w:val="9"/>
        <w:rPr>
          <w:rFonts w:hint="eastAsia" w:ascii="宋体" w:hAnsi="宋体" w:eastAsia="宋体" w:cs="宋体"/>
          <w:color w:val="auto"/>
          <w:highlight w:val="none"/>
        </w:rPr>
      </w:pPr>
    </w:p>
    <w:p w14:paraId="21D0914D">
      <w:pPr>
        <w:outlineLvl w:val="9"/>
        <w:rPr>
          <w:rFonts w:hint="eastAsia" w:ascii="宋体" w:hAnsi="宋体" w:eastAsia="宋体" w:cs="宋体"/>
          <w:color w:val="auto"/>
          <w:highlight w:val="none"/>
        </w:rPr>
      </w:pPr>
    </w:p>
    <w:p w14:paraId="2B5BD7A8">
      <w:pPr>
        <w:outlineLvl w:val="9"/>
        <w:rPr>
          <w:rFonts w:hint="eastAsia" w:ascii="宋体" w:hAnsi="宋体" w:eastAsia="宋体" w:cs="宋体"/>
          <w:color w:val="auto"/>
          <w:highlight w:val="none"/>
        </w:rPr>
      </w:pPr>
    </w:p>
    <w:p w14:paraId="55A0ED07">
      <w:pPr>
        <w:outlineLvl w:val="9"/>
        <w:rPr>
          <w:rFonts w:hint="eastAsia" w:ascii="宋体" w:hAnsi="宋体" w:eastAsia="宋体" w:cs="宋体"/>
          <w:color w:val="auto"/>
          <w:highlight w:val="none"/>
        </w:rPr>
      </w:pPr>
    </w:p>
    <w:p w14:paraId="7CF669BC">
      <w:pPr>
        <w:outlineLvl w:val="9"/>
        <w:rPr>
          <w:rFonts w:hint="eastAsia" w:ascii="宋体" w:hAnsi="宋体" w:eastAsia="宋体" w:cs="宋体"/>
          <w:color w:val="auto"/>
          <w:highlight w:val="none"/>
        </w:rPr>
      </w:pPr>
    </w:p>
    <w:p w14:paraId="7E95FB00">
      <w:pPr>
        <w:outlineLvl w:val="9"/>
        <w:rPr>
          <w:rFonts w:hint="eastAsia" w:ascii="宋体" w:hAnsi="宋体" w:eastAsia="宋体" w:cs="宋体"/>
          <w:color w:val="auto"/>
          <w:highlight w:val="none"/>
        </w:rPr>
      </w:pPr>
    </w:p>
    <w:p w14:paraId="4F0A7E15">
      <w:pPr>
        <w:outlineLvl w:val="9"/>
        <w:rPr>
          <w:rFonts w:hint="eastAsia" w:ascii="宋体" w:hAnsi="宋体" w:eastAsia="宋体" w:cs="宋体"/>
          <w:color w:val="auto"/>
          <w:highlight w:val="none"/>
        </w:rPr>
      </w:pPr>
    </w:p>
    <w:p w14:paraId="7EAB7742">
      <w:pPr>
        <w:outlineLvl w:val="9"/>
        <w:rPr>
          <w:rFonts w:hint="eastAsia" w:ascii="宋体" w:hAnsi="宋体" w:eastAsia="宋体" w:cs="宋体"/>
          <w:color w:val="auto"/>
          <w:highlight w:val="none"/>
        </w:rPr>
      </w:pPr>
    </w:p>
    <w:p w14:paraId="188BD4B3">
      <w:pPr>
        <w:outlineLvl w:val="9"/>
        <w:rPr>
          <w:rFonts w:hint="eastAsia" w:ascii="宋体" w:hAnsi="宋体" w:eastAsia="宋体" w:cs="宋体"/>
          <w:color w:val="auto"/>
          <w:highlight w:val="none"/>
        </w:rPr>
      </w:pPr>
    </w:p>
    <w:p w14:paraId="1C565250">
      <w:pPr>
        <w:outlineLvl w:val="9"/>
        <w:rPr>
          <w:rFonts w:hint="eastAsia" w:ascii="宋体" w:hAnsi="宋体" w:eastAsia="宋体" w:cs="宋体"/>
          <w:color w:val="auto"/>
          <w:highlight w:val="none"/>
        </w:rPr>
      </w:pPr>
    </w:p>
    <w:p w14:paraId="697589FF">
      <w:pPr>
        <w:pStyle w:val="16"/>
        <w:rPr>
          <w:rFonts w:hint="eastAsia" w:ascii="宋体" w:hAnsi="宋体" w:eastAsia="宋体" w:cs="宋体"/>
          <w:color w:val="auto"/>
          <w:highlight w:val="none"/>
        </w:rPr>
      </w:pPr>
    </w:p>
    <w:p w14:paraId="4E5DAEEE">
      <w:pPr>
        <w:pStyle w:val="16"/>
        <w:rPr>
          <w:rFonts w:hint="eastAsia" w:ascii="宋体" w:hAnsi="宋体" w:eastAsia="宋体" w:cs="宋体"/>
          <w:color w:val="auto"/>
          <w:highlight w:val="none"/>
        </w:rPr>
      </w:pPr>
    </w:p>
    <w:p w14:paraId="75C475FF">
      <w:pPr>
        <w:pStyle w:val="16"/>
        <w:rPr>
          <w:rFonts w:hint="eastAsia" w:ascii="宋体" w:hAnsi="宋体" w:eastAsia="宋体" w:cs="宋体"/>
          <w:color w:val="auto"/>
          <w:highlight w:val="none"/>
        </w:rPr>
      </w:pPr>
    </w:p>
    <w:p w14:paraId="656F8442">
      <w:pPr>
        <w:outlineLvl w:val="9"/>
        <w:rPr>
          <w:rFonts w:hint="eastAsia" w:ascii="宋体" w:hAnsi="宋体" w:eastAsia="宋体" w:cs="宋体"/>
          <w:color w:val="auto"/>
          <w:highlight w:val="none"/>
        </w:rPr>
      </w:pPr>
    </w:p>
    <w:p w14:paraId="7A8276C6">
      <w:pPr>
        <w:outlineLvl w:val="9"/>
        <w:rPr>
          <w:rFonts w:hint="eastAsia" w:ascii="宋体" w:hAnsi="宋体" w:eastAsia="宋体" w:cs="宋体"/>
          <w:color w:val="auto"/>
          <w:highlight w:val="none"/>
        </w:rPr>
      </w:pPr>
    </w:p>
    <w:p w14:paraId="40C64251">
      <w:pPr>
        <w:spacing w:line="500" w:lineRule="exact"/>
        <w:jc w:val="center"/>
        <w:outlineLvl w:val="0"/>
        <w:rPr>
          <w:rFonts w:hint="eastAsia" w:ascii="宋体" w:hAnsi="宋体" w:eastAsia="宋体" w:cs="宋体"/>
          <w:b/>
          <w:bCs/>
          <w:color w:val="auto"/>
          <w:kern w:val="0"/>
          <w:sz w:val="32"/>
          <w:highlight w:val="none"/>
          <w:shd w:val="clear" w:color="auto" w:fill="auto"/>
          <w:lang w:eastAsia="zh-CN"/>
        </w:rPr>
      </w:pPr>
      <w:bookmarkStart w:id="491" w:name="_Toc17182"/>
      <w:r>
        <w:rPr>
          <w:rFonts w:hint="eastAsia" w:ascii="宋体" w:hAnsi="宋体" w:eastAsia="宋体" w:cs="宋体"/>
          <w:b/>
          <w:bCs/>
          <w:color w:val="auto"/>
          <w:kern w:val="0"/>
          <w:sz w:val="32"/>
          <w:highlight w:val="none"/>
          <w:shd w:val="clear" w:color="auto" w:fill="auto"/>
        </w:rPr>
        <w:t>第</w:t>
      </w:r>
      <w:r>
        <w:rPr>
          <w:rFonts w:hint="eastAsia" w:ascii="宋体" w:hAnsi="宋体" w:eastAsia="宋体" w:cs="宋体"/>
          <w:b/>
          <w:bCs/>
          <w:color w:val="auto"/>
          <w:kern w:val="0"/>
          <w:sz w:val="32"/>
          <w:highlight w:val="none"/>
          <w:shd w:val="clear" w:color="auto" w:fill="auto"/>
          <w:lang w:eastAsia="zh-CN"/>
        </w:rPr>
        <w:t>七</w:t>
      </w:r>
      <w:r>
        <w:rPr>
          <w:rFonts w:hint="eastAsia" w:ascii="宋体" w:hAnsi="宋体" w:eastAsia="宋体" w:cs="宋体"/>
          <w:b/>
          <w:bCs/>
          <w:color w:val="auto"/>
          <w:kern w:val="0"/>
          <w:sz w:val="32"/>
          <w:highlight w:val="none"/>
          <w:shd w:val="clear" w:color="auto" w:fill="auto"/>
        </w:rPr>
        <w:t xml:space="preserve">章  </w:t>
      </w:r>
      <w:r>
        <w:rPr>
          <w:rFonts w:hint="eastAsia" w:ascii="宋体" w:hAnsi="宋体" w:eastAsia="宋体" w:cs="宋体"/>
          <w:b/>
          <w:bCs/>
          <w:color w:val="auto"/>
          <w:kern w:val="0"/>
          <w:sz w:val="32"/>
          <w:highlight w:val="none"/>
          <w:shd w:val="clear" w:color="auto" w:fill="auto"/>
          <w:lang w:eastAsia="zh-CN"/>
        </w:rPr>
        <w:t>图纸</w:t>
      </w:r>
      <w:bookmarkEnd w:id="491"/>
    </w:p>
    <w:p w14:paraId="74D80B52">
      <w:pPr>
        <w:spacing w:line="500" w:lineRule="exact"/>
        <w:jc w:val="center"/>
        <w:outlineLvl w:val="9"/>
        <w:rPr>
          <w:rFonts w:hint="eastAsia" w:ascii="宋体" w:hAnsi="宋体" w:eastAsia="宋体" w:cs="宋体"/>
          <w:b/>
          <w:bCs/>
          <w:color w:val="auto"/>
          <w:kern w:val="0"/>
          <w:sz w:val="32"/>
          <w:highlight w:val="none"/>
          <w:shd w:val="clear" w:color="auto" w:fill="auto"/>
          <w:lang w:eastAsia="zh-CN"/>
        </w:rPr>
      </w:pPr>
    </w:p>
    <w:p w14:paraId="01E38AA8">
      <w:pPr>
        <w:spacing w:line="500" w:lineRule="exact"/>
        <w:jc w:val="center"/>
        <w:outlineLvl w:val="9"/>
        <w:rPr>
          <w:rFonts w:hint="eastAsia" w:ascii="宋体" w:hAnsi="宋体" w:eastAsia="宋体" w:cs="宋体"/>
          <w:b/>
          <w:bCs/>
          <w:color w:val="auto"/>
          <w:kern w:val="0"/>
          <w:sz w:val="32"/>
          <w:highlight w:val="none"/>
          <w:shd w:val="clear" w:color="auto" w:fill="auto"/>
          <w:lang w:eastAsia="zh-CN"/>
        </w:rPr>
      </w:pPr>
      <w:r>
        <w:rPr>
          <w:rFonts w:hint="eastAsia" w:ascii="宋体" w:hAnsi="宋体" w:eastAsia="宋体" w:cs="宋体"/>
          <w:b/>
          <w:bCs/>
          <w:color w:val="auto"/>
          <w:kern w:val="0"/>
          <w:sz w:val="32"/>
          <w:highlight w:val="none"/>
          <w:shd w:val="clear" w:color="auto" w:fill="auto"/>
          <w:lang w:eastAsia="zh-CN"/>
        </w:rPr>
        <w:t>另附</w:t>
      </w:r>
    </w:p>
    <w:p w14:paraId="7769FE3F">
      <w:pPr>
        <w:outlineLvl w:val="9"/>
        <w:rPr>
          <w:rFonts w:hint="eastAsia" w:ascii="宋体" w:hAnsi="宋体" w:eastAsia="宋体" w:cs="宋体"/>
          <w:color w:val="auto"/>
          <w:highlight w:val="none"/>
        </w:rPr>
      </w:pPr>
    </w:p>
    <w:p w14:paraId="7D8DF6EE">
      <w:pPr>
        <w:outlineLvl w:val="9"/>
        <w:rPr>
          <w:rFonts w:hint="eastAsia" w:ascii="宋体" w:hAnsi="宋体" w:eastAsia="宋体" w:cs="宋体"/>
          <w:color w:val="auto"/>
          <w:highlight w:val="none"/>
        </w:rPr>
      </w:pPr>
    </w:p>
    <w:p w14:paraId="70F98F53">
      <w:pPr>
        <w:outlineLvl w:val="9"/>
        <w:rPr>
          <w:rFonts w:hint="eastAsia" w:ascii="宋体" w:hAnsi="宋体" w:eastAsia="宋体" w:cs="宋体"/>
          <w:color w:val="auto"/>
          <w:highlight w:val="none"/>
        </w:rPr>
      </w:pPr>
    </w:p>
    <w:p w14:paraId="27AD97E1">
      <w:pPr>
        <w:outlineLvl w:val="9"/>
        <w:rPr>
          <w:rFonts w:hint="eastAsia" w:ascii="宋体" w:hAnsi="宋体" w:eastAsia="宋体" w:cs="宋体"/>
          <w:color w:val="auto"/>
          <w:highlight w:val="none"/>
        </w:rPr>
      </w:pPr>
    </w:p>
    <w:p w14:paraId="4B2A2F67">
      <w:pPr>
        <w:outlineLvl w:val="9"/>
        <w:rPr>
          <w:rFonts w:hint="eastAsia" w:ascii="宋体" w:hAnsi="宋体" w:eastAsia="宋体" w:cs="宋体"/>
          <w:color w:val="auto"/>
          <w:highlight w:val="none"/>
        </w:rPr>
      </w:pPr>
    </w:p>
    <w:p w14:paraId="2F4CCEAD">
      <w:pPr>
        <w:outlineLvl w:val="9"/>
        <w:rPr>
          <w:rFonts w:hint="eastAsia" w:ascii="宋体" w:hAnsi="宋体" w:eastAsia="宋体" w:cs="宋体"/>
          <w:color w:val="auto"/>
          <w:highlight w:val="none"/>
        </w:rPr>
      </w:pPr>
    </w:p>
    <w:p w14:paraId="3D2E4E96">
      <w:pPr>
        <w:outlineLvl w:val="9"/>
        <w:rPr>
          <w:rFonts w:hint="eastAsia" w:ascii="宋体" w:hAnsi="宋体" w:eastAsia="宋体" w:cs="宋体"/>
          <w:color w:val="auto"/>
          <w:highlight w:val="none"/>
        </w:rPr>
      </w:pPr>
    </w:p>
    <w:p w14:paraId="6DC8CF3F">
      <w:pPr>
        <w:outlineLvl w:val="9"/>
        <w:rPr>
          <w:rFonts w:hint="eastAsia" w:ascii="宋体" w:hAnsi="宋体" w:eastAsia="宋体" w:cs="宋体"/>
          <w:color w:val="auto"/>
          <w:highlight w:val="none"/>
        </w:rPr>
      </w:pPr>
    </w:p>
    <w:p w14:paraId="275C8D9C">
      <w:pPr>
        <w:outlineLvl w:val="9"/>
        <w:rPr>
          <w:rFonts w:hint="eastAsia" w:ascii="宋体" w:hAnsi="宋体" w:eastAsia="宋体" w:cs="宋体"/>
          <w:color w:val="auto"/>
          <w:highlight w:val="none"/>
        </w:rPr>
      </w:pPr>
    </w:p>
    <w:p w14:paraId="33AF852F">
      <w:pPr>
        <w:outlineLvl w:val="9"/>
        <w:rPr>
          <w:rFonts w:hint="eastAsia" w:ascii="宋体" w:hAnsi="宋体" w:eastAsia="宋体" w:cs="宋体"/>
          <w:color w:val="auto"/>
          <w:highlight w:val="none"/>
        </w:rPr>
      </w:pPr>
    </w:p>
    <w:p w14:paraId="5F6E76D3">
      <w:pPr>
        <w:outlineLvl w:val="9"/>
        <w:rPr>
          <w:rFonts w:hint="eastAsia" w:ascii="宋体" w:hAnsi="宋体" w:eastAsia="宋体" w:cs="宋体"/>
          <w:color w:val="auto"/>
          <w:highlight w:val="none"/>
        </w:rPr>
      </w:pPr>
    </w:p>
    <w:p w14:paraId="73424902">
      <w:pPr>
        <w:outlineLvl w:val="9"/>
        <w:rPr>
          <w:rFonts w:hint="eastAsia" w:ascii="宋体" w:hAnsi="宋体" w:eastAsia="宋体" w:cs="宋体"/>
          <w:color w:val="auto"/>
          <w:highlight w:val="none"/>
        </w:rPr>
      </w:pPr>
    </w:p>
    <w:p w14:paraId="478FA119">
      <w:pPr>
        <w:pStyle w:val="22"/>
        <w:pageBreakBefore w:val="0"/>
        <w:kinsoku/>
        <w:wordWrap/>
        <w:overflowPunct/>
        <w:topLinePunct w:val="0"/>
        <w:bidi w:val="0"/>
        <w:adjustRightInd/>
        <w:spacing w:line="360" w:lineRule="auto"/>
        <w:ind w:left="0" w:leftChars="0" w:right="0"/>
        <w:textAlignment w:val="auto"/>
        <w:outlineLvl w:val="9"/>
        <w:rPr>
          <w:rFonts w:hint="eastAsia" w:ascii="宋体" w:hAnsi="宋体" w:eastAsia="宋体" w:cs="宋体"/>
          <w:color w:val="auto"/>
          <w:sz w:val="21"/>
          <w:szCs w:val="21"/>
          <w:highlight w:val="none"/>
          <w:shd w:val="clear" w:color="auto" w:fill="auto"/>
        </w:rPr>
      </w:pPr>
    </w:p>
    <w:sectPr>
      <w:headerReference r:id="rId10" w:type="default"/>
      <w:footerReference r:id="rId11" w:type="default"/>
      <w:pgSz w:w="11905" w:h="16838"/>
      <w:pgMar w:top="1134" w:right="1083" w:bottom="1134" w:left="1083" w:header="850" w:footer="992" w:gutter="0"/>
      <w:pgBorders>
        <w:top w:val="none" w:sz="0" w:space="0"/>
        <w:left w:val="none" w:sz="0" w:space="0"/>
        <w:bottom w:val="none" w:sz="0" w:space="0"/>
        <w:right w:val="none" w:sz="0" w:space="0"/>
      </w:pgBorders>
      <w:pgNumType w:fmt="decimal"/>
      <w:cols w:space="0" w:num="1"/>
      <w:rtlGutter w:val="0"/>
      <w:docGrid w:type="lines" w:linePitch="32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993B3">
    <w:pPr>
      <w:spacing w:line="176" w:lineRule="auto"/>
      <w:ind w:left="4727"/>
      <w:rPr>
        <w:rFonts w:ascii="Times New Roman" w:hAnsi="Times New Roman" w:eastAsia="Times New Roman"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72D94">
    <w:pPr>
      <w:pStyle w:val="26"/>
      <w:tabs>
        <w:tab w:val="center" w:pos="4869"/>
        <w:tab w:val="clear" w:pos="4153"/>
      </w:tabs>
      <w:rPr>
        <w:rFonts w:eastAsia="仿宋_GB2312"/>
        <w:sz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F32B13">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22F32B13">
                    <w:pPr>
                      <w:pStyle w:val="26"/>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eastAsia="仿宋_GB2312"/>
        <w:sz w:val="24"/>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5C6BF">
    <w:pPr>
      <w:spacing w:line="176" w:lineRule="auto"/>
      <w:ind w:left="432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AF47FB">
                          <w:pPr>
                            <w:pStyle w:val="26"/>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3EAF47FB">
                    <w:pPr>
                      <w:pStyle w:val="26"/>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9F824">
    <w:pPr>
      <w:spacing w:line="176" w:lineRule="auto"/>
      <w:ind w:left="44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12AAEE">
                          <w:pPr>
                            <w:pStyle w:val="26"/>
                          </w:pPr>
                          <w:r>
                            <w:fldChar w:fldCharType="begin"/>
                          </w:r>
                          <w:r>
                            <w:instrText xml:space="preserve"> PAGE  \* MERGEFORMAT </w:instrText>
                          </w:r>
                          <w:r>
                            <w:fldChar w:fldCharType="separate"/>
                          </w:r>
                          <w:r>
                            <w:t>119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2D12AAEE">
                    <w:pPr>
                      <w:pStyle w:val="26"/>
                    </w:pPr>
                    <w:r>
                      <w:fldChar w:fldCharType="begin"/>
                    </w:r>
                    <w:r>
                      <w:instrText xml:space="preserve"> PAGE  \* MERGEFORMAT </w:instrText>
                    </w:r>
                    <w:r>
                      <w:fldChar w:fldCharType="separate"/>
                    </w:r>
                    <w:r>
                      <w:t>119</w:t>
                    </w:r>
                    <w:r>
                      <w:fldChar w:fldCharType="end"/>
                    </w:r>
                  </w:p>
                </w:txbxContent>
              </v:textbox>
            </v:shape>
          </w:pict>
        </mc:Fallback>
      </mc:AlternateContent>
    </w:r>
    <w:r>
      <w:rPr>
        <w:rFonts w:ascii="Times New Roman" w:hAnsi="Times New Roman" w:eastAsia="Times New Roman" w:cs="Times New Roman"/>
        <w:spacing w:val="16"/>
        <w:sz w:val="18"/>
        <w:szCs w:val="18"/>
      </w:rPr>
      <w:t>3l</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2C833">
    <w:pPr>
      <w:spacing w:line="176" w:lineRule="auto"/>
      <w:ind w:left="452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88085A">
                          <w:pPr>
                            <w:pStyle w:val="26"/>
                          </w:pPr>
                          <w:r>
                            <w:fldChar w:fldCharType="begin"/>
                          </w:r>
                          <w:r>
                            <w:instrText xml:space="preserve"> PAGE  \* MERGEFORMAT </w:instrText>
                          </w:r>
                          <w:r>
                            <w:fldChar w:fldCharType="separate"/>
                          </w:r>
                          <w:r>
                            <w:t>132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5F88085A">
                    <w:pPr>
                      <w:pStyle w:val="26"/>
                    </w:pPr>
                    <w:r>
                      <w:fldChar w:fldCharType="begin"/>
                    </w:r>
                    <w:r>
                      <w:instrText xml:space="preserve"> PAGE  \* MERGEFORMAT </w:instrText>
                    </w:r>
                    <w:r>
                      <w:fldChar w:fldCharType="separate"/>
                    </w:r>
                    <w:r>
                      <w:t>132</w:t>
                    </w:r>
                    <w:r>
                      <w:fldChar w:fldCharType="end"/>
                    </w:r>
                  </w:p>
                </w:txbxContent>
              </v:textbox>
            </v:shape>
          </w:pict>
        </mc:Fallback>
      </mc:AlternateContent>
    </w:r>
    <w:r>
      <w:rPr>
        <w:rFonts w:ascii="Times New Roman" w:hAnsi="Times New Roman" w:eastAsia="Times New Roman" w:cs="Times New Roman"/>
        <w:spacing w:val="-4"/>
        <w:sz w:val="18"/>
        <w:szCs w:val="18"/>
      </w:rPr>
      <w:t>35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F3DD7">
    <w:pPr>
      <w:pStyle w:val="26"/>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D62CE8">
                          <w:pPr>
                            <w:pStyle w:val="26"/>
                          </w:pPr>
                          <w:r>
                            <w:fldChar w:fldCharType="begin"/>
                          </w:r>
                          <w:r>
                            <w:instrText xml:space="preserve"> PAGE  \* MERGEFORMAT </w:instrText>
                          </w:r>
                          <w:r>
                            <w:fldChar w:fldCharType="separate"/>
                          </w:r>
                          <w:r>
                            <w:t>135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24D62CE8">
                    <w:pPr>
                      <w:pStyle w:val="26"/>
                    </w:pPr>
                    <w:r>
                      <w:fldChar w:fldCharType="begin"/>
                    </w:r>
                    <w:r>
                      <w:instrText xml:space="preserve"> PAGE  \* MERGEFORMAT </w:instrText>
                    </w:r>
                    <w:r>
                      <w:fldChar w:fldCharType="separate"/>
                    </w:r>
                    <w:r>
                      <w:t>135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17A00">
    <w:pPr>
      <w:pStyle w:val="16"/>
      <w:spacing w:line="46" w:lineRule="auto"/>
      <w:rPr>
        <w:sz w:val="2"/>
      </w:rPr>
    </w:pPr>
    <w:r>
      <mc:AlternateContent>
        <mc:Choice Requires="wps">
          <w:drawing>
            <wp:anchor distT="0" distB="0" distL="114300" distR="114300" simplePos="0" relativeHeight="251662336" behindDoc="0" locked="0" layoutInCell="0" allowOverlap="1">
              <wp:simplePos x="0" y="0"/>
              <wp:positionH relativeFrom="page">
                <wp:posOffset>972185</wp:posOffset>
              </wp:positionH>
              <wp:positionV relativeFrom="page">
                <wp:posOffset>683895</wp:posOffset>
              </wp:positionV>
              <wp:extent cx="5601335" cy="9525"/>
              <wp:effectExtent l="0" t="0" r="0" b="0"/>
              <wp:wrapNone/>
              <wp:docPr id="47" name="任意多边形 47"/>
              <wp:cNvGraphicFramePr/>
              <a:graphic xmlns:a="http://schemas.openxmlformats.org/drawingml/2006/main">
                <a:graphicData uri="http://schemas.microsoft.com/office/word/2010/wordprocessingShape">
                  <wps:wsp>
                    <wps:cNvSpPr/>
                    <wps:spPr>
                      <a:xfrm>
                        <a:off x="0" y="0"/>
                        <a:ext cx="5601335" cy="9525"/>
                      </a:xfrm>
                      <a:custGeom>
                        <a:avLst/>
                        <a:gdLst/>
                        <a:ahLst/>
                        <a:cxnLst/>
                        <a:pathLst>
                          <a:path w="8820" h="15">
                            <a:moveTo>
                              <a:pt x="0" y="0"/>
                            </a:moveTo>
                            <a:lnTo>
                              <a:pt x="8820" y="0"/>
                            </a:lnTo>
                            <a:lnTo>
                              <a:pt x="882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6.55pt;margin-top:53.85pt;height:0.75pt;width:441.05pt;mso-position-horizontal-relative:page;mso-position-vertical-relative:page;z-index:251662336;mso-width-relative:page;mso-height-relative:page;" fillcolor="#000000" filled="t" stroked="f" coordsize="8820,15" o:allowincell="f" o:gfxdata="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ttMje2QAAAAwBAAAPAAAA&#10;AAAAAAEAIAAAACIAAABkcnMvZG93bnJldi54bWxQSwECFAAUAAAACACHTuJA7UD1MRQCAAB9BAAA&#10;DgAAAAAAAAABACAAAAAoAQAAZHJzL2Uyb0RvYy54bWxQSwUGAAAAAAYABgBZAQAArgUAAAAA&#10;" path="m0,0l8820,0,8820,14,0,14,0,0xe">
              <v:fill on="t" focussize="0,0"/>
              <v:stroke on="f"/>
              <v:imagedata o:title=""/>
              <o:lock v:ext="edit" aspectratio="f"/>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23DE6">
    <w:pPr>
      <w:pStyle w:val="2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FE6E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4CF58C"/>
    <w:multiLevelType w:val="singleLevel"/>
    <w:tmpl w:val="BB4CF58C"/>
    <w:lvl w:ilvl="0" w:tentative="0">
      <w:start w:val="2"/>
      <w:numFmt w:val="decimal"/>
      <w:suff w:val="nothing"/>
      <w:lvlText w:val="（%1）"/>
      <w:lvlJc w:val="left"/>
    </w:lvl>
  </w:abstractNum>
  <w:abstractNum w:abstractNumId="1">
    <w:nsid w:val="BFFA26FE"/>
    <w:multiLevelType w:val="singleLevel"/>
    <w:tmpl w:val="BFFA26FE"/>
    <w:lvl w:ilvl="0" w:tentative="0">
      <w:start w:val="1"/>
      <w:numFmt w:val="decimal"/>
      <w:suff w:val="space"/>
      <w:lvlText w:val="（%1）"/>
      <w:lvlJc w:val="left"/>
    </w:lvl>
  </w:abstractNum>
  <w:abstractNum w:abstractNumId="2">
    <w:nsid w:val="1FD97BE0"/>
    <w:multiLevelType w:val="singleLevel"/>
    <w:tmpl w:val="1FD97BE0"/>
    <w:lvl w:ilvl="0" w:tentative="0">
      <w:start w:val="1"/>
      <w:numFmt w:val="chineseCounting"/>
      <w:suff w:val="nothing"/>
      <w:lvlText w:val="（%1）"/>
      <w:lvlJc w:val="left"/>
      <w:rPr>
        <w:rFonts w:hint="eastAsia"/>
      </w:rPr>
    </w:lvl>
  </w:abstractNum>
  <w:abstractNum w:abstractNumId="3">
    <w:nsid w:val="331D25A3"/>
    <w:multiLevelType w:val="singleLevel"/>
    <w:tmpl w:val="331D25A3"/>
    <w:lvl w:ilvl="0" w:tentative="0">
      <w:start w:val="1"/>
      <w:numFmt w:val="decimal"/>
      <w:suff w:val="nothing"/>
      <w:lvlText w:val="（%1）"/>
      <w:lvlJc w:val="left"/>
    </w:lvl>
  </w:abstractNum>
  <w:abstractNum w:abstractNumId="4">
    <w:nsid w:val="5498E193"/>
    <w:multiLevelType w:val="singleLevel"/>
    <w:tmpl w:val="5498E193"/>
    <w:lvl w:ilvl="0" w:tentative="0">
      <w:start w:val="11"/>
      <w:numFmt w:val="decimal"/>
      <w:suff w:val="space"/>
      <w:lvlText w:val="%1."/>
      <w:lvlJc w:val="left"/>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0"/>
  <w:bordersDoNotSurroundFooter w:val="0"/>
  <w:documentProtection w:enforcement="0"/>
  <w:defaultTabStop w:val="420"/>
  <w:hyphenationZone w:val="360"/>
  <w:drawingGridHorizontalSpacing w:val="210"/>
  <w:drawingGridVerticalSpacing w:val="162"/>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xOGYzMDBlZjY3ODc4M2M3NmQxODQzNjBhN2I3NTcifQ=="/>
  </w:docVars>
  <w:rsids>
    <w:rsidRoot w:val="00D23D6A"/>
    <w:rsid w:val="00032103"/>
    <w:rsid w:val="00035D3B"/>
    <w:rsid w:val="00043F8D"/>
    <w:rsid w:val="00046C8A"/>
    <w:rsid w:val="00052FBF"/>
    <w:rsid w:val="00070196"/>
    <w:rsid w:val="0007546C"/>
    <w:rsid w:val="00084D8D"/>
    <w:rsid w:val="000862C5"/>
    <w:rsid w:val="000A608A"/>
    <w:rsid w:val="000F0B53"/>
    <w:rsid w:val="000F4F80"/>
    <w:rsid w:val="0011137D"/>
    <w:rsid w:val="00116377"/>
    <w:rsid w:val="00132A9F"/>
    <w:rsid w:val="00144F32"/>
    <w:rsid w:val="00165CDF"/>
    <w:rsid w:val="00167D7D"/>
    <w:rsid w:val="00186C31"/>
    <w:rsid w:val="0019723A"/>
    <w:rsid w:val="001B15AB"/>
    <w:rsid w:val="001B1942"/>
    <w:rsid w:val="001B7243"/>
    <w:rsid w:val="001C254C"/>
    <w:rsid w:val="001C64C9"/>
    <w:rsid w:val="001F1BA4"/>
    <w:rsid w:val="00203651"/>
    <w:rsid w:val="002064FB"/>
    <w:rsid w:val="00260FE2"/>
    <w:rsid w:val="002920D2"/>
    <w:rsid w:val="0029553D"/>
    <w:rsid w:val="00297703"/>
    <w:rsid w:val="002D1946"/>
    <w:rsid w:val="002F0F48"/>
    <w:rsid w:val="002F40EB"/>
    <w:rsid w:val="002F65E1"/>
    <w:rsid w:val="00310817"/>
    <w:rsid w:val="00311B20"/>
    <w:rsid w:val="00311C89"/>
    <w:rsid w:val="00317957"/>
    <w:rsid w:val="00327AF9"/>
    <w:rsid w:val="0033227C"/>
    <w:rsid w:val="00352C99"/>
    <w:rsid w:val="003602D4"/>
    <w:rsid w:val="003918C6"/>
    <w:rsid w:val="0039233C"/>
    <w:rsid w:val="003A47DB"/>
    <w:rsid w:val="003B1F9B"/>
    <w:rsid w:val="003B67E0"/>
    <w:rsid w:val="003D742C"/>
    <w:rsid w:val="00424D53"/>
    <w:rsid w:val="00442DCF"/>
    <w:rsid w:val="00466A88"/>
    <w:rsid w:val="00475957"/>
    <w:rsid w:val="00476DBA"/>
    <w:rsid w:val="004B78DD"/>
    <w:rsid w:val="004C270B"/>
    <w:rsid w:val="004D33B3"/>
    <w:rsid w:val="004E593A"/>
    <w:rsid w:val="004E5D5D"/>
    <w:rsid w:val="004F22EE"/>
    <w:rsid w:val="004F38AD"/>
    <w:rsid w:val="004F64CE"/>
    <w:rsid w:val="00504901"/>
    <w:rsid w:val="005137B2"/>
    <w:rsid w:val="005217B4"/>
    <w:rsid w:val="00537F42"/>
    <w:rsid w:val="00546AF3"/>
    <w:rsid w:val="005470D2"/>
    <w:rsid w:val="00552B78"/>
    <w:rsid w:val="00553336"/>
    <w:rsid w:val="00554085"/>
    <w:rsid w:val="0057201F"/>
    <w:rsid w:val="00575707"/>
    <w:rsid w:val="00575A2B"/>
    <w:rsid w:val="00592A84"/>
    <w:rsid w:val="005C0196"/>
    <w:rsid w:val="005F1A9A"/>
    <w:rsid w:val="006055CF"/>
    <w:rsid w:val="006118BD"/>
    <w:rsid w:val="00615C04"/>
    <w:rsid w:val="00626D65"/>
    <w:rsid w:val="00656E35"/>
    <w:rsid w:val="00672E68"/>
    <w:rsid w:val="006A1B46"/>
    <w:rsid w:val="006B16CA"/>
    <w:rsid w:val="006C68CE"/>
    <w:rsid w:val="006F2AAB"/>
    <w:rsid w:val="006F3726"/>
    <w:rsid w:val="006F39EE"/>
    <w:rsid w:val="006F4F78"/>
    <w:rsid w:val="007041F5"/>
    <w:rsid w:val="007162A5"/>
    <w:rsid w:val="007545F3"/>
    <w:rsid w:val="0078149A"/>
    <w:rsid w:val="007905C2"/>
    <w:rsid w:val="00796DBD"/>
    <w:rsid w:val="007A70A3"/>
    <w:rsid w:val="007B4774"/>
    <w:rsid w:val="007D5B0F"/>
    <w:rsid w:val="007F12D0"/>
    <w:rsid w:val="00800054"/>
    <w:rsid w:val="00802675"/>
    <w:rsid w:val="00815A13"/>
    <w:rsid w:val="00822B84"/>
    <w:rsid w:val="00827F2A"/>
    <w:rsid w:val="008474FD"/>
    <w:rsid w:val="00850758"/>
    <w:rsid w:val="00855C98"/>
    <w:rsid w:val="00887FBA"/>
    <w:rsid w:val="008C0CC7"/>
    <w:rsid w:val="008C2C34"/>
    <w:rsid w:val="008D138C"/>
    <w:rsid w:val="008D5528"/>
    <w:rsid w:val="008F70E5"/>
    <w:rsid w:val="00900680"/>
    <w:rsid w:val="00926DFC"/>
    <w:rsid w:val="00934356"/>
    <w:rsid w:val="00955381"/>
    <w:rsid w:val="009B0556"/>
    <w:rsid w:val="009B26A1"/>
    <w:rsid w:val="009B2D5D"/>
    <w:rsid w:val="009C427E"/>
    <w:rsid w:val="009F03F3"/>
    <w:rsid w:val="00A00E8D"/>
    <w:rsid w:val="00A11673"/>
    <w:rsid w:val="00A31ACC"/>
    <w:rsid w:val="00A3730E"/>
    <w:rsid w:val="00A37580"/>
    <w:rsid w:val="00A438E2"/>
    <w:rsid w:val="00A51DCA"/>
    <w:rsid w:val="00A80CA5"/>
    <w:rsid w:val="00AA0350"/>
    <w:rsid w:val="00AB6B5C"/>
    <w:rsid w:val="00AC22DD"/>
    <w:rsid w:val="00AD03C4"/>
    <w:rsid w:val="00AD294E"/>
    <w:rsid w:val="00AE6230"/>
    <w:rsid w:val="00AF198E"/>
    <w:rsid w:val="00B2178B"/>
    <w:rsid w:val="00B256D5"/>
    <w:rsid w:val="00B26F29"/>
    <w:rsid w:val="00B27725"/>
    <w:rsid w:val="00B31496"/>
    <w:rsid w:val="00B34FBD"/>
    <w:rsid w:val="00B74911"/>
    <w:rsid w:val="00B83FF9"/>
    <w:rsid w:val="00B83FFA"/>
    <w:rsid w:val="00B92C2E"/>
    <w:rsid w:val="00BA3EB1"/>
    <w:rsid w:val="00BC5BEF"/>
    <w:rsid w:val="00BC7BB8"/>
    <w:rsid w:val="00BD00D3"/>
    <w:rsid w:val="00BE074C"/>
    <w:rsid w:val="00BF6AC3"/>
    <w:rsid w:val="00BF6D80"/>
    <w:rsid w:val="00C2117D"/>
    <w:rsid w:val="00C332EE"/>
    <w:rsid w:val="00C45E13"/>
    <w:rsid w:val="00C51E14"/>
    <w:rsid w:val="00C61F60"/>
    <w:rsid w:val="00C70D7E"/>
    <w:rsid w:val="00C815D4"/>
    <w:rsid w:val="00C81BEF"/>
    <w:rsid w:val="00C82C21"/>
    <w:rsid w:val="00C84C89"/>
    <w:rsid w:val="00CA7828"/>
    <w:rsid w:val="00CB6D8F"/>
    <w:rsid w:val="00CD4295"/>
    <w:rsid w:val="00D00023"/>
    <w:rsid w:val="00D00B93"/>
    <w:rsid w:val="00D01A44"/>
    <w:rsid w:val="00D2233A"/>
    <w:rsid w:val="00D23D6A"/>
    <w:rsid w:val="00D31234"/>
    <w:rsid w:val="00D46CDE"/>
    <w:rsid w:val="00D72633"/>
    <w:rsid w:val="00D93E77"/>
    <w:rsid w:val="00DB510B"/>
    <w:rsid w:val="00DC020F"/>
    <w:rsid w:val="00DC6086"/>
    <w:rsid w:val="00DD1F1B"/>
    <w:rsid w:val="00DE2A68"/>
    <w:rsid w:val="00DE3D34"/>
    <w:rsid w:val="00DF69E0"/>
    <w:rsid w:val="00E20F3A"/>
    <w:rsid w:val="00E3341B"/>
    <w:rsid w:val="00E637C5"/>
    <w:rsid w:val="00E73541"/>
    <w:rsid w:val="00E82CB2"/>
    <w:rsid w:val="00E82EF3"/>
    <w:rsid w:val="00EA027E"/>
    <w:rsid w:val="00EB2DAA"/>
    <w:rsid w:val="00EC585A"/>
    <w:rsid w:val="00EE5E72"/>
    <w:rsid w:val="00EF171A"/>
    <w:rsid w:val="00F01AF8"/>
    <w:rsid w:val="00F124F7"/>
    <w:rsid w:val="00F1348B"/>
    <w:rsid w:val="00F2561C"/>
    <w:rsid w:val="00F272BE"/>
    <w:rsid w:val="00F502AC"/>
    <w:rsid w:val="00F55D70"/>
    <w:rsid w:val="00F76C93"/>
    <w:rsid w:val="00F809C6"/>
    <w:rsid w:val="00F84531"/>
    <w:rsid w:val="00F84CDC"/>
    <w:rsid w:val="00F85704"/>
    <w:rsid w:val="00F9480F"/>
    <w:rsid w:val="00F9532E"/>
    <w:rsid w:val="00FA0055"/>
    <w:rsid w:val="00FA2EBE"/>
    <w:rsid w:val="00FB749C"/>
    <w:rsid w:val="00FE37AF"/>
    <w:rsid w:val="00FF2C86"/>
    <w:rsid w:val="011E7635"/>
    <w:rsid w:val="01746443"/>
    <w:rsid w:val="01890F61"/>
    <w:rsid w:val="01B3114B"/>
    <w:rsid w:val="01C9049D"/>
    <w:rsid w:val="01E61D56"/>
    <w:rsid w:val="01F84C35"/>
    <w:rsid w:val="020531A4"/>
    <w:rsid w:val="021D1813"/>
    <w:rsid w:val="02215BCC"/>
    <w:rsid w:val="02642858"/>
    <w:rsid w:val="02647BAC"/>
    <w:rsid w:val="02847189"/>
    <w:rsid w:val="02B95509"/>
    <w:rsid w:val="02CD5A6F"/>
    <w:rsid w:val="02E06200"/>
    <w:rsid w:val="03011BBD"/>
    <w:rsid w:val="030E2DC6"/>
    <w:rsid w:val="031D18EA"/>
    <w:rsid w:val="03217B69"/>
    <w:rsid w:val="032449A2"/>
    <w:rsid w:val="03630DA1"/>
    <w:rsid w:val="038777A6"/>
    <w:rsid w:val="03885F75"/>
    <w:rsid w:val="04000479"/>
    <w:rsid w:val="040C11B5"/>
    <w:rsid w:val="04123EC1"/>
    <w:rsid w:val="04171AC9"/>
    <w:rsid w:val="04214929"/>
    <w:rsid w:val="04545D1C"/>
    <w:rsid w:val="04ED23F9"/>
    <w:rsid w:val="051031AE"/>
    <w:rsid w:val="058756BA"/>
    <w:rsid w:val="05A6197B"/>
    <w:rsid w:val="06632F53"/>
    <w:rsid w:val="0666508A"/>
    <w:rsid w:val="067A5F0E"/>
    <w:rsid w:val="06B91B76"/>
    <w:rsid w:val="06F07C0E"/>
    <w:rsid w:val="06F20022"/>
    <w:rsid w:val="07015179"/>
    <w:rsid w:val="071969AC"/>
    <w:rsid w:val="071A25E1"/>
    <w:rsid w:val="07275319"/>
    <w:rsid w:val="079466F6"/>
    <w:rsid w:val="07B85B0B"/>
    <w:rsid w:val="07DF4BF6"/>
    <w:rsid w:val="081C183D"/>
    <w:rsid w:val="086149B2"/>
    <w:rsid w:val="08655A77"/>
    <w:rsid w:val="086A479A"/>
    <w:rsid w:val="087E3DEC"/>
    <w:rsid w:val="089C3B22"/>
    <w:rsid w:val="089F2A70"/>
    <w:rsid w:val="09315213"/>
    <w:rsid w:val="094C4459"/>
    <w:rsid w:val="095F661F"/>
    <w:rsid w:val="09727863"/>
    <w:rsid w:val="09F32AE6"/>
    <w:rsid w:val="0A8D383F"/>
    <w:rsid w:val="0A9C561E"/>
    <w:rsid w:val="0AB56C12"/>
    <w:rsid w:val="0ADF7F32"/>
    <w:rsid w:val="0AE572E7"/>
    <w:rsid w:val="0AE6199B"/>
    <w:rsid w:val="0B060104"/>
    <w:rsid w:val="0B1C26A3"/>
    <w:rsid w:val="0B3412A4"/>
    <w:rsid w:val="0B8A4244"/>
    <w:rsid w:val="0BB70626"/>
    <w:rsid w:val="0BC72DA3"/>
    <w:rsid w:val="0BF30BF7"/>
    <w:rsid w:val="0C0E3FB9"/>
    <w:rsid w:val="0C224798"/>
    <w:rsid w:val="0C452B1A"/>
    <w:rsid w:val="0C515EF1"/>
    <w:rsid w:val="0C6D2677"/>
    <w:rsid w:val="0C8D4217"/>
    <w:rsid w:val="0CC2333E"/>
    <w:rsid w:val="0CC92C66"/>
    <w:rsid w:val="0CCB5842"/>
    <w:rsid w:val="0D102F4D"/>
    <w:rsid w:val="0D244FC1"/>
    <w:rsid w:val="0D5176CC"/>
    <w:rsid w:val="0D785787"/>
    <w:rsid w:val="0D7A0CDE"/>
    <w:rsid w:val="0D9A07EA"/>
    <w:rsid w:val="0E303442"/>
    <w:rsid w:val="0E3A5EAE"/>
    <w:rsid w:val="0E5D59EE"/>
    <w:rsid w:val="0E703B9D"/>
    <w:rsid w:val="0ED66886"/>
    <w:rsid w:val="0EDC3E72"/>
    <w:rsid w:val="0EED3154"/>
    <w:rsid w:val="0EF30E89"/>
    <w:rsid w:val="0F0669D4"/>
    <w:rsid w:val="0F152C78"/>
    <w:rsid w:val="0F2461A9"/>
    <w:rsid w:val="0F3D663A"/>
    <w:rsid w:val="0F5F4F5A"/>
    <w:rsid w:val="0F687CF9"/>
    <w:rsid w:val="0F93261C"/>
    <w:rsid w:val="0F981B0A"/>
    <w:rsid w:val="0FC45BA4"/>
    <w:rsid w:val="0FD31A23"/>
    <w:rsid w:val="0FF71645"/>
    <w:rsid w:val="100C1C51"/>
    <w:rsid w:val="105559AB"/>
    <w:rsid w:val="1066636B"/>
    <w:rsid w:val="10AD127A"/>
    <w:rsid w:val="10DD670C"/>
    <w:rsid w:val="10FC7BC2"/>
    <w:rsid w:val="11020F53"/>
    <w:rsid w:val="110660A6"/>
    <w:rsid w:val="110D04BA"/>
    <w:rsid w:val="117C6EEE"/>
    <w:rsid w:val="11801AD1"/>
    <w:rsid w:val="11916802"/>
    <w:rsid w:val="11DC5C41"/>
    <w:rsid w:val="11FC1DF3"/>
    <w:rsid w:val="12860D98"/>
    <w:rsid w:val="1288550F"/>
    <w:rsid w:val="128D6512"/>
    <w:rsid w:val="12E17049"/>
    <w:rsid w:val="12EF2EA4"/>
    <w:rsid w:val="13054629"/>
    <w:rsid w:val="130736EC"/>
    <w:rsid w:val="13287B56"/>
    <w:rsid w:val="138A175B"/>
    <w:rsid w:val="13B155AF"/>
    <w:rsid w:val="13B206D3"/>
    <w:rsid w:val="14075A09"/>
    <w:rsid w:val="14537D9F"/>
    <w:rsid w:val="147B0E21"/>
    <w:rsid w:val="148264E7"/>
    <w:rsid w:val="14937EBF"/>
    <w:rsid w:val="14AB7BDB"/>
    <w:rsid w:val="14D121C1"/>
    <w:rsid w:val="14FB67DD"/>
    <w:rsid w:val="150174A7"/>
    <w:rsid w:val="1577688C"/>
    <w:rsid w:val="157D08EE"/>
    <w:rsid w:val="162C50A9"/>
    <w:rsid w:val="163076B7"/>
    <w:rsid w:val="16552777"/>
    <w:rsid w:val="166458E8"/>
    <w:rsid w:val="16A0750E"/>
    <w:rsid w:val="16CE79EF"/>
    <w:rsid w:val="16EF6C09"/>
    <w:rsid w:val="170203CD"/>
    <w:rsid w:val="170D2487"/>
    <w:rsid w:val="170F5921"/>
    <w:rsid w:val="171C1A26"/>
    <w:rsid w:val="17763FF4"/>
    <w:rsid w:val="17BC2A26"/>
    <w:rsid w:val="17C61D1C"/>
    <w:rsid w:val="17D00992"/>
    <w:rsid w:val="17DB1E2A"/>
    <w:rsid w:val="17F665A1"/>
    <w:rsid w:val="17FD6864"/>
    <w:rsid w:val="180B1FC0"/>
    <w:rsid w:val="183C4481"/>
    <w:rsid w:val="184F13F4"/>
    <w:rsid w:val="18823658"/>
    <w:rsid w:val="18BA663E"/>
    <w:rsid w:val="18F411FD"/>
    <w:rsid w:val="19331ADA"/>
    <w:rsid w:val="197046A3"/>
    <w:rsid w:val="197D4D53"/>
    <w:rsid w:val="19C06BA9"/>
    <w:rsid w:val="19C228B7"/>
    <w:rsid w:val="19D4213B"/>
    <w:rsid w:val="19D45285"/>
    <w:rsid w:val="19E46802"/>
    <w:rsid w:val="19E85A85"/>
    <w:rsid w:val="19F53675"/>
    <w:rsid w:val="1A184490"/>
    <w:rsid w:val="1A41745E"/>
    <w:rsid w:val="1A704A5B"/>
    <w:rsid w:val="1A7B0F0A"/>
    <w:rsid w:val="1A98650B"/>
    <w:rsid w:val="1A9D3520"/>
    <w:rsid w:val="1ABB210E"/>
    <w:rsid w:val="1AF01A15"/>
    <w:rsid w:val="1B311BC4"/>
    <w:rsid w:val="1B48372E"/>
    <w:rsid w:val="1B8D003A"/>
    <w:rsid w:val="1BAA4748"/>
    <w:rsid w:val="1C0105CA"/>
    <w:rsid w:val="1C167AE4"/>
    <w:rsid w:val="1C1E4FB1"/>
    <w:rsid w:val="1C5F6EA1"/>
    <w:rsid w:val="1C710E65"/>
    <w:rsid w:val="1C92116A"/>
    <w:rsid w:val="1CBA3307"/>
    <w:rsid w:val="1CCE6AC3"/>
    <w:rsid w:val="1CD556E0"/>
    <w:rsid w:val="1CD633EC"/>
    <w:rsid w:val="1CE07FE1"/>
    <w:rsid w:val="1D0C2B83"/>
    <w:rsid w:val="1D3D4309"/>
    <w:rsid w:val="1D474DEC"/>
    <w:rsid w:val="1D48488C"/>
    <w:rsid w:val="1D84793F"/>
    <w:rsid w:val="1D851A95"/>
    <w:rsid w:val="1D8C1FC6"/>
    <w:rsid w:val="1DB16901"/>
    <w:rsid w:val="1DC55ED8"/>
    <w:rsid w:val="1E3E752B"/>
    <w:rsid w:val="1E442D8D"/>
    <w:rsid w:val="1E81607B"/>
    <w:rsid w:val="1EAE487F"/>
    <w:rsid w:val="1EB264DF"/>
    <w:rsid w:val="1ECE5AEC"/>
    <w:rsid w:val="1EE75CB3"/>
    <w:rsid w:val="1EF1137F"/>
    <w:rsid w:val="1F0119C9"/>
    <w:rsid w:val="1F411D0E"/>
    <w:rsid w:val="1F4E188E"/>
    <w:rsid w:val="1F5F4ACA"/>
    <w:rsid w:val="1F695B6F"/>
    <w:rsid w:val="1F8958E8"/>
    <w:rsid w:val="1FAB656D"/>
    <w:rsid w:val="1FE74446"/>
    <w:rsid w:val="20045421"/>
    <w:rsid w:val="20251073"/>
    <w:rsid w:val="2096459B"/>
    <w:rsid w:val="20BF11B0"/>
    <w:rsid w:val="20EB4DDA"/>
    <w:rsid w:val="211E7A7D"/>
    <w:rsid w:val="21366A7E"/>
    <w:rsid w:val="215B115F"/>
    <w:rsid w:val="216329E3"/>
    <w:rsid w:val="217A6BD0"/>
    <w:rsid w:val="217B191A"/>
    <w:rsid w:val="21A51A7D"/>
    <w:rsid w:val="21AD478D"/>
    <w:rsid w:val="21B47B32"/>
    <w:rsid w:val="21CE6C1A"/>
    <w:rsid w:val="22096CF9"/>
    <w:rsid w:val="222D4C46"/>
    <w:rsid w:val="226C5ABC"/>
    <w:rsid w:val="22CB41A3"/>
    <w:rsid w:val="22E7255C"/>
    <w:rsid w:val="22F95FB5"/>
    <w:rsid w:val="23021720"/>
    <w:rsid w:val="2314439D"/>
    <w:rsid w:val="232C638A"/>
    <w:rsid w:val="23B41832"/>
    <w:rsid w:val="23C17C0A"/>
    <w:rsid w:val="23C26D7C"/>
    <w:rsid w:val="23C61AA7"/>
    <w:rsid w:val="23C95987"/>
    <w:rsid w:val="247257EF"/>
    <w:rsid w:val="2474197B"/>
    <w:rsid w:val="24A87C93"/>
    <w:rsid w:val="24B1703E"/>
    <w:rsid w:val="24CA0594"/>
    <w:rsid w:val="25162E4E"/>
    <w:rsid w:val="253E5425"/>
    <w:rsid w:val="253F7ACC"/>
    <w:rsid w:val="2551167A"/>
    <w:rsid w:val="259775DC"/>
    <w:rsid w:val="25A31987"/>
    <w:rsid w:val="25DA68FE"/>
    <w:rsid w:val="25ED289F"/>
    <w:rsid w:val="25FD7B6A"/>
    <w:rsid w:val="260C44CD"/>
    <w:rsid w:val="26196B41"/>
    <w:rsid w:val="26387DAE"/>
    <w:rsid w:val="26686A49"/>
    <w:rsid w:val="268E3277"/>
    <w:rsid w:val="26B262C2"/>
    <w:rsid w:val="272359E4"/>
    <w:rsid w:val="272D447F"/>
    <w:rsid w:val="27811553"/>
    <w:rsid w:val="278952F3"/>
    <w:rsid w:val="2818512F"/>
    <w:rsid w:val="283D1484"/>
    <w:rsid w:val="284A3118"/>
    <w:rsid w:val="284B388C"/>
    <w:rsid w:val="28892F72"/>
    <w:rsid w:val="28A360BD"/>
    <w:rsid w:val="28D02F63"/>
    <w:rsid w:val="2910047C"/>
    <w:rsid w:val="292324E3"/>
    <w:rsid w:val="296028AB"/>
    <w:rsid w:val="299C6433"/>
    <w:rsid w:val="29E40E7E"/>
    <w:rsid w:val="2A271968"/>
    <w:rsid w:val="2A575678"/>
    <w:rsid w:val="2A5F06CF"/>
    <w:rsid w:val="2A6722F5"/>
    <w:rsid w:val="2A681556"/>
    <w:rsid w:val="2AB86E2B"/>
    <w:rsid w:val="2AED771C"/>
    <w:rsid w:val="2AEF1FEE"/>
    <w:rsid w:val="2B1B11BE"/>
    <w:rsid w:val="2B2B7593"/>
    <w:rsid w:val="2B4036D9"/>
    <w:rsid w:val="2B62697D"/>
    <w:rsid w:val="2B757587"/>
    <w:rsid w:val="2B9351F9"/>
    <w:rsid w:val="2BD70730"/>
    <w:rsid w:val="2BED1201"/>
    <w:rsid w:val="2C0E2201"/>
    <w:rsid w:val="2C1F3FBC"/>
    <w:rsid w:val="2C3B112F"/>
    <w:rsid w:val="2C3B41D2"/>
    <w:rsid w:val="2C944F3E"/>
    <w:rsid w:val="2CA21912"/>
    <w:rsid w:val="2CF24856"/>
    <w:rsid w:val="2CF25AAB"/>
    <w:rsid w:val="2D005368"/>
    <w:rsid w:val="2D1C2C52"/>
    <w:rsid w:val="2D841FE4"/>
    <w:rsid w:val="2D92484F"/>
    <w:rsid w:val="2DC5038A"/>
    <w:rsid w:val="2DC5368D"/>
    <w:rsid w:val="2DCD5B93"/>
    <w:rsid w:val="2DE67AAF"/>
    <w:rsid w:val="2DF11BE3"/>
    <w:rsid w:val="2E177BB2"/>
    <w:rsid w:val="2E43027E"/>
    <w:rsid w:val="2EAC73FF"/>
    <w:rsid w:val="2EB962C9"/>
    <w:rsid w:val="2EDA6C9B"/>
    <w:rsid w:val="2F1702E9"/>
    <w:rsid w:val="2F2401D4"/>
    <w:rsid w:val="2F337F86"/>
    <w:rsid w:val="2F3B2A6E"/>
    <w:rsid w:val="2F450F87"/>
    <w:rsid w:val="2F576F11"/>
    <w:rsid w:val="2F8E22F1"/>
    <w:rsid w:val="2FA5242E"/>
    <w:rsid w:val="2FA74A26"/>
    <w:rsid w:val="2FB344DB"/>
    <w:rsid w:val="302A15CD"/>
    <w:rsid w:val="30AE40F2"/>
    <w:rsid w:val="30D32C78"/>
    <w:rsid w:val="30FD3B28"/>
    <w:rsid w:val="31346291"/>
    <w:rsid w:val="313F0059"/>
    <w:rsid w:val="315C4D8C"/>
    <w:rsid w:val="31866FAB"/>
    <w:rsid w:val="3199300C"/>
    <w:rsid w:val="31A23F7B"/>
    <w:rsid w:val="31BF5CA8"/>
    <w:rsid w:val="31FD0F37"/>
    <w:rsid w:val="32102103"/>
    <w:rsid w:val="32477F9F"/>
    <w:rsid w:val="32855160"/>
    <w:rsid w:val="328B1374"/>
    <w:rsid w:val="328D2D62"/>
    <w:rsid w:val="32BF6098"/>
    <w:rsid w:val="32C44AE3"/>
    <w:rsid w:val="32D526C5"/>
    <w:rsid w:val="32F02F60"/>
    <w:rsid w:val="33005408"/>
    <w:rsid w:val="33260DF3"/>
    <w:rsid w:val="333C07D1"/>
    <w:rsid w:val="337A3E72"/>
    <w:rsid w:val="33A71D1F"/>
    <w:rsid w:val="33B67F0F"/>
    <w:rsid w:val="33C17D0E"/>
    <w:rsid w:val="33C90490"/>
    <w:rsid w:val="33D3522E"/>
    <w:rsid w:val="33D47D4F"/>
    <w:rsid w:val="340E4FF9"/>
    <w:rsid w:val="34342AB3"/>
    <w:rsid w:val="346236BF"/>
    <w:rsid w:val="3490635C"/>
    <w:rsid w:val="34E03976"/>
    <w:rsid w:val="34EE7BB1"/>
    <w:rsid w:val="35263BB0"/>
    <w:rsid w:val="352D75A8"/>
    <w:rsid w:val="35376050"/>
    <w:rsid w:val="353848BB"/>
    <w:rsid w:val="35574976"/>
    <w:rsid w:val="356276C1"/>
    <w:rsid w:val="35634B00"/>
    <w:rsid w:val="35C00EAE"/>
    <w:rsid w:val="35C02FED"/>
    <w:rsid w:val="35C12CD7"/>
    <w:rsid w:val="363A5D32"/>
    <w:rsid w:val="36645AEA"/>
    <w:rsid w:val="36827B9E"/>
    <w:rsid w:val="369A20DD"/>
    <w:rsid w:val="36C52CD5"/>
    <w:rsid w:val="372F7C7C"/>
    <w:rsid w:val="37400E32"/>
    <w:rsid w:val="3741325E"/>
    <w:rsid w:val="37457E74"/>
    <w:rsid w:val="374910FA"/>
    <w:rsid w:val="374A1E4C"/>
    <w:rsid w:val="375978BF"/>
    <w:rsid w:val="379B110E"/>
    <w:rsid w:val="37A60CD0"/>
    <w:rsid w:val="37B41B04"/>
    <w:rsid w:val="37BF5371"/>
    <w:rsid w:val="37DB688A"/>
    <w:rsid w:val="37F335B0"/>
    <w:rsid w:val="37F548CB"/>
    <w:rsid w:val="380D0FF3"/>
    <w:rsid w:val="387B3B55"/>
    <w:rsid w:val="38B72660"/>
    <w:rsid w:val="38BD7916"/>
    <w:rsid w:val="38C23DE9"/>
    <w:rsid w:val="38E4489E"/>
    <w:rsid w:val="38FB70E7"/>
    <w:rsid w:val="39204F51"/>
    <w:rsid w:val="39701E67"/>
    <w:rsid w:val="397E6910"/>
    <w:rsid w:val="3A4D1E76"/>
    <w:rsid w:val="3AC56A51"/>
    <w:rsid w:val="3ACB25D6"/>
    <w:rsid w:val="3AFE702D"/>
    <w:rsid w:val="3B0E0C3B"/>
    <w:rsid w:val="3B225C51"/>
    <w:rsid w:val="3B245489"/>
    <w:rsid w:val="3B3A381D"/>
    <w:rsid w:val="3B412972"/>
    <w:rsid w:val="3B4C7DD1"/>
    <w:rsid w:val="3B5D137F"/>
    <w:rsid w:val="3B6049CB"/>
    <w:rsid w:val="3B606816"/>
    <w:rsid w:val="3B68055C"/>
    <w:rsid w:val="3B721655"/>
    <w:rsid w:val="3B88248B"/>
    <w:rsid w:val="3BC91BD6"/>
    <w:rsid w:val="3BCF138B"/>
    <w:rsid w:val="3BD833E8"/>
    <w:rsid w:val="3C060ED2"/>
    <w:rsid w:val="3C1C1697"/>
    <w:rsid w:val="3C2029C6"/>
    <w:rsid w:val="3C44609B"/>
    <w:rsid w:val="3C547BCE"/>
    <w:rsid w:val="3C6E44C4"/>
    <w:rsid w:val="3C7C1B90"/>
    <w:rsid w:val="3C88242C"/>
    <w:rsid w:val="3CA81314"/>
    <w:rsid w:val="3CBE7045"/>
    <w:rsid w:val="3D00677B"/>
    <w:rsid w:val="3D114117"/>
    <w:rsid w:val="3D272798"/>
    <w:rsid w:val="3D460A1D"/>
    <w:rsid w:val="3D967677"/>
    <w:rsid w:val="3D997F87"/>
    <w:rsid w:val="3DE3611D"/>
    <w:rsid w:val="3DFF705C"/>
    <w:rsid w:val="3E051245"/>
    <w:rsid w:val="3E0D13FA"/>
    <w:rsid w:val="3E115919"/>
    <w:rsid w:val="3E2A322C"/>
    <w:rsid w:val="3E546A9E"/>
    <w:rsid w:val="3E630A5B"/>
    <w:rsid w:val="3E756C80"/>
    <w:rsid w:val="3E8110D7"/>
    <w:rsid w:val="3E8A78F0"/>
    <w:rsid w:val="3EB97930"/>
    <w:rsid w:val="3EC351A3"/>
    <w:rsid w:val="3EE50DEA"/>
    <w:rsid w:val="3EE64587"/>
    <w:rsid w:val="3F1B30E3"/>
    <w:rsid w:val="3F285C7B"/>
    <w:rsid w:val="3F2D5A99"/>
    <w:rsid w:val="3F4474D0"/>
    <w:rsid w:val="3F4A7B14"/>
    <w:rsid w:val="3F502BFA"/>
    <w:rsid w:val="3F6000BE"/>
    <w:rsid w:val="3F7B0026"/>
    <w:rsid w:val="3FBC0130"/>
    <w:rsid w:val="3FBF580A"/>
    <w:rsid w:val="3FDD483D"/>
    <w:rsid w:val="3FFC7D40"/>
    <w:rsid w:val="403E406C"/>
    <w:rsid w:val="405F34A4"/>
    <w:rsid w:val="4069429E"/>
    <w:rsid w:val="40834B19"/>
    <w:rsid w:val="40A23217"/>
    <w:rsid w:val="40B92C8A"/>
    <w:rsid w:val="40D4575C"/>
    <w:rsid w:val="40DB5220"/>
    <w:rsid w:val="41097C06"/>
    <w:rsid w:val="412D26C4"/>
    <w:rsid w:val="415B7E73"/>
    <w:rsid w:val="41654AEA"/>
    <w:rsid w:val="418F7C3E"/>
    <w:rsid w:val="41AA68A5"/>
    <w:rsid w:val="41AD1550"/>
    <w:rsid w:val="41D466A3"/>
    <w:rsid w:val="41D72F7F"/>
    <w:rsid w:val="41F41D36"/>
    <w:rsid w:val="421F3190"/>
    <w:rsid w:val="42340994"/>
    <w:rsid w:val="42380D8C"/>
    <w:rsid w:val="424E557E"/>
    <w:rsid w:val="42566E71"/>
    <w:rsid w:val="42645A02"/>
    <w:rsid w:val="42742222"/>
    <w:rsid w:val="42816D07"/>
    <w:rsid w:val="4284031F"/>
    <w:rsid w:val="428B3D82"/>
    <w:rsid w:val="42B94ADB"/>
    <w:rsid w:val="42BA7D84"/>
    <w:rsid w:val="42C254B8"/>
    <w:rsid w:val="42E5552B"/>
    <w:rsid w:val="42F9019F"/>
    <w:rsid w:val="43281146"/>
    <w:rsid w:val="43476B9D"/>
    <w:rsid w:val="43553439"/>
    <w:rsid w:val="43713EB0"/>
    <w:rsid w:val="43813731"/>
    <w:rsid w:val="43B2604B"/>
    <w:rsid w:val="43B56A1D"/>
    <w:rsid w:val="43F46A6F"/>
    <w:rsid w:val="44015BEA"/>
    <w:rsid w:val="44061480"/>
    <w:rsid w:val="440E7195"/>
    <w:rsid w:val="4458105D"/>
    <w:rsid w:val="446701AF"/>
    <w:rsid w:val="44790B2D"/>
    <w:rsid w:val="447F4D19"/>
    <w:rsid w:val="4484797D"/>
    <w:rsid w:val="44DA57EF"/>
    <w:rsid w:val="456B212D"/>
    <w:rsid w:val="45E83FC7"/>
    <w:rsid w:val="45E8729D"/>
    <w:rsid w:val="45EA7D1F"/>
    <w:rsid w:val="460D3F67"/>
    <w:rsid w:val="462C510E"/>
    <w:rsid w:val="46344881"/>
    <w:rsid w:val="464417A7"/>
    <w:rsid w:val="46472B48"/>
    <w:rsid w:val="464E1F1E"/>
    <w:rsid w:val="467A641B"/>
    <w:rsid w:val="46916EDC"/>
    <w:rsid w:val="46AF075C"/>
    <w:rsid w:val="46CB1893"/>
    <w:rsid w:val="46CE7BB7"/>
    <w:rsid w:val="46D47503"/>
    <w:rsid w:val="46DA1AD6"/>
    <w:rsid w:val="47047A36"/>
    <w:rsid w:val="472736E8"/>
    <w:rsid w:val="47463B92"/>
    <w:rsid w:val="474918D0"/>
    <w:rsid w:val="47591C64"/>
    <w:rsid w:val="47663C8A"/>
    <w:rsid w:val="47A65940"/>
    <w:rsid w:val="47B63AAE"/>
    <w:rsid w:val="47DE6C76"/>
    <w:rsid w:val="4822043E"/>
    <w:rsid w:val="482B1991"/>
    <w:rsid w:val="483336B9"/>
    <w:rsid w:val="4836326E"/>
    <w:rsid w:val="48385546"/>
    <w:rsid w:val="484B1C7C"/>
    <w:rsid w:val="48B8636A"/>
    <w:rsid w:val="48D250C5"/>
    <w:rsid w:val="48EA2BF1"/>
    <w:rsid w:val="48F34C98"/>
    <w:rsid w:val="48F958D9"/>
    <w:rsid w:val="49016A00"/>
    <w:rsid w:val="490278F1"/>
    <w:rsid w:val="491352B1"/>
    <w:rsid w:val="491E5A9F"/>
    <w:rsid w:val="495148F1"/>
    <w:rsid w:val="498F7498"/>
    <w:rsid w:val="499E7C75"/>
    <w:rsid w:val="49A72AAE"/>
    <w:rsid w:val="49A92D17"/>
    <w:rsid w:val="49B82999"/>
    <w:rsid w:val="49B8556E"/>
    <w:rsid w:val="49D63838"/>
    <w:rsid w:val="4A065DB2"/>
    <w:rsid w:val="4A1672C9"/>
    <w:rsid w:val="4A2711EA"/>
    <w:rsid w:val="4A4B7C6C"/>
    <w:rsid w:val="4A816461"/>
    <w:rsid w:val="4AA61C10"/>
    <w:rsid w:val="4AE57DE1"/>
    <w:rsid w:val="4AFB51CB"/>
    <w:rsid w:val="4AFD53FD"/>
    <w:rsid w:val="4B046FD4"/>
    <w:rsid w:val="4B150B5D"/>
    <w:rsid w:val="4B241F45"/>
    <w:rsid w:val="4B415675"/>
    <w:rsid w:val="4B63653E"/>
    <w:rsid w:val="4B66152C"/>
    <w:rsid w:val="4B690B21"/>
    <w:rsid w:val="4B7129F3"/>
    <w:rsid w:val="4B8453F8"/>
    <w:rsid w:val="4BBD24BD"/>
    <w:rsid w:val="4BFE0015"/>
    <w:rsid w:val="4C161686"/>
    <w:rsid w:val="4C19155C"/>
    <w:rsid w:val="4C2D41B9"/>
    <w:rsid w:val="4C412ABD"/>
    <w:rsid w:val="4C46484D"/>
    <w:rsid w:val="4C4D6A70"/>
    <w:rsid w:val="4C56649F"/>
    <w:rsid w:val="4C99724C"/>
    <w:rsid w:val="4CA069DB"/>
    <w:rsid w:val="4CC312AD"/>
    <w:rsid w:val="4CD24AFC"/>
    <w:rsid w:val="4CD54B68"/>
    <w:rsid w:val="4CDE1DAF"/>
    <w:rsid w:val="4CFE570A"/>
    <w:rsid w:val="4D534390"/>
    <w:rsid w:val="4D6C58FC"/>
    <w:rsid w:val="4D77222D"/>
    <w:rsid w:val="4D8A1B58"/>
    <w:rsid w:val="4DB00337"/>
    <w:rsid w:val="4DFF5565"/>
    <w:rsid w:val="4E1D48EF"/>
    <w:rsid w:val="4E62272A"/>
    <w:rsid w:val="4E766588"/>
    <w:rsid w:val="4ECB11DE"/>
    <w:rsid w:val="4ED46517"/>
    <w:rsid w:val="4EF8494C"/>
    <w:rsid w:val="4F0B2DEA"/>
    <w:rsid w:val="4F0D69EB"/>
    <w:rsid w:val="4F2F2059"/>
    <w:rsid w:val="4F5E3164"/>
    <w:rsid w:val="4F8E7901"/>
    <w:rsid w:val="4FB431FC"/>
    <w:rsid w:val="4FBA6948"/>
    <w:rsid w:val="4FE70635"/>
    <w:rsid w:val="500A6BE4"/>
    <w:rsid w:val="50225768"/>
    <w:rsid w:val="50631789"/>
    <w:rsid w:val="50A31CC7"/>
    <w:rsid w:val="50E52242"/>
    <w:rsid w:val="50FB13F8"/>
    <w:rsid w:val="51847CD0"/>
    <w:rsid w:val="518A52A4"/>
    <w:rsid w:val="51960CEF"/>
    <w:rsid w:val="519D207E"/>
    <w:rsid w:val="51A53DCD"/>
    <w:rsid w:val="51A81619"/>
    <w:rsid w:val="51BC4694"/>
    <w:rsid w:val="51E57A85"/>
    <w:rsid w:val="51E66F60"/>
    <w:rsid w:val="51E67875"/>
    <w:rsid w:val="521D6D1B"/>
    <w:rsid w:val="523E390B"/>
    <w:rsid w:val="525C5C8A"/>
    <w:rsid w:val="52972258"/>
    <w:rsid w:val="5301670B"/>
    <w:rsid w:val="531D0A87"/>
    <w:rsid w:val="53310CD0"/>
    <w:rsid w:val="53641523"/>
    <w:rsid w:val="538F2BDD"/>
    <w:rsid w:val="53924CA9"/>
    <w:rsid w:val="539F3E8B"/>
    <w:rsid w:val="53A24505"/>
    <w:rsid w:val="53A35ED2"/>
    <w:rsid w:val="53FA1B04"/>
    <w:rsid w:val="547A292C"/>
    <w:rsid w:val="54900E8D"/>
    <w:rsid w:val="54D34BDF"/>
    <w:rsid w:val="55004DFD"/>
    <w:rsid w:val="5520294D"/>
    <w:rsid w:val="55237C17"/>
    <w:rsid w:val="552770F4"/>
    <w:rsid w:val="557B1427"/>
    <w:rsid w:val="5580364E"/>
    <w:rsid w:val="558502F6"/>
    <w:rsid w:val="558D65E8"/>
    <w:rsid w:val="559A1D8A"/>
    <w:rsid w:val="55C554D3"/>
    <w:rsid w:val="55F56E2B"/>
    <w:rsid w:val="55FF5829"/>
    <w:rsid w:val="560C6576"/>
    <w:rsid w:val="560E7CB4"/>
    <w:rsid w:val="563B4BB3"/>
    <w:rsid w:val="5697353F"/>
    <w:rsid w:val="56AF0DE1"/>
    <w:rsid w:val="56B57E6A"/>
    <w:rsid w:val="56B836D8"/>
    <w:rsid w:val="56F629E5"/>
    <w:rsid w:val="575E5568"/>
    <w:rsid w:val="576A51AE"/>
    <w:rsid w:val="576C3254"/>
    <w:rsid w:val="579D29C6"/>
    <w:rsid w:val="57BF04C8"/>
    <w:rsid w:val="57DA0118"/>
    <w:rsid w:val="57EF3356"/>
    <w:rsid w:val="58445C6A"/>
    <w:rsid w:val="584C69E9"/>
    <w:rsid w:val="58883419"/>
    <w:rsid w:val="58C57B3F"/>
    <w:rsid w:val="58DB5A41"/>
    <w:rsid w:val="5931649C"/>
    <w:rsid w:val="59674AFC"/>
    <w:rsid w:val="59684D44"/>
    <w:rsid w:val="599B0208"/>
    <w:rsid w:val="59A21ACF"/>
    <w:rsid w:val="59D943F3"/>
    <w:rsid w:val="5A2748B5"/>
    <w:rsid w:val="5A294B9D"/>
    <w:rsid w:val="5A9E6907"/>
    <w:rsid w:val="5B307029"/>
    <w:rsid w:val="5B52361E"/>
    <w:rsid w:val="5B5547DA"/>
    <w:rsid w:val="5B73665D"/>
    <w:rsid w:val="5B7E7519"/>
    <w:rsid w:val="5B865173"/>
    <w:rsid w:val="5B8A5AEA"/>
    <w:rsid w:val="5BA168FC"/>
    <w:rsid w:val="5BA37FCD"/>
    <w:rsid w:val="5BF37676"/>
    <w:rsid w:val="5C052AA0"/>
    <w:rsid w:val="5C11011B"/>
    <w:rsid w:val="5C3F7AF2"/>
    <w:rsid w:val="5C460AC9"/>
    <w:rsid w:val="5C5F102A"/>
    <w:rsid w:val="5C764DF0"/>
    <w:rsid w:val="5C8A1451"/>
    <w:rsid w:val="5C8B4E57"/>
    <w:rsid w:val="5C9D73D6"/>
    <w:rsid w:val="5CE67305"/>
    <w:rsid w:val="5D0B70A2"/>
    <w:rsid w:val="5D414205"/>
    <w:rsid w:val="5D5E2D2E"/>
    <w:rsid w:val="5D9F4E42"/>
    <w:rsid w:val="5DE80B25"/>
    <w:rsid w:val="5E08356F"/>
    <w:rsid w:val="5E1C7E9B"/>
    <w:rsid w:val="5E4141B6"/>
    <w:rsid w:val="5E456113"/>
    <w:rsid w:val="5E9F5041"/>
    <w:rsid w:val="5EAD2ACF"/>
    <w:rsid w:val="5EB83EAB"/>
    <w:rsid w:val="5EE3011D"/>
    <w:rsid w:val="5EFB1673"/>
    <w:rsid w:val="5F141193"/>
    <w:rsid w:val="5F161176"/>
    <w:rsid w:val="5F1B5087"/>
    <w:rsid w:val="5F4A118F"/>
    <w:rsid w:val="5F63370B"/>
    <w:rsid w:val="5F8F73D7"/>
    <w:rsid w:val="5F9C1BC7"/>
    <w:rsid w:val="5F9F3EE1"/>
    <w:rsid w:val="5FB310F1"/>
    <w:rsid w:val="5FB52C88"/>
    <w:rsid w:val="5FC8765F"/>
    <w:rsid w:val="5FE07569"/>
    <w:rsid w:val="6043073C"/>
    <w:rsid w:val="6070711C"/>
    <w:rsid w:val="607D27D5"/>
    <w:rsid w:val="60A172C9"/>
    <w:rsid w:val="60D463C4"/>
    <w:rsid w:val="60E55B1D"/>
    <w:rsid w:val="61274BFD"/>
    <w:rsid w:val="613C442F"/>
    <w:rsid w:val="614108FE"/>
    <w:rsid w:val="61721786"/>
    <w:rsid w:val="617D362A"/>
    <w:rsid w:val="618E2B9D"/>
    <w:rsid w:val="61BE5813"/>
    <w:rsid w:val="61D94C85"/>
    <w:rsid w:val="62072434"/>
    <w:rsid w:val="62117195"/>
    <w:rsid w:val="621F02C3"/>
    <w:rsid w:val="62380FD2"/>
    <w:rsid w:val="626F2334"/>
    <w:rsid w:val="62800487"/>
    <w:rsid w:val="62880931"/>
    <w:rsid w:val="62A57F95"/>
    <w:rsid w:val="62B90ACD"/>
    <w:rsid w:val="6321544B"/>
    <w:rsid w:val="6353259C"/>
    <w:rsid w:val="635D4C57"/>
    <w:rsid w:val="638B4EB9"/>
    <w:rsid w:val="63B260C2"/>
    <w:rsid w:val="63C416EC"/>
    <w:rsid w:val="63FE49D3"/>
    <w:rsid w:val="64046F03"/>
    <w:rsid w:val="6419292F"/>
    <w:rsid w:val="641A7AB3"/>
    <w:rsid w:val="645E744B"/>
    <w:rsid w:val="64945202"/>
    <w:rsid w:val="64B8674B"/>
    <w:rsid w:val="64CC2A37"/>
    <w:rsid w:val="64E060B2"/>
    <w:rsid w:val="64EF1431"/>
    <w:rsid w:val="651915C4"/>
    <w:rsid w:val="6523084E"/>
    <w:rsid w:val="6527494E"/>
    <w:rsid w:val="653331C7"/>
    <w:rsid w:val="6548459E"/>
    <w:rsid w:val="65515DB5"/>
    <w:rsid w:val="655B1139"/>
    <w:rsid w:val="6562177C"/>
    <w:rsid w:val="656936B1"/>
    <w:rsid w:val="657C62D3"/>
    <w:rsid w:val="65891836"/>
    <w:rsid w:val="658C194A"/>
    <w:rsid w:val="659333ED"/>
    <w:rsid w:val="65A27A78"/>
    <w:rsid w:val="65A46D8F"/>
    <w:rsid w:val="65C6693B"/>
    <w:rsid w:val="65D76F67"/>
    <w:rsid w:val="661B7749"/>
    <w:rsid w:val="661C6D07"/>
    <w:rsid w:val="662D3578"/>
    <w:rsid w:val="66423170"/>
    <w:rsid w:val="66464644"/>
    <w:rsid w:val="66945593"/>
    <w:rsid w:val="66A16DF5"/>
    <w:rsid w:val="66BE0674"/>
    <w:rsid w:val="66C0269F"/>
    <w:rsid w:val="66D4713E"/>
    <w:rsid w:val="66E126E3"/>
    <w:rsid w:val="66E934EF"/>
    <w:rsid w:val="67117FE8"/>
    <w:rsid w:val="67204E8B"/>
    <w:rsid w:val="67285404"/>
    <w:rsid w:val="6774677E"/>
    <w:rsid w:val="677C408B"/>
    <w:rsid w:val="67B50903"/>
    <w:rsid w:val="67F34EBC"/>
    <w:rsid w:val="6803218D"/>
    <w:rsid w:val="6816477F"/>
    <w:rsid w:val="685B2508"/>
    <w:rsid w:val="685B68C2"/>
    <w:rsid w:val="687C3078"/>
    <w:rsid w:val="6891619E"/>
    <w:rsid w:val="68CD0889"/>
    <w:rsid w:val="690A0C77"/>
    <w:rsid w:val="69166F99"/>
    <w:rsid w:val="69456E27"/>
    <w:rsid w:val="694A5945"/>
    <w:rsid w:val="697668D2"/>
    <w:rsid w:val="697E5FFD"/>
    <w:rsid w:val="69B56DC8"/>
    <w:rsid w:val="69EE65DC"/>
    <w:rsid w:val="69F541EE"/>
    <w:rsid w:val="6A1E64B3"/>
    <w:rsid w:val="6A3A734F"/>
    <w:rsid w:val="6A553C73"/>
    <w:rsid w:val="6A5A336A"/>
    <w:rsid w:val="6A685113"/>
    <w:rsid w:val="6A911100"/>
    <w:rsid w:val="6A9F7F15"/>
    <w:rsid w:val="6B3B475E"/>
    <w:rsid w:val="6B4A2071"/>
    <w:rsid w:val="6B567C6D"/>
    <w:rsid w:val="6B6A02C0"/>
    <w:rsid w:val="6B6E673B"/>
    <w:rsid w:val="6BA13111"/>
    <w:rsid w:val="6BB3513A"/>
    <w:rsid w:val="6BFC1AEE"/>
    <w:rsid w:val="6C1D6E6A"/>
    <w:rsid w:val="6C340BCC"/>
    <w:rsid w:val="6C5844C0"/>
    <w:rsid w:val="6C5A0E3F"/>
    <w:rsid w:val="6C7041BF"/>
    <w:rsid w:val="6C9C7F3A"/>
    <w:rsid w:val="6CA1081C"/>
    <w:rsid w:val="6CA200F0"/>
    <w:rsid w:val="6CB87914"/>
    <w:rsid w:val="6CD47990"/>
    <w:rsid w:val="6CE35466"/>
    <w:rsid w:val="6CF22E26"/>
    <w:rsid w:val="6CF70BDA"/>
    <w:rsid w:val="6D1F1486"/>
    <w:rsid w:val="6D374555"/>
    <w:rsid w:val="6D985078"/>
    <w:rsid w:val="6DA54A57"/>
    <w:rsid w:val="6E272FA3"/>
    <w:rsid w:val="6E73219B"/>
    <w:rsid w:val="6E786E93"/>
    <w:rsid w:val="6EA3225C"/>
    <w:rsid w:val="6F0F60B4"/>
    <w:rsid w:val="6F5854A1"/>
    <w:rsid w:val="6F773207"/>
    <w:rsid w:val="6F8A6141"/>
    <w:rsid w:val="6FA30349"/>
    <w:rsid w:val="70334A73"/>
    <w:rsid w:val="7073427E"/>
    <w:rsid w:val="70C87161"/>
    <w:rsid w:val="711911D0"/>
    <w:rsid w:val="712648FE"/>
    <w:rsid w:val="713E2ADE"/>
    <w:rsid w:val="715B3DE8"/>
    <w:rsid w:val="716D3CA6"/>
    <w:rsid w:val="719B1D2C"/>
    <w:rsid w:val="71A84B8C"/>
    <w:rsid w:val="71CD5A07"/>
    <w:rsid w:val="71D03789"/>
    <w:rsid w:val="71E12343"/>
    <w:rsid w:val="724E1DBC"/>
    <w:rsid w:val="72783DCD"/>
    <w:rsid w:val="727F69D0"/>
    <w:rsid w:val="72843FF6"/>
    <w:rsid w:val="729624A5"/>
    <w:rsid w:val="72AB30A3"/>
    <w:rsid w:val="72C029C9"/>
    <w:rsid w:val="733C6A12"/>
    <w:rsid w:val="733D34B8"/>
    <w:rsid w:val="735A7977"/>
    <w:rsid w:val="73600996"/>
    <w:rsid w:val="73600997"/>
    <w:rsid w:val="739C0091"/>
    <w:rsid w:val="73BF0CBC"/>
    <w:rsid w:val="73E55129"/>
    <w:rsid w:val="73FC19B3"/>
    <w:rsid w:val="743E4348"/>
    <w:rsid w:val="7443709D"/>
    <w:rsid w:val="746D4BE5"/>
    <w:rsid w:val="74E41BEE"/>
    <w:rsid w:val="74E548C8"/>
    <w:rsid w:val="74F55A7A"/>
    <w:rsid w:val="751A116C"/>
    <w:rsid w:val="752E2715"/>
    <w:rsid w:val="75360521"/>
    <w:rsid w:val="75461F61"/>
    <w:rsid w:val="755840E0"/>
    <w:rsid w:val="756046A5"/>
    <w:rsid w:val="756D6C3E"/>
    <w:rsid w:val="75F75951"/>
    <w:rsid w:val="76166340"/>
    <w:rsid w:val="76375D4D"/>
    <w:rsid w:val="76531935"/>
    <w:rsid w:val="767A51D7"/>
    <w:rsid w:val="768A0D34"/>
    <w:rsid w:val="76BE3571"/>
    <w:rsid w:val="76C13BE2"/>
    <w:rsid w:val="76C608A6"/>
    <w:rsid w:val="76C72460"/>
    <w:rsid w:val="76CF3695"/>
    <w:rsid w:val="76FB6D7B"/>
    <w:rsid w:val="771B3C14"/>
    <w:rsid w:val="77300603"/>
    <w:rsid w:val="773F16B0"/>
    <w:rsid w:val="77A73846"/>
    <w:rsid w:val="77BA6C36"/>
    <w:rsid w:val="77C173B4"/>
    <w:rsid w:val="77E647CF"/>
    <w:rsid w:val="78270687"/>
    <w:rsid w:val="784C4C99"/>
    <w:rsid w:val="78716F14"/>
    <w:rsid w:val="78786761"/>
    <w:rsid w:val="78962251"/>
    <w:rsid w:val="78C478A5"/>
    <w:rsid w:val="78D11564"/>
    <w:rsid w:val="78D911F2"/>
    <w:rsid w:val="78DB6E64"/>
    <w:rsid w:val="78E0447A"/>
    <w:rsid w:val="78F5776E"/>
    <w:rsid w:val="78FA59AF"/>
    <w:rsid w:val="790A6F56"/>
    <w:rsid w:val="79176DF2"/>
    <w:rsid w:val="793B7903"/>
    <w:rsid w:val="796E7CD8"/>
    <w:rsid w:val="7980296B"/>
    <w:rsid w:val="798B43D9"/>
    <w:rsid w:val="798C7B5D"/>
    <w:rsid w:val="79BF4D8B"/>
    <w:rsid w:val="79CD2C51"/>
    <w:rsid w:val="79D5374D"/>
    <w:rsid w:val="79D5605F"/>
    <w:rsid w:val="79E17989"/>
    <w:rsid w:val="7A36128F"/>
    <w:rsid w:val="7A380615"/>
    <w:rsid w:val="7A384E9A"/>
    <w:rsid w:val="7A4D275A"/>
    <w:rsid w:val="7A625AC2"/>
    <w:rsid w:val="7A6A4943"/>
    <w:rsid w:val="7A6D6D1F"/>
    <w:rsid w:val="7A7C379E"/>
    <w:rsid w:val="7AF16C40"/>
    <w:rsid w:val="7AF307DC"/>
    <w:rsid w:val="7AF85B30"/>
    <w:rsid w:val="7B0B4B7F"/>
    <w:rsid w:val="7B1C357F"/>
    <w:rsid w:val="7BDF6383"/>
    <w:rsid w:val="7BF24BF0"/>
    <w:rsid w:val="7BFF2E69"/>
    <w:rsid w:val="7C10487B"/>
    <w:rsid w:val="7C23576F"/>
    <w:rsid w:val="7C240048"/>
    <w:rsid w:val="7C41492F"/>
    <w:rsid w:val="7C4C40AA"/>
    <w:rsid w:val="7CCE1C23"/>
    <w:rsid w:val="7CD73DE6"/>
    <w:rsid w:val="7D011E1A"/>
    <w:rsid w:val="7D1278C0"/>
    <w:rsid w:val="7D36433B"/>
    <w:rsid w:val="7D4A1E4C"/>
    <w:rsid w:val="7D594473"/>
    <w:rsid w:val="7D5B2150"/>
    <w:rsid w:val="7D5B394E"/>
    <w:rsid w:val="7D8F45FC"/>
    <w:rsid w:val="7DCC321F"/>
    <w:rsid w:val="7DE26FC4"/>
    <w:rsid w:val="7DEF317C"/>
    <w:rsid w:val="7DF021B4"/>
    <w:rsid w:val="7E0A50F3"/>
    <w:rsid w:val="7E956169"/>
    <w:rsid w:val="7EAA7383"/>
    <w:rsid w:val="7EB07D4A"/>
    <w:rsid w:val="7EB326C5"/>
    <w:rsid w:val="7EDD0445"/>
    <w:rsid w:val="7EF04C19"/>
    <w:rsid w:val="7F1D124A"/>
    <w:rsid w:val="7F2468E1"/>
    <w:rsid w:val="7F4D7267"/>
    <w:rsid w:val="7F7A4D66"/>
    <w:rsid w:val="7F9B1982"/>
    <w:rsid w:val="7FC6270F"/>
    <w:rsid w:val="7FCF0063"/>
    <w:rsid w:val="7FD52D0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99"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55"/>
    <w:qFormat/>
    <w:uiPriority w:val="99"/>
    <w:pPr>
      <w:keepNext/>
      <w:keepLines/>
      <w:tabs>
        <w:tab w:val="left" w:pos="567"/>
      </w:tabs>
      <w:spacing w:line="360" w:lineRule="auto"/>
      <w:ind w:left="567" w:hanging="567"/>
      <w:outlineLvl w:val="1"/>
    </w:pPr>
    <w:rPr>
      <w:rFonts w:ascii="Arial" w:hAnsi="Arial"/>
      <w:bCs/>
      <w:color w:val="000000"/>
      <w:sz w:val="28"/>
      <w:szCs w:val="32"/>
      <w:lang w:val="pt-BR"/>
    </w:rPr>
  </w:style>
  <w:style w:type="paragraph" w:styleId="4">
    <w:name w:val="heading 3"/>
    <w:basedOn w:val="1"/>
    <w:next w:val="1"/>
    <w:link w:val="265"/>
    <w:qFormat/>
    <w:uiPriority w:val="99"/>
    <w:pPr>
      <w:keepNext/>
      <w:keepLines/>
      <w:outlineLvl w:val="2"/>
    </w:pPr>
    <w:rPr>
      <w:rFonts w:ascii="Calibri" w:hAnsi="Calibri"/>
      <w:b/>
      <w:kern w:val="0"/>
      <w:sz w:val="32"/>
      <w:szCs w:val="20"/>
    </w:rPr>
  </w:style>
  <w:style w:type="paragraph" w:styleId="5">
    <w:name w:val="heading 4"/>
    <w:basedOn w:val="1"/>
    <w:next w:val="1"/>
    <w:link w:val="57"/>
    <w:qFormat/>
    <w:uiPriority w:val="99"/>
    <w:pPr>
      <w:keepNext/>
      <w:spacing w:before="240" w:after="60"/>
      <w:outlineLvl w:val="3"/>
    </w:pPr>
    <w:rPr>
      <w:b/>
      <w:bCs/>
      <w:sz w:val="28"/>
      <w:szCs w:val="28"/>
    </w:rPr>
  </w:style>
  <w:style w:type="paragraph" w:styleId="6">
    <w:name w:val="heading 5"/>
    <w:basedOn w:val="1"/>
    <w:next w:val="1"/>
    <w:link w:val="58"/>
    <w:qFormat/>
    <w:uiPriority w:val="99"/>
    <w:pPr>
      <w:keepNext/>
      <w:keepLines/>
      <w:widowControl/>
      <w:tabs>
        <w:tab w:val="left" w:pos="360"/>
      </w:tabs>
      <w:overflowPunct w:val="0"/>
      <w:autoSpaceDE w:val="0"/>
      <w:autoSpaceDN w:val="0"/>
      <w:adjustRightInd w:val="0"/>
      <w:snapToGrid w:val="0"/>
      <w:spacing w:before="280" w:after="290" w:line="376" w:lineRule="auto"/>
      <w:ind w:firstLine="510"/>
      <w:textAlignment w:val="baseline"/>
      <w:outlineLvl w:val="4"/>
    </w:pPr>
    <w:rPr>
      <w:b/>
      <w:kern w:val="0"/>
      <w:sz w:val="28"/>
      <w:szCs w:val="20"/>
    </w:rPr>
  </w:style>
  <w:style w:type="paragraph" w:styleId="7">
    <w:name w:val="heading 6"/>
    <w:basedOn w:val="1"/>
    <w:next w:val="1"/>
    <w:link w:val="59"/>
    <w:qFormat/>
    <w:uiPriority w:val="9"/>
    <w:pPr>
      <w:keepNext/>
      <w:keepLines/>
      <w:spacing w:before="200"/>
      <w:outlineLvl w:val="5"/>
    </w:pPr>
    <w:rPr>
      <w:rFonts w:ascii="Calibri Light" w:hAnsi="Calibri Light"/>
      <w:i/>
      <w:iCs/>
      <w:color w:val="1F4D78"/>
      <w:szCs w:val="22"/>
    </w:rPr>
  </w:style>
  <w:style w:type="paragraph" w:styleId="8">
    <w:name w:val="heading 7"/>
    <w:basedOn w:val="1"/>
    <w:next w:val="1"/>
    <w:link w:val="60"/>
    <w:qFormat/>
    <w:uiPriority w:val="9"/>
    <w:pPr>
      <w:keepNext/>
      <w:keepLines/>
      <w:spacing w:before="200"/>
      <w:outlineLvl w:val="6"/>
    </w:pPr>
    <w:rPr>
      <w:rFonts w:ascii="Calibri Light" w:hAnsi="Calibri Light"/>
      <w:i/>
      <w:iCs/>
      <w:color w:val="404040"/>
      <w:szCs w:val="22"/>
    </w:rPr>
  </w:style>
  <w:style w:type="paragraph" w:styleId="9">
    <w:name w:val="heading 8"/>
    <w:basedOn w:val="1"/>
    <w:next w:val="1"/>
    <w:link w:val="61"/>
    <w:qFormat/>
    <w:uiPriority w:val="9"/>
    <w:pPr>
      <w:keepNext/>
      <w:keepLines/>
      <w:spacing w:before="200"/>
      <w:outlineLvl w:val="7"/>
    </w:pPr>
    <w:rPr>
      <w:rFonts w:ascii="Calibri Light" w:hAnsi="Calibri Light"/>
      <w:color w:val="5B9BD5"/>
      <w:sz w:val="20"/>
      <w:szCs w:val="20"/>
    </w:rPr>
  </w:style>
  <w:style w:type="paragraph" w:styleId="10">
    <w:name w:val="heading 9"/>
    <w:basedOn w:val="1"/>
    <w:next w:val="1"/>
    <w:link w:val="62"/>
    <w:qFormat/>
    <w:uiPriority w:val="9"/>
    <w:pPr>
      <w:keepNext/>
      <w:keepLines/>
      <w:spacing w:before="200"/>
      <w:outlineLvl w:val="8"/>
    </w:pPr>
    <w:rPr>
      <w:rFonts w:ascii="Calibri Light" w:hAnsi="Calibri Light"/>
      <w:i/>
      <w:iCs/>
      <w:color w:val="404040"/>
      <w:sz w:val="20"/>
      <w:szCs w:val="20"/>
    </w:rPr>
  </w:style>
  <w:style w:type="character" w:default="1" w:styleId="39">
    <w:name w:val="Default Paragraph Font"/>
    <w:unhideWhenUsed/>
    <w:qFormat/>
    <w:uiPriority w:val="1"/>
  </w:style>
  <w:style w:type="table" w:default="1" w:styleId="37">
    <w:name w:val="Normal Table"/>
    <w:unhideWhenUsed/>
    <w:qFormat/>
    <w:uiPriority w:val="99"/>
    <w:tblPr>
      <w:tblCellMar>
        <w:top w:w="0" w:type="dxa"/>
        <w:left w:w="108" w:type="dxa"/>
        <w:bottom w:w="0" w:type="dxa"/>
        <w:right w:w="108" w:type="dxa"/>
      </w:tblCellMar>
    </w:tblPr>
  </w:style>
  <w:style w:type="paragraph" w:styleId="11">
    <w:name w:val="index 8"/>
    <w:basedOn w:val="1"/>
    <w:next w:val="1"/>
    <w:qFormat/>
    <w:uiPriority w:val="0"/>
    <w:pPr>
      <w:ind w:left="2940"/>
    </w:pPr>
  </w:style>
  <w:style w:type="paragraph" w:styleId="12">
    <w:name w:val="Normal Indent"/>
    <w:basedOn w:val="1"/>
    <w:qFormat/>
    <w:uiPriority w:val="99"/>
    <w:pPr>
      <w:ind w:firstLine="420"/>
    </w:pPr>
    <w:rPr>
      <w:szCs w:val="20"/>
    </w:rPr>
  </w:style>
  <w:style w:type="paragraph" w:styleId="13">
    <w:name w:val="Document Map"/>
    <w:basedOn w:val="1"/>
    <w:link w:val="63"/>
    <w:qFormat/>
    <w:uiPriority w:val="99"/>
    <w:pPr>
      <w:shd w:val="clear" w:color="auto" w:fill="000080"/>
    </w:pPr>
    <w:rPr>
      <w:rFonts w:ascii="Calibri" w:hAnsi="Calibri" w:eastAsia="宋体" w:cs="Times New Roman"/>
    </w:rPr>
  </w:style>
  <w:style w:type="paragraph" w:styleId="14">
    <w:name w:val="annotation text"/>
    <w:basedOn w:val="1"/>
    <w:link w:val="64"/>
    <w:qFormat/>
    <w:uiPriority w:val="99"/>
    <w:pPr>
      <w:jc w:val="left"/>
    </w:pPr>
  </w:style>
  <w:style w:type="paragraph" w:styleId="15">
    <w:name w:val="Body Text 3"/>
    <w:basedOn w:val="1"/>
    <w:qFormat/>
    <w:uiPriority w:val="0"/>
    <w:pPr>
      <w:spacing w:line="500" w:lineRule="exact"/>
    </w:pPr>
    <w:rPr>
      <w:b/>
      <w:bCs/>
      <w:kern w:val="0"/>
      <w:sz w:val="24"/>
    </w:rPr>
  </w:style>
  <w:style w:type="paragraph" w:styleId="16">
    <w:name w:val="Body Text"/>
    <w:basedOn w:val="1"/>
    <w:link w:val="65"/>
    <w:qFormat/>
    <w:uiPriority w:val="99"/>
  </w:style>
  <w:style w:type="paragraph" w:styleId="17">
    <w:name w:val="Body Text Indent"/>
    <w:basedOn w:val="1"/>
    <w:next w:val="18"/>
    <w:link w:val="66"/>
    <w:qFormat/>
    <w:uiPriority w:val="99"/>
    <w:pPr>
      <w:spacing w:after="120"/>
      <w:ind w:left="420" w:leftChars="200"/>
    </w:pPr>
  </w:style>
  <w:style w:type="paragraph" w:styleId="18">
    <w:name w:val="envelope return"/>
    <w:basedOn w:val="1"/>
    <w:qFormat/>
    <w:uiPriority w:val="0"/>
    <w:pPr>
      <w:snapToGrid w:val="0"/>
    </w:pPr>
    <w:rPr>
      <w:rFonts w:ascii="Arial" w:hAnsi="Arial"/>
    </w:rPr>
  </w:style>
  <w:style w:type="paragraph" w:styleId="19">
    <w:name w:val="Block Text"/>
    <w:basedOn w:val="1"/>
    <w:qFormat/>
    <w:uiPriority w:val="0"/>
    <w:pPr>
      <w:widowControl/>
      <w:overflowPunct w:val="0"/>
      <w:autoSpaceDE w:val="0"/>
      <w:autoSpaceDN w:val="0"/>
      <w:adjustRightInd w:val="0"/>
      <w:snapToGrid w:val="0"/>
      <w:spacing w:line="360" w:lineRule="auto"/>
      <w:ind w:left="1440" w:right="-510" w:hanging="759"/>
      <w:textAlignment w:val="baseline"/>
    </w:pPr>
    <w:rPr>
      <w:kern w:val="0"/>
      <w:sz w:val="24"/>
      <w:szCs w:val="20"/>
    </w:rPr>
  </w:style>
  <w:style w:type="paragraph" w:styleId="20">
    <w:name w:val="index 4"/>
    <w:basedOn w:val="1"/>
    <w:next w:val="1"/>
    <w:qFormat/>
    <w:uiPriority w:val="99"/>
    <w:pPr>
      <w:ind w:left="600" w:leftChars="600"/>
    </w:pPr>
    <w:rPr>
      <w:rFonts w:ascii="Calibri" w:hAnsi="Calibri"/>
      <w:szCs w:val="22"/>
    </w:rPr>
  </w:style>
  <w:style w:type="paragraph" w:styleId="21">
    <w:name w:val="toc 3"/>
    <w:basedOn w:val="1"/>
    <w:next w:val="1"/>
    <w:unhideWhenUsed/>
    <w:qFormat/>
    <w:uiPriority w:val="39"/>
    <w:pPr>
      <w:ind w:left="840" w:leftChars="400"/>
    </w:pPr>
  </w:style>
  <w:style w:type="paragraph" w:styleId="22">
    <w:name w:val="Plain Text"/>
    <w:basedOn w:val="1"/>
    <w:link w:val="67"/>
    <w:qFormat/>
    <w:uiPriority w:val="0"/>
    <w:rPr>
      <w:rFonts w:ascii="宋体" w:hAnsi="Courier New"/>
      <w:szCs w:val="20"/>
    </w:rPr>
  </w:style>
  <w:style w:type="paragraph" w:styleId="23">
    <w:name w:val="Date"/>
    <w:basedOn w:val="1"/>
    <w:next w:val="1"/>
    <w:link w:val="68"/>
    <w:qFormat/>
    <w:uiPriority w:val="99"/>
    <w:pPr>
      <w:ind w:left="100" w:leftChars="2500"/>
    </w:pPr>
  </w:style>
  <w:style w:type="paragraph" w:styleId="24">
    <w:name w:val="Body Text Indent 2"/>
    <w:basedOn w:val="1"/>
    <w:link w:val="69"/>
    <w:qFormat/>
    <w:uiPriority w:val="99"/>
    <w:pPr>
      <w:spacing w:after="120" w:line="480" w:lineRule="auto"/>
      <w:ind w:left="420" w:leftChars="200"/>
    </w:pPr>
    <w:rPr>
      <w:rFonts w:ascii="Calibri" w:hAnsi="Calibri"/>
      <w:szCs w:val="22"/>
    </w:rPr>
  </w:style>
  <w:style w:type="paragraph" w:styleId="25">
    <w:name w:val="Balloon Text"/>
    <w:basedOn w:val="1"/>
    <w:link w:val="70"/>
    <w:qFormat/>
    <w:uiPriority w:val="99"/>
    <w:rPr>
      <w:rFonts w:ascii="Calibri" w:hAnsi="Calibri" w:eastAsia="宋体" w:cs="Times New Roman"/>
      <w:sz w:val="18"/>
      <w:szCs w:val="18"/>
    </w:rPr>
  </w:style>
  <w:style w:type="paragraph" w:styleId="26">
    <w:name w:val="footer"/>
    <w:basedOn w:val="1"/>
    <w:next w:val="16"/>
    <w:link w:val="71"/>
    <w:qFormat/>
    <w:uiPriority w:val="99"/>
    <w:pPr>
      <w:tabs>
        <w:tab w:val="center" w:pos="4153"/>
        <w:tab w:val="right" w:pos="8306"/>
      </w:tabs>
      <w:snapToGrid w:val="0"/>
      <w:jc w:val="left"/>
    </w:pPr>
    <w:rPr>
      <w:sz w:val="18"/>
      <w:szCs w:val="18"/>
    </w:rPr>
  </w:style>
  <w:style w:type="paragraph" w:styleId="27">
    <w:name w:val="header"/>
    <w:basedOn w:val="1"/>
    <w:link w:val="72"/>
    <w:qFormat/>
    <w:uiPriority w:val="99"/>
    <w:pPr>
      <w:pBdr>
        <w:bottom w:val="single" w:color="auto" w:sz="6" w:space="1"/>
      </w:pBdr>
      <w:tabs>
        <w:tab w:val="center" w:pos="4153"/>
        <w:tab w:val="right" w:pos="8306"/>
      </w:tabs>
      <w:snapToGrid w:val="0"/>
      <w:jc w:val="center"/>
    </w:pPr>
    <w:rPr>
      <w:sz w:val="18"/>
      <w:szCs w:val="18"/>
    </w:rPr>
  </w:style>
  <w:style w:type="paragraph" w:styleId="28">
    <w:name w:val="toc 1"/>
    <w:basedOn w:val="1"/>
    <w:next w:val="1"/>
    <w:unhideWhenUsed/>
    <w:qFormat/>
    <w:uiPriority w:val="39"/>
  </w:style>
  <w:style w:type="paragraph" w:styleId="29">
    <w:name w:val="Subtitle"/>
    <w:basedOn w:val="1"/>
    <w:next w:val="1"/>
    <w:link w:val="73"/>
    <w:qFormat/>
    <w:uiPriority w:val="11"/>
    <w:rPr>
      <w:rFonts w:ascii="Calibri Light" w:hAnsi="Calibri Light"/>
      <w:i/>
      <w:iCs/>
      <w:color w:val="5B9BD5"/>
      <w:spacing w:val="15"/>
      <w:sz w:val="24"/>
    </w:rPr>
  </w:style>
  <w:style w:type="paragraph" w:styleId="30">
    <w:name w:val="footnote text"/>
    <w:basedOn w:val="1"/>
    <w:link w:val="74"/>
    <w:qFormat/>
    <w:uiPriority w:val="99"/>
    <w:pPr>
      <w:adjustRightInd w:val="0"/>
      <w:spacing w:line="312" w:lineRule="atLeast"/>
      <w:jc w:val="left"/>
      <w:textAlignment w:val="baseline"/>
    </w:pPr>
    <w:rPr>
      <w:rFonts w:ascii="Calibri" w:hAnsi="Calibri"/>
      <w:sz w:val="18"/>
      <w:szCs w:val="22"/>
    </w:rPr>
  </w:style>
  <w:style w:type="paragraph" w:styleId="31">
    <w:name w:val="toc 2"/>
    <w:basedOn w:val="1"/>
    <w:next w:val="1"/>
    <w:unhideWhenUsed/>
    <w:qFormat/>
    <w:uiPriority w:val="39"/>
    <w:pPr>
      <w:ind w:left="420" w:leftChars="200"/>
    </w:pPr>
  </w:style>
  <w:style w:type="paragraph" w:styleId="3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33">
    <w:name w:val="Title"/>
    <w:basedOn w:val="1"/>
    <w:next w:val="1"/>
    <w:link w:val="75"/>
    <w:qFormat/>
    <w:uiPriority w:val="99"/>
    <w:pPr>
      <w:pBdr>
        <w:bottom w:val="single" w:color="5B9BD5" w:sz="8" w:space="4"/>
      </w:pBdr>
      <w:spacing w:after="300"/>
      <w:contextualSpacing/>
    </w:pPr>
    <w:rPr>
      <w:rFonts w:ascii="Calibri Light" w:hAnsi="Calibri Light"/>
      <w:color w:val="323E4F"/>
      <w:spacing w:val="5"/>
      <w:sz w:val="52"/>
      <w:szCs w:val="52"/>
    </w:rPr>
  </w:style>
  <w:style w:type="paragraph" w:styleId="34">
    <w:name w:val="annotation subject"/>
    <w:basedOn w:val="14"/>
    <w:next w:val="14"/>
    <w:link w:val="76"/>
    <w:qFormat/>
    <w:uiPriority w:val="99"/>
    <w:rPr>
      <w:rFonts w:ascii="Calibri" w:hAnsi="Calibri" w:eastAsia="宋体" w:cs="Times New Roman"/>
      <w:b/>
      <w:bCs/>
    </w:rPr>
  </w:style>
  <w:style w:type="paragraph" w:styleId="35">
    <w:name w:val="Body Text First Indent"/>
    <w:basedOn w:val="16"/>
    <w:qFormat/>
    <w:uiPriority w:val="0"/>
    <w:pPr>
      <w:widowControl w:val="0"/>
      <w:spacing w:before="0" w:after="120"/>
      <w:ind w:left="0" w:right="0" w:firstLine="420" w:firstLineChars="100"/>
      <w:jc w:val="both"/>
    </w:pPr>
    <w:rPr>
      <w:rFonts w:ascii="Times New Roman" w:hAnsi="Times New Roman" w:eastAsia="宋体" w:cs="Times New Roman"/>
      <w:kern w:val="2"/>
      <w:sz w:val="21"/>
      <w:szCs w:val="24"/>
      <w:lang w:val="en-US" w:eastAsia="zh-CN" w:bidi="ar-SA"/>
    </w:rPr>
  </w:style>
  <w:style w:type="paragraph" w:styleId="36">
    <w:name w:val="Body Text First Indent 2"/>
    <w:basedOn w:val="17"/>
    <w:unhideWhenUsed/>
    <w:qFormat/>
    <w:uiPriority w:val="99"/>
    <w:pPr>
      <w:ind w:firstLine="420" w:firstLineChars="200"/>
    </w:pPr>
  </w:style>
  <w:style w:type="table" w:styleId="38">
    <w:name w:val="Table Grid"/>
    <w:basedOn w:val="3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22"/>
    <w:rPr>
      <w:b/>
      <w:bCs/>
    </w:rPr>
  </w:style>
  <w:style w:type="character" w:styleId="41">
    <w:name w:val="page number"/>
    <w:basedOn w:val="39"/>
    <w:qFormat/>
    <w:uiPriority w:val="0"/>
    <w:rPr>
      <w:rFonts w:ascii="Times New Roman" w:hAnsi="Times New Roman" w:eastAsia="宋体" w:cs="Times New Roman"/>
      <w:lang w:bidi="ar-SA"/>
    </w:rPr>
  </w:style>
  <w:style w:type="character" w:styleId="42">
    <w:name w:val="FollowedHyperlink"/>
    <w:basedOn w:val="39"/>
    <w:unhideWhenUsed/>
    <w:qFormat/>
    <w:uiPriority w:val="99"/>
    <w:rPr>
      <w:color w:val="800080"/>
      <w:u w:val="none"/>
    </w:rPr>
  </w:style>
  <w:style w:type="character" w:styleId="43">
    <w:name w:val="Emphasis"/>
    <w:qFormat/>
    <w:uiPriority w:val="20"/>
    <w:rPr>
      <w:i/>
      <w:iCs/>
    </w:rPr>
  </w:style>
  <w:style w:type="character" w:styleId="44">
    <w:name w:val="HTML Definition"/>
    <w:basedOn w:val="39"/>
    <w:qFormat/>
    <w:uiPriority w:val="0"/>
  </w:style>
  <w:style w:type="character" w:styleId="45">
    <w:name w:val="HTML Typewriter"/>
    <w:basedOn w:val="39"/>
    <w:qFormat/>
    <w:uiPriority w:val="0"/>
    <w:rPr>
      <w:rFonts w:ascii="monospace" w:hAnsi="monospace" w:eastAsia="monospace" w:cs="monospace"/>
      <w:sz w:val="20"/>
    </w:rPr>
  </w:style>
  <w:style w:type="character" w:styleId="46">
    <w:name w:val="HTML Acronym"/>
    <w:basedOn w:val="39"/>
    <w:qFormat/>
    <w:uiPriority w:val="0"/>
  </w:style>
  <w:style w:type="character" w:styleId="47">
    <w:name w:val="HTML Variable"/>
    <w:basedOn w:val="39"/>
    <w:qFormat/>
    <w:uiPriority w:val="0"/>
  </w:style>
  <w:style w:type="character" w:styleId="48">
    <w:name w:val="Hyperlink"/>
    <w:qFormat/>
    <w:uiPriority w:val="99"/>
    <w:rPr>
      <w:color w:val="333333"/>
      <w:u w:val="none"/>
    </w:rPr>
  </w:style>
  <w:style w:type="character" w:styleId="49">
    <w:name w:val="HTML Code"/>
    <w:basedOn w:val="39"/>
    <w:qFormat/>
    <w:uiPriority w:val="0"/>
    <w:rPr>
      <w:rFonts w:hint="default" w:ascii="monospace" w:hAnsi="monospace" w:eastAsia="monospace" w:cs="monospace"/>
      <w:sz w:val="20"/>
    </w:rPr>
  </w:style>
  <w:style w:type="character" w:styleId="50">
    <w:name w:val="annotation reference"/>
    <w:qFormat/>
    <w:uiPriority w:val="0"/>
    <w:rPr>
      <w:sz w:val="21"/>
      <w:szCs w:val="21"/>
    </w:rPr>
  </w:style>
  <w:style w:type="character" w:styleId="51">
    <w:name w:val="HTML Cite"/>
    <w:basedOn w:val="39"/>
    <w:qFormat/>
    <w:uiPriority w:val="0"/>
  </w:style>
  <w:style w:type="character" w:styleId="52">
    <w:name w:val="HTML Keyboard"/>
    <w:basedOn w:val="39"/>
    <w:qFormat/>
    <w:uiPriority w:val="0"/>
    <w:rPr>
      <w:rFonts w:hint="default" w:ascii="monospace" w:hAnsi="monospace" w:eastAsia="monospace" w:cs="monospace"/>
      <w:sz w:val="20"/>
    </w:rPr>
  </w:style>
  <w:style w:type="character" w:styleId="53">
    <w:name w:val="HTML Sample"/>
    <w:basedOn w:val="39"/>
    <w:qFormat/>
    <w:uiPriority w:val="0"/>
    <w:rPr>
      <w:rFonts w:hint="default" w:ascii="monospace" w:hAnsi="monospace" w:eastAsia="monospace" w:cs="monospace"/>
    </w:rPr>
  </w:style>
  <w:style w:type="character" w:customStyle="1" w:styleId="54">
    <w:name w:val="标题 1 字符"/>
    <w:link w:val="2"/>
    <w:qFormat/>
    <w:uiPriority w:val="99"/>
    <w:rPr>
      <w:b/>
      <w:bCs/>
      <w:kern w:val="44"/>
      <w:sz w:val="44"/>
      <w:szCs w:val="44"/>
    </w:rPr>
  </w:style>
  <w:style w:type="character" w:customStyle="1" w:styleId="55">
    <w:name w:val="标题 2 字符"/>
    <w:link w:val="3"/>
    <w:qFormat/>
    <w:uiPriority w:val="99"/>
    <w:rPr>
      <w:rFonts w:ascii="Arial" w:hAnsi="Arial"/>
      <w:bCs/>
      <w:color w:val="000000"/>
      <w:kern w:val="2"/>
      <w:sz w:val="28"/>
      <w:szCs w:val="32"/>
      <w:lang w:val="pt-BR"/>
    </w:rPr>
  </w:style>
  <w:style w:type="character" w:customStyle="1" w:styleId="56">
    <w:name w:val="标题 3 字符"/>
    <w:link w:val="4"/>
    <w:qFormat/>
    <w:uiPriority w:val="99"/>
    <w:rPr>
      <w:rFonts w:ascii="Calibri" w:hAnsi="Calibri" w:eastAsia="宋体"/>
      <w:b/>
      <w:sz w:val="32"/>
    </w:rPr>
  </w:style>
  <w:style w:type="character" w:customStyle="1" w:styleId="57">
    <w:name w:val="标题 4 字符"/>
    <w:link w:val="5"/>
    <w:qFormat/>
    <w:uiPriority w:val="99"/>
    <w:rPr>
      <w:b/>
      <w:bCs/>
      <w:kern w:val="2"/>
      <w:sz w:val="28"/>
      <w:szCs w:val="28"/>
    </w:rPr>
  </w:style>
  <w:style w:type="character" w:customStyle="1" w:styleId="58">
    <w:name w:val="标题 5 字符"/>
    <w:link w:val="6"/>
    <w:qFormat/>
    <w:uiPriority w:val="99"/>
    <w:rPr>
      <w:b/>
      <w:sz w:val="28"/>
    </w:rPr>
  </w:style>
  <w:style w:type="character" w:customStyle="1" w:styleId="59">
    <w:name w:val="标题 6 字符"/>
    <w:link w:val="7"/>
    <w:qFormat/>
    <w:uiPriority w:val="9"/>
    <w:rPr>
      <w:rFonts w:ascii="Calibri Light" w:hAnsi="Calibri Light"/>
      <w:i/>
      <w:iCs/>
      <w:color w:val="1F4D78"/>
      <w:kern w:val="2"/>
      <w:sz w:val="21"/>
      <w:szCs w:val="22"/>
    </w:rPr>
  </w:style>
  <w:style w:type="character" w:customStyle="1" w:styleId="60">
    <w:name w:val="标题 7 字符"/>
    <w:link w:val="8"/>
    <w:qFormat/>
    <w:uiPriority w:val="9"/>
    <w:rPr>
      <w:rFonts w:ascii="Calibri Light" w:hAnsi="Calibri Light"/>
      <w:i/>
      <w:iCs/>
      <w:color w:val="404040"/>
      <w:kern w:val="2"/>
      <w:sz w:val="21"/>
      <w:szCs w:val="22"/>
    </w:rPr>
  </w:style>
  <w:style w:type="character" w:customStyle="1" w:styleId="61">
    <w:name w:val="标题 8 字符"/>
    <w:link w:val="9"/>
    <w:qFormat/>
    <w:uiPriority w:val="9"/>
    <w:rPr>
      <w:rFonts w:ascii="Calibri Light" w:hAnsi="Calibri Light"/>
      <w:color w:val="5B9BD5"/>
      <w:kern w:val="2"/>
    </w:rPr>
  </w:style>
  <w:style w:type="character" w:customStyle="1" w:styleId="62">
    <w:name w:val="标题 9 字符"/>
    <w:link w:val="10"/>
    <w:qFormat/>
    <w:uiPriority w:val="9"/>
    <w:rPr>
      <w:rFonts w:ascii="Calibri Light" w:hAnsi="Calibri Light"/>
      <w:i/>
      <w:iCs/>
      <w:color w:val="404040"/>
      <w:kern w:val="2"/>
    </w:rPr>
  </w:style>
  <w:style w:type="character" w:customStyle="1" w:styleId="63">
    <w:name w:val="文档结构图 字符"/>
    <w:link w:val="13"/>
    <w:qFormat/>
    <w:uiPriority w:val="99"/>
    <w:rPr>
      <w:rFonts w:ascii="Calibri" w:hAnsi="Calibri" w:eastAsia="宋体" w:cs="Times New Roman"/>
      <w:kern w:val="2"/>
      <w:sz w:val="21"/>
      <w:szCs w:val="24"/>
      <w:shd w:val="clear" w:color="auto" w:fill="000080"/>
    </w:rPr>
  </w:style>
  <w:style w:type="character" w:customStyle="1" w:styleId="64">
    <w:name w:val="批注文字 字符"/>
    <w:link w:val="14"/>
    <w:qFormat/>
    <w:uiPriority w:val="99"/>
    <w:rPr>
      <w:kern w:val="2"/>
      <w:sz w:val="21"/>
      <w:szCs w:val="24"/>
    </w:rPr>
  </w:style>
  <w:style w:type="character" w:customStyle="1" w:styleId="65">
    <w:name w:val="正文文本 字符"/>
    <w:link w:val="16"/>
    <w:qFormat/>
    <w:uiPriority w:val="99"/>
    <w:rPr>
      <w:kern w:val="2"/>
      <w:sz w:val="21"/>
      <w:szCs w:val="24"/>
    </w:rPr>
  </w:style>
  <w:style w:type="character" w:customStyle="1" w:styleId="66">
    <w:name w:val="正文文本缩进 字符"/>
    <w:link w:val="17"/>
    <w:qFormat/>
    <w:uiPriority w:val="99"/>
    <w:rPr>
      <w:kern w:val="2"/>
      <w:sz w:val="21"/>
      <w:szCs w:val="24"/>
    </w:rPr>
  </w:style>
  <w:style w:type="character" w:customStyle="1" w:styleId="67">
    <w:name w:val="纯文本 字符"/>
    <w:link w:val="22"/>
    <w:qFormat/>
    <w:uiPriority w:val="0"/>
    <w:rPr>
      <w:rFonts w:ascii="宋体" w:hAnsi="Courier New"/>
      <w:kern w:val="2"/>
      <w:sz w:val="21"/>
    </w:rPr>
  </w:style>
  <w:style w:type="character" w:customStyle="1" w:styleId="68">
    <w:name w:val="日期 字符"/>
    <w:link w:val="23"/>
    <w:qFormat/>
    <w:uiPriority w:val="99"/>
    <w:rPr>
      <w:kern w:val="2"/>
      <w:sz w:val="21"/>
      <w:szCs w:val="24"/>
    </w:rPr>
  </w:style>
  <w:style w:type="character" w:customStyle="1" w:styleId="69">
    <w:name w:val="正文文本缩进 2 字符"/>
    <w:link w:val="24"/>
    <w:qFormat/>
    <w:uiPriority w:val="99"/>
    <w:rPr>
      <w:rFonts w:ascii="Calibri" w:hAnsi="Calibri"/>
      <w:kern w:val="2"/>
      <w:sz w:val="21"/>
      <w:szCs w:val="22"/>
    </w:rPr>
  </w:style>
  <w:style w:type="character" w:customStyle="1" w:styleId="70">
    <w:name w:val="批注框文本 字符"/>
    <w:link w:val="25"/>
    <w:qFormat/>
    <w:uiPriority w:val="99"/>
    <w:rPr>
      <w:rFonts w:ascii="Calibri" w:hAnsi="Calibri" w:eastAsia="宋体" w:cs="Times New Roman"/>
      <w:kern w:val="2"/>
      <w:sz w:val="18"/>
      <w:szCs w:val="18"/>
    </w:rPr>
  </w:style>
  <w:style w:type="character" w:customStyle="1" w:styleId="71">
    <w:name w:val="页脚 字符"/>
    <w:link w:val="26"/>
    <w:qFormat/>
    <w:uiPriority w:val="99"/>
    <w:rPr>
      <w:kern w:val="2"/>
      <w:sz w:val="18"/>
      <w:szCs w:val="18"/>
    </w:rPr>
  </w:style>
  <w:style w:type="character" w:customStyle="1" w:styleId="72">
    <w:name w:val="页眉 字符"/>
    <w:link w:val="27"/>
    <w:qFormat/>
    <w:uiPriority w:val="99"/>
    <w:rPr>
      <w:kern w:val="2"/>
      <w:sz w:val="18"/>
      <w:szCs w:val="18"/>
    </w:rPr>
  </w:style>
  <w:style w:type="character" w:customStyle="1" w:styleId="73">
    <w:name w:val="副标题 字符"/>
    <w:link w:val="29"/>
    <w:qFormat/>
    <w:uiPriority w:val="11"/>
    <w:rPr>
      <w:rFonts w:ascii="Calibri Light" w:hAnsi="Calibri Light"/>
      <w:i/>
      <w:iCs/>
      <w:color w:val="5B9BD5"/>
      <w:spacing w:val="15"/>
      <w:kern w:val="2"/>
      <w:sz w:val="24"/>
      <w:szCs w:val="24"/>
    </w:rPr>
  </w:style>
  <w:style w:type="character" w:customStyle="1" w:styleId="74">
    <w:name w:val="脚注文本 字符"/>
    <w:link w:val="30"/>
    <w:qFormat/>
    <w:uiPriority w:val="99"/>
    <w:rPr>
      <w:rFonts w:ascii="Calibri" w:hAnsi="Calibri"/>
      <w:kern w:val="2"/>
      <w:sz w:val="18"/>
      <w:szCs w:val="22"/>
    </w:rPr>
  </w:style>
  <w:style w:type="character" w:customStyle="1" w:styleId="75">
    <w:name w:val="标题 字符"/>
    <w:link w:val="33"/>
    <w:qFormat/>
    <w:uiPriority w:val="99"/>
    <w:rPr>
      <w:rFonts w:ascii="Calibri Light" w:hAnsi="Calibri Light"/>
      <w:color w:val="323E4F"/>
      <w:spacing w:val="5"/>
      <w:kern w:val="2"/>
      <w:sz w:val="52"/>
      <w:szCs w:val="52"/>
    </w:rPr>
  </w:style>
  <w:style w:type="character" w:customStyle="1" w:styleId="76">
    <w:name w:val="批注主题 字符"/>
    <w:link w:val="34"/>
    <w:qFormat/>
    <w:uiPriority w:val="99"/>
    <w:rPr>
      <w:rFonts w:ascii="Calibri" w:hAnsi="Calibri" w:eastAsia="宋体" w:cs="Times New Roman"/>
      <w:b/>
      <w:bCs/>
      <w:kern w:val="2"/>
      <w:sz w:val="21"/>
      <w:szCs w:val="24"/>
    </w:rPr>
  </w:style>
  <w:style w:type="paragraph" w:customStyle="1" w:styleId="77">
    <w:name w:val="正文1"/>
    <w:qFormat/>
    <w:uiPriority w:val="0"/>
    <w:rPr>
      <w:rFonts w:ascii="Times New Roman" w:hAnsi="Times New Roman" w:eastAsia="Times New Roman" w:cs="Times New Roman"/>
      <w:sz w:val="24"/>
      <w:szCs w:val="24"/>
      <w:lang w:val="en-US" w:eastAsia="zh-CN" w:bidi="ar-SA"/>
    </w:rPr>
  </w:style>
  <w:style w:type="paragraph" w:customStyle="1" w:styleId="78">
    <w:name w:val="_Style 5"/>
    <w:qFormat/>
    <w:uiPriority w:val="1"/>
    <w:rPr>
      <w:rFonts w:ascii="Times New Roman" w:hAnsi="Times New Roman" w:eastAsia="宋体" w:cs="Times New Roman"/>
      <w:sz w:val="22"/>
      <w:szCs w:val="22"/>
      <w:lang w:val="en-US" w:eastAsia="zh-CN" w:bidi="ar-SA"/>
    </w:rPr>
  </w:style>
  <w:style w:type="paragraph" w:customStyle="1" w:styleId="79">
    <w:name w:val="_Style 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80">
    <w:name w:val="BodyText"/>
    <w:basedOn w:val="1"/>
    <w:next w:val="1"/>
    <w:qFormat/>
    <w:uiPriority w:val="0"/>
    <w:pPr>
      <w:spacing w:line="380" w:lineRule="exact"/>
      <w:textAlignment w:val="baseline"/>
    </w:pPr>
    <w:rPr>
      <w:sz w:val="24"/>
    </w:rPr>
  </w:style>
  <w:style w:type="paragraph" w:customStyle="1" w:styleId="81">
    <w:name w:val="Heading2"/>
    <w:basedOn w:val="1"/>
    <w:next w:val="1"/>
    <w:qFormat/>
    <w:uiPriority w:val="0"/>
    <w:pPr>
      <w:keepNext/>
      <w:keepLines/>
      <w:spacing w:before="260" w:after="260" w:line="416" w:lineRule="auto"/>
    </w:pPr>
    <w:rPr>
      <w:rFonts w:ascii="Arial" w:hAnsi="Arial" w:eastAsia="黑体"/>
      <w:b/>
      <w:bCs/>
      <w:kern w:val="0"/>
      <w:sz w:val="32"/>
      <w:szCs w:val="32"/>
    </w:rPr>
  </w:style>
  <w:style w:type="paragraph" w:customStyle="1" w:styleId="82">
    <w:name w:val="Default"/>
    <w:link w:val="83"/>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83">
    <w:name w:val="Default Char"/>
    <w:link w:val="82"/>
    <w:qFormat/>
    <w:uiPriority w:val="0"/>
    <w:rPr>
      <w:color w:val="000000"/>
      <w:sz w:val="24"/>
      <w:szCs w:val="24"/>
      <w:lang w:bidi="ar-SA"/>
    </w:rPr>
  </w:style>
  <w:style w:type="paragraph" w:styleId="84">
    <w:name w:val="List Paragraph"/>
    <w:basedOn w:val="1"/>
    <w:qFormat/>
    <w:uiPriority w:val="99"/>
    <w:pPr>
      <w:ind w:firstLine="420" w:firstLineChars="200"/>
    </w:pPr>
  </w:style>
  <w:style w:type="paragraph" w:customStyle="1" w:styleId="85">
    <w:name w:val="正文格式"/>
    <w:basedOn w:val="1"/>
    <w:qFormat/>
    <w:uiPriority w:val="0"/>
    <w:pPr>
      <w:widowControl/>
      <w:adjustRightInd w:val="0"/>
      <w:snapToGrid w:val="0"/>
      <w:spacing w:line="400" w:lineRule="atLeast"/>
      <w:ind w:firstLine="482"/>
      <w:textAlignment w:val="baseline"/>
    </w:pPr>
    <w:rPr>
      <w:kern w:val="0"/>
      <w:sz w:val="24"/>
    </w:rPr>
  </w:style>
  <w:style w:type="paragraph" w:styleId="86">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87">
    <w:name w:val="p0"/>
    <w:basedOn w:val="1"/>
    <w:qFormat/>
    <w:uiPriority w:val="0"/>
    <w:pPr>
      <w:widowControl/>
    </w:pPr>
    <w:rPr>
      <w:rFonts w:ascii="Calibri" w:hAnsi="Calibri" w:cs="宋体"/>
      <w:kern w:val="0"/>
      <w:szCs w:val="21"/>
    </w:rPr>
  </w:style>
  <w:style w:type="paragraph" w:customStyle="1" w:styleId="88">
    <w:name w:val="_Style 6"/>
    <w:basedOn w:val="2"/>
    <w:next w:val="1"/>
    <w:qFormat/>
    <w:uiPriority w:val="0"/>
    <w:pPr>
      <w:outlineLvl w:val="9"/>
    </w:pPr>
  </w:style>
  <w:style w:type="character" w:customStyle="1" w:styleId="89">
    <w:name w:val="NormalCharacter"/>
    <w:semiHidden/>
    <w:qFormat/>
    <w:uiPriority w:val="0"/>
  </w:style>
  <w:style w:type="paragraph" w:customStyle="1" w:styleId="90">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91">
    <w:name w:val="正文呀2"/>
    <w:basedOn w:val="92"/>
    <w:link w:val="94"/>
    <w:qFormat/>
    <w:uiPriority w:val="0"/>
    <w:rPr>
      <w:rFonts w:ascii="Times New Roman" w:hAnsi="Times New Roman"/>
    </w:rPr>
  </w:style>
  <w:style w:type="paragraph" w:customStyle="1" w:styleId="92">
    <w:name w:val="正文呀"/>
    <w:basedOn w:val="1"/>
    <w:link w:val="93"/>
    <w:qFormat/>
    <w:uiPriority w:val="0"/>
    <w:pPr>
      <w:spacing w:line="420" w:lineRule="exact"/>
      <w:ind w:firstLine="420" w:firstLineChars="200"/>
    </w:pPr>
    <w:rPr>
      <w:rFonts w:ascii="宋体" w:hAnsi="宋体"/>
    </w:rPr>
  </w:style>
  <w:style w:type="character" w:customStyle="1" w:styleId="93">
    <w:name w:val="正文呀 Char"/>
    <w:link w:val="92"/>
    <w:qFormat/>
    <w:uiPriority w:val="0"/>
    <w:rPr>
      <w:rFonts w:ascii="宋体" w:hAnsi="宋体"/>
      <w:kern w:val="2"/>
      <w:sz w:val="21"/>
      <w:szCs w:val="24"/>
    </w:rPr>
  </w:style>
  <w:style w:type="character" w:customStyle="1" w:styleId="94">
    <w:name w:val="正文呀2 Char"/>
    <w:link w:val="91"/>
    <w:qFormat/>
    <w:uiPriority w:val="0"/>
    <w:rPr>
      <w:kern w:val="2"/>
      <w:sz w:val="21"/>
      <w:szCs w:val="24"/>
    </w:rPr>
  </w:style>
  <w:style w:type="paragraph" w:customStyle="1" w:styleId="95">
    <w:name w:val="Body text|1"/>
    <w:basedOn w:val="1"/>
    <w:qFormat/>
    <w:uiPriority w:val="0"/>
    <w:pPr>
      <w:spacing w:line="350" w:lineRule="auto"/>
      <w:ind w:firstLine="400"/>
      <w:jc w:val="left"/>
    </w:pPr>
    <w:rPr>
      <w:rFonts w:ascii="宋体" w:hAnsi="宋体" w:cs="宋体"/>
      <w:kern w:val="0"/>
      <w:sz w:val="30"/>
      <w:szCs w:val="30"/>
    </w:rPr>
  </w:style>
  <w:style w:type="paragraph" w:customStyle="1" w:styleId="96">
    <w:name w:val="正文小标题_0"/>
    <w:basedOn w:val="97"/>
    <w:qFormat/>
    <w:uiPriority w:val="0"/>
    <w:pPr>
      <w:keepNext/>
      <w:keepLines/>
      <w:spacing w:line="420" w:lineRule="exact"/>
      <w:outlineLvl w:val="0"/>
    </w:pPr>
    <w:rPr>
      <w:rFonts w:hAnsi="宋体"/>
      <w:kern w:val="44"/>
      <w:szCs w:val="21"/>
    </w:rPr>
  </w:style>
  <w:style w:type="paragraph" w:customStyle="1" w:styleId="97">
    <w:name w:val="标题 1_0"/>
    <w:basedOn w:val="98"/>
    <w:next w:val="98"/>
    <w:link w:val="101"/>
    <w:qFormat/>
    <w:uiPriority w:val="99"/>
    <w:pPr>
      <w:keepNext/>
      <w:keepLines/>
      <w:spacing w:line="360" w:lineRule="auto"/>
      <w:outlineLvl w:val="0"/>
    </w:pPr>
    <w:rPr>
      <w:rFonts w:eastAsia="黑体"/>
      <w:b/>
      <w:bCs/>
      <w:kern w:val="44"/>
      <w:sz w:val="32"/>
      <w:szCs w:val="44"/>
    </w:rPr>
  </w:style>
  <w:style w:type="paragraph" w:customStyle="1" w:styleId="98">
    <w:name w:val="正文_0"/>
    <w:next w:val="9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9">
    <w:name w:val="正文文本_0"/>
    <w:basedOn w:val="98"/>
    <w:link w:val="100"/>
    <w:unhideWhenUsed/>
    <w:qFormat/>
    <w:uiPriority w:val="99"/>
    <w:pPr>
      <w:adjustRightInd w:val="0"/>
      <w:spacing w:after="60" w:line="360" w:lineRule="atLeast"/>
      <w:ind w:left="72" w:leftChars="30" w:right="30" w:rightChars="30"/>
      <w:jc w:val="center"/>
    </w:pPr>
    <w:rPr>
      <w:rFonts w:ascii="Calibri" w:hAnsi="Calibri"/>
      <w:kern w:val="0"/>
      <w:sz w:val="20"/>
      <w:szCs w:val="20"/>
      <w:lang w:val="zh-CN"/>
    </w:rPr>
  </w:style>
  <w:style w:type="character" w:customStyle="1" w:styleId="100">
    <w:name w:val="正文文本 Char_0"/>
    <w:link w:val="99"/>
    <w:qFormat/>
    <w:uiPriority w:val="99"/>
    <w:rPr>
      <w:rFonts w:ascii="Calibri" w:hAnsi="Calibri"/>
      <w:lang w:val="zh-CN"/>
    </w:rPr>
  </w:style>
  <w:style w:type="character" w:customStyle="1" w:styleId="101">
    <w:name w:val="标题 1 Char_0"/>
    <w:link w:val="97"/>
    <w:qFormat/>
    <w:uiPriority w:val="99"/>
    <w:rPr>
      <w:rFonts w:eastAsia="黑体"/>
      <w:b/>
      <w:bCs/>
      <w:kern w:val="44"/>
      <w:sz w:val="32"/>
      <w:szCs w:val="44"/>
    </w:rPr>
  </w:style>
  <w:style w:type="paragraph" w:customStyle="1" w:styleId="102">
    <w:name w:val="正文_1_0"/>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03">
    <w:name w:val="正文呀2_0"/>
    <w:basedOn w:val="104"/>
    <w:qFormat/>
    <w:uiPriority w:val="0"/>
    <w:pPr>
      <w:spacing w:line="420" w:lineRule="exact"/>
      <w:ind w:firstLine="420" w:firstLineChars="200"/>
    </w:pPr>
    <w:rPr>
      <w:szCs w:val="21"/>
    </w:rPr>
  </w:style>
  <w:style w:type="paragraph" w:customStyle="1" w:styleId="104">
    <w:name w:val="正文呀_0"/>
    <w:basedOn w:val="102"/>
    <w:qFormat/>
    <w:uiPriority w:val="0"/>
    <w:pPr>
      <w:spacing w:line="420" w:lineRule="exact"/>
      <w:ind w:firstLine="420" w:firstLineChars="200"/>
    </w:pPr>
    <w:rPr>
      <w:rFonts w:ascii="宋体" w:hAnsi="宋体"/>
      <w:szCs w:val="21"/>
    </w:rPr>
  </w:style>
  <w:style w:type="character" w:customStyle="1" w:styleId="105">
    <w:name w:val="Comment Text Char"/>
    <w:qFormat/>
    <w:uiPriority w:val="99"/>
    <w:rPr>
      <w:rFonts w:cs="Times New Roman"/>
      <w:sz w:val="24"/>
      <w:szCs w:val="24"/>
    </w:rPr>
  </w:style>
  <w:style w:type="character" w:customStyle="1" w:styleId="106">
    <w:name w:val="标题 Char4"/>
    <w:qFormat/>
    <w:uiPriority w:val="10"/>
    <w:rPr>
      <w:rFonts w:hint="default" w:ascii="Cambria" w:hAnsi="Cambria" w:eastAsia="宋体" w:cs="Times New Roman"/>
      <w:b/>
      <w:bCs/>
      <w:kern w:val="2"/>
      <w:sz w:val="32"/>
      <w:szCs w:val="32"/>
    </w:rPr>
  </w:style>
  <w:style w:type="character" w:customStyle="1" w:styleId="107">
    <w:name w:val="批注文字 Char3"/>
    <w:semiHidden/>
    <w:qFormat/>
    <w:locked/>
    <w:uiPriority w:val="99"/>
    <w:rPr>
      <w:rFonts w:ascii="Times New Roman" w:hAnsi="Times New Roman" w:eastAsia="宋体"/>
      <w:szCs w:val="21"/>
    </w:rPr>
  </w:style>
  <w:style w:type="character" w:customStyle="1" w:styleId="108">
    <w:name w:val="引用 字符"/>
    <w:link w:val="109"/>
    <w:qFormat/>
    <w:uiPriority w:val="99"/>
    <w:rPr>
      <w:i/>
      <w:iCs/>
      <w:color w:val="000000"/>
    </w:rPr>
  </w:style>
  <w:style w:type="paragraph" w:styleId="109">
    <w:name w:val="Quote"/>
    <w:basedOn w:val="1"/>
    <w:next w:val="1"/>
    <w:link w:val="108"/>
    <w:qFormat/>
    <w:uiPriority w:val="99"/>
    <w:rPr>
      <w:i/>
      <w:iCs/>
      <w:color w:val="000000"/>
      <w:kern w:val="0"/>
      <w:sz w:val="20"/>
      <w:szCs w:val="20"/>
    </w:rPr>
  </w:style>
  <w:style w:type="character" w:customStyle="1" w:styleId="110">
    <w:name w:val="引用 字符1"/>
    <w:qFormat/>
    <w:uiPriority w:val="99"/>
    <w:rPr>
      <w:i/>
      <w:iCs/>
      <w:color w:val="404040"/>
      <w:kern w:val="2"/>
      <w:sz w:val="21"/>
      <w:szCs w:val="24"/>
    </w:rPr>
  </w:style>
  <w:style w:type="character" w:customStyle="1" w:styleId="111">
    <w:name w:val="引用 Char1"/>
    <w:qFormat/>
    <w:uiPriority w:val="99"/>
    <w:rPr>
      <w:rFonts w:ascii="Calibri" w:hAnsi="Calibri" w:eastAsia="宋体" w:cs="Times New Roman"/>
      <w:i/>
      <w:iCs/>
      <w:color w:val="404040"/>
    </w:rPr>
  </w:style>
  <w:style w:type="character" w:customStyle="1" w:styleId="112">
    <w:name w:val="Char Char18"/>
    <w:qFormat/>
    <w:uiPriority w:val="99"/>
    <w:rPr>
      <w:rFonts w:hint="default" w:ascii="Times New Roman" w:hAnsi="Times New Roman" w:eastAsia="宋体" w:cs="Times New Roman"/>
      <w:b/>
      <w:bCs/>
      <w:sz w:val="28"/>
      <w:szCs w:val="28"/>
    </w:rPr>
  </w:style>
  <w:style w:type="paragraph" w:customStyle="1" w:styleId="113">
    <w:name w:val="_Style 34"/>
    <w:qFormat/>
    <w:uiPriority w:val="99"/>
    <w:pPr>
      <w:widowControl w:val="0"/>
      <w:jc w:val="both"/>
    </w:pPr>
    <w:rPr>
      <w:rFonts w:ascii="Calibri" w:hAnsi="Calibri" w:eastAsia="宋体" w:cs="Times New Roman"/>
      <w:kern w:val="2"/>
      <w:sz w:val="21"/>
      <w:szCs w:val="22"/>
      <w:lang w:val="en-US" w:eastAsia="zh-CN" w:bidi="ar-SA"/>
    </w:rPr>
  </w:style>
  <w:style w:type="character" w:customStyle="1" w:styleId="114">
    <w:name w:val="Char Char6_0"/>
    <w:qFormat/>
    <w:uiPriority w:val="0"/>
    <w:rPr>
      <w:rFonts w:ascii="Arial" w:hAnsi="Arial" w:eastAsia="宋体"/>
      <w:b/>
      <w:bCs/>
      <w:kern w:val="2"/>
      <w:sz w:val="21"/>
      <w:szCs w:val="28"/>
      <w:lang w:val="en-US" w:eastAsia="zh-CN" w:bidi="ar-SA"/>
    </w:rPr>
  </w:style>
  <w:style w:type="character" w:customStyle="1" w:styleId="115">
    <w:name w:val="Char Char3"/>
    <w:qFormat/>
    <w:uiPriority w:val="0"/>
    <w:rPr>
      <w:rFonts w:eastAsia="宋体"/>
      <w:kern w:val="2"/>
      <w:sz w:val="21"/>
      <w:szCs w:val="24"/>
      <w:lang w:val="en-US" w:eastAsia="zh-CN" w:bidi="ar-SA"/>
    </w:rPr>
  </w:style>
  <w:style w:type="character" w:customStyle="1" w:styleId="116">
    <w:name w:val="批注文字 Char2"/>
    <w:qFormat/>
    <w:locked/>
    <w:uiPriority w:val="99"/>
    <w:rPr>
      <w:rFonts w:hint="eastAsia" w:ascii="宋体" w:hAnsi="宋体" w:eastAsia="宋体"/>
      <w:kern w:val="2"/>
      <w:sz w:val="24"/>
      <w:szCs w:val="24"/>
      <w:lang w:val="en-US" w:eastAsia="zh-CN"/>
    </w:rPr>
  </w:style>
  <w:style w:type="character" w:customStyle="1" w:styleId="117">
    <w:name w:val="批注主题 Char1"/>
    <w:qFormat/>
    <w:uiPriority w:val="99"/>
    <w:rPr>
      <w:b/>
      <w:bCs/>
      <w:kern w:val="2"/>
      <w:sz w:val="21"/>
      <w:szCs w:val="22"/>
    </w:rPr>
  </w:style>
  <w:style w:type="character" w:customStyle="1" w:styleId="118">
    <w:name w:val="页眉 Char2"/>
    <w:semiHidden/>
    <w:qFormat/>
    <w:uiPriority w:val="99"/>
    <w:rPr>
      <w:rFonts w:hint="default" w:ascii="Times New Roman" w:hAnsi="Times New Roman" w:eastAsia="宋体" w:cs="Times New Roman"/>
      <w:kern w:val="2"/>
      <w:sz w:val="18"/>
      <w:szCs w:val="18"/>
    </w:rPr>
  </w:style>
  <w:style w:type="character" w:customStyle="1" w:styleId="119">
    <w:name w:val="Heading 5 Char"/>
    <w:qFormat/>
    <w:uiPriority w:val="99"/>
    <w:rPr>
      <w:rFonts w:hint="eastAsia" w:ascii="宋体" w:hAnsi="宋体" w:eastAsia="宋体"/>
      <w:b/>
      <w:bCs/>
      <w:kern w:val="2"/>
      <w:sz w:val="28"/>
      <w:szCs w:val="28"/>
      <w:lang w:val="en-US" w:eastAsia="zh-CN"/>
    </w:rPr>
  </w:style>
  <w:style w:type="character" w:customStyle="1" w:styleId="120">
    <w:name w:val="文档结构图 Char2"/>
    <w:semiHidden/>
    <w:qFormat/>
    <w:uiPriority w:val="99"/>
    <w:rPr>
      <w:rFonts w:hint="eastAsia" w:ascii="宋体" w:hAnsi="宋体" w:eastAsia="宋体"/>
      <w:sz w:val="18"/>
      <w:szCs w:val="18"/>
    </w:rPr>
  </w:style>
  <w:style w:type="character" w:customStyle="1" w:styleId="121">
    <w:name w:val="Char Char24"/>
    <w:qFormat/>
    <w:uiPriority w:val="99"/>
    <w:rPr>
      <w:rFonts w:hint="eastAsia" w:ascii="宋体" w:hAnsi="宋体" w:eastAsia="宋体"/>
      <w:b/>
      <w:bCs/>
      <w:kern w:val="44"/>
      <w:sz w:val="44"/>
      <w:szCs w:val="44"/>
      <w:lang w:val="en-US" w:eastAsia="zh-CN"/>
    </w:rPr>
  </w:style>
  <w:style w:type="character" w:customStyle="1" w:styleId="122">
    <w:name w:val="页脚 Char1"/>
    <w:semiHidden/>
    <w:qFormat/>
    <w:uiPriority w:val="99"/>
    <w:rPr>
      <w:sz w:val="18"/>
      <w:szCs w:val="18"/>
    </w:rPr>
  </w:style>
  <w:style w:type="character" w:customStyle="1" w:styleId="123">
    <w:name w:val="日期 Char1"/>
    <w:qFormat/>
    <w:uiPriority w:val="99"/>
    <w:rPr>
      <w:rFonts w:ascii="Calibri" w:hAnsi="Calibri" w:eastAsia="宋体" w:cs="Times New Roman"/>
    </w:rPr>
  </w:style>
  <w:style w:type="character" w:customStyle="1" w:styleId="124">
    <w:name w:val="Title Char"/>
    <w:qFormat/>
    <w:uiPriority w:val="99"/>
    <w:rPr>
      <w:rFonts w:hint="default" w:ascii="Cambria" w:hAnsi="Cambria" w:cs="Cambria"/>
      <w:b/>
      <w:bCs/>
      <w:sz w:val="32"/>
      <w:szCs w:val="32"/>
    </w:rPr>
  </w:style>
  <w:style w:type="character" w:customStyle="1" w:styleId="125">
    <w:name w:val="Char Char19"/>
    <w:qFormat/>
    <w:uiPriority w:val="99"/>
    <w:rPr>
      <w:rFonts w:hint="default" w:ascii="Arial" w:hAnsi="Arial" w:eastAsia="宋体" w:cs="Arial"/>
      <w:b/>
      <w:bCs/>
      <w:sz w:val="28"/>
      <w:szCs w:val="28"/>
    </w:rPr>
  </w:style>
  <w:style w:type="character" w:customStyle="1" w:styleId="126">
    <w:name w:val="正文文本缩进 2 Char1"/>
    <w:semiHidden/>
    <w:qFormat/>
    <w:uiPriority w:val="99"/>
    <w:rPr>
      <w:rFonts w:hint="default" w:ascii="Times New Roman" w:hAnsi="Times New Roman" w:eastAsia="宋体" w:cs="Times New Roman"/>
      <w:szCs w:val="21"/>
    </w:rPr>
  </w:style>
  <w:style w:type="character" w:customStyle="1" w:styleId="127">
    <w:name w:val="Char Char1_0"/>
    <w:qFormat/>
    <w:uiPriority w:val="0"/>
    <w:rPr>
      <w:kern w:val="2"/>
      <w:sz w:val="18"/>
      <w:szCs w:val="18"/>
      <w:lang w:bidi="ar-SA"/>
    </w:rPr>
  </w:style>
  <w:style w:type="character" w:customStyle="1" w:styleId="128">
    <w:name w:val="Char Char1"/>
    <w:qFormat/>
    <w:uiPriority w:val="0"/>
    <w:rPr>
      <w:kern w:val="2"/>
      <w:sz w:val="18"/>
      <w:szCs w:val="18"/>
      <w:lang w:bidi="ar-SA"/>
    </w:rPr>
  </w:style>
  <w:style w:type="character" w:customStyle="1" w:styleId="129">
    <w:name w:val="Char Char5_0"/>
    <w:qFormat/>
    <w:uiPriority w:val="0"/>
    <w:rPr>
      <w:rFonts w:hint="eastAsia" w:ascii="宋体" w:hAnsi="宋体" w:eastAsia="宋体"/>
      <w:b/>
      <w:bCs/>
      <w:kern w:val="2"/>
      <w:sz w:val="28"/>
      <w:szCs w:val="28"/>
      <w:lang w:val="en-US" w:eastAsia="zh-CN" w:bidi="ar-SA"/>
    </w:rPr>
  </w:style>
  <w:style w:type="character" w:customStyle="1" w:styleId="130">
    <w:name w:val="标题 Char1"/>
    <w:qFormat/>
    <w:uiPriority w:val="99"/>
    <w:rPr>
      <w:rFonts w:hint="default" w:ascii="Cambria" w:hAnsi="Cambria" w:eastAsia="宋体" w:cs="Times New Roman"/>
      <w:b/>
      <w:bCs/>
      <w:sz w:val="32"/>
      <w:szCs w:val="32"/>
    </w:rPr>
  </w:style>
  <w:style w:type="character" w:customStyle="1" w:styleId="131">
    <w:name w:val="Char Char3_0"/>
    <w:qFormat/>
    <w:uiPriority w:val="0"/>
    <w:rPr>
      <w:rFonts w:hint="eastAsia" w:ascii="宋体" w:hAnsi="宋体" w:eastAsia="宋体"/>
      <w:kern w:val="2"/>
      <w:sz w:val="21"/>
      <w:szCs w:val="24"/>
      <w:lang w:val="en-US" w:eastAsia="zh-CN" w:bidi="ar-SA"/>
    </w:rPr>
  </w:style>
  <w:style w:type="character" w:customStyle="1" w:styleId="132">
    <w:name w:val="Heading 3 Char"/>
    <w:qFormat/>
    <w:uiPriority w:val="99"/>
    <w:rPr>
      <w:rFonts w:cs="Times New Roman"/>
      <w:b/>
      <w:bCs/>
      <w:kern w:val="2"/>
      <w:sz w:val="32"/>
      <w:szCs w:val="32"/>
    </w:rPr>
  </w:style>
  <w:style w:type="character" w:customStyle="1" w:styleId="133">
    <w:name w:val="15"/>
    <w:qFormat/>
    <w:uiPriority w:val="0"/>
    <w:rPr>
      <w:rFonts w:hint="default" w:ascii="Times New Roman" w:hAnsi="Times New Roman" w:cs="Times New Roman"/>
      <w:color w:val="0000FF"/>
      <w:u w:val="single"/>
    </w:rPr>
  </w:style>
  <w:style w:type="character" w:customStyle="1" w:styleId="134">
    <w:name w:val="Heading 1 Char"/>
    <w:qFormat/>
    <w:uiPriority w:val="99"/>
    <w:rPr>
      <w:rFonts w:hint="eastAsia" w:ascii="宋体" w:hAnsi="宋体" w:eastAsia="宋体"/>
      <w:b/>
      <w:bCs/>
      <w:kern w:val="44"/>
      <w:sz w:val="44"/>
      <w:szCs w:val="44"/>
      <w:lang w:val="en-US" w:eastAsia="zh-CN"/>
    </w:rPr>
  </w:style>
  <w:style w:type="character" w:customStyle="1" w:styleId="135">
    <w:name w:val="Char Char8"/>
    <w:qFormat/>
    <w:uiPriority w:val="0"/>
    <w:rPr>
      <w:rFonts w:eastAsia="宋体"/>
      <w:b/>
      <w:bCs/>
      <w:kern w:val="44"/>
      <w:sz w:val="32"/>
      <w:szCs w:val="44"/>
      <w:lang w:val="en-US" w:eastAsia="zh-CN" w:bidi="ar-SA"/>
    </w:rPr>
  </w:style>
  <w:style w:type="character" w:customStyle="1" w:styleId="136">
    <w:name w:val="Heading 4 Char"/>
    <w:qFormat/>
    <w:uiPriority w:val="99"/>
    <w:rPr>
      <w:rFonts w:hint="default" w:ascii="Arial" w:hAnsi="Arial" w:eastAsia="宋体" w:cs="Arial"/>
      <w:b/>
      <w:bCs/>
      <w:kern w:val="2"/>
      <w:sz w:val="28"/>
      <w:szCs w:val="28"/>
      <w:lang w:val="en-US" w:eastAsia="zh-CN"/>
    </w:rPr>
  </w:style>
  <w:style w:type="character" w:customStyle="1" w:styleId="137">
    <w:name w:val="Date Char"/>
    <w:qFormat/>
    <w:uiPriority w:val="99"/>
    <w:rPr>
      <w:rFonts w:hint="eastAsia" w:ascii="宋体" w:hAnsi="宋体" w:eastAsia="宋体"/>
      <w:kern w:val="2"/>
      <w:sz w:val="24"/>
      <w:szCs w:val="24"/>
      <w:lang w:val="en-US" w:eastAsia="zh-CN"/>
    </w:rPr>
  </w:style>
  <w:style w:type="character" w:customStyle="1" w:styleId="138">
    <w:name w:val="Heading 2 Char"/>
    <w:qFormat/>
    <w:uiPriority w:val="99"/>
    <w:rPr>
      <w:rFonts w:hint="default" w:ascii="Arial" w:hAnsi="Arial" w:eastAsia="黑体" w:cs="Arial"/>
      <w:b/>
      <w:bCs/>
      <w:kern w:val="2"/>
      <w:sz w:val="32"/>
      <w:szCs w:val="32"/>
      <w:lang w:val="en-US" w:eastAsia="zh-CN"/>
    </w:rPr>
  </w:style>
  <w:style w:type="character" w:customStyle="1" w:styleId="139">
    <w:name w:val="纯文本 Char_0"/>
    <w:link w:val="140"/>
    <w:qFormat/>
    <w:uiPriority w:val="0"/>
    <w:rPr>
      <w:rFonts w:ascii="宋体" w:hAnsi="Courier New"/>
      <w:szCs w:val="24"/>
    </w:rPr>
  </w:style>
  <w:style w:type="paragraph" w:customStyle="1" w:styleId="140">
    <w:name w:val="纯文本_0"/>
    <w:basedOn w:val="98"/>
    <w:link w:val="139"/>
    <w:unhideWhenUsed/>
    <w:qFormat/>
    <w:uiPriority w:val="0"/>
    <w:rPr>
      <w:rFonts w:ascii="宋体" w:hAnsi="Courier New"/>
      <w:kern w:val="0"/>
      <w:sz w:val="20"/>
      <w:szCs w:val="24"/>
    </w:rPr>
  </w:style>
  <w:style w:type="character" w:customStyle="1" w:styleId="141">
    <w:name w:val="纯文本 Char1"/>
    <w:qFormat/>
    <w:uiPriority w:val="99"/>
    <w:rPr>
      <w:rFonts w:ascii="宋体" w:hAnsi="Courier New" w:eastAsia="宋体" w:cs="Courier New"/>
      <w:szCs w:val="21"/>
    </w:rPr>
  </w:style>
  <w:style w:type="character" w:customStyle="1" w:styleId="142">
    <w:name w:val="批注文字 Char1"/>
    <w:qFormat/>
    <w:uiPriority w:val="99"/>
    <w:rPr>
      <w:rFonts w:ascii="Calibri" w:hAnsi="Calibri" w:eastAsia="宋体" w:cs="Times New Roman"/>
    </w:rPr>
  </w:style>
  <w:style w:type="character" w:customStyle="1" w:styleId="143">
    <w:name w:val="脚注文本 Char2"/>
    <w:semiHidden/>
    <w:qFormat/>
    <w:uiPriority w:val="99"/>
    <w:rPr>
      <w:rFonts w:hint="default" w:ascii="Times New Roman" w:hAnsi="Times New Roman" w:eastAsia="宋体" w:cs="Times New Roman"/>
      <w:kern w:val="2"/>
      <w:sz w:val="18"/>
      <w:szCs w:val="18"/>
    </w:rPr>
  </w:style>
  <w:style w:type="character" w:customStyle="1" w:styleId="144">
    <w:name w:val="不明显强调1"/>
    <w:qFormat/>
    <w:uiPriority w:val="99"/>
    <w:rPr>
      <w:i/>
      <w:iCs/>
      <w:color w:val="808080"/>
    </w:rPr>
  </w:style>
  <w:style w:type="character" w:customStyle="1" w:styleId="145">
    <w:name w:val="文档结构图 Char3"/>
    <w:semiHidden/>
    <w:qFormat/>
    <w:uiPriority w:val="99"/>
    <w:rPr>
      <w:rFonts w:hint="eastAsia" w:ascii="宋体" w:hAnsi="Times New Roman" w:eastAsia="宋体"/>
      <w:kern w:val="2"/>
      <w:sz w:val="18"/>
      <w:szCs w:val="18"/>
    </w:rPr>
  </w:style>
  <w:style w:type="character" w:customStyle="1" w:styleId="146">
    <w:name w:val="明显引用 Char1"/>
    <w:qFormat/>
    <w:uiPriority w:val="99"/>
    <w:rPr>
      <w:i/>
      <w:iCs/>
      <w:color w:val="5B9BD5"/>
      <w:kern w:val="2"/>
      <w:sz w:val="21"/>
      <w:szCs w:val="24"/>
    </w:rPr>
  </w:style>
  <w:style w:type="character" w:customStyle="1" w:styleId="147">
    <w:name w:val="Header Char"/>
    <w:qFormat/>
    <w:uiPriority w:val="99"/>
    <w:rPr>
      <w:rFonts w:hint="eastAsia" w:ascii="宋体" w:hAnsi="宋体" w:eastAsia="宋体"/>
      <w:kern w:val="2"/>
      <w:sz w:val="18"/>
      <w:szCs w:val="18"/>
      <w:lang w:val="en-US" w:eastAsia="zh-CN"/>
    </w:rPr>
  </w:style>
  <w:style w:type="character" w:customStyle="1" w:styleId="148">
    <w:name w:val="Char Char4_0"/>
    <w:qFormat/>
    <w:uiPriority w:val="0"/>
    <w:rPr>
      <w:b/>
      <w:bCs/>
      <w:kern w:val="2"/>
      <w:sz w:val="21"/>
      <w:szCs w:val="24"/>
      <w:lang w:bidi="ar-SA"/>
    </w:rPr>
  </w:style>
  <w:style w:type="character" w:customStyle="1" w:styleId="149">
    <w:name w:val="Heading 3 Char1"/>
    <w:qFormat/>
    <w:uiPriority w:val="99"/>
    <w:rPr>
      <w:rFonts w:hint="eastAsia" w:ascii="宋体" w:hAnsi="宋体" w:eastAsia="宋体"/>
      <w:b/>
      <w:bCs/>
      <w:kern w:val="2"/>
      <w:sz w:val="32"/>
      <w:szCs w:val="32"/>
      <w:lang w:val="en-US" w:eastAsia="zh-CN"/>
    </w:rPr>
  </w:style>
  <w:style w:type="character" w:customStyle="1" w:styleId="150">
    <w:name w:val="Char Char21"/>
    <w:qFormat/>
    <w:uiPriority w:val="99"/>
    <w:rPr>
      <w:rFonts w:hint="default" w:ascii="Arial" w:hAnsi="Arial" w:eastAsia="黑体" w:cs="Arial"/>
      <w:b/>
      <w:bCs/>
      <w:sz w:val="32"/>
      <w:szCs w:val="32"/>
    </w:rPr>
  </w:style>
  <w:style w:type="character" w:customStyle="1" w:styleId="151">
    <w:name w:val="批注框文本 Char3"/>
    <w:semiHidden/>
    <w:qFormat/>
    <w:uiPriority w:val="99"/>
    <w:rPr>
      <w:rFonts w:hint="default" w:ascii="Times New Roman" w:hAnsi="Times New Roman" w:eastAsia="宋体" w:cs="Times New Roman"/>
      <w:kern w:val="2"/>
      <w:sz w:val="18"/>
      <w:szCs w:val="18"/>
    </w:rPr>
  </w:style>
  <w:style w:type="character" w:customStyle="1" w:styleId="152">
    <w:name w:val="标题 Char2"/>
    <w:qFormat/>
    <w:uiPriority w:val="99"/>
    <w:rPr>
      <w:rFonts w:hint="default" w:ascii="Cambria" w:hAnsi="Cambria" w:eastAsia="宋体" w:cs="Cambria"/>
      <w:b/>
      <w:bCs/>
      <w:sz w:val="32"/>
      <w:szCs w:val="32"/>
    </w:rPr>
  </w:style>
  <w:style w:type="character" w:customStyle="1" w:styleId="153">
    <w:name w:val="脚注文本 Char1"/>
    <w:semiHidden/>
    <w:qFormat/>
    <w:uiPriority w:val="99"/>
    <w:rPr>
      <w:rFonts w:hint="default" w:ascii="Times New Roman" w:hAnsi="Times New Roman" w:eastAsia="宋体" w:cs="Times New Roman"/>
      <w:sz w:val="18"/>
      <w:szCs w:val="18"/>
    </w:rPr>
  </w:style>
  <w:style w:type="character" w:customStyle="1" w:styleId="154">
    <w:name w:val="Char Char22"/>
    <w:qFormat/>
    <w:uiPriority w:val="99"/>
    <w:rPr>
      <w:rFonts w:hint="default" w:ascii="Times New Roman" w:hAnsi="Times New Roman" w:eastAsia="宋体" w:cs="Times New Roman"/>
      <w:b/>
      <w:bCs/>
      <w:kern w:val="44"/>
      <w:sz w:val="44"/>
      <w:szCs w:val="44"/>
    </w:rPr>
  </w:style>
  <w:style w:type="character" w:customStyle="1" w:styleId="155">
    <w:name w:val="Comment Text Char1"/>
    <w:qFormat/>
    <w:uiPriority w:val="99"/>
    <w:rPr>
      <w:sz w:val="24"/>
      <w:szCs w:val="24"/>
    </w:rPr>
  </w:style>
  <w:style w:type="character" w:customStyle="1" w:styleId="156">
    <w:name w:val="标题 1 Char_1"/>
    <w:link w:val="157"/>
    <w:qFormat/>
    <w:uiPriority w:val="99"/>
    <w:rPr>
      <w:rFonts w:eastAsia="黑体"/>
      <w:b/>
      <w:bCs/>
      <w:kern w:val="44"/>
      <w:sz w:val="44"/>
      <w:szCs w:val="44"/>
      <w:lang w:val="zh-CN"/>
    </w:rPr>
  </w:style>
  <w:style w:type="paragraph" w:customStyle="1" w:styleId="157">
    <w:name w:val="标题 1_1"/>
    <w:basedOn w:val="158"/>
    <w:next w:val="158"/>
    <w:link w:val="156"/>
    <w:qFormat/>
    <w:uiPriority w:val="99"/>
    <w:pPr>
      <w:keepNext/>
      <w:keepLines/>
      <w:spacing w:line="360" w:lineRule="auto"/>
      <w:outlineLvl w:val="0"/>
    </w:pPr>
    <w:rPr>
      <w:rFonts w:eastAsia="黑体"/>
      <w:b/>
      <w:bCs/>
      <w:kern w:val="44"/>
      <w:sz w:val="44"/>
      <w:szCs w:val="44"/>
      <w:lang w:val="zh-CN"/>
    </w:rPr>
  </w:style>
  <w:style w:type="paragraph" w:customStyle="1" w:styleId="158">
    <w:name w:val="正文_3"/>
    <w:next w:val="159"/>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59">
    <w:name w:val="正文文本_1"/>
    <w:basedOn w:val="158"/>
    <w:link w:val="160"/>
    <w:qFormat/>
    <w:uiPriority w:val="99"/>
    <w:pPr>
      <w:adjustRightInd w:val="0"/>
      <w:spacing w:after="60" w:line="360" w:lineRule="atLeast"/>
      <w:ind w:left="72" w:leftChars="30" w:right="30" w:rightChars="30"/>
      <w:jc w:val="center"/>
      <w:textAlignment w:val="baseline"/>
    </w:pPr>
    <w:rPr>
      <w:rFonts w:ascii="Calibri" w:hAnsi="Calibri"/>
      <w:kern w:val="0"/>
      <w:sz w:val="22"/>
      <w:szCs w:val="20"/>
      <w:lang w:val="zh-CN"/>
    </w:rPr>
  </w:style>
  <w:style w:type="character" w:customStyle="1" w:styleId="160">
    <w:name w:val="正文文本 Char_1"/>
    <w:link w:val="159"/>
    <w:qFormat/>
    <w:locked/>
    <w:uiPriority w:val="99"/>
    <w:rPr>
      <w:rFonts w:ascii="Calibri" w:hAnsi="Calibri"/>
      <w:sz w:val="22"/>
      <w:lang w:val="zh-CN"/>
    </w:rPr>
  </w:style>
  <w:style w:type="character" w:customStyle="1" w:styleId="161">
    <w:name w:val="标题5 Char Char"/>
    <w:link w:val="162"/>
    <w:qFormat/>
    <w:uiPriority w:val="99"/>
    <w:rPr>
      <w:rFonts w:ascii="Arial" w:hAnsi="Arial"/>
      <w:b/>
      <w:bCs/>
      <w:sz w:val="24"/>
      <w:szCs w:val="32"/>
    </w:rPr>
  </w:style>
  <w:style w:type="paragraph" w:customStyle="1" w:styleId="162">
    <w:name w:val="标题5"/>
    <w:basedOn w:val="4"/>
    <w:link w:val="161"/>
    <w:qFormat/>
    <w:uiPriority w:val="99"/>
    <w:pPr>
      <w:spacing w:before="260" w:after="260" w:line="413" w:lineRule="auto"/>
    </w:pPr>
    <w:rPr>
      <w:rFonts w:ascii="Arial" w:hAnsi="Arial"/>
      <w:bCs/>
      <w:sz w:val="24"/>
      <w:szCs w:val="32"/>
    </w:rPr>
  </w:style>
  <w:style w:type="character" w:customStyle="1" w:styleId="163">
    <w:name w:val="正文呀2 Char_0"/>
    <w:link w:val="164"/>
    <w:qFormat/>
    <w:locked/>
    <w:uiPriority w:val="0"/>
    <w:rPr>
      <w:szCs w:val="21"/>
    </w:rPr>
  </w:style>
  <w:style w:type="paragraph" w:customStyle="1" w:styleId="164">
    <w:name w:val="正文呀2_1"/>
    <w:basedOn w:val="165"/>
    <w:link w:val="163"/>
    <w:qFormat/>
    <w:uiPriority w:val="0"/>
    <w:rPr>
      <w:rFonts w:ascii="Times New Roman" w:hAnsi="Times New Roman"/>
    </w:rPr>
  </w:style>
  <w:style w:type="paragraph" w:customStyle="1" w:styleId="165">
    <w:name w:val="正文呀_1"/>
    <w:basedOn w:val="98"/>
    <w:link w:val="166"/>
    <w:qFormat/>
    <w:uiPriority w:val="0"/>
    <w:pPr>
      <w:spacing w:line="420" w:lineRule="exact"/>
      <w:ind w:firstLine="420" w:firstLineChars="200"/>
    </w:pPr>
    <w:rPr>
      <w:rFonts w:ascii="宋体" w:hAnsi="宋体"/>
      <w:kern w:val="0"/>
      <w:sz w:val="20"/>
      <w:szCs w:val="21"/>
      <w:lang w:val="zh-CN"/>
    </w:rPr>
  </w:style>
  <w:style w:type="character" w:customStyle="1" w:styleId="166">
    <w:name w:val="正文呀 Char_0"/>
    <w:link w:val="165"/>
    <w:qFormat/>
    <w:locked/>
    <w:uiPriority w:val="0"/>
    <w:rPr>
      <w:rFonts w:ascii="宋体" w:hAnsi="宋体"/>
      <w:szCs w:val="21"/>
      <w:lang w:val="zh-CN"/>
    </w:rPr>
  </w:style>
  <w:style w:type="character" w:customStyle="1" w:styleId="167">
    <w:name w:val="文档结构图 Char1"/>
    <w:qFormat/>
    <w:uiPriority w:val="99"/>
    <w:rPr>
      <w:rFonts w:ascii="宋体"/>
      <w:kern w:val="2"/>
      <w:sz w:val="18"/>
      <w:szCs w:val="18"/>
    </w:rPr>
  </w:style>
  <w:style w:type="character" w:customStyle="1" w:styleId="168">
    <w:name w:val="批注主题 Char2"/>
    <w:semiHidden/>
    <w:qFormat/>
    <w:uiPriority w:val="99"/>
    <w:rPr>
      <w:rFonts w:ascii="Calibri" w:hAnsi="Calibri" w:eastAsia="宋体" w:cs="Times New Roman"/>
      <w:b/>
      <w:bCs/>
    </w:rPr>
  </w:style>
  <w:style w:type="character" w:customStyle="1" w:styleId="169">
    <w:name w:val="Footer Char"/>
    <w:qFormat/>
    <w:uiPriority w:val="99"/>
    <w:rPr>
      <w:rFonts w:hint="eastAsia" w:ascii="宋体" w:hAnsi="宋体" w:eastAsia="宋体"/>
      <w:kern w:val="2"/>
      <w:sz w:val="18"/>
      <w:szCs w:val="18"/>
      <w:lang w:val="en-US" w:eastAsia="zh-CN"/>
    </w:rPr>
  </w:style>
  <w:style w:type="character" w:customStyle="1" w:styleId="170">
    <w:name w:val="正文文本缩进 Char1"/>
    <w:semiHidden/>
    <w:qFormat/>
    <w:uiPriority w:val="99"/>
    <w:rPr>
      <w:rFonts w:hint="default" w:ascii="Times New Roman" w:hAnsi="Times New Roman" w:eastAsia="宋体" w:cs="Times New Roman"/>
      <w:szCs w:val="21"/>
    </w:rPr>
  </w:style>
  <w:style w:type="character" w:customStyle="1" w:styleId="171">
    <w:name w:val="不明显参考1"/>
    <w:qFormat/>
    <w:uiPriority w:val="99"/>
    <w:rPr>
      <w:smallCaps/>
      <w:color w:val="ED7D31"/>
      <w:u w:val="single"/>
    </w:rPr>
  </w:style>
  <w:style w:type="character" w:customStyle="1" w:styleId="172">
    <w:name w:val="明显引用 Char2"/>
    <w:qFormat/>
    <w:uiPriority w:val="30"/>
    <w:rPr>
      <w:b/>
      <w:bCs/>
      <w:i/>
      <w:iCs/>
      <w:color w:val="4F81BD"/>
      <w:sz w:val="22"/>
      <w:szCs w:val="22"/>
    </w:rPr>
  </w:style>
  <w:style w:type="character" w:customStyle="1" w:styleId="173">
    <w:name w:val="日期 Char2"/>
    <w:semiHidden/>
    <w:qFormat/>
    <w:uiPriority w:val="99"/>
    <w:rPr>
      <w:sz w:val="22"/>
      <w:szCs w:val="22"/>
    </w:rPr>
  </w:style>
  <w:style w:type="character" w:customStyle="1" w:styleId="174">
    <w:name w:val="Char Char91"/>
    <w:qFormat/>
    <w:uiPriority w:val="99"/>
    <w:rPr>
      <w:rFonts w:hint="eastAsia" w:ascii="宋体" w:hAnsi="宋体" w:eastAsia="宋体"/>
      <w:b/>
      <w:bCs/>
      <w:kern w:val="44"/>
      <w:sz w:val="44"/>
      <w:szCs w:val="44"/>
      <w:lang w:val="en-US" w:eastAsia="zh-CN"/>
    </w:rPr>
  </w:style>
  <w:style w:type="character" w:customStyle="1" w:styleId="175">
    <w:name w:val="明显强调1"/>
    <w:qFormat/>
    <w:uiPriority w:val="99"/>
    <w:rPr>
      <w:b/>
      <w:bCs/>
      <w:i/>
      <w:iCs/>
      <w:color w:val="5B9BD5"/>
    </w:rPr>
  </w:style>
  <w:style w:type="character" w:customStyle="1" w:styleId="176">
    <w:name w:val="Footnote Text Char"/>
    <w:qFormat/>
    <w:uiPriority w:val="99"/>
    <w:rPr>
      <w:rFonts w:hint="eastAsia" w:ascii="宋体" w:hAnsi="宋体" w:eastAsia="宋体"/>
      <w:sz w:val="18"/>
      <w:szCs w:val="18"/>
      <w:lang w:val="en-US" w:eastAsia="zh-CN"/>
    </w:rPr>
  </w:style>
  <w:style w:type="character" w:customStyle="1" w:styleId="177">
    <w:name w:val="批注框文本 Char2"/>
    <w:semiHidden/>
    <w:qFormat/>
    <w:uiPriority w:val="99"/>
    <w:rPr>
      <w:sz w:val="18"/>
      <w:szCs w:val="18"/>
    </w:rPr>
  </w:style>
  <w:style w:type="character" w:customStyle="1" w:styleId="178">
    <w:name w:val="正文文本缩进 Char2"/>
    <w:semiHidden/>
    <w:qFormat/>
    <w:uiPriority w:val="99"/>
    <w:rPr>
      <w:rFonts w:hint="default" w:ascii="Times New Roman" w:hAnsi="Times New Roman" w:eastAsia="宋体" w:cs="Times New Roman"/>
      <w:kern w:val="2"/>
      <w:sz w:val="21"/>
      <w:szCs w:val="21"/>
    </w:rPr>
  </w:style>
  <w:style w:type="character" w:customStyle="1" w:styleId="179">
    <w:name w:val="Body Text Indent 2 Char"/>
    <w:qFormat/>
    <w:uiPriority w:val="99"/>
    <w:rPr>
      <w:rFonts w:hint="eastAsia" w:ascii="宋体" w:hAnsi="宋体" w:eastAsia="宋体"/>
      <w:kern w:val="2"/>
      <w:sz w:val="24"/>
      <w:szCs w:val="24"/>
      <w:lang w:val="en-US" w:eastAsia="zh-CN"/>
    </w:rPr>
  </w:style>
  <w:style w:type="character" w:customStyle="1" w:styleId="180">
    <w:name w:val="文档结构图 Char4"/>
    <w:semiHidden/>
    <w:qFormat/>
    <w:uiPriority w:val="99"/>
    <w:rPr>
      <w:rFonts w:ascii="Microsoft YaHei UI" w:hAnsi="Calibri" w:eastAsia="Microsoft YaHei UI" w:cs="Times New Roman"/>
      <w:sz w:val="18"/>
      <w:szCs w:val="18"/>
    </w:rPr>
  </w:style>
  <w:style w:type="character" w:customStyle="1" w:styleId="181">
    <w:name w:val="明显参考1"/>
    <w:qFormat/>
    <w:uiPriority w:val="99"/>
    <w:rPr>
      <w:b/>
      <w:bCs/>
      <w:smallCaps/>
      <w:color w:val="auto"/>
      <w:spacing w:val="5"/>
      <w:u w:val="single"/>
    </w:rPr>
  </w:style>
  <w:style w:type="character" w:customStyle="1" w:styleId="182">
    <w:name w:val="Char Char6"/>
    <w:qFormat/>
    <w:uiPriority w:val="99"/>
    <w:rPr>
      <w:rFonts w:eastAsia="宋体"/>
      <w:b/>
      <w:bCs/>
      <w:kern w:val="44"/>
      <w:sz w:val="32"/>
      <w:szCs w:val="44"/>
      <w:lang w:val="en-US" w:eastAsia="zh-CN" w:bidi="ar-SA"/>
    </w:rPr>
  </w:style>
  <w:style w:type="character" w:customStyle="1" w:styleId="183">
    <w:name w:val="批注文字 Char Char"/>
    <w:qFormat/>
    <w:uiPriority w:val="99"/>
    <w:rPr>
      <w:rFonts w:ascii="宋体" w:hAnsi="Times New Roman" w:eastAsia="宋体" w:cs="Times New Roman"/>
      <w:sz w:val="28"/>
      <w:szCs w:val="20"/>
    </w:rPr>
  </w:style>
  <w:style w:type="character" w:customStyle="1" w:styleId="184">
    <w:name w:val="页眉 Char1"/>
    <w:semiHidden/>
    <w:qFormat/>
    <w:uiPriority w:val="99"/>
    <w:rPr>
      <w:sz w:val="18"/>
      <w:szCs w:val="18"/>
    </w:rPr>
  </w:style>
  <w:style w:type="character" w:customStyle="1" w:styleId="185">
    <w:name w:val="副标题 Char1"/>
    <w:qFormat/>
    <w:uiPriority w:val="11"/>
    <w:rPr>
      <w:rFonts w:ascii="Cambria" w:hAnsi="Cambria" w:eastAsia="宋体" w:cs="Times New Roman"/>
      <w:b/>
      <w:bCs/>
      <w:kern w:val="28"/>
      <w:sz w:val="32"/>
      <w:szCs w:val="32"/>
    </w:rPr>
  </w:style>
  <w:style w:type="character" w:customStyle="1" w:styleId="186">
    <w:name w:val="页脚 Char2"/>
    <w:semiHidden/>
    <w:qFormat/>
    <w:uiPriority w:val="99"/>
    <w:rPr>
      <w:rFonts w:hint="default" w:ascii="Times New Roman" w:hAnsi="Times New Roman" w:eastAsia="宋体" w:cs="Times New Roman"/>
      <w:kern w:val="2"/>
      <w:sz w:val="18"/>
      <w:szCs w:val="18"/>
    </w:rPr>
  </w:style>
  <w:style w:type="character" w:customStyle="1" w:styleId="187">
    <w:name w:val="Char Char2_0"/>
    <w:qFormat/>
    <w:uiPriority w:val="0"/>
    <w:rPr>
      <w:rFonts w:hint="eastAsia" w:ascii="宋体" w:hAnsi="Courier New" w:eastAsia="宋体"/>
      <w:kern w:val="2"/>
      <w:sz w:val="21"/>
      <w:szCs w:val="24"/>
      <w:lang w:val="en-US" w:eastAsia="zh-CN" w:bidi="ar-SA"/>
    </w:rPr>
  </w:style>
  <w:style w:type="character" w:customStyle="1" w:styleId="188">
    <w:name w:val="Comment Subject Char"/>
    <w:qFormat/>
    <w:uiPriority w:val="99"/>
    <w:rPr>
      <w:b/>
      <w:bCs/>
      <w:sz w:val="24"/>
      <w:szCs w:val="24"/>
    </w:rPr>
  </w:style>
  <w:style w:type="character" w:customStyle="1" w:styleId="189">
    <w:name w:val="Char Char"/>
    <w:qFormat/>
    <w:uiPriority w:val="0"/>
    <w:rPr>
      <w:rFonts w:ascii="Cambria" w:hAnsi="Cambria"/>
      <w:b/>
      <w:bCs/>
      <w:kern w:val="2"/>
      <w:sz w:val="32"/>
      <w:szCs w:val="32"/>
      <w:lang w:bidi="ar-SA"/>
    </w:rPr>
  </w:style>
  <w:style w:type="character" w:customStyle="1" w:styleId="190">
    <w:name w:val="标题4 Char Char"/>
    <w:link w:val="191"/>
    <w:qFormat/>
    <w:uiPriority w:val="99"/>
    <w:rPr>
      <w:rFonts w:ascii="Arial" w:hAnsi="Arial"/>
      <w:b/>
      <w:bCs/>
      <w:sz w:val="24"/>
      <w:szCs w:val="32"/>
    </w:rPr>
  </w:style>
  <w:style w:type="paragraph" w:customStyle="1" w:styleId="191">
    <w:name w:val="标题4"/>
    <w:basedOn w:val="3"/>
    <w:next w:val="20"/>
    <w:link w:val="190"/>
    <w:qFormat/>
    <w:uiPriority w:val="99"/>
    <w:pPr>
      <w:tabs>
        <w:tab w:val="clear" w:pos="567"/>
      </w:tabs>
      <w:spacing w:before="200" w:line="240" w:lineRule="auto"/>
      <w:ind w:left="0" w:firstLine="0"/>
    </w:pPr>
    <w:rPr>
      <w:b/>
      <w:color w:val="auto"/>
      <w:kern w:val="0"/>
      <w:sz w:val="24"/>
    </w:rPr>
  </w:style>
  <w:style w:type="character" w:customStyle="1" w:styleId="192">
    <w:name w:val="正文文本缩进 2 Char2"/>
    <w:semiHidden/>
    <w:qFormat/>
    <w:uiPriority w:val="99"/>
    <w:rPr>
      <w:rFonts w:ascii="Calibri" w:hAnsi="Calibri" w:eastAsia="宋体" w:cs="Times New Roman"/>
    </w:rPr>
  </w:style>
  <w:style w:type="character" w:customStyle="1" w:styleId="193">
    <w:name w:val="正文文本缩进 Char3"/>
    <w:semiHidden/>
    <w:qFormat/>
    <w:uiPriority w:val="99"/>
    <w:rPr>
      <w:rFonts w:ascii="Calibri" w:hAnsi="Calibri" w:eastAsia="宋体" w:cs="Times New Roman"/>
    </w:rPr>
  </w:style>
  <w:style w:type="character" w:customStyle="1" w:styleId="194">
    <w:name w:val="标题 Char3"/>
    <w:qFormat/>
    <w:uiPriority w:val="10"/>
    <w:rPr>
      <w:rFonts w:hint="eastAsia" w:ascii="等线 Light" w:hAnsi="等线 Light" w:eastAsia="宋体" w:cs="Times New Roman"/>
      <w:b/>
      <w:bCs/>
      <w:sz w:val="32"/>
      <w:szCs w:val="32"/>
    </w:rPr>
  </w:style>
  <w:style w:type="character" w:customStyle="1" w:styleId="195">
    <w:name w:val="正文小标题 Char"/>
    <w:link w:val="196"/>
    <w:qFormat/>
    <w:uiPriority w:val="0"/>
    <w:rPr>
      <w:rFonts w:hAnsi="宋体"/>
      <w:b/>
      <w:bCs/>
      <w:kern w:val="44"/>
      <w:szCs w:val="21"/>
    </w:rPr>
  </w:style>
  <w:style w:type="paragraph" w:customStyle="1" w:styleId="196">
    <w:name w:val="正文小标题"/>
    <w:basedOn w:val="2"/>
    <w:link w:val="195"/>
    <w:qFormat/>
    <w:uiPriority w:val="0"/>
    <w:pPr>
      <w:spacing w:before="480" w:after="0" w:line="420" w:lineRule="exact"/>
    </w:pPr>
    <w:rPr>
      <w:rFonts w:hAnsi="宋体"/>
      <w:sz w:val="20"/>
      <w:szCs w:val="21"/>
    </w:rPr>
  </w:style>
  <w:style w:type="character" w:customStyle="1" w:styleId="197">
    <w:name w:val="Char Char23"/>
    <w:qFormat/>
    <w:uiPriority w:val="99"/>
    <w:rPr>
      <w:rFonts w:hint="eastAsia" w:ascii="宋体" w:hAnsi="宋体" w:eastAsia="宋体"/>
      <w:b/>
      <w:bCs/>
      <w:kern w:val="44"/>
      <w:sz w:val="44"/>
      <w:szCs w:val="44"/>
      <w:lang w:val="en-US" w:eastAsia="zh-CN"/>
    </w:rPr>
  </w:style>
  <w:style w:type="character" w:customStyle="1" w:styleId="198">
    <w:name w:val="Char Char5"/>
    <w:qFormat/>
    <w:uiPriority w:val="0"/>
    <w:rPr>
      <w:rFonts w:eastAsia="宋体"/>
      <w:b/>
      <w:bCs/>
      <w:kern w:val="2"/>
      <w:sz w:val="28"/>
      <w:szCs w:val="28"/>
      <w:lang w:val="en-US" w:eastAsia="zh-CN" w:bidi="ar-SA"/>
    </w:rPr>
  </w:style>
  <w:style w:type="character" w:customStyle="1" w:styleId="199">
    <w:name w:val="正文文本 Char2"/>
    <w:semiHidden/>
    <w:qFormat/>
    <w:uiPriority w:val="99"/>
    <w:rPr>
      <w:sz w:val="22"/>
      <w:szCs w:val="22"/>
    </w:rPr>
  </w:style>
  <w:style w:type="character" w:customStyle="1" w:styleId="200">
    <w:name w:val="引用 Char2"/>
    <w:qFormat/>
    <w:uiPriority w:val="29"/>
    <w:rPr>
      <w:i/>
      <w:iCs/>
      <w:color w:val="000000"/>
      <w:sz w:val="22"/>
      <w:szCs w:val="22"/>
    </w:rPr>
  </w:style>
  <w:style w:type="character" w:customStyle="1" w:styleId="201">
    <w:name w:val="批注主题 Char3"/>
    <w:semiHidden/>
    <w:qFormat/>
    <w:uiPriority w:val="99"/>
    <w:rPr>
      <w:rFonts w:hint="default" w:ascii="Times New Roman" w:hAnsi="Times New Roman" w:eastAsia="宋体" w:cs="Times New Roman"/>
      <w:b/>
      <w:bCs/>
      <w:kern w:val="2"/>
      <w:sz w:val="21"/>
      <w:szCs w:val="21"/>
    </w:rPr>
  </w:style>
  <w:style w:type="character" w:customStyle="1" w:styleId="202">
    <w:name w:val="Char Char7_0"/>
    <w:qFormat/>
    <w:uiPriority w:val="0"/>
    <w:rPr>
      <w:rFonts w:hint="eastAsia" w:ascii="宋体" w:hAnsi="宋体" w:eastAsia="宋体"/>
      <w:b/>
      <w:bCs/>
      <w:kern w:val="2"/>
      <w:sz w:val="24"/>
      <w:szCs w:val="32"/>
      <w:lang w:val="en-US" w:eastAsia="zh-CN" w:bidi="ar-SA"/>
    </w:rPr>
  </w:style>
  <w:style w:type="character" w:customStyle="1" w:styleId="203">
    <w:name w:val="正文文本 Char1"/>
    <w:qFormat/>
    <w:uiPriority w:val="99"/>
    <w:rPr>
      <w:kern w:val="2"/>
      <w:sz w:val="21"/>
      <w:szCs w:val="22"/>
    </w:rPr>
  </w:style>
  <w:style w:type="character" w:customStyle="1" w:styleId="204">
    <w:name w:val="脚注文本 Char3"/>
    <w:semiHidden/>
    <w:qFormat/>
    <w:uiPriority w:val="99"/>
    <w:rPr>
      <w:rFonts w:ascii="Calibri" w:hAnsi="Calibri" w:eastAsia="宋体" w:cs="Times New Roman"/>
      <w:sz w:val="18"/>
      <w:szCs w:val="18"/>
    </w:rPr>
  </w:style>
  <w:style w:type="character" w:customStyle="1" w:styleId="205">
    <w:name w:val="Char Char181"/>
    <w:qFormat/>
    <w:uiPriority w:val="99"/>
    <w:rPr>
      <w:b/>
      <w:bCs/>
      <w:kern w:val="44"/>
      <w:sz w:val="44"/>
      <w:szCs w:val="44"/>
    </w:rPr>
  </w:style>
  <w:style w:type="character" w:customStyle="1" w:styleId="206">
    <w:name w:val="标题 Char5"/>
    <w:qFormat/>
    <w:uiPriority w:val="10"/>
    <w:rPr>
      <w:rFonts w:ascii="Cambria" w:hAnsi="Cambria" w:eastAsia="宋体" w:cs="Times New Roman"/>
      <w:b/>
      <w:bCs/>
      <w:sz w:val="32"/>
      <w:szCs w:val="32"/>
    </w:rPr>
  </w:style>
  <w:style w:type="character" w:customStyle="1" w:styleId="207">
    <w:name w:val="Balloon Text Char"/>
    <w:qFormat/>
    <w:uiPriority w:val="99"/>
    <w:rPr>
      <w:sz w:val="18"/>
      <w:szCs w:val="18"/>
    </w:rPr>
  </w:style>
  <w:style w:type="character" w:customStyle="1" w:styleId="208">
    <w:name w:val="批注框文本 Char1"/>
    <w:qFormat/>
    <w:uiPriority w:val="99"/>
    <w:rPr>
      <w:kern w:val="2"/>
      <w:sz w:val="18"/>
      <w:szCs w:val="18"/>
    </w:rPr>
  </w:style>
  <w:style w:type="character" w:customStyle="1" w:styleId="209">
    <w:name w:val="书籍标题1"/>
    <w:qFormat/>
    <w:uiPriority w:val="99"/>
    <w:rPr>
      <w:b/>
      <w:bCs/>
      <w:smallCaps/>
      <w:spacing w:val="5"/>
    </w:rPr>
  </w:style>
  <w:style w:type="character" w:customStyle="1" w:styleId="210">
    <w:name w:val="Char Char8_0"/>
    <w:qFormat/>
    <w:uiPriority w:val="0"/>
    <w:rPr>
      <w:rFonts w:hint="eastAsia" w:ascii="宋体" w:hAnsi="宋体" w:eastAsia="宋体"/>
      <w:b/>
      <w:bCs/>
      <w:kern w:val="44"/>
      <w:sz w:val="32"/>
      <w:szCs w:val="44"/>
      <w:lang w:val="en-US" w:eastAsia="zh-CN" w:bidi="ar-SA"/>
    </w:rPr>
  </w:style>
  <w:style w:type="character" w:customStyle="1" w:styleId="211">
    <w:name w:val="批注文字 Char4"/>
    <w:semiHidden/>
    <w:qFormat/>
    <w:uiPriority w:val="99"/>
    <w:rPr>
      <w:rFonts w:hint="default" w:ascii="Times New Roman" w:hAnsi="Times New Roman" w:eastAsia="宋体" w:cs="Times New Roman"/>
      <w:kern w:val="2"/>
      <w:sz w:val="21"/>
      <w:szCs w:val="21"/>
    </w:rPr>
  </w:style>
  <w:style w:type="character" w:customStyle="1" w:styleId="212">
    <w:name w:val="Char Char_0"/>
    <w:qFormat/>
    <w:uiPriority w:val="0"/>
    <w:rPr>
      <w:rFonts w:hint="default" w:ascii="Cambria" w:hAnsi="Cambria"/>
      <w:b/>
      <w:bCs/>
      <w:kern w:val="2"/>
      <w:sz w:val="32"/>
      <w:szCs w:val="32"/>
      <w:lang w:bidi="ar-SA"/>
    </w:rPr>
  </w:style>
  <w:style w:type="character" w:customStyle="1" w:styleId="213">
    <w:name w:val="明显参考2"/>
    <w:qFormat/>
    <w:uiPriority w:val="32"/>
    <w:rPr>
      <w:b/>
      <w:bCs/>
      <w:smallCaps/>
      <w:color w:val="ED7D31"/>
      <w:spacing w:val="5"/>
      <w:u w:val="single"/>
    </w:rPr>
  </w:style>
  <w:style w:type="character" w:customStyle="1" w:styleId="214">
    <w:name w:val="不明显强调2"/>
    <w:qFormat/>
    <w:uiPriority w:val="19"/>
    <w:rPr>
      <w:i/>
      <w:iCs/>
      <w:color w:val="808080"/>
    </w:rPr>
  </w:style>
  <w:style w:type="character" w:customStyle="1" w:styleId="215">
    <w:name w:val="Char Char4"/>
    <w:qFormat/>
    <w:uiPriority w:val="0"/>
    <w:rPr>
      <w:b/>
      <w:bCs/>
      <w:kern w:val="2"/>
      <w:sz w:val="21"/>
      <w:szCs w:val="24"/>
      <w:lang w:bidi="ar-SA"/>
    </w:rPr>
  </w:style>
  <w:style w:type="character" w:customStyle="1" w:styleId="216">
    <w:name w:val="小标题无样式 Char"/>
    <w:link w:val="217"/>
    <w:qFormat/>
    <w:uiPriority w:val="0"/>
    <w:rPr>
      <w:rFonts w:ascii="宋体" w:hAnsi="宋体"/>
      <w:b/>
      <w:sz w:val="24"/>
      <w:szCs w:val="21"/>
    </w:rPr>
  </w:style>
  <w:style w:type="paragraph" w:customStyle="1" w:styleId="217">
    <w:name w:val="小标题无样式"/>
    <w:basedOn w:val="92"/>
    <w:link w:val="216"/>
    <w:qFormat/>
    <w:uiPriority w:val="0"/>
    <w:pPr>
      <w:ind w:firstLine="0" w:firstLineChars="0"/>
    </w:pPr>
    <w:rPr>
      <w:b/>
      <w:kern w:val="0"/>
      <w:sz w:val="24"/>
      <w:szCs w:val="21"/>
    </w:rPr>
  </w:style>
  <w:style w:type="character" w:customStyle="1" w:styleId="218">
    <w:name w:val="Document Map Char"/>
    <w:qFormat/>
    <w:uiPriority w:val="99"/>
    <w:rPr>
      <w:rFonts w:hint="eastAsia" w:ascii="宋体" w:hAnsi="宋体" w:eastAsia="宋体"/>
      <w:kern w:val="2"/>
      <w:sz w:val="24"/>
      <w:szCs w:val="24"/>
      <w:lang w:val="en-US" w:eastAsia="zh-CN"/>
    </w:rPr>
  </w:style>
  <w:style w:type="character" w:customStyle="1" w:styleId="219">
    <w:name w:val="副标题 Char2"/>
    <w:qFormat/>
    <w:uiPriority w:val="11"/>
    <w:rPr>
      <w:rFonts w:hint="default" w:ascii="Cambria" w:hAnsi="Cambria" w:eastAsia="宋体" w:cs="Times New Roman"/>
      <w:b/>
      <w:bCs/>
      <w:kern w:val="28"/>
      <w:sz w:val="32"/>
      <w:szCs w:val="32"/>
    </w:rPr>
  </w:style>
  <w:style w:type="character" w:customStyle="1" w:styleId="220">
    <w:name w:val="Char Char9_0"/>
    <w:qFormat/>
    <w:uiPriority w:val="99"/>
    <w:rPr>
      <w:rFonts w:hint="eastAsia" w:ascii="宋体" w:hAnsi="宋体" w:eastAsia="宋体"/>
      <w:b/>
      <w:bCs/>
      <w:kern w:val="44"/>
      <w:sz w:val="32"/>
      <w:szCs w:val="44"/>
      <w:lang w:val="en-US" w:eastAsia="zh-CN" w:bidi="ar-SA"/>
    </w:rPr>
  </w:style>
  <w:style w:type="character" w:customStyle="1" w:styleId="221">
    <w:name w:val="Char Char9"/>
    <w:qFormat/>
    <w:uiPriority w:val="0"/>
    <w:rPr>
      <w:rFonts w:eastAsia="宋体"/>
      <w:b/>
      <w:bCs/>
      <w:kern w:val="44"/>
      <w:sz w:val="32"/>
      <w:szCs w:val="44"/>
      <w:lang w:val="en-US" w:eastAsia="zh-CN" w:bidi="ar-SA"/>
    </w:rPr>
  </w:style>
  <w:style w:type="character" w:customStyle="1" w:styleId="222">
    <w:name w:val="日期 Char3"/>
    <w:semiHidden/>
    <w:qFormat/>
    <w:uiPriority w:val="99"/>
    <w:rPr>
      <w:rFonts w:hint="default" w:ascii="Times New Roman" w:hAnsi="Times New Roman" w:eastAsia="宋体" w:cs="Times New Roman"/>
      <w:kern w:val="2"/>
      <w:sz w:val="21"/>
      <w:szCs w:val="21"/>
    </w:rPr>
  </w:style>
  <w:style w:type="character" w:customStyle="1" w:styleId="223">
    <w:name w:val="纯文本 Char3"/>
    <w:semiHidden/>
    <w:qFormat/>
    <w:uiPriority w:val="99"/>
    <w:rPr>
      <w:rFonts w:hint="eastAsia" w:ascii="宋体" w:hAnsi="Courier New" w:eastAsia="宋体" w:cs="Courier New"/>
      <w:kern w:val="2"/>
      <w:sz w:val="21"/>
      <w:szCs w:val="21"/>
    </w:rPr>
  </w:style>
  <w:style w:type="character" w:customStyle="1" w:styleId="224">
    <w:name w:val="明显引用 字符"/>
    <w:link w:val="225"/>
    <w:qFormat/>
    <w:uiPriority w:val="99"/>
    <w:rPr>
      <w:b/>
      <w:bCs/>
      <w:i/>
      <w:iCs/>
      <w:color w:val="5B9BD5"/>
    </w:rPr>
  </w:style>
  <w:style w:type="paragraph" w:styleId="225">
    <w:name w:val="Intense Quote"/>
    <w:basedOn w:val="1"/>
    <w:next w:val="1"/>
    <w:link w:val="224"/>
    <w:qFormat/>
    <w:uiPriority w:val="99"/>
    <w:pPr>
      <w:pBdr>
        <w:bottom w:val="single" w:color="5B9BD5" w:sz="4" w:space="4"/>
      </w:pBdr>
      <w:spacing w:before="200" w:after="280"/>
      <w:ind w:left="936" w:right="936"/>
    </w:pPr>
    <w:rPr>
      <w:b/>
      <w:bCs/>
      <w:i/>
      <w:iCs/>
      <w:color w:val="5B9BD5"/>
      <w:kern w:val="0"/>
      <w:sz w:val="20"/>
      <w:szCs w:val="20"/>
    </w:rPr>
  </w:style>
  <w:style w:type="character" w:customStyle="1" w:styleId="226">
    <w:name w:val="明显引用 字符1"/>
    <w:qFormat/>
    <w:uiPriority w:val="99"/>
    <w:rPr>
      <w:i/>
      <w:iCs/>
      <w:color w:val="4F81BD"/>
      <w:kern w:val="2"/>
      <w:sz w:val="21"/>
      <w:szCs w:val="24"/>
    </w:rPr>
  </w:style>
  <w:style w:type="character" w:customStyle="1" w:styleId="227">
    <w:name w:val="明显引用 Char3"/>
    <w:qFormat/>
    <w:uiPriority w:val="30"/>
    <w:rPr>
      <w:rFonts w:ascii="Calibri" w:hAnsi="Calibri" w:eastAsia="宋体" w:cs="Times New Roman"/>
      <w:i/>
      <w:iCs/>
      <w:color w:val="4F81BD"/>
    </w:rPr>
  </w:style>
  <w:style w:type="character" w:customStyle="1" w:styleId="228">
    <w:name w:val="Char Char20"/>
    <w:qFormat/>
    <w:uiPriority w:val="99"/>
    <w:rPr>
      <w:rFonts w:hint="default" w:ascii="Times New Roman" w:hAnsi="Times New Roman" w:eastAsia="宋体" w:cs="Times New Roman"/>
      <w:b/>
      <w:bCs/>
      <w:sz w:val="32"/>
      <w:szCs w:val="32"/>
    </w:rPr>
  </w:style>
  <w:style w:type="character" w:customStyle="1" w:styleId="229">
    <w:name w:val="纯文本 Char2"/>
    <w:semiHidden/>
    <w:qFormat/>
    <w:uiPriority w:val="99"/>
    <w:rPr>
      <w:rFonts w:hint="eastAsia" w:ascii="宋体" w:hAnsi="Courier New" w:eastAsia="宋体" w:cs="Courier New"/>
      <w:szCs w:val="21"/>
    </w:rPr>
  </w:style>
  <w:style w:type="character" w:customStyle="1" w:styleId="230">
    <w:name w:val="无间隔 Char"/>
    <w:link w:val="231"/>
    <w:qFormat/>
    <w:uiPriority w:val="1"/>
    <w:rPr>
      <w:szCs w:val="24"/>
      <w:lang w:val="en-US" w:eastAsia="zh-CN" w:bidi="ar-SA"/>
    </w:rPr>
  </w:style>
  <w:style w:type="paragraph" w:customStyle="1" w:styleId="231">
    <w:name w:val="无间隔_0"/>
    <w:link w:val="230"/>
    <w:qFormat/>
    <w:uiPriority w:val="1"/>
    <w:pPr>
      <w:widowControl w:val="0"/>
      <w:jc w:val="both"/>
    </w:pPr>
    <w:rPr>
      <w:rFonts w:ascii="Times New Roman" w:hAnsi="Times New Roman" w:eastAsia="宋体" w:cs="Times New Roman"/>
      <w:szCs w:val="24"/>
      <w:lang w:val="en-US" w:eastAsia="zh-CN" w:bidi="ar-SA"/>
    </w:rPr>
  </w:style>
  <w:style w:type="character" w:customStyle="1" w:styleId="232">
    <w:name w:val="正文文本 Char3"/>
    <w:semiHidden/>
    <w:qFormat/>
    <w:uiPriority w:val="99"/>
    <w:rPr>
      <w:rFonts w:hint="default" w:ascii="Times New Roman" w:hAnsi="Times New Roman" w:eastAsia="宋体" w:cs="Times New Roman"/>
      <w:kern w:val="2"/>
      <w:sz w:val="21"/>
      <w:szCs w:val="21"/>
    </w:rPr>
  </w:style>
  <w:style w:type="character" w:customStyle="1" w:styleId="233">
    <w:name w:val="Plain Text Char"/>
    <w:qFormat/>
    <w:uiPriority w:val="99"/>
    <w:rPr>
      <w:rFonts w:hint="eastAsia" w:ascii="宋体" w:hAnsi="Courier New" w:eastAsia="宋体" w:cs="宋体"/>
      <w:sz w:val="24"/>
      <w:szCs w:val="24"/>
    </w:rPr>
  </w:style>
  <w:style w:type="character" w:customStyle="1" w:styleId="234">
    <w:name w:val="批注框文本 Char4"/>
    <w:semiHidden/>
    <w:qFormat/>
    <w:uiPriority w:val="99"/>
    <w:rPr>
      <w:rFonts w:ascii="Calibri" w:hAnsi="Calibri" w:eastAsia="宋体" w:cs="Times New Roman"/>
      <w:sz w:val="18"/>
      <w:szCs w:val="18"/>
    </w:rPr>
  </w:style>
  <w:style w:type="character" w:customStyle="1" w:styleId="235">
    <w:name w:val="Char Char7"/>
    <w:qFormat/>
    <w:uiPriority w:val="0"/>
    <w:rPr>
      <w:rFonts w:eastAsia="宋体"/>
      <w:b/>
      <w:bCs/>
      <w:kern w:val="2"/>
      <w:sz w:val="24"/>
      <w:szCs w:val="32"/>
      <w:lang w:val="en-US" w:eastAsia="zh-CN" w:bidi="ar-SA"/>
    </w:rPr>
  </w:style>
  <w:style w:type="character" w:customStyle="1" w:styleId="236">
    <w:name w:val="Char Char2"/>
    <w:qFormat/>
    <w:uiPriority w:val="0"/>
    <w:rPr>
      <w:rFonts w:ascii="宋体" w:hAnsi="Courier New" w:eastAsia="宋体"/>
      <w:kern w:val="2"/>
      <w:sz w:val="21"/>
      <w:szCs w:val="24"/>
      <w:lang w:val="en-US" w:eastAsia="zh-CN" w:bidi="ar-SA"/>
    </w:rPr>
  </w:style>
  <w:style w:type="character" w:customStyle="1" w:styleId="237">
    <w:name w:val="textcontents"/>
    <w:qFormat/>
    <w:uiPriority w:val="99"/>
    <w:rPr>
      <w:rFonts w:cs="Times New Roman"/>
    </w:rPr>
  </w:style>
  <w:style w:type="character" w:customStyle="1" w:styleId="238">
    <w:name w:val="Body Text Indent Char"/>
    <w:qFormat/>
    <w:uiPriority w:val="99"/>
    <w:rPr>
      <w:rFonts w:hint="eastAsia" w:ascii="宋体" w:hAnsi="宋体" w:eastAsia="宋体" w:cs="宋体"/>
      <w:kern w:val="2"/>
      <w:sz w:val="21"/>
      <w:szCs w:val="21"/>
      <w:lang w:val="en-US" w:eastAsia="zh-CN"/>
    </w:rPr>
  </w:style>
  <w:style w:type="character" w:customStyle="1" w:styleId="239">
    <w:name w:val="副标题 Char3"/>
    <w:qFormat/>
    <w:uiPriority w:val="11"/>
    <w:rPr>
      <w:rFonts w:ascii="Cambria" w:hAnsi="Cambria" w:eastAsia="宋体" w:cs="Times New Roman"/>
      <w:b/>
      <w:bCs/>
      <w:kern w:val="28"/>
      <w:sz w:val="32"/>
      <w:szCs w:val="32"/>
    </w:rPr>
  </w:style>
  <w:style w:type="character" w:customStyle="1" w:styleId="240">
    <w:name w:val="批注文字 Char5"/>
    <w:semiHidden/>
    <w:qFormat/>
    <w:uiPriority w:val="99"/>
    <w:rPr>
      <w:rFonts w:ascii="Calibri" w:hAnsi="Calibri" w:eastAsia="宋体" w:cs="Times New Roman"/>
    </w:rPr>
  </w:style>
  <w:style w:type="paragraph" w:customStyle="1" w:styleId="241">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242">
    <w:name w:val="引用 Char3"/>
    <w:qFormat/>
    <w:uiPriority w:val="29"/>
    <w:rPr>
      <w:rFonts w:ascii="Calibri" w:hAnsi="Calibri" w:eastAsia="宋体" w:cs="Times New Roman"/>
      <w:i/>
      <w:iCs/>
      <w:color w:val="000000"/>
    </w:rPr>
  </w:style>
  <w:style w:type="paragraph" w:customStyle="1" w:styleId="243">
    <w:name w:val="_Style 2_0"/>
    <w:qFormat/>
    <w:uiPriority w:val="1"/>
    <w:rPr>
      <w:rFonts w:ascii="Times New Roman" w:hAnsi="Times New Roman" w:eastAsia="宋体" w:cs="Times New Roman"/>
      <w:sz w:val="22"/>
      <w:szCs w:val="22"/>
      <w:lang w:val="en-US" w:eastAsia="zh-CN" w:bidi="ar-SA"/>
    </w:rPr>
  </w:style>
  <w:style w:type="character" w:customStyle="1" w:styleId="244">
    <w:name w:val="页脚 Char3"/>
    <w:semiHidden/>
    <w:qFormat/>
    <w:uiPriority w:val="99"/>
    <w:rPr>
      <w:rFonts w:ascii="Calibri" w:hAnsi="Calibri" w:eastAsia="宋体" w:cs="Times New Roman"/>
      <w:sz w:val="18"/>
      <w:szCs w:val="18"/>
    </w:rPr>
  </w:style>
  <w:style w:type="character" w:customStyle="1" w:styleId="245">
    <w:name w:val="正文文本缩进 2 Char3"/>
    <w:semiHidden/>
    <w:qFormat/>
    <w:uiPriority w:val="99"/>
    <w:rPr>
      <w:rFonts w:ascii="Calibri" w:hAnsi="Calibri" w:eastAsia="宋体" w:cs="Times New Roman"/>
    </w:rPr>
  </w:style>
  <w:style w:type="character" w:customStyle="1" w:styleId="246">
    <w:name w:val="批注主题 Char4"/>
    <w:semiHidden/>
    <w:qFormat/>
    <w:uiPriority w:val="99"/>
    <w:rPr>
      <w:rFonts w:ascii="Calibri" w:hAnsi="Calibri" w:eastAsia="宋体" w:cs="Times New Roman"/>
      <w:b/>
      <w:bCs/>
    </w:rPr>
  </w:style>
  <w:style w:type="character" w:customStyle="1" w:styleId="247">
    <w:name w:val="正文文本 Char4"/>
    <w:semiHidden/>
    <w:qFormat/>
    <w:uiPriority w:val="99"/>
    <w:rPr>
      <w:rFonts w:ascii="Calibri" w:hAnsi="Calibri" w:eastAsia="宋体" w:cs="Times New Roman"/>
    </w:rPr>
  </w:style>
  <w:style w:type="paragraph" w:customStyle="1" w:styleId="248">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49">
    <w:name w:val="正文_2"/>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250">
    <w:name w:val="页眉 Char3"/>
    <w:semiHidden/>
    <w:qFormat/>
    <w:uiPriority w:val="99"/>
    <w:rPr>
      <w:rFonts w:ascii="Calibri" w:hAnsi="Calibri" w:eastAsia="宋体" w:cs="Times New Roman"/>
      <w:sz w:val="18"/>
      <w:szCs w:val="18"/>
    </w:rPr>
  </w:style>
  <w:style w:type="character" w:customStyle="1" w:styleId="251">
    <w:name w:val="日期 Char4"/>
    <w:semiHidden/>
    <w:qFormat/>
    <w:uiPriority w:val="99"/>
    <w:rPr>
      <w:rFonts w:ascii="Calibri" w:hAnsi="Calibri" w:eastAsia="宋体" w:cs="Times New Roman"/>
    </w:rPr>
  </w:style>
  <w:style w:type="paragraph" w:customStyle="1" w:styleId="252">
    <w:name w:val="无间隔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53">
    <w:name w:val="纯文本 Char4"/>
    <w:semiHidden/>
    <w:qFormat/>
    <w:uiPriority w:val="99"/>
    <w:rPr>
      <w:rFonts w:ascii="宋体" w:hAnsi="Courier New" w:eastAsia="宋体" w:cs="Courier New"/>
      <w:szCs w:val="21"/>
    </w:rPr>
  </w:style>
  <w:style w:type="paragraph" w:customStyle="1" w:styleId="254">
    <w:name w:val="_Style 2"/>
    <w:qFormat/>
    <w:uiPriority w:val="1"/>
    <w:rPr>
      <w:rFonts w:ascii="Times New Roman" w:hAnsi="Times New Roman" w:eastAsia="宋体" w:cs="Times New Roman"/>
      <w:sz w:val="22"/>
      <w:szCs w:val="22"/>
      <w:lang w:val="en-US" w:eastAsia="zh-CN" w:bidi="ar-SA"/>
    </w:rPr>
  </w:style>
  <w:style w:type="paragraph" w:customStyle="1" w:styleId="255">
    <w:name w:val="_Style 5_0"/>
    <w:qFormat/>
    <w:uiPriority w:val="1"/>
    <w:rPr>
      <w:rFonts w:ascii="Times New Roman" w:hAnsi="Times New Roman" w:eastAsia="宋体" w:cs="Times New Roman"/>
      <w:sz w:val="22"/>
      <w:szCs w:val="22"/>
      <w:lang w:val="en-US" w:eastAsia="zh-CN" w:bidi="ar-SA"/>
    </w:rPr>
  </w:style>
  <w:style w:type="paragraph" w:customStyle="1" w:styleId="256">
    <w:name w:val="修订1"/>
    <w:qFormat/>
    <w:uiPriority w:val="99"/>
    <w:pPr>
      <w:spacing w:after="200" w:line="276" w:lineRule="auto"/>
    </w:pPr>
    <w:rPr>
      <w:rFonts w:ascii="Times New Roman" w:hAnsi="Times New Roman" w:eastAsia="宋体" w:cs="Times New Roman"/>
      <w:kern w:val="2"/>
      <w:sz w:val="21"/>
      <w:szCs w:val="24"/>
      <w:lang w:val="en-US" w:eastAsia="zh-CN" w:bidi="ar-SA"/>
    </w:rPr>
  </w:style>
  <w:style w:type="paragraph" w:customStyle="1" w:styleId="257">
    <w:name w:val="正文_1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58">
    <w:name w:val="修订2"/>
    <w:semiHidden/>
    <w:qFormat/>
    <w:uiPriority w:val="99"/>
    <w:rPr>
      <w:rFonts w:ascii="Times New Roman" w:hAnsi="Times New Roman" w:eastAsia="宋体" w:cs="Times New Roman"/>
      <w:kern w:val="2"/>
      <w:sz w:val="21"/>
      <w:szCs w:val="24"/>
      <w:lang w:val="en-US" w:eastAsia="zh-CN" w:bidi="ar-SA"/>
    </w:rPr>
  </w:style>
  <w:style w:type="paragraph" w:customStyle="1" w:styleId="259">
    <w:name w:val="段"/>
    <w:next w:val="1"/>
    <w:qFormat/>
    <w:uiPriority w:val="0"/>
    <w:pPr>
      <w:autoSpaceDE w:val="0"/>
      <w:autoSpaceDN w:val="0"/>
      <w:ind w:firstLine="200" w:firstLineChars="200"/>
      <w:jc w:val="both"/>
    </w:pPr>
    <w:rPr>
      <w:rFonts w:ascii="宋体" w:hAnsi="Times New Roman" w:eastAsia="宋体" w:cs="Times New Roman"/>
      <w:sz w:val="21"/>
      <w:szCs w:val="20"/>
      <w:lang w:val="en-US" w:eastAsia="zh-CN" w:bidi="ar-SA"/>
    </w:rPr>
  </w:style>
  <w:style w:type="character" w:customStyle="1" w:styleId="260">
    <w:name w:val="font11"/>
    <w:basedOn w:val="39"/>
    <w:qFormat/>
    <w:uiPriority w:val="0"/>
    <w:rPr>
      <w:rFonts w:hint="eastAsia" w:ascii="宋体" w:hAnsi="宋体" w:eastAsia="宋体" w:cs="宋体"/>
      <w:color w:val="000000"/>
      <w:sz w:val="21"/>
      <w:szCs w:val="21"/>
      <w:u w:val="none"/>
    </w:rPr>
  </w:style>
  <w:style w:type="character" w:customStyle="1" w:styleId="261">
    <w:name w:val="hover"/>
    <w:basedOn w:val="39"/>
    <w:qFormat/>
    <w:uiPriority w:val="0"/>
    <w:rPr>
      <w:color w:val="2590EB"/>
    </w:rPr>
  </w:style>
  <w:style w:type="character" w:customStyle="1" w:styleId="262">
    <w:name w:val="hover1"/>
    <w:basedOn w:val="39"/>
    <w:qFormat/>
    <w:uiPriority w:val="0"/>
    <w:rPr>
      <w:color w:val="2590EB"/>
    </w:rPr>
  </w:style>
  <w:style w:type="character" w:customStyle="1" w:styleId="263">
    <w:name w:val="hover2"/>
    <w:basedOn w:val="39"/>
    <w:qFormat/>
    <w:uiPriority w:val="0"/>
  </w:style>
  <w:style w:type="character" w:customStyle="1" w:styleId="264">
    <w:name w:val="mini-outputtext1"/>
    <w:basedOn w:val="39"/>
    <w:qFormat/>
    <w:uiPriority w:val="0"/>
  </w:style>
  <w:style w:type="character" w:customStyle="1" w:styleId="265">
    <w:name w:val="标题 3 Char"/>
    <w:link w:val="4"/>
    <w:qFormat/>
    <w:uiPriority w:val="0"/>
    <w:rPr>
      <w:b/>
      <w:bCs/>
      <w:sz w:val="24"/>
      <w:szCs w:val="32"/>
    </w:rPr>
  </w:style>
  <w:style w:type="paragraph" w:customStyle="1" w:styleId="266">
    <w:name w:val="首行缩进"/>
    <w:basedOn w:val="1"/>
    <w:qFormat/>
    <w:uiPriority w:val="0"/>
    <w:pPr>
      <w:spacing w:line="360" w:lineRule="auto"/>
      <w:ind w:firstLine="480" w:firstLineChars="200"/>
    </w:pPr>
    <w:rPr>
      <w:rFonts w:ascii="宋体" w:hAnsi="宋体"/>
      <w:kern w:val="0"/>
      <w:sz w:val="24"/>
    </w:rPr>
  </w:style>
  <w:style w:type="table" w:customStyle="1" w:styleId="267">
    <w:name w:val="Table Normal"/>
    <w:unhideWhenUsed/>
    <w:qFormat/>
    <w:uiPriority w:val="2"/>
    <w:pPr>
      <w:widowControl w:val="0"/>
      <w:autoSpaceDE w:val="0"/>
      <w:autoSpaceDN w:val="0"/>
    </w:pPr>
    <w:rPr>
      <w:rFonts w:ascii="Calibri" w:hAnsi="Calibri"/>
      <w:sz w:val="22"/>
      <w:lang w:val="en-US" w:eastAsia="en-US" w:bidi="ar-SA"/>
    </w:rPr>
    <w:tblPr>
      <w:tblCellMar>
        <w:top w:w="0" w:type="dxa"/>
        <w:left w:w="0" w:type="dxa"/>
        <w:bottom w:w="0" w:type="dxa"/>
        <w:right w:w="0" w:type="dxa"/>
      </w:tblCellMar>
    </w:tblPr>
  </w:style>
  <w:style w:type="paragraph" w:customStyle="1" w:styleId="268">
    <w:name w:val="PlainText"/>
    <w:basedOn w:val="1"/>
    <w:next w:val="269"/>
    <w:qFormat/>
    <w:locked/>
    <w:uiPriority w:val="0"/>
    <w:rPr>
      <w:rFonts w:ascii="宋体" w:hAnsi="Courier New"/>
      <w:szCs w:val="20"/>
    </w:rPr>
  </w:style>
  <w:style w:type="paragraph" w:customStyle="1" w:styleId="269">
    <w:name w:val="Index8"/>
    <w:basedOn w:val="1"/>
    <w:next w:val="1"/>
    <w:qFormat/>
    <w:locked/>
    <w:uiPriority w:val="0"/>
    <w:pPr>
      <w:ind w:left="2940"/>
    </w:pPr>
  </w:style>
  <w:style w:type="paragraph" w:customStyle="1" w:styleId="270">
    <w:name w:val="Table Text"/>
    <w:basedOn w:val="1"/>
    <w:semiHidden/>
    <w:qFormat/>
    <w:uiPriority w:val="0"/>
    <w:rPr>
      <w:rFonts w:ascii="宋体" w:hAnsi="宋体" w:eastAsia="宋体" w:cs="宋体"/>
      <w:sz w:val="20"/>
      <w:szCs w:val="20"/>
      <w:lang w:val="en-US" w:eastAsia="en-US" w:bidi="ar-SA"/>
    </w:rPr>
  </w:style>
  <w:style w:type="paragraph" w:customStyle="1" w:styleId="271">
    <w:name w:val="style4"/>
    <w:basedOn w:val="1"/>
    <w:next w:val="272"/>
    <w:qFormat/>
    <w:uiPriority w:val="0"/>
    <w:pPr>
      <w:widowControl/>
      <w:spacing w:before="280" w:after="280"/>
    </w:pPr>
    <w:rPr>
      <w:rFonts w:ascii="宋体"/>
      <w:sz w:val="18"/>
    </w:rPr>
  </w:style>
  <w:style w:type="paragraph" w:customStyle="1" w:styleId="272">
    <w:name w:val="2"/>
    <w:basedOn w:val="4"/>
    <w:next w:val="1"/>
    <w:qFormat/>
    <w:uiPriority w:val="0"/>
    <w:pPr>
      <w:widowControl w:val="0"/>
      <w:spacing w:before="120" w:beforeLines="50" w:after="120" w:afterLines="50" w:line="240" w:lineRule="auto"/>
      <w:jc w:val="center"/>
    </w:pPr>
    <w:rPr>
      <w:rFonts w:ascii="黑体" w:eastAsia="黑体"/>
      <w:sz w:val="44"/>
      <w:szCs w:val="28"/>
    </w:rPr>
  </w:style>
  <w:style w:type="paragraph" w:customStyle="1" w:styleId="273">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4">
    <w:name w:val="页脚_1_0"/>
    <w:basedOn w:val="275"/>
    <w:next w:val="276"/>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customStyle="1" w:styleId="275">
    <w:name w:val="正文_2_0_0_0"/>
    <w:next w:val="274"/>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6">
    <w:name w:val="明显引用1"/>
    <w:basedOn w:val="249"/>
    <w:next w:val="249"/>
    <w:qFormat/>
    <w:uiPriority w:val="0"/>
    <w:pPr>
      <w:widowControl/>
      <w:ind w:left="720" w:right="720"/>
      <w:jc w:val="left"/>
    </w:pPr>
    <w:rPr>
      <w:rFonts w:ascii="Times New Roman" w:hAnsi="Times New Roman" w:eastAsia="宋体" w:cs="Times New Roman"/>
      <w:b/>
      <w:i/>
      <w:sz w:val="24"/>
      <w:szCs w:val="20"/>
      <w:lang w:eastAsia="en-US"/>
    </w:rPr>
  </w:style>
  <w:style w:type="paragraph" w:customStyle="1" w:styleId="277">
    <w:name w:val="页脚_1"/>
    <w:basedOn w:val="278"/>
    <w:next w:val="276"/>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customStyle="1" w:styleId="278">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9">
    <w:name w:val="2ji"/>
    <w:basedOn w:val="3"/>
    <w:next w:val="1"/>
    <w:qFormat/>
    <w:uiPriority w:val="0"/>
    <w:pPr>
      <w:adjustRightInd w:val="0"/>
      <w:spacing w:before="0" w:after="0" w:line="360" w:lineRule="auto"/>
      <w:textAlignment w:val="baseline"/>
    </w:pPr>
    <w:rPr>
      <w:rFonts w:ascii="宋体" w:eastAsia="宋体" w:cs="Times New Roman"/>
      <w:kern w:val="0"/>
      <w:sz w:val="21"/>
      <w:szCs w:val="21"/>
      <w:lang w:bidi="ar-SA"/>
    </w:rPr>
  </w:style>
  <w:style w:type="paragraph" w:customStyle="1" w:styleId="280">
    <w:name w:val="Table Paragraph"/>
    <w:basedOn w:val="1"/>
    <w:qFormat/>
    <w:uiPriority w:val="1"/>
    <w:pPr>
      <w:jc w:val="left"/>
    </w:pPr>
    <w:rPr>
      <w:rFonts w:ascii="Calibri" w:hAnsi="Calibri"/>
      <w:kern w:val="0"/>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PC</Company>
  <Pages>135</Pages>
  <Words>23989</Words>
  <Characters>25792</Characters>
  <Lines>513</Lines>
  <Paragraphs>144</Paragraphs>
  <TotalTime>274</TotalTime>
  <ScaleCrop>false</ScaleCrop>
  <LinksUpToDate>false</LinksUpToDate>
  <CharactersWithSpaces>29300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2022-09-06T09:43:00Z</dcterms:created>
  <dc:creator>Administrator</dc:creator>
  <cp:lastModifiedBy>狠淡de幸福</cp:lastModifiedBy>
  <cp:lastPrinted>2024-11-07T04:54:00Z</cp:lastPrinted>
  <dcterms:modified xsi:type="dcterms:W3CDTF">2026-08-17T13:24:09Z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551694CBB9B24FE7B812C2C8FA28CE19_13</vt:lpwstr>
  </property>
  <property fmtid="{D5CDD505-2E9C-101B-9397-08002B2CF9AE}" pid="4" name="KSOTemplateDocerSaveRecord">
    <vt:lpwstr>eyJoZGlkIjoiYzgyN2ExYzNkNjQ1M2QwMmNiM2ZiNGNkMTBhZThkODYiLCJ1c2VySWQiOiI0MTA2ODA5NjkifQ==</vt:lpwstr>
  </property>
</Properties>
</file>