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08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15" w:type="dxa"/>
          <w:left w:w="15" w:type="dxa"/>
          <w:bottom w:w="15" w:type="dxa"/>
          <w:right w:w="15" w:type="dxa"/>
        </w:tblCellMar>
      </w:tblPr>
      <w:tblGrid>
        <w:gridCol w:w="467"/>
        <w:gridCol w:w="577"/>
        <w:gridCol w:w="519"/>
        <w:gridCol w:w="2142"/>
        <w:gridCol w:w="2142"/>
        <w:gridCol w:w="2143"/>
        <w:gridCol w:w="768"/>
      </w:tblGrid>
      <w:tr w14:paraId="175D5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c>
          <w:tcPr>
            <w:tcW w:w="266" w:type="pct"/>
            <w:tcBorders>
              <w:tl2br w:val="nil"/>
              <w:tr2bl w:val="nil"/>
            </w:tcBorders>
            <w:noWrap w:val="0"/>
            <w:tcMar>
              <w:top w:w="75" w:type="dxa"/>
              <w:left w:w="150" w:type="dxa"/>
              <w:bottom w:w="75" w:type="dxa"/>
              <w:right w:w="150" w:type="dxa"/>
            </w:tcMar>
            <w:vAlign w:val="center"/>
          </w:tcPr>
          <w:p w14:paraId="20D41CDC">
            <w:pPr>
              <w:widowControl/>
              <w:wordWrap w:val="0"/>
              <w:spacing w:line="340" w:lineRule="exact"/>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序号</w:t>
            </w:r>
          </w:p>
        </w:tc>
        <w:tc>
          <w:tcPr>
            <w:tcW w:w="329" w:type="pct"/>
            <w:tcBorders>
              <w:tl2br w:val="nil"/>
              <w:tr2bl w:val="nil"/>
            </w:tcBorders>
            <w:noWrap w:val="0"/>
            <w:tcMar>
              <w:top w:w="75" w:type="dxa"/>
              <w:left w:w="150" w:type="dxa"/>
              <w:bottom w:w="75" w:type="dxa"/>
              <w:right w:w="150" w:type="dxa"/>
            </w:tcMar>
            <w:vAlign w:val="center"/>
          </w:tcPr>
          <w:p w14:paraId="48371A2D">
            <w:pPr>
              <w:widowControl/>
              <w:wordWrap w:val="0"/>
              <w:spacing w:line="340" w:lineRule="exact"/>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标项名称</w:t>
            </w:r>
          </w:p>
        </w:tc>
        <w:tc>
          <w:tcPr>
            <w:tcW w:w="296" w:type="pct"/>
            <w:tcBorders>
              <w:tl2br w:val="nil"/>
              <w:tr2bl w:val="nil"/>
            </w:tcBorders>
            <w:noWrap w:val="0"/>
            <w:tcMar>
              <w:top w:w="75" w:type="dxa"/>
              <w:left w:w="150" w:type="dxa"/>
              <w:bottom w:w="75" w:type="dxa"/>
              <w:right w:w="150" w:type="dxa"/>
            </w:tcMar>
            <w:vAlign w:val="center"/>
          </w:tcPr>
          <w:p w14:paraId="7EE64BE7">
            <w:pPr>
              <w:widowControl/>
              <w:wordWrap w:val="0"/>
              <w:spacing w:line="340" w:lineRule="exact"/>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标的名称</w:t>
            </w:r>
          </w:p>
        </w:tc>
        <w:tc>
          <w:tcPr>
            <w:tcW w:w="1222" w:type="pct"/>
            <w:tcBorders>
              <w:tl2br w:val="nil"/>
              <w:tr2bl w:val="nil"/>
            </w:tcBorders>
            <w:noWrap w:val="0"/>
            <w:tcMar>
              <w:top w:w="75" w:type="dxa"/>
              <w:left w:w="150" w:type="dxa"/>
              <w:bottom w:w="75" w:type="dxa"/>
              <w:right w:w="150" w:type="dxa"/>
            </w:tcMar>
            <w:vAlign w:val="center"/>
          </w:tcPr>
          <w:p w14:paraId="773E8FA1">
            <w:pPr>
              <w:widowControl/>
              <w:wordWrap w:val="0"/>
              <w:spacing w:line="340" w:lineRule="exact"/>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服务范围</w:t>
            </w:r>
          </w:p>
        </w:tc>
        <w:tc>
          <w:tcPr>
            <w:tcW w:w="1222" w:type="pct"/>
            <w:tcBorders>
              <w:tl2br w:val="nil"/>
              <w:tr2bl w:val="nil"/>
            </w:tcBorders>
            <w:noWrap w:val="0"/>
            <w:tcMar>
              <w:top w:w="75" w:type="dxa"/>
              <w:left w:w="150" w:type="dxa"/>
              <w:bottom w:w="75" w:type="dxa"/>
              <w:right w:w="150" w:type="dxa"/>
            </w:tcMar>
            <w:vAlign w:val="center"/>
          </w:tcPr>
          <w:p w14:paraId="6FF7B701">
            <w:pPr>
              <w:widowControl/>
              <w:wordWrap w:val="0"/>
              <w:spacing w:line="340" w:lineRule="exact"/>
              <w:jc w:val="center"/>
              <w:rPr>
                <w:rFonts w:hint="eastAsia" w:ascii="仿宋" w:hAnsi="仿宋" w:eastAsia="仿宋" w:cs="仿宋"/>
                <w:color w:val="auto"/>
                <w:kern w:val="0"/>
                <w:szCs w:val="21"/>
                <w:highlight w:val="none"/>
                <w:lang w:eastAsia="zh-CN" w:bidi="ar"/>
              </w:rPr>
            </w:pPr>
            <w:r>
              <w:rPr>
                <w:rFonts w:hint="eastAsia" w:ascii="仿宋" w:hAnsi="仿宋" w:eastAsia="仿宋" w:cs="仿宋"/>
                <w:color w:val="auto"/>
                <w:kern w:val="0"/>
                <w:szCs w:val="21"/>
                <w:highlight w:val="none"/>
                <w:lang w:eastAsia="zh-CN" w:bidi="ar"/>
              </w:rPr>
              <w:t>服务要求</w:t>
            </w:r>
          </w:p>
        </w:tc>
        <w:tc>
          <w:tcPr>
            <w:tcW w:w="1223" w:type="pct"/>
            <w:tcBorders>
              <w:tl2br w:val="nil"/>
              <w:tr2bl w:val="nil"/>
            </w:tcBorders>
            <w:noWrap w:val="0"/>
            <w:tcMar>
              <w:top w:w="75" w:type="dxa"/>
              <w:left w:w="150" w:type="dxa"/>
              <w:bottom w:w="75" w:type="dxa"/>
              <w:right w:w="150" w:type="dxa"/>
            </w:tcMar>
            <w:vAlign w:val="center"/>
          </w:tcPr>
          <w:p w14:paraId="42E97F52">
            <w:pPr>
              <w:widowControl/>
              <w:wordWrap w:val="0"/>
              <w:spacing w:line="340" w:lineRule="exact"/>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服务时间</w:t>
            </w:r>
          </w:p>
        </w:tc>
        <w:tc>
          <w:tcPr>
            <w:tcW w:w="438" w:type="pct"/>
            <w:tcBorders>
              <w:tl2br w:val="nil"/>
              <w:tr2bl w:val="nil"/>
            </w:tcBorders>
            <w:noWrap w:val="0"/>
            <w:tcMar>
              <w:top w:w="75" w:type="dxa"/>
              <w:left w:w="150" w:type="dxa"/>
              <w:bottom w:w="75" w:type="dxa"/>
              <w:right w:w="150" w:type="dxa"/>
            </w:tcMar>
            <w:vAlign w:val="center"/>
          </w:tcPr>
          <w:p w14:paraId="3E53E7F2">
            <w:pPr>
              <w:widowControl/>
              <w:wordWrap w:val="0"/>
              <w:spacing w:line="340" w:lineRule="exact"/>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服务标准</w:t>
            </w:r>
          </w:p>
        </w:tc>
      </w:tr>
      <w:tr w14:paraId="36D0A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c>
          <w:tcPr>
            <w:tcW w:w="266" w:type="pct"/>
            <w:tcBorders>
              <w:tl2br w:val="nil"/>
              <w:tr2bl w:val="nil"/>
            </w:tcBorders>
            <w:noWrap w:val="0"/>
            <w:tcMar>
              <w:top w:w="75" w:type="dxa"/>
              <w:left w:w="150" w:type="dxa"/>
              <w:bottom w:w="75" w:type="dxa"/>
              <w:right w:w="150" w:type="dxa"/>
            </w:tcMar>
            <w:vAlign w:val="center"/>
          </w:tcPr>
          <w:p w14:paraId="5DC0D47E">
            <w:pPr>
              <w:widowControl/>
              <w:wordWrap w:val="0"/>
              <w:spacing w:line="340" w:lineRule="exact"/>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1</w:t>
            </w:r>
          </w:p>
        </w:tc>
        <w:tc>
          <w:tcPr>
            <w:tcW w:w="329" w:type="pct"/>
            <w:tcBorders>
              <w:tl2br w:val="nil"/>
              <w:tr2bl w:val="nil"/>
            </w:tcBorders>
            <w:noWrap w:val="0"/>
            <w:tcMar>
              <w:top w:w="75" w:type="dxa"/>
              <w:left w:w="150" w:type="dxa"/>
              <w:bottom w:w="75" w:type="dxa"/>
              <w:right w:w="150" w:type="dxa"/>
            </w:tcMar>
            <w:vAlign w:val="center"/>
          </w:tcPr>
          <w:p w14:paraId="3626E0EC">
            <w:pPr>
              <w:widowControl/>
              <w:wordWrap w:val="0"/>
              <w:spacing w:line="340" w:lineRule="exact"/>
              <w:jc w:val="center"/>
              <w:rPr>
                <w:rFonts w:hint="eastAsia" w:ascii="仿宋" w:hAnsi="仿宋" w:eastAsia="仿宋" w:cs="仿宋"/>
                <w:color w:val="auto"/>
                <w:kern w:val="0"/>
                <w:szCs w:val="21"/>
                <w:highlight w:val="none"/>
                <w:lang w:eastAsia="zh-CN" w:bidi="ar"/>
              </w:rPr>
            </w:pPr>
            <w:r>
              <w:rPr>
                <w:rFonts w:hint="eastAsia" w:ascii="仿宋" w:hAnsi="仿宋" w:eastAsia="仿宋" w:cs="仿宋"/>
                <w:color w:val="auto"/>
                <w:kern w:val="0"/>
                <w:szCs w:val="21"/>
                <w:highlight w:val="none"/>
                <w:lang w:eastAsia="zh-CN" w:bidi="ar"/>
              </w:rPr>
              <w:t>南宁市公交线路第三方考核项目</w:t>
            </w:r>
          </w:p>
        </w:tc>
        <w:tc>
          <w:tcPr>
            <w:tcW w:w="296" w:type="pct"/>
            <w:tcBorders>
              <w:tl2br w:val="nil"/>
              <w:tr2bl w:val="nil"/>
            </w:tcBorders>
            <w:noWrap w:val="0"/>
            <w:tcMar>
              <w:top w:w="75" w:type="dxa"/>
              <w:left w:w="150" w:type="dxa"/>
              <w:bottom w:w="75" w:type="dxa"/>
              <w:right w:w="150" w:type="dxa"/>
            </w:tcMar>
            <w:vAlign w:val="center"/>
          </w:tcPr>
          <w:p w14:paraId="7B16086B">
            <w:pPr>
              <w:widowControl/>
              <w:wordWrap w:val="0"/>
              <w:spacing w:line="340" w:lineRule="exact"/>
              <w:jc w:val="center"/>
              <w:rPr>
                <w:rFonts w:hint="eastAsia" w:ascii="仿宋" w:hAnsi="仿宋" w:eastAsia="仿宋" w:cs="仿宋"/>
                <w:color w:val="auto"/>
                <w:kern w:val="0"/>
                <w:szCs w:val="21"/>
                <w:highlight w:val="none"/>
                <w:lang w:eastAsia="zh-CN" w:bidi="ar"/>
              </w:rPr>
            </w:pPr>
            <w:r>
              <w:rPr>
                <w:rFonts w:hint="eastAsia" w:ascii="仿宋" w:hAnsi="仿宋" w:eastAsia="仿宋" w:cs="仿宋"/>
                <w:color w:val="auto"/>
                <w:kern w:val="0"/>
                <w:szCs w:val="21"/>
                <w:highlight w:val="none"/>
                <w:lang w:eastAsia="zh-CN" w:bidi="ar"/>
              </w:rPr>
              <w:t>南宁市公交线路第三方考核项目</w:t>
            </w:r>
          </w:p>
        </w:tc>
        <w:tc>
          <w:tcPr>
            <w:tcW w:w="1222" w:type="pct"/>
            <w:tcBorders>
              <w:tl2br w:val="nil"/>
              <w:tr2bl w:val="nil"/>
            </w:tcBorders>
            <w:noWrap w:val="0"/>
            <w:tcMar>
              <w:top w:w="75" w:type="dxa"/>
              <w:left w:w="150" w:type="dxa"/>
              <w:bottom w:w="75" w:type="dxa"/>
              <w:right w:w="150" w:type="dxa"/>
            </w:tcMar>
            <w:vAlign w:val="center"/>
          </w:tcPr>
          <w:p w14:paraId="144A825E">
            <w:pPr>
              <w:widowControl/>
              <w:wordWrap w:val="0"/>
              <w:spacing w:line="340" w:lineRule="exact"/>
              <w:jc w:val="center"/>
              <w:rPr>
                <w:rFonts w:hint="eastAsia" w:ascii="仿宋" w:hAnsi="仿宋" w:eastAsia="仿宋" w:cs="仿宋"/>
                <w:color w:val="auto"/>
                <w:kern w:val="0"/>
                <w:szCs w:val="21"/>
                <w:highlight w:val="none"/>
                <w:lang w:bidi="ar"/>
              </w:rPr>
            </w:pPr>
            <w:r>
              <w:rPr>
                <w:rFonts w:hint="eastAsia" w:ascii="仿宋" w:hAnsi="仿宋" w:eastAsia="仿宋" w:cs="仿宋"/>
                <w:szCs w:val="21"/>
                <w:highlight w:val="none"/>
                <w:lang w:val="en-US" w:eastAsia="zh"/>
              </w:rPr>
              <w:t>根据《城市公共汽车和电车客运管理规定》（交通运输部令2017年第5号）、</w:t>
            </w:r>
            <w:bookmarkStart w:id="0" w:name="_GoBack"/>
            <w:bookmarkEnd w:id="0"/>
            <w:r>
              <w:rPr>
                <w:rFonts w:hint="eastAsia" w:ascii="仿宋" w:hAnsi="仿宋" w:eastAsia="仿宋" w:cs="仿宋"/>
                <w:szCs w:val="21"/>
                <w:highlight w:val="none"/>
                <w:lang w:val="en-US" w:eastAsia="zh"/>
              </w:rPr>
              <w:t>《南宁市公交企业质量信誉考核办法》和《南宁市公交线路服务质量考核办法》等要求，采用日常和现场考核的方式，对南宁市主城区公交企业所有公交线路及车辆进行全覆盖服务质量考核，对文明服务、驾驶行为、规范营运、标识标志、车容车貌环境、设施设备、发车间隔等进行考核并形成服务质量信誉考核结果，科学、客观、公正、透明地评价公交服务质量，出具季度报告及年度报告。对南宁市快速公交进行满意度调查。</w:t>
            </w:r>
          </w:p>
        </w:tc>
        <w:tc>
          <w:tcPr>
            <w:tcW w:w="1222" w:type="pct"/>
            <w:tcBorders>
              <w:tl2br w:val="nil"/>
              <w:tr2bl w:val="nil"/>
            </w:tcBorders>
            <w:noWrap w:val="0"/>
            <w:tcMar>
              <w:top w:w="75" w:type="dxa"/>
              <w:left w:w="150" w:type="dxa"/>
              <w:bottom w:w="75" w:type="dxa"/>
              <w:right w:w="150" w:type="dxa"/>
            </w:tcMar>
            <w:vAlign w:val="center"/>
          </w:tcPr>
          <w:p w14:paraId="45893FFA">
            <w:pPr>
              <w:widowControl/>
              <w:jc w:val="left"/>
              <w:rPr>
                <w:rFonts w:hint="eastAsia" w:ascii="仿宋" w:hAnsi="仿宋" w:eastAsia="仿宋" w:cs="仿宋"/>
                <w:color w:val="auto"/>
                <w:kern w:val="0"/>
                <w:szCs w:val="21"/>
                <w:highlight w:val="none"/>
                <w:lang w:eastAsia="zh-CN" w:bidi="ar"/>
              </w:rPr>
            </w:pPr>
            <w:r>
              <w:rPr>
                <w:rFonts w:hint="eastAsia" w:ascii="仿宋" w:hAnsi="仿宋" w:eastAsia="仿宋" w:cs="仿宋"/>
                <w:color w:val="auto"/>
                <w:kern w:val="0"/>
                <w:szCs w:val="21"/>
                <w:highlight w:val="none"/>
                <w:lang w:eastAsia="zh-CN" w:bidi="ar"/>
              </w:rPr>
              <w:t>服务期为：</w:t>
            </w:r>
            <w:r>
              <w:rPr>
                <w:rFonts w:hint="eastAsia" w:ascii="仿宋" w:hAnsi="仿宋" w:eastAsia="仿宋" w:cs="仿宋"/>
                <w:color w:val="auto"/>
                <w:kern w:val="0"/>
                <w:szCs w:val="21"/>
                <w:highlight w:val="none"/>
                <w:lang w:val="en-US" w:eastAsia="zh-CN" w:bidi="ar"/>
              </w:rPr>
              <w:t>自合同</w:t>
            </w:r>
            <w:r>
              <w:rPr>
                <w:rFonts w:hint="eastAsia" w:ascii="仿宋" w:hAnsi="仿宋" w:eastAsia="仿宋" w:cs="仿宋"/>
                <w:color w:val="auto"/>
                <w:kern w:val="0"/>
                <w:szCs w:val="21"/>
                <w:highlight w:val="none"/>
                <w:lang w:eastAsia="zh-CN" w:bidi="ar"/>
              </w:rPr>
              <w:t>签订之日起至项目质量保证期结束。</w:t>
            </w:r>
          </w:p>
          <w:p w14:paraId="1CAFFF39">
            <w:pPr>
              <w:widowControl/>
              <w:jc w:val="left"/>
              <w:rPr>
                <w:rFonts w:hint="eastAsia" w:ascii="仿宋" w:hAnsi="仿宋" w:eastAsia="仿宋" w:cs="仿宋"/>
                <w:color w:val="auto"/>
                <w:kern w:val="0"/>
                <w:szCs w:val="21"/>
                <w:highlight w:val="none"/>
                <w:lang w:eastAsia="zh-CN" w:bidi="ar"/>
              </w:rPr>
            </w:pPr>
            <w:r>
              <w:rPr>
                <w:rFonts w:hint="eastAsia" w:ascii="仿宋" w:hAnsi="仿宋" w:eastAsia="仿宋" w:cs="仿宋"/>
                <w:color w:val="auto"/>
                <w:kern w:val="0"/>
                <w:szCs w:val="21"/>
                <w:highlight w:val="none"/>
                <w:lang w:eastAsia="zh-CN" w:bidi="ar"/>
              </w:rPr>
              <w:t>（一）2026年9月30日前，提交2026年南宁市公交企业质量信誉、公交线路服务质量和公交候车亭管理考核工作实施方案；</w:t>
            </w:r>
          </w:p>
          <w:p w14:paraId="2972316B">
            <w:pPr>
              <w:widowControl/>
              <w:jc w:val="left"/>
              <w:rPr>
                <w:rFonts w:hint="eastAsia" w:ascii="仿宋" w:hAnsi="仿宋" w:eastAsia="仿宋" w:cs="仿宋"/>
                <w:color w:val="auto"/>
                <w:kern w:val="0"/>
                <w:szCs w:val="21"/>
                <w:highlight w:val="none"/>
                <w:lang w:eastAsia="zh-CN" w:bidi="ar"/>
              </w:rPr>
            </w:pPr>
            <w:r>
              <w:rPr>
                <w:rFonts w:hint="eastAsia" w:ascii="仿宋" w:hAnsi="仿宋" w:eastAsia="仿宋" w:cs="仿宋"/>
                <w:color w:val="auto"/>
                <w:kern w:val="0"/>
                <w:szCs w:val="21"/>
                <w:highlight w:val="none"/>
                <w:lang w:eastAsia="zh-CN" w:bidi="ar"/>
              </w:rPr>
              <w:t>（二）2027年1月31日前，提交2026年南宁市公交企业质量信誉、公交线路服务质量和公交候车亭管理考核报告（一期）；</w:t>
            </w:r>
          </w:p>
          <w:p w14:paraId="16BFE63A">
            <w:pPr>
              <w:widowControl/>
              <w:wordWrap w:val="0"/>
              <w:spacing w:line="340" w:lineRule="exact"/>
              <w:jc w:val="center"/>
              <w:rPr>
                <w:rFonts w:hint="eastAsia" w:ascii="仿宋" w:hAnsi="仿宋" w:eastAsia="仿宋" w:cs="仿宋"/>
                <w:color w:val="auto"/>
                <w:kern w:val="0"/>
                <w:szCs w:val="21"/>
                <w:highlight w:val="none"/>
                <w:lang w:eastAsia="zh-CN" w:bidi="ar"/>
              </w:rPr>
            </w:pPr>
            <w:r>
              <w:rPr>
                <w:rFonts w:hint="eastAsia" w:ascii="仿宋" w:hAnsi="仿宋" w:eastAsia="仿宋" w:cs="仿宋"/>
                <w:color w:val="auto"/>
                <w:kern w:val="0"/>
                <w:szCs w:val="21"/>
                <w:highlight w:val="none"/>
                <w:lang w:eastAsia="zh-CN" w:bidi="ar"/>
              </w:rPr>
              <w:t>（三）2027年7月10日前，提交2026年南宁市公交企业质量信誉、公交线路服务质量和公交候车亭管理考核报告（二期）。</w:t>
            </w:r>
          </w:p>
        </w:tc>
        <w:tc>
          <w:tcPr>
            <w:tcW w:w="1223" w:type="pct"/>
            <w:tcBorders>
              <w:tl2br w:val="nil"/>
              <w:tr2bl w:val="nil"/>
            </w:tcBorders>
            <w:noWrap w:val="0"/>
            <w:tcMar>
              <w:top w:w="75" w:type="dxa"/>
              <w:left w:w="150" w:type="dxa"/>
              <w:bottom w:w="75" w:type="dxa"/>
              <w:right w:w="150" w:type="dxa"/>
            </w:tcMar>
            <w:vAlign w:val="center"/>
          </w:tcPr>
          <w:p w14:paraId="29F78E9E">
            <w:pPr>
              <w:widowControl/>
              <w:jc w:val="left"/>
              <w:rPr>
                <w:rFonts w:hint="eastAsia" w:ascii="仿宋" w:hAnsi="仿宋" w:eastAsia="仿宋" w:cs="仿宋"/>
                <w:color w:val="auto"/>
                <w:kern w:val="0"/>
                <w:szCs w:val="21"/>
                <w:highlight w:val="none"/>
                <w:lang w:eastAsia="zh-CN" w:bidi="ar"/>
              </w:rPr>
            </w:pPr>
            <w:r>
              <w:rPr>
                <w:rFonts w:hint="eastAsia" w:ascii="仿宋" w:hAnsi="仿宋" w:eastAsia="仿宋" w:cs="仿宋"/>
                <w:color w:val="auto"/>
                <w:kern w:val="0"/>
                <w:szCs w:val="21"/>
                <w:highlight w:val="none"/>
                <w:lang w:eastAsia="zh-CN" w:bidi="ar"/>
              </w:rPr>
              <w:t>服务期为：</w:t>
            </w:r>
            <w:r>
              <w:rPr>
                <w:rFonts w:hint="eastAsia" w:ascii="仿宋" w:hAnsi="仿宋" w:eastAsia="仿宋" w:cs="仿宋"/>
                <w:color w:val="auto"/>
                <w:kern w:val="0"/>
                <w:szCs w:val="21"/>
                <w:highlight w:val="none"/>
                <w:lang w:val="en-US" w:eastAsia="zh-CN" w:bidi="ar"/>
              </w:rPr>
              <w:t>自合同</w:t>
            </w:r>
            <w:r>
              <w:rPr>
                <w:rFonts w:hint="eastAsia" w:ascii="仿宋" w:hAnsi="仿宋" w:eastAsia="仿宋" w:cs="仿宋"/>
                <w:color w:val="auto"/>
                <w:kern w:val="0"/>
                <w:szCs w:val="21"/>
                <w:highlight w:val="none"/>
                <w:lang w:eastAsia="zh-CN" w:bidi="ar"/>
              </w:rPr>
              <w:t>签订之日起至项目质量保证期结束。</w:t>
            </w:r>
          </w:p>
          <w:p w14:paraId="37FB064F">
            <w:pPr>
              <w:widowControl/>
              <w:jc w:val="left"/>
              <w:rPr>
                <w:rFonts w:hint="eastAsia" w:ascii="仿宋" w:hAnsi="仿宋" w:eastAsia="仿宋" w:cs="仿宋"/>
                <w:color w:val="auto"/>
                <w:kern w:val="0"/>
                <w:szCs w:val="21"/>
                <w:highlight w:val="none"/>
                <w:lang w:eastAsia="zh-CN" w:bidi="ar"/>
              </w:rPr>
            </w:pPr>
            <w:r>
              <w:rPr>
                <w:rFonts w:hint="eastAsia" w:ascii="仿宋" w:hAnsi="仿宋" w:eastAsia="仿宋" w:cs="仿宋"/>
                <w:color w:val="auto"/>
                <w:kern w:val="0"/>
                <w:szCs w:val="21"/>
                <w:highlight w:val="none"/>
                <w:lang w:eastAsia="zh-CN" w:bidi="ar"/>
              </w:rPr>
              <w:t>（一）2026年9月30日前，提交2026年南宁市公交企业质量信誉、公交线路服务质量和公交候车亭管理考核工作实施方案；</w:t>
            </w:r>
          </w:p>
          <w:p w14:paraId="41531D8E">
            <w:pPr>
              <w:widowControl/>
              <w:jc w:val="left"/>
              <w:rPr>
                <w:rFonts w:hint="eastAsia" w:ascii="仿宋" w:hAnsi="仿宋" w:eastAsia="仿宋" w:cs="仿宋"/>
                <w:color w:val="auto"/>
                <w:kern w:val="0"/>
                <w:szCs w:val="21"/>
                <w:highlight w:val="none"/>
                <w:lang w:eastAsia="zh-CN" w:bidi="ar"/>
              </w:rPr>
            </w:pPr>
            <w:r>
              <w:rPr>
                <w:rFonts w:hint="eastAsia" w:ascii="仿宋" w:hAnsi="仿宋" w:eastAsia="仿宋" w:cs="仿宋"/>
                <w:color w:val="auto"/>
                <w:kern w:val="0"/>
                <w:szCs w:val="21"/>
                <w:highlight w:val="none"/>
                <w:lang w:eastAsia="zh-CN" w:bidi="ar"/>
              </w:rPr>
              <w:t>（二）2027年1月31日前，提交2026年南宁市公交企业质量信誉、公交线路服务质量和公交候车亭管理考核报告（一期）；</w:t>
            </w:r>
          </w:p>
          <w:p w14:paraId="14764EFB">
            <w:pPr>
              <w:widowControl/>
              <w:jc w:val="left"/>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eastAsia="zh-CN" w:bidi="ar"/>
              </w:rPr>
              <w:t>（三）2027年7月10日前，提交2026年南宁市公交企业质量信誉、公交线路服务质量和公交候车亭管理考核报告（二期）。</w:t>
            </w:r>
          </w:p>
        </w:tc>
        <w:tc>
          <w:tcPr>
            <w:tcW w:w="438" w:type="pct"/>
            <w:tcBorders>
              <w:tl2br w:val="nil"/>
              <w:tr2bl w:val="nil"/>
            </w:tcBorders>
            <w:noWrap w:val="0"/>
            <w:tcMar>
              <w:top w:w="75" w:type="dxa"/>
              <w:left w:w="150" w:type="dxa"/>
              <w:bottom w:w="75" w:type="dxa"/>
              <w:right w:w="150" w:type="dxa"/>
            </w:tcMar>
            <w:vAlign w:val="center"/>
          </w:tcPr>
          <w:p w14:paraId="23DE3B47">
            <w:pPr>
              <w:widowControl/>
              <w:wordWrap w:val="0"/>
              <w:spacing w:line="340" w:lineRule="exact"/>
              <w:jc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val="en-US" w:eastAsia="zh-CN" w:bidi="ar"/>
              </w:rPr>
              <w:t>按</w:t>
            </w:r>
            <w:r>
              <w:rPr>
                <w:rFonts w:hint="eastAsia" w:ascii="仿宋" w:hAnsi="仿宋" w:eastAsia="仿宋" w:cs="仿宋"/>
                <w:color w:val="auto"/>
                <w:kern w:val="0"/>
                <w:szCs w:val="21"/>
                <w:highlight w:val="none"/>
                <w:lang w:eastAsia="zh-CN" w:bidi="ar"/>
              </w:rPr>
              <w:t>竞争性磋商</w:t>
            </w:r>
            <w:r>
              <w:rPr>
                <w:rFonts w:hint="eastAsia" w:ascii="仿宋" w:hAnsi="仿宋" w:eastAsia="仿宋" w:cs="仿宋"/>
                <w:color w:val="auto"/>
                <w:kern w:val="0"/>
                <w:szCs w:val="21"/>
                <w:highlight w:val="none"/>
                <w:lang w:val="en-US" w:eastAsia="zh-CN" w:bidi="ar"/>
              </w:rPr>
              <w:t>采购</w:t>
            </w:r>
            <w:r>
              <w:rPr>
                <w:rFonts w:hint="eastAsia" w:ascii="仿宋" w:hAnsi="仿宋" w:eastAsia="仿宋" w:cs="仿宋"/>
                <w:color w:val="auto"/>
                <w:kern w:val="0"/>
                <w:szCs w:val="21"/>
                <w:highlight w:val="none"/>
                <w:lang w:eastAsia="zh-CN" w:bidi="ar"/>
              </w:rPr>
              <w:t>文件</w:t>
            </w:r>
          </w:p>
        </w:tc>
      </w:tr>
    </w:tbl>
    <w:p w14:paraId="026CABD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C312A8"/>
    <w:rsid w:val="0DDE2F09"/>
    <w:rsid w:val="0E19600D"/>
    <w:rsid w:val="2C493B09"/>
    <w:rsid w:val="2C5A7AC4"/>
    <w:rsid w:val="52C312A8"/>
    <w:rsid w:val="628F3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645</Words>
  <Characters>690</Characters>
  <Lines>0</Lines>
  <Paragraphs>0</Paragraphs>
  <TotalTime>3</TotalTime>
  <ScaleCrop>false</ScaleCrop>
  <LinksUpToDate>false</LinksUpToDate>
  <CharactersWithSpaces>690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2026-07-15T09:16:00Z</dcterms:created>
  <dc:creator>代理修改</dc:creator>
  <cp:lastModifiedBy>代理修改</cp:lastModifiedBy>
  <dcterms:modified xsi:type="dcterms:W3CDTF">2026-07-15T09:31:49Z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E72955D25E6647A9B50790A1AD1AC7D8_11</vt:lpwstr>
  </property>
  <property fmtid="{D5CDD505-2E9C-101B-9397-08002B2CF9AE}" pid="4" name="KSOTemplateDocerSaveRecord">
    <vt:lpwstr>eyJoZGlkIjoiNzdiNjM0YWQ0ZmIxZDA4OTExYjYxNmU4NDQ2ODNmOGQiLCJ1c2VySWQiOiIzMjEyNDk1NjEifQ==</vt:lpwstr>
  </property>
</Properties>
</file>