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85D8FC">
      <w:pPr>
        <w:spacing w:before="169" w:beforeLines="50" w:line="360" w:lineRule="auto"/>
        <w:jc w:val="center"/>
        <w:rPr>
          <w:rFonts w:hint="eastAsia" w:ascii="仿宋" w:hAnsi="仿宋" w:eastAsia="仿宋" w:cs="仿宋"/>
          <w:sz w:val="48"/>
          <w:szCs w:val="48"/>
          <w:highlight w:val="none"/>
        </w:rPr>
      </w:pPr>
    </w:p>
    <w:p w14:paraId="498EA5ED">
      <w:pPr>
        <w:spacing w:before="169" w:beforeLines="50" w:line="360" w:lineRule="auto"/>
        <w:jc w:val="center"/>
        <w:rPr>
          <w:rFonts w:hint="eastAsia" w:ascii="仿宋" w:hAnsi="仿宋" w:eastAsia="仿宋" w:cs="仿宋"/>
          <w:sz w:val="48"/>
          <w:szCs w:val="48"/>
          <w:highlight w:val="none"/>
        </w:rPr>
      </w:pPr>
      <w:r>
        <w:rPr>
          <w:rFonts w:hint="eastAsia" w:ascii="仿宋" w:hAnsi="仿宋" w:eastAsia="仿宋" w:cs="仿宋"/>
          <w:sz w:val="48"/>
          <w:szCs w:val="48"/>
          <w:highlight w:val="none"/>
        </w:rPr>
        <w:t>南宁市政府采购</w:t>
      </w:r>
    </w:p>
    <w:p w14:paraId="1D4C7740">
      <w:pPr>
        <w:spacing w:before="169" w:beforeLines="50" w:line="360" w:lineRule="auto"/>
        <w:jc w:val="center"/>
        <w:rPr>
          <w:rFonts w:hint="eastAsia" w:ascii="仿宋" w:hAnsi="仿宋" w:eastAsia="仿宋" w:cs="仿宋"/>
          <w:sz w:val="48"/>
          <w:szCs w:val="48"/>
          <w:highlight w:val="none"/>
        </w:rPr>
      </w:pPr>
      <w:r>
        <w:rPr>
          <w:rFonts w:hint="eastAsia" w:ascii="仿宋" w:hAnsi="仿宋" w:eastAsia="仿宋" w:cs="仿宋"/>
          <w:sz w:val="48"/>
          <w:szCs w:val="48"/>
          <w:highlight w:val="none"/>
        </w:rPr>
        <w:t>竞争性磋商文件（服务类）</w:t>
      </w:r>
    </w:p>
    <w:p w14:paraId="5010A8BD">
      <w:pPr>
        <w:spacing w:before="169" w:beforeLines="50" w:line="360" w:lineRule="auto"/>
        <w:jc w:val="center"/>
        <w:rPr>
          <w:rFonts w:hint="eastAsia" w:ascii="仿宋" w:hAnsi="仿宋" w:eastAsia="仿宋" w:cs="仿宋"/>
          <w:sz w:val="36"/>
          <w:szCs w:val="36"/>
          <w:highlight w:val="none"/>
        </w:rPr>
      </w:pPr>
    </w:p>
    <w:p w14:paraId="30ACEED2">
      <w:pPr>
        <w:jc w:val="center"/>
        <w:rPr>
          <w:rFonts w:hint="eastAsia" w:ascii="仿宋" w:hAnsi="仿宋" w:eastAsia="仿宋" w:cs="仿宋"/>
          <w:szCs w:val="44"/>
          <w:highlight w:val="none"/>
        </w:rPr>
      </w:pPr>
      <w:bookmarkStart w:id="0" w:name="_Toc10740"/>
      <w:r>
        <w:rPr>
          <w:rFonts w:hint="eastAsia" w:ascii="仿宋" w:hAnsi="仿宋" w:eastAsia="仿宋" w:cs="仿宋"/>
          <w:b/>
          <w:bCs/>
          <w:sz w:val="84"/>
          <w:szCs w:val="84"/>
          <w:highlight w:val="none"/>
        </w:rPr>
        <w:t>竞争性磋商文件</w:t>
      </w:r>
      <w:bookmarkEnd w:id="0"/>
    </w:p>
    <w:p w14:paraId="5BC05BD5">
      <w:pPr>
        <w:snapToGrid w:val="0"/>
        <w:spacing w:before="50" w:after="120" w:line="360" w:lineRule="auto"/>
        <w:ind w:left="1506" w:hanging="1506" w:hangingChars="500"/>
        <w:jc w:val="center"/>
        <w:rPr>
          <w:rFonts w:hint="eastAsia" w:ascii="仿宋" w:hAnsi="仿宋" w:eastAsia="仿宋" w:cs="仿宋"/>
          <w:b/>
          <w:bCs/>
          <w:kern w:val="0"/>
          <w:sz w:val="30"/>
          <w:szCs w:val="30"/>
          <w:highlight w:val="none"/>
        </w:rPr>
      </w:pPr>
      <w:bookmarkStart w:id="1" w:name="_Toc20882"/>
      <w:r>
        <w:rPr>
          <w:rFonts w:hint="eastAsia" w:ascii="仿宋" w:hAnsi="仿宋" w:eastAsia="仿宋" w:cs="仿宋"/>
          <w:b/>
          <w:bCs/>
          <w:kern w:val="0"/>
          <w:sz w:val="30"/>
          <w:szCs w:val="30"/>
          <w:highlight w:val="none"/>
        </w:rPr>
        <w:t>（全流程电子化评标）</w:t>
      </w:r>
      <w:bookmarkEnd w:id="1"/>
    </w:p>
    <w:p w14:paraId="54883536">
      <w:pPr>
        <w:spacing w:line="360" w:lineRule="auto"/>
        <w:rPr>
          <w:rFonts w:hint="eastAsia" w:ascii="仿宋" w:hAnsi="仿宋" w:eastAsia="仿宋" w:cs="仿宋"/>
          <w:b/>
          <w:sz w:val="32"/>
          <w:szCs w:val="32"/>
          <w:highlight w:val="none"/>
        </w:rPr>
      </w:pPr>
    </w:p>
    <w:p w14:paraId="7FC5659F">
      <w:pPr>
        <w:spacing w:line="360" w:lineRule="auto"/>
        <w:jc w:val="center"/>
        <w:rPr>
          <w:rFonts w:hint="eastAsia" w:ascii="仿宋" w:hAnsi="仿宋" w:eastAsia="仿宋" w:cs="仿宋"/>
          <w:b/>
          <w:sz w:val="32"/>
          <w:szCs w:val="32"/>
          <w:highlight w:val="none"/>
        </w:rPr>
      </w:pPr>
    </w:p>
    <w:p w14:paraId="4CF60961">
      <w:pPr>
        <w:snapToGrid w:val="0"/>
        <w:spacing w:before="50" w:after="120" w:line="360" w:lineRule="auto"/>
        <w:ind w:left="2556" w:leftChars="500" w:hanging="1506" w:hangingChars="500"/>
        <w:rPr>
          <w:rFonts w:hint="eastAsia" w:ascii="仿宋" w:hAnsi="仿宋" w:eastAsia="仿宋" w:cs="仿宋"/>
          <w:b/>
          <w:bCs/>
          <w:kern w:val="0"/>
          <w:sz w:val="30"/>
          <w:szCs w:val="30"/>
          <w:highlight w:val="none"/>
          <w:lang w:eastAsia="zh-CN"/>
        </w:rPr>
      </w:pPr>
      <w:r>
        <w:rPr>
          <w:rFonts w:hint="eastAsia" w:ascii="仿宋" w:hAnsi="仿宋" w:eastAsia="仿宋" w:cs="仿宋"/>
          <w:b/>
          <w:bCs/>
          <w:kern w:val="0"/>
          <w:sz w:val="30"/>
          <w:szCs w:val="30"/>
          <w:highlight w:val="none"/>
        </w:rPr>
        <w:t>项目</w:t>
      </w:r>
      <w:r>
        <w:rPr>
          <w:rFonts w:hint="eastAsia" w:ascii="仿宋" w:hAnsi="仿宋" w:eastAsia="仿宋" w:cs="仿宋"/>
          <w:b/>
          <w:bCs/>
          <w:w w:val="95"/>
          <w:kern w:val="0"/>
          <w:sz w:val="30"/>
          <w:szCs w:val="30"/>
          <w:highlight w:val="none"/>
        </w:rPr>
        <w:t>名称</w:t>
      </w:r>
      <w:r>
        <w:rPr>
          <w:rFonts w:hint="eastAsia" w:ascii="仿宋" w:hAnsi="仿宋" w:eastAsia="仿宋" w:cs="仿宋"/>
          <w:b/>
          <w:bCs/>
          <w:kern w:val="0"/>
          <w:sz w:val="30"/>
          <w:szCs w:val="30"/>
          <w:highlight w:val="none"/>
        </w:rPr>
        <w:t>：</w:t>
      </w:r>
      <w:r>
        <w:rPr>
          <w:rFonts w:hint="eastAsia" w:ascii="仿宋" w:hAnsi="仿宋" w:eastAsia="仿宋" w:cs="仿宋"/>
          <w:b/>
          <w:bCs/>
          <w:kern w:val="0"/>
          <w:sz w:val="30"/>
          <w:szCs w:val="30"/>
          <w:highlight w:val="none"/>
          <w:lang w:eastAsia="zh-CN"/>
        </w:rPr>
        <w:t>南宁市公交企业客运成本规制补贴第三方专项审计项目</w:t>
      </w:r>
    </w:p>
    <w:p w14:paraId="5700271B">
      <w:pPr>
        <w:snapToGrid w:val="0"/>
        <w:spacing w:before="50" w:after="120" w:line="360" w:lineRule="auto"/>
        <w:ind w:left="2556" w:leftChars="500" w:hanging="1506" w:hangingChars="500"/>
        <w:rPr>
          <w:rFonts w:hint="eastAsia" w:ascii="仿宋" w:hAnsi="仿宋" w:eastAsia="仿宋" w:cs="仿宋"/>
          <w:b/>
          <w:bCs/>
          <w:kern w:val="0"/>
          <w:sz w:val="30"/>
          <w:szCs w:val="30"/>
          <w:highlight w:val="none"/>
          <w:lang w:eastAsia="zh-CN"/>
        </w:rPr>
      </w:pPr>
      <w:r>
        <w:rPr>
          <w:rFonts w:hint="eastAsia" w:ascii="仿宋" w:hAnsi="仿宋" w:eastAsia="仿宋" w:cs="仿宋"/>
          <w:b/>
          <w:bCs/>
          <w:kern w:val="0"/>
          <w:sz w:val="30"/>
          <w:szCs w:val="30"/>
          <w:highlight w:val="none"/>
        </w:rPr>
        <w:t>项目编号：</w:t>
      </w:r>
      <w:r>
        <w:rPr>
          <w:rFonts w:hint="eastAsia" w:ascii="仿宋" w:hAnsi="仿宋" w:eastAsia="仿宋" w:cs="仿宋"/>
          <w:b/>
          <w:bCs/>
          <w:kern w:val="0"/>
          <w:sz w:val="30"/>
          <w:szCs w:val="30"/>
          <w:highlight w:val="none"/>
          <w:lang w:eastAsia="zh-CN"/>
        </w:rPr>
        <w:t>NNZC2026-C3-990390-GXZX</w:t>
      </w:r>
    </w:p>
    <w:p w14:paraId="60E77E9C">
      <w:pPr>
        <w:snapToGrid w:val="0"/>
        <w:spacing w:before="50" w:after="120" w:line="360" w:lineRule="auto"/>
        <w:ind w:left="2556" w:leftChars="500" w:hanging="1506" w:hangingChars="500"/>
        <w:rPr>
          <w:rFonts w:hint="eastAsia" w:ascii="仿宋" w:hAnsi="仿宋" w:eastAsia="仿宋" w:cs="仿宋"/>
          <w:b/>
          <w:bCs/>
          <w:kern w:val="0"/>
          <w:sz w:val="30"/>
          <w:szCs w:val="30"/>
          <w:highlight w:val="none"/>
        </w:rPr>
      </w:pPr>
      <w:bookmarkStart w:id="2" w:name="_Toc20247"/>
      <w:r>
        <w:rPr>
          <w:rFonts w:hint="eastAsia" w:ascii="仿宋" w:hAnsi="仿宋" w:eastAsia="仿宋" w:cs="仿宋"/>
          <w:b/>
          <w:bCs/>
          <w:kern w:val="0"/>
          <w:sz w:val="30"/>
          <w:szCs w:val="30"/>
          <w:highlight w:val="none"/>
        </w:rPr>
        <w:t>项目所属区划：南宁市</w:t>
      </w:r>
      <w:bookmarkEnd w:id="2"/>
    </w:p>
    <w:p w14:paraId="4EC3F602">
      <w:pPr>
        <w:snapToGrid w:val="0"/>
        <w:spacing w:before="50" w:after="120" w:line="360" w:lineRule="auto"/>
        <w:ind w:left="2556" w:leftChars="500" w:hanging="1506" w:hangingChars="500"/>
        <w:rPr>
          <w:rFonts w:hint="eastAsia" w:ascii="仿宋" w:hAnsi="仿宋" w:eastAsia="仿宋" w:cs="仿宋"/>
          <w:b/>
          <w:bCs/>
          <w:kern w:val="0"/>
          <w:sz w:val="30"/>
          <w:szCs w:val="30"/>
          <w:highlight w:val="none"/>
        </w:rPr>
      </w:pPr>
      <w:bookmarkStart w:id="3" w:name="_Toc22362"/>
      <w:r>
        <w:rPr>
          <w:rFonts w:hint="eastAsia" w:ascii="仿宋" w:hAnsi="仿宋" w:eastAsia="仿宋" w:cs="仿宋"/>
          <w:b/>
          <w:bCs/>
          <w:kern w:val="0"/>
          <w:sz w:val="30"/>
          <w:szCs w:val="30"/>
          <w:highlight w:val="none"/>
        </w:rPr>
        <w:t>采 购 人：南宁市交通运输局</w:t>
      </w:r>
      <w:bookmarkEnd w:id="3"/>
    </w:p>
    <w:p w14:paraId="2792EB20">
      <w:pPr>
        <w:snapToGrid w:val="0"/>
        <w:spacing w:before="50" w:after="120" w:line="360" w:lineRule="auto"/>
        <w:ind w:left="2556" w:leftChars="500" w:hanging="1506" w:hangingChars="500"/>
        <w:rPr>
          <w:rFonts w:hint="eastAsia" w:ascii="仿宋" w:hAnsi="仿宋" w:eastAsia="仿宋" w:cs="仿宋"/>
          <w:b/>
          <w:bCs/>
          <w:kern w:val="0"/>
          <w:sz w:val="30"/>
          <w:szCs w:val="30"/>
          <w:highlight w:val="none"/>
        </w:rPr>
      </w:pPr>
      <w:r>
        <w:rPr>
          <w:rFonts w:hint="eastAsia" w:ascii="仿宋" w:hAnsi="仿宋" w:eastAsia="仿宋" w:cs="仿宋"/>
          <w:b/>
          <w:bCs/>
          <w:kern w:val="0"/>
          <w:sz w:val="30"/>
          <w:szCs w:val="30"/>
          <w:highlight w:val="none"/>
        </w:rPr>
        <w:t>采购代理机构：广西中信恒泰工程顾问有限公司</w:t>
      </w:r>
    </w:p>
    <w:p w14:paraId="634596A1">
      <w:pPr>
        <w:snapToGrid w:val="0"/>
        <w:spacing w:before="50" w:after="120" w:line="360" w:lineRule="auto"/>
        <w:ind w:firstLine="841" w:firstLineChars="294"/>
        <w:rPr>
          <w:rFonts w:hint="eastAsia" w:ascii="仿宋" w:hAnsi="仿宋" w:eastAsia="仿宋" w:cs="仿宋"/>
          <w:b/>
          <w:bCs/>
          <w:w w:val="95"/>
          <w:kern w:val="0"/>
          <w:sz w:val="30"/>
          <w:szCs w:val="30"/>
          <w:highlight w:val="none"/>
        </w:rPr>
      </w:pPr>
      <w:r>
        <w:rPr>
          <w:rFonts w:hint="eastAsia" w:ascii="仿宋" w:hAnsi="仿宋" w:eastAsia="仿宋" w:cs="仿宋"/>
          <w:b/>
          <w:bCs/>
          <w:w w:val="95"/>
          <w:kern w:val="0"/>
          <w:sz w:val="30"/>
          <w:szCs w:val="30"/>
          <w:highlight w:val="none"/>
        </w:rPr>
        <w:t xml:space="preserve">  </w:t>
      </w:r>
    </w:p>
    <w:p w14:paraId="3DFE0E86">
      <w:pPr>
        <w:snapToGrid w:val="0"/>
        <w:spacing w:before="50" w:after="120" w:line="360" w:lineRule="auto"/>
        <w:jc w:val="center"/>
        <w:rPr>
          <w:rFonts w:hint="eastAsia" w:ascii="仿宋" w:hAnsi="仿宋" w:eastAsia="仿宋" w:cs="仿宋"/>
          <w:b/>
          <w:bCs/>
          <w:w w:val="95"/>
          <w:kern w:val="0"/>
          <w:sz w:val="30"/>
          <w:szCs w:val="30"/>
          <w:highlight w:val="none"/>
        </w:rPr>
        <w:sectPr>
          <w:footerReference r:id="rId3" w:type="default"/>
          <w:footerReference r:id="rId4" w:type="even"/>
          <w:pgSz w:w="11905" w:h="16838"/>
          <w:pgMar w:top="1304" w:right="1304" w:bottom="1304" w:left="1304" w:header="720" w:footer="720" w:gutter="0"/>
          <w:pgNumType w:start="0"/>
          <w:cols w:space="720" w:num="1"/>
          <w:docGrid w:type="lines" w:linePitch="339" w:charSpace="0"/>
        </w:sectPr>
      </w:pPr>
      <w:r>
        <w:rPr>
          <w:rFonts w:hint="eastAsia" w:ascii="仿宋" w:hAnsi="仿宋" w:eastAsia="仿宋" w:cs="仿宋"/>
          <w:b/>
          <w:bCs/>
          <w:w w:val="95"/>
          <w:kern w:val="0"/>
          <w:sz w:val="30"/>
          <w:szCs w:val="30"/>
          <w:highlight w:val="none"/>
        </w:rPr>
        <w:t>202</w:t>
      </w:r>
      <w:r>
        <w:rPr>
          <w:rFonts w:hint="eastAsia" w:ascii="仿宋" w:hAnsi="仿宋" w:eastAsia="仿宋" w:cs="仿宋"/>
          <w:b/>
          <w:bCs/>
          <w:w w:val="95"/>
          <w:kern w:val="0"/>
          <w:sz w:val="30"/>
          <w:szCs w:val="30"/>
          <w:highlight w:val="none"/>
          <w:lang w:val="en-US" w:eastAsia="zh-CN"/>
        </w:rPr>
        <w:t>6</w:t>
      </w:r>
      <w:r>
        <w:rPr>
          <w:rFonts w:hint="eastAsia" w:ascii="仿宋" w:hAnsi="仿宋" w:eastAsia="仿宋" w:cs="仿宋"/>
          <w:b/>
          <w:bCs/>
          <w:w w:val="95"/>
          <w:kern w:val="0"/>
          <w:sz w:val="30"/>
          <w:szCs w:val="30"/>
          <w:highlight w:val="none"/>
        </w:rPr>
        <w:t>年</w:t>
      </w:r>
      <w:r>
        <w:rPr>
          <w:rFonts w:hint="eastAsia" w:ascii="仿宋" w:hAnsi="仿宋" w:eastAsia="仿宋" w:cs="仿宋"/>
          <w:b/>
          <w:bCs/>
          <w:w w:val="95"/>
          <w:kern w:val="0"/>
          <w:sz w:val="30"/>
          <w:szCs w:val="30"/>
          <w:highlight w:val="none"/>
          <w:lang w:val="en-US" w:eastAsia="zh-CN"/>
        </w:rPr>
        <w:t>9</w:t>
      </w:r>
      <w:r>
        <w:rPr>
          <w:rFonts w:hint="eastAsia" w:ascii="仿宋" w:hAnsi="仿宋" w:eastAsia="仿宋" w:cs="仿宋"/>
          <w:b/>
          <w:bCs/>
          <w:w w:val="95"/>
          <w:kern w:val="0"/>
          <w:sz w:val="30"/>
          <w:szCs w:val="30"/>
          <w:highlight w:val="none"/>
        </w:rPr>
        <w:t>月</w:t>
      </w:r>
    </w:p>
    <w:p w14:paraId="4D53A45F">
      <w:pPr>
        <w:jc w:val="center"/>
        <w:rPr>
          <w:rFonts w:hint="eastAsia" w:ascii="仿宋" w:hAnsi="仿宋" w:eastAsia="仿宋" w:cs="仿宋"/>
          <w:b/>
          <w:sz w:val="44"/>
          <w:szCs w:val="44"/>
          <w:highlight w:val="none"/>
        </w:rPr>
      </w:pPr>
      <w:r>
        <w:rPr>
          <w:rFonts w:hint="eastAsia" w:ascii="仿宋" w:hAnsi="仿宋" w:eastAsia="仿宋" w:cs="仿宋"/>
          <w:b/>
          <w:sz w:val="44"/>
          <w:szCs w:val="44"/>
          <w:highlight w:val="none"/>
        </w:rPr>
        <w:t>目   录</w:t>
      </w:r>
    </w:p>
    <w:p w14:paraId="6A2054B0">
      <w:pPr>
        <w:pStyle w:val="23"/>
        <w:keepNext w:val="0"/>
        <w:keepLines w:val="0"/>
        <w:pageBreakBefore w:val="0"/>
        <w:widowControl w:val="0"/>
        <w:tabs>
          <w:tab w:val="right" w:leader="dot" w:pos="9297"/>
        </w:tabs>
        <w:kinsoku/>
        <w:wordWrap/>
        <w:overflowPunct/>
        <w:topLinePunct w:val="0"/>
        <w:autoSpaceDE/>
        <w:autoSpaceDN/>
        <w:bidi w:val="0"/>
        <w:adjustRightInd/>
        <w:snapToGrid/>
        <w:spacing w:line="560" w:lineRule="exact"/>
        <w:textAlignment w:val="auto"/>
        <w:rPr>
          <w:rFonts w:hint="eastAsia" w:ascii="仿宋" w:hAnsi="仿宋" w:eastAsia="仿宋" w:cs="仿宋"/>
          <w:b/>
          <w:bCs/>
          <w:sz w:val="24"/>
          <w:highlight w:val="none"/>
        </w:rPr>
      </w:pP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TOC \o "1-2" \h \u </w:instrText>
      </w:r>
      <w:r>
        <w:rPr>
          <w:rFonts w:hint="eastAsia" w:ascii="仿宋" w:hAnsi="仿宋" w:eastAsia="仿宋" w:cs="仿宋"/>
          <w:b/>
          <w:bCs/>
          <w:sz w:val="24"/>
          <w:highlight w:val="none"/>
        </w:rPr>
        <w:fldChar w:fldCharType="separate"/>
      </w: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"_Toc30710" </w:instrText>
      </w:r>
      <w:r>
        <w:rPr>
          <w:rFonts w:hint="eastAsia" w:ascii="仿宋" w:hAnsi="仿宋" w:eastAsia="仿宋" w:cs="仿宋"/>
          <w:highlight w:val="none"/>
        </w:rPr>
        <w:fldChar w:fldCharType="separate"/>
      </w:r>
      <w:r>
        <w:rPr>
          <w:rFonts w:hint="eastAsia" w:ascii="仿宋" w:hAnsi="仿宋" w:eastAsia="仿宋" w:cs="仿宋"/>
          <w:b/>
          <w:bCs/>
          <w:kern w:val="44"/>
          <w:sz w:val="24"/>
          <w:highlight w:val="none"/>
        </w:rPr>
        <w:t>第一章 竞争性磋商公告</w:t>
      </w:r>
      <w:r>
        <w:rPr>
          <w:rFonts w:hint="eastAsia" w:ascii="仿宋" w:hAnsi="仿宋" w:eastAsia="仿宋" w:cs="仿宋"/>
          <w:b/>
          <w:bCs/>
          <w:sz w:val="24"/>
          <w:highlight w:val="none"/>
        </w:rPr>
        <w:tab/>
      </w: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 PAGEREF _Toc30710 \h </w:instrText>
      </w:r>
      <w:r>
        <w:rPr>
          <w:rFonts w:hint="eastAsia" w:ascii="仿宋" w:hAnsi="仿宋" w:eastAsia="仿宋" w:cs="仿宋"/>
          <w:b/>
          <w:bCs/>
          <w:sz w:val="24"/>
          <w:highlight w:val="none"/>
        </w:rPr>
        <w:fldChar w:fldCharType="separate"/>
      </w:r>
      <w:r>
        <w:rPr>
          <w:rFonts w:hint="eastAsia" w:ascii="仿宋" w:hAnsi="仿宋" w:eastAsia="仿宋" w:cs="仿宋"/>
          <w:b/>
          <w:bCs/>
          <w:sz w:val="24"/>
          <w:highlight w:val="none"/>
        </w:rPr>
        <w:t>1</w:t>
      </w:r>
      <w:r>
        <w:rPr>
          <w:rFonts w:hint="eastAsia" w:ascii="仿宋" w:hAnsi="仿宋" w:eastAsia="仿宋" w:cs="仿宋"/>
          <w:b/>
          <w:bCs/>
          <w:sz w:val="24"/>
          <w:highlight w:val="none"/>
        </w:rPr>
        <w:fldChar w:fldCharType="end"/>
      </w:r>
      <w:r>
        <w:rPr>
          <w:rFonts w:hint="eastAsia" w:ascii="仿宋" w:hAnsi="仿宋" w:eastAsia="仿宋" w:cs="仿宋"/>
          <w:b/>
          <w:bCs/>
          <w:sz w:val="24"/>
          <w:highlight w:val="none"/>
        </w:rPr>
        <w:fldChar w:fldCharType="end"/>
      </w:r>
    </w:p>
    <w:p w14:paraId="4D53ED66">
      <w:pPr>
        <w:pStyle w:val="23"/>
        <w:keepNext w:val="0"/>
        <w:keepLines w:val="0"/>
        <w:pageBreakBefore w:val="0"/>
        <w:widowControl w:val="0"/>
        <w:tabs>
          <w:tab w:val="right" w:leader="dot" w:pos="9297"/>
        </w:tabs>
        <w:kinsoku/>
        <w:wordWrap/>
        <w:overflowPunct/>
        <w:topLinePunct w:val="0"/>
        <w:autoSpaceDE/>
        <w:autoSpaceDN/>
        <w:bidi w:val="0"/>
        <w:adjustRightInd/>
        <w:snapToGrid/>
        <w:spacing w:line="560" w:lineRule="exact"/>
        <w:textAlignment w:val="auto"/>
        <w:rPr>
          <w:rFonts w:hint="eastAsia" w:ascii="仿宋" w:hAnsi="仿宋" w:eastAsia="仿宋" w:cs="仿宋"/>
          <w:b/>
          <w:bCs/>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"_Toc26321" </w:instrText>
      </w:r>
      <w:r>
        <w:rPr>
          <w:rFonts w:hint="eastAsia" w:ascii="仿宋" w:hAnsi="仿宋" w:eastAsia="仿宋" w:cs="仿宋"/>
          <w:highlight w:val="none"/>
        </w:rPr>
        <w:fldChar w:fldCharType="separate"/>
      </w:r>
      <w:r>
        <w:rPr>
          <w:rFonts w:hint="eastAsia" w:ascii="仿宋" w:hAnsi="仿宋" w:eastAsia="仿宋" w:cs="仿宋"/>
          <w:b/>
          <w:bCs/>
          <w:kern w:val="44"/>
          <w:sz w:val="24"/>
          <w:highlight w:val="none"/>
        </w:rPr>
        <w:t>第二章 采购需求</w:t>
      </w:r>
      <w:r>
        <w:rPr>
          <w:rFonts w:hint="eastAsia" w:ascii="仿宋" w:hAnsi="仿宋" w:eastAsia="仿宋" w:cs="仿宋"/>
          <w:b/>
          <w:bCs/>
          <w:sz w:val="24"/>
          <w:highlight w:val="none"/>
        </w:rPr>
        <w:tab/>
      </w: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 PAGEREF _Toc26321 \h </w:instrText>
      </w:r>
      <w:r>
        <w:rPr>
          <w:rFonts w:hint="eastAsia" w:ascii="仿宋" w:hAnsi="仿宋" w:eastAsia="仿宋" w:cs="仿宋"/>
          <w:b/>
          <w:bCs/>
          <w:sz w:val="24"/>
          <w:highlight w:val="none"/>
        </w:rPr>
        <w:fldChar w:fldCharType="separate"/>
      </w:r>
      <w:r>
        <w:rPr>
          <w:rFonts w:hint="eastAsia" w:ascii="仿宋" w:hAnsi="仿宋" w:eastAsia="仿宋" w:cs="仿宋"/>
          <w:b/>
          <w:bCs/>
          <w:sz w:val="24"/>
          <w:highlight w:val="none"/>
        </w:rPr>
        <w:t>4</w:t>
      </w:r>
      <w:r>
        <w:rPr>
          <w:rFonts w:hint="eastAsia" w:ascii="仿宋" w:hAnsi="仿宋" w:eastAsia="仿宋" w:cs="仿宋"/>
          <w:b/>
          <w:bCs/>
          <w:sz w:val="24"/>
          <w:highlight w:val="none"/>
        </w:rPr>
        <w:fldChar w:fldCharType="end"/>
      </w:r>
      <w:r>
        <w:rPr>
          <w:rFonts w:hint="eastAsia" w:ascii="仿宋" w:hAnsi="仿宋" w:eastAsia="仿宋" w:cs="仿宋"/>
          <w:b/>
          <w:bCs/>
          <w:sz w:val="24"/>
          <w:highlight w:val="none"/>
        </w:rPr>
        <w:fldChar w:fldCharType="end"/>
      </w:r>
    </w:p>
    <w:p w14:paraId="6E106038">
      <w:pPr>
        <w:pStyle w:val="23"/>
        <w:keepNext w:val="0"/>
        <w:keepLines w:val="0"/>
        <w:pageBreakBefore w:val="0"/>
        <w:widowControl w:val="0"/>
        <w:tabs>
          <w:tab w:val="right" w:leader="dot" w:pos="9297"/>
        </w:tabs>
        <w:kinsoku/>
        <w:wordWrap/>
        <w:overflowPunct/>
        <w:topLinePunct w:val="0"/>
        <w:autoSpaceDE/>
        <w:autoSpaceDN/>
        <w:bidi w:val="0"/>
        <w:adjustRightInd/>
        <w:snapToGrid/>
        <w:spacing w:line="560" w:lineRule="exact"/>
        <w:textAlignment w:val="auto"/>
        <w:rPr>
          <w:rFonts w:hint="eastAsia" w:ascii="仿宋" w:hAnsi="仿宋" w:eastAsia="仿宋" w:cs="仿宋"/>
          <w:b/>
          <w:bCs/>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"_Toc27264" </w:instrText>
      </w:r>
      <w:r>
        <w:rPr>
          <w:rFonts w:hint="eastAsia" w:ascii="仿宋" w:hAnsi="仿宋" w:eastAsia="仿宋" w:cs="仿宋"/>
          <w:highlight w:val="none"/>
        </w:rPr>
        <w:fldChar w:fldCharType="separate"/>
      </w:r>
      <w:r>
        <w:rPr>
          <w:rFonts w:hint="eastAsia" w:ascii="仿宋" w:hAnsi="仿宋" w:eastAsia="仿宋" w:cs="仿宋"/>
          <w:b/>
          <w:bCs/>
          <w:kern w:val="44"/>
          <w:sz w:val="24"/>
          <w:highlight w:val="none"/>
        </w:rPr>
        <w:t>第三章 供应商须知</w:t>
      </w:r>
      <w:r>
        <w:rPr>
          <w:rFonts w:hint="eastAsia" w:ascii="仿宋" w:hAnsi="仿宋" w:eastAsia="仿宋" w:cs="仿宋"/>
          <w:b/>
          <w:bCs/>
          <w:sz w:val="24"/>
          <w:highlight w:val="none"/>
        </w:rPr>
        <w:tab/>
      </w: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 PAGEREF _Toc27264 \h </w:instrText>
      </w:r>
      <w:r>
        <w:rPr>
          <w:rFonts w:hint="eastAsia" w:ascii="仿宋" w:hAnsi="仿宋" w:eastAsia="仿宋" w:cs="仿宋"/>
          <w:b/>
          <w:bCs/>
          <w:sz w:val="24"/>
          <w:highlight w:val="none"/>
        </w:rPr>
        <w:fldChar w:fldCharType="separate"/>
      </w:r>
      <w:r>
        <w:rPr>
          <w:rFonts w:hint="eastAsia" w:ascii="仿宋" w:hAnsi="仿宋" w:eastAsia="仿宋" w:cs="仿宋"/>
          <w:b/>
          <w:bCs/>
          <w:sz w:val="24"/>
          <w:highlight w:val="none"/>
        </w:rPr>
        <w:t>12</w:t>
      </w:r>
      <w:r>
        <w:rPr>
          <w:rFonts w:hint="eastAsia" w:ascii="仿宋" w:hAnsi="仿宋" w:eastAsia="仿宋" w:cs="仿宋"/>
          <w:b/>
          <w:bCs/>
          <w:sz w:val="24"/>
          <w:highlight w:val="none"/>
        </w:rPr>
        <w:fldChar w:fldCharType="end"/>
      </w:r>
      <w:r>
        <w:rPr>
          <w:rFonts w:hint="eastAsia" w:ascii="仿宋" w:hAnsi="仿宋" w:eastAsia="仿宋" w:cs="仿宋"/>
          <w:b/>
          <w:bCs/>
          <w:sz w:val="24"/>
          <w:highlight w:val="none"/>
        </w:rPr>
        <w:fldChar w:fldCharType="end"/>
      </w:r>
    </w:p>
    <w:p w14:paraId="2A6F3748">
      <w:pPr>
        <w:pStyle w:val="25"/>
        <w:keepNext w:val="0"/>
        <w:keepLines w:val="0"/>
        <w:pageBreakBefore w:val="0"/>
        <w:widowControl w:val="0"/>
        <w:tabs>
          <w:tab w:val="right" w:leader="dot" w:pos="9297"/>
          <w:tab w:val="clear" w:pos="8296"/>
        </w:tabs>
        <w:kinsoku/>
        <w:wordWrap/>
        <w:overflowPunct/>
        <w:topLinePunct w:val="0"/>
        <w:autoSpaceDE/>
        <w:autoSpaceDN/>
        <w:bidi w:val="0"/>
        <w:adjustRightInd/>
        <w:snapToGrid/>
        <w:spacing w:line="560" w:lineRule="exact"/>
        <w:textAlignment w:val="auto"/>
        <w:rPr>
          <w:rFonts w:hint="eastAsia" w:ascii="仿宋" w:hAnsi="仿宋" w:eastAsia="仿宋" w:cs="仿宋"/>
          <w:b/>
          <w:bCs/>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"_Toc30429" </w:instrText>
      </w:r>
      <w:r>
        <w:rPr>
          <w:rFonts w:hint="eastAsia" w:ascii="仿宋" w:hAnsi="仿宋" w:eastAsia="仿宋" w:cs="仿宋"/>
          <w:highlight w:val="none"/>
        </w:rPr>
        <w:fldChar w:fldCharType="separate"/>
      </w:r>
      <w:r>
        <w:rPr>
          <w:rFonts w:hint="eastAsia" w:ascii="仿宋" w:hAnsi="仿宋" w:eastAsia="仿宋" w:cs="仿宋"/>
          <w:b/>
          <w:bCs/>
          <w:sz w:val="24"/>
          <w:highlight w:val="none"/>
        </w:rPr>
        <w:t>第一节 供应商须知前附表</w:t>
      </w:r>
      <w:r>
        <w:rPr>
          <w:rFonts w:hint="eastAsia" w:ascii="仿宋" w:hAnsi="仿宋" w:eastAsia="仿宋" w:cs="仿宋"/>
          <w:b/>
          <w:bCs/>
          <w:sz w:val="24"/>
          <w:highlight w:val="none"/>
        </w:rPr>
        <w:tab/>
      </w: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 PAGEREF _Toc30429 \h </w:instrText>
      </w:r>
      <w:r>
        <w:rPr>
          <w:rFonts w:hint="eastAsia" w:ascii="仿宋" w:hAnsi="仿宋" w:eastAsia="仿宋" w:cs="仿宋"/>
          <w:b/>
          <w:bCs/>
          <w:sz w:val="24"/>
          <w:highlight w:val="none"/>
        </w:rPr>
        <w:fldChar w:fldCharType="separate"/>
      </w:r>
      <w:r>
        <w:rPr>
          <w:rFonts w:hint="eastAsia" w:ascii="仿宋" w:hAnsi="仿宋" w:eastAsia="仿宋" w:cs="仿宋"/>
          <w:b/>
          <w:bCs/>
          <w:sz w:val="24"/>
          <w:highlight w:val="none"/>
        </w:rPr>
        <w:t>12</w:t>
      </w:r>
      <w:r>
        <w:rPr>
          <w:rFonts w:hint="eastAsia" w:ascii="仿宋" w:hAnsi="仿宋" w:eastAsia="仿宋" w:cs="仿宋"/>
          <w:b/>
          <w:bCs/>
          <w:sz w:val="24"/>
          <w:highlight w:val="none"/>
        </w:rPr>
        <w:fldChar w:fldCharType="end"/>
      </w:r>
      <w:r>
        <w:rPr>
          <w:rFonts w:hint="eastAsia" w:ascii="仿宋" w:hAnsi="仿宋" w:eastAsia="仿宋" w:cs="仿宋"/>
          <w:b/>
          <w:bCs/>
          <w:sz w:val="24"/>
          <w:highlight w:val="none"/>
        </w:rPr>
        <w:fldChar w:fldCharType="end"/>
      </w:r>
    </w:p>
    <w:p w14:paraId="670174BB">
      <w:pPr>
        <w:pStyle w:val="25"/>
        <w:keepNext w:val="0"/>
        <w:keepLines w:val="0"/>
        <w:pageBreakBefore w:val="0"/>
        <w:widowControl w:val="0"/>
        <w:tabs>
          <w:tab w:val="right" w:leader="dot" w:pos="9297"/>
          <w:tab w:val="clear" w:pos="8296"/>
        </w:tabs>
        <w:kinsoku/>
        <w:wordWrap/>
        <w:overflowPunct/>
        <w:topLinePunct w:val="0"/>
        <w:autoSpaceDE/>
        <w:autoSpaceDN/>
        <w:bidi w:val="0"/>
        <w:adjustRightInd/>
        <w:snapToGrid/>
        <w:spacing w:line="560" w:lineRule="exact"/>
        <w:textAlignment w:val="auto"/>
        <w:rPr>
          <w:rFonts w:hint="eastAsia" w:ascii="仿宋" w:hAnsi="仿宋" w:eastAsia="仿宋" w:cs="仿宋"/>
          <w:b/>
          <w:bCs/>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"_Toc25854" </w:instrText>
      </w:r>
      <w:r>
        <w:rPr>
          <w:rFonts w:hint="eastAsia" w:ascii="仿宋" w:hAnsi="仿宋" w:eastAsia="仿宋" w:cs="仿宋"/>
          <w:highlight w:val="none"/>
        </w:rPr>
        <w:fldChar w:fldCharType="separate"/>
      </w:r>
      <w:r>
        <w:rPr>
          <w:rFonts w:hint="eastAsia" w:ascii="仿宋" w:hAnsi="仿宋" w:eastAsia="仿宋" w:cs="仿宋"/>
          <w:b/>
          <w:bCs/>
          <w:sz w:val="24"/>
          <w:highlight w:val="none"/>
        </w:rPr>
        <w:t>第二节 供应商须知正文</w:t>
      </w:r>
      <w:r>
        <w:rPr>
          <w:rFonts w:hint="eastAsia" w:ascii="仿宋" w:hAnsi="仿宋" w:eastAsia="仿宋" w:cs="仿宋"/>
          <w:b/>
          <w:bCs/>
          <w:sz w:val="24"/>
          <w:highlight w:val="none"/>
        </w:rPr>
        <w:tab/>
      </w: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 PAGEREF _Toc25854 \h </w:instrText>
      </w:r>
      <w:r>
        <w:rPr>
          <w:rFonts w:hint="eastAsia" w:ascii="仿宋" w:hAnsi="仿宋" w:eastAsia="仿宋" w:cs="仿宋"/>
          <w:b/>
          <w:bCs/>
          <w:sz w:val="24"/>
          <w:highlight w:val="none"/>
        </w:rPr>
        <w:fldChar w:fldCharType="separate"/>
      </w:r>
      <w:r>
        <w:rPr>
          <w:rFonts w:hint="eastAsia" w:ascii="仿宋" w:hAnsi="仿宋" w:eastAsia="仿宋" w:cs="仿宋"/>
          <w:b/>
          <w:bCs/>
          <w:sz w:val="24"/>
          <w:highlight w:val="none"/>
        </w:rPr>
        <w:t>19</w:t>
      </w:r>
      <w:r>
        <w:rPr>
          <w:rFonts w:hint="eastAsia" w:ascii="仿宋" w:hAnsi="仿宋" w:eastAsia="仿宋" w:cs="仿宋"/>
          <w:b/>
          <w:bCs/>
          <w:sz w:val="24"/>
          <w:highlight w:val="none"/>
        </w:rPr>
        <w:fldChar w:fldCharType="end"/>
      </w:r>
      <w:r>
        <w:rPr>
          <w:rFonts w:hint="eastAsia" w:ascii="仿宋" w:hAnsi="仿宋" w:eastAsia="仿宋" w:cs="仿宋"/>
          <w:b/>
          <w:bCs/>
          <w:sz w:val="24"/>
          <w:highlight w:val="none"/>
        </w:rPr>
        <w:fldChar w:fldCharType="end"/>
      </w:r>
    </w:p>
    <w:p w14:paraId="5177A659">
      <w:pPr>
        <w:pStyle w:val="23"/>
        <w:keepNext w:val="0"/>
        <w:keepLines w:val="0"/>
        <w:pageBreakBefore w:val="0"/>
        <w:widowControl w:val="0"/>
        <w:tabs>
          <w:tab w:val="right" w:leader="dot" w:pos="9297"/>
        </w:tabs>
        <w:kinsoku/>
        <w:wordWrap/>
        <w:overflowPunct/>
        <w:topLinePunct w:val="0"/>
        <w:autoSpaceDE/>
        <w:autoSpaceDN/>
        <w:bidi w:val="0"/>
        <w:adjustRightInd/>
        <w:snapToGrid/>
        <w:spacing w:line="560" w:lineRule="exact"/>
        <w:textAlignment w:val="auto"/>
        <w:rPr>
          <w:rFonts w:hint="eastAsia" w:ascii="仿宋" w:hAnsi="仿宋" w:eastAsia="仿宋" w:cs="仿宋"/>
          <w:b/>
          <w:bCs/>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"_Toc5279" </w:instrText>
      </w:r>
      <w:r>
        <w:rPr>
          <w:rFonts w:hint="eastAsia" w:ascii="仿宋" w:hAnsi="仿宋" w:eastAsia="仿宋" w:cs="仿宋"/>
          <w:highlight w:val="none"/>
        </w:rPr>
        <w:fldChar w:fldCharType="separate"/>
      </w:r>
      <w:r>
        <w:rPr>
          <w:rFonts w:hint="eastAsia" w:ascii="仿宋" w:hAnsi="仿宋" w:eastAsia="仿宋" w:cs="仿宋"/>
          <w:b/>
          <w:bCs/>
          <w:kern w:val="0"/>
          <w:sz w:val="24"/>
          <w:highlight w:val="none"/>
        </w:rPr>
        <w:t>第四章 评审程序、评审方法和评审标准</w:t>
      </w:r>
      <w:r>
        <w:rPr>
          <w:rFonts w:hint="eastAsia" w:ascii="仿宋" w:hAnsi="仿宋" w:eastAsia="仿宋" w:cs="仿宋"/>
          <w:b/>
          <w:bCs/>
          <w:sz w:val="24"/>
          <w:highlight w:val="none"/>
        </w:rPr>
        <w:tab/>
      </w: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 PAGEREF _Toc5279 \h </w:instrText>
      </w:r>
      <w:r>
        <w:rPr>
          <w:rFonts w:hint="eastAsia" w:ascii="仿宋" w:hAnsi="仿宋" w:eastAsia="仿宋" w:cs="仿宋"/>
          <w:b/>
          <w:bCs/>
          <w:sz w:val="24"/>
          <w:highlight w:val="none"/>
        </w:rPr>
        <w:fldChar w:fldCharType="separate"/>
      </w:r>
      <w:r>
        <w:rPr>
          <w:rFonts w:hint="eastAsia" w:ascii="仿宋" w:hAnsi="仿宋" w:eastAsia="仿宋" w:cs="仿宋"/>
          <w:b/>
          <w:bCs/>
          <w:sz w:val="24"/>
          <w:highlight w:val="none"/>
        </w:rPr>
        <w:t>30</w:t>
      </w:r>
      <w:r>
        <w:rPr>
          <w:rFonts w:hint="eastAsia" w:ascii="仿宋" w:hAnsi="仿宋" w:eastAsia="仿宋" w:cs="仿宋"/>
          <w:b/>
          <w:bCs/>
          <w:sz w:val="24"/>
          <w:highlight w:val="none"/>
        </w:rPr>
        <w:fldChar w:fldCharType="end"/>
      </w:r>
      <w:r>
        <w:rPr>
          <w:rFonts w:hint="eastAsia" w:ascii="仿宋" w:hAnsi="仿宋" w:eastAsia="仿宋" w:cs="仿宋"/>
          <w:b/>
          <w:bCs/>
          <w:sz w:val="24"/>
          <w:highlight w:val="none"/>
        </w:rPr>
        <w:fldChar w:fldCharType="end"/>
      </w:r>
    </w:p>
    <w:p w14:paraId="251116CB">
      <w:pPr>
        <w:pStyle w:val="25"/>
        <w:keepNext w:val="0"/>
        <w:keepLines w:val="0"/>
        <w:pageBreakBefore w:val="0"/>
        <w:widowControl w:val="0"/>
        <w:tabs>
          <w:tab w:val="right" w:leader="dot" w:pos="9297"/>
          <w:tab w:val="clear" w:pos="8296"/>
        </w:tabs>
        <w:kinsoku/>
        <w:wordWrap/>
        <w:overflowPunct/>
        <w:topLinePunct w:val="0"/>
        <w:autoSpaceDE/>
        <w:autoSpaceDN/>
        <w:bidi w:val="0"/>
        <w:adjustRightInd/>
        <w:snapToGrid/>
        <w:spacing w:line="560" w:lineRule="exact"/>
        <w:textAlignment w:val="auto"/>
        <w:rPr>
          <w:rFonts w:hint="eastAsia" w:ascii="仿宋" w:hAnsi="仿宋" w:eastAsia="仿宋" w:cs="仿宋"/>
          <w:b/>
          <w:bCs/>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"_Toc15520" </w:instrText>
      </w:r>
      <w:r>
        <w:rPr>
          <w:rFonts w:hint="eastAsia" w:ascii="仿宋" w:hAnsi="仿宋" w:eastAsia="仿宋" w:cs="仿宋"/>
          <w:highlight w:val="none"/>
        </w:rPr>
        <w:fldChar w:fldCharType="separate"/>
      </w:r>
      <w:r>
        <w:rPr>
          <w:rFonts w:hint="eastAsia" w:ascii="仿宋" w:hAnsi="仿宋" w:eastAsia="仿宋" w:cs="仿宋"/>
          <w:b/>
          <w:bCs/>
          <w:sz w:val="24"/>
          <w:highlight w:val="none"/>
        </w:rPr>
        <w:t>第一节 评审程序和评审方法</w:t>
      </w:r>
      <w:r>
        <w:rPr>
          <w:rFonts w:hint="eastAsia" w:ascii="仿宋" w:hAnsi="仿宋" w:eastAsia="仿宋" w:cs="仿宋"/>
          <w:b/>
          <w:bCs/>
          <w:sz w:val="24"/>
          <w:highlight w:val="none"/>
        </w:rPr>
        <w:tab/>
      </w: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 PAGEREF _Toc15520 \h </w:instrText>
      </w:r>
      <w:r>
        <w:rPr>
          <w:rFonts w:hint="eastAsia" w:ascii="仿宋" w:hAnsi="仿宋" w:eastAsia="仿宋" w:cs="仿宋"/>
          <w:b/>
          <w:bCs/>
          <w:sz w:val="24"/>
          <w:highlight w:val="none"/>
        </w:rPr>
        <w:fldChar w:fldCharType="separate"/>
      </w:r>
      <w:r>
        <w:rPr>
          <w:rFonts w:hint="eastAsia" w:ascii="仿宋" w:hAnsi="仿宋" w:eastAsia="仿宋" w:cs="仿宋"/>
          <w:b/>
          <w:bCs/>
          <w:sz w:val="24"/>
          <w:highlight w:val="none"/>
        </w:rPr>
        <w:t>30</w:t>
      </w:r>
      <w:r>
        <w:rPr>
          <w:rFonts w:hint="eastAsia" w:ascii="仿宋" w:hAnsi="仿宋" w:eastAsia="仿宋" w:cs="仿宋"/>
          <w:b/>
          <w:bCs/>
          <w:sz w:val="24"/>
          <w:highlight w:val="none"/>
        </w:rPr>
        <w:fldChar w:fldCharType="end"/>
      </w:r>
      <w:r>
        <w:rPr>
          <w:rFonts w:hint="eastAsia" w:ascii="仿宋" w:hAnsi="仿宋" w:eastAsia="仿宋" w:cs="仿宋"/>
          <w:b/>
          <w:bCs/>
          <w:sz w:val="24"/>
          <w:highlight w:val="none"/>
        </w:rPr>
        <w:fldChar w:fldCharType="end"/>
      </w:r>
    </w:p>
    <w:p w14:paraId="589C5B01">
      <w:pPr>
        <w:pStyle w:val="25"/>
        <w:keepNext w:val="0"/>
        <w:keepLines w:val="0"/>
        <w:pageBreakBefore w:val="0"/>
        <w:widowControl w:val="0"/>
        <w:tabs>
          <w:tab w:val="right" w:leader="dot" w:pos="9297"/>
          <w:tab w:val="clear" w:pos="8296"/>
        </w:tabs>
        <w:kinsoku/>
        <w:wordWrap/>
        <w:overflowPunct/>
        <w:topLinePunct w:val="0"/>
        <w:autoSpaceDE/>
        <w:autoSpaceDN/>
        <w:bidi w:val="0"/>
        <w:adjustRightInd/>
        <w:snapToGrid/>
        <w:spacing w:line="560" w:lineRule="exact"/>
        <w:textAlignment w:val="auto"/>
        <w:rPr>
          <w:rFonts w:hint="eastAsia" w:ascii="仿宋" w:hAnsi="仿宋" w:eastAsia="仿宋" w:cs="仿宋"/>
          <w:b/>
          <w:bCs/>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"_Toc28964" </w:instrText>
      </w:r>
      <w:r>
        <w:rPr>
          <w:rFonts w:hint="eastAsia" w:ascii="仿宋" w:hAnsi="仿宋" w:eastAsia="仿宋" w:cs="仿宋"/>
          <w:highlight w:val="none"/>
        </w:rPr>
        <w:fldChar w:fldCharType="separate"/>
      </w:r>
      <w:r>
        <w:rPr>
          <w:rFonts w:hint="eastAsia" w:ascii="仿宋" w:hAnsi="仿宋" w:eastAsia="仿宋" w:cs="仿宋"/>
          <w:b/>
          <w:bCs/>
          <w:sz w:val="24"/>
          <w:highlight w:val="none"/>
        </w:rPr>
        <w:t>第二节 评审报告</w:t>
      </w:r>
      <w:r>
        <w:rPr>
          <w:rFonts w:hint="eastAsia" w:ascii="仿宋" w:hAnsi="仿宋" w:eastAsia="仿宋" w:cs="仿宋"/>
          <w:b/>
          <w:bCs/>
          <w:sz w:val="24"/>
          <w:highlight w:val="none"/>
        </w:rPr>
        <w:tab/>
      </w: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 PAGEREF _Toc28964 \h </w:instrText>
      </w:r>
      <w:r>
        <w:rPr>
          <w:rFonts w:hint="eastAsia" w:ascii="仿宋" w:hAnsi="仿宋" w:eastAsia="仿宋" w:cs="仿宋"/>
          <w:b/>
          <w:bCs/>
          <w:sz w:val="24"/>
          <w:highlight w:val="none"/>
        </w:rPr>
        <w:fldChar w:fldCharType="separate"/>
      </w:r>
      <w:r>
        <w:rPr>
          <w:rFonts w:hint="eastAsia" w:ascii="仿宋" w:hAnsi="仿宋" w:eastAsia="仿宋" w:cs="仿宋"/>
          <w:b/>
          <w:bCs/>
          <w:sz w:val="24"/>
          <w:highlight w:val="none"/>
        </w:rPr>
        <w:t>38</w:t>
      </w:r>
      <w:r>
        <w:rPr>
          <w:rFonts w:hint="eastAsia" w:ascii="仿宋" w:hAnsi="仿宋" w:eastAsia="仿宋" w:cs="仿宋"/>
          <w:b/>
          <w:bCs/>
          <w:sz w:val="24"/>
          <w:highlight w:val="none"/>
        </w:rPr>
        <w:fldChar w:fldCharType="end"/>
      </w:r>
      <w:r>
        <w:rPr>
          <w:rFonts w:hint="eastAsia" w:ascii="仿宋" w:hAnsi="仿宋" w:eastAsia="仿宋" w:cs="仿宋"/>
          <w:b/>
          <w:bCs/>
          <w:sz w:val="24"/>
          <w:highlight w:val="none"/>
        </w:rPr>
        <w:fldChar w:fldCharType="end"/>
      </w:r>
    </w:p>
    <w:p w14:paraId="622C220B">
      <w:pPr>
        <w:pStyle w:val="25"/>
        <w:keepNext w:val="0"/>
        <w:keepLines w:val="0"/>
        <w:pageBreakBefore w:val="0"/>
        <w:widowControl w:val="0"/>
        <w:tabs>
          <w:tab w:val="right" w:leader="dot" w:pos="9297"/>
          <w:tab w:val="clear" w:pos="8296"/>
        </w:tabs>
        <w:kinsoku/>
        <w:wordWrap/>
        <w:overflowPunct/>
        <w:topLinePunct w:val="0"/>
        <w:autoSpaceDE/>
        <w:autoSpaceDN/>
        <w:bidi w:val="0"/>
        <w:adjustRightInd/>
        <w:snapToGrid/>
        <w:spacing w:line="560" w:lineRule="exact"/>
        <w:textAlignment w:val="auto"/>
        <w:rPr>
          <w:rFonts w:hint="eastAsia" w:ascii="仿宋" w:hAnsi="仿宋" w:eastAsia="仿宋" w:cs="仿宋"/>
          <w:b/>
          <w:bCs/>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"_Toc6767" </w:instrText>
      </w:r>
      <w:r>
        <w:rPr>
          <w:rFonts w:hint="eastAsia" w:ascii="仿宋" w:hAnsi="仿宋" w:eastAsia="仿宋" w:cs="仿宋"/>
          <w:highlight w:val="none"/>
        </w:rPr>
        <w:fldChar w:fldCharType="separate"/>
      </w:r>
      <w:r>
        <w:rPr>
          <w:rFonts w:hint="eastAsia" w:ascii="仿宋" w:hAnsi="仿宋" w:eastAsia="仿宋" w:cs="仿宋"/>
          <w:b/>
          <w:bCs/>
          <w:sz w:val="24"/>
          <w:highlight w:val="none"/>
        </w:rPr>
        <w:t>第三节 评审过程的保密与录像</w:t>
      </w:r>
      <w:r>
        <w:rPr>
          <w:rFonts w:hint="eastAsia" w:ascii="仿宋" w:hAnsi="仿宋" w:eastAsia="仿宋" w:cs="仿宋"/>
          <w:b/>
          <w:bCs/>
          <w:sz w:val="24"/>
          <w:highlight w:val="none"/>
        </w:rPr>
        <w:tab/>
      </w: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 PAGEREF _Toc6767 \h </w:instrText>
      </w:r>
      <w:r>
        <w:rPr>
          <w:rFonts w:hint="eastAsia" w:ascii="仿宋" w:hAnsi="仿宋" w:eastAsia="仿宋" w:cs="仿宋"/>
          <w:b/>
          <w:bCs/>
          <w:sz w:val="24"/>
          <w:highlight w:val="none"/>
        </w:rPr>
        <w:fldChar w:fldCharType="separate"/>
      </w:r>
      <w:r>
        <w:rPr>
          <w:rFonts w:hint="eastAsia" w:ascii="仿宋" w:hAnsi="仿宋" w:eastAsia="仿宋" w:cs="仿宋"/>
          <w:b/>
          <w:bCs/>
          <w:sz w:val="24"/>
          <w:highlight w:val="none"/>
        </w:rPr>
        <w:t>39</w:t>
      </w:r>
      <w:r>
        <w:rPr>
          <w:rFonts w:hint="eastAsia" w:ascii="仿宋" w:hAnsi="仿宋" w:eastAsia="仿宋" w:cs="仿宋"/>
          <w:b/>
          <w:bCs/>
          <w:sz w:val="24"/>
          <w:highlight w:val="none"/>
        </w:rPr>
        <w:fldChar w:fldCharType="end"/>
      </w:r>
      <w:r>
        <w:rPr>
          <w:rFonts w:hint="eastAsia" w:ascii="仿宋" w:hAnsi="仿宋" w:eastAsia="仿宋" w:cs="仿宋"/>
          <w:b/>
          <w:bCs/>
          <w:sz w:val="24"/>
          <w:highlight w:val="none"/>
        </w:rPr>
        <w:fldChar w:fldCharType="end"/>
      </w:r>
    </w:p>
    <w:p w14:paraId="66ABADEE">
      <w:pPr>
        <w:pStyle w:val="23"/>
        <w:keepNext w:val="0"/>
        <w:keepLines w:val="0"/>
        <w:pageBreakBefore w:val="0"/>
        <w:widowControl w:val="0"/>
        <w:tabs>
          <w:tab w:val="right" w:leader="dot" w:pos="9297"/>
        </w:tabs>
        <w:kinsoku/>
        <w:wordWrap/>
        <w:overflowPunct/>
        <w:topLinePunct w:val="0"/>
        <w:autoSpaceDE/>
        <w:autoSpaceDN/>
        <w:bidi w:val="0"/>
        <w:adjustRightInd/>
        <w:snapToGrid/>
        <w:spacing w:line="560" w:lineRule="exact"/>
        <w:textAlignment w:val="auto"/>
        <w:rPr>
          <w:rFonts w:hint="eastAsia" w:ascii="仿宋" w:hAnsi="仿宋" w:eastAsia="仿宋" w:cs="仿宋"/>
          <w:b/>
          <w:bCs/>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"_Toc9402" </w:instrText>
      </w:r>
      <w:r>
        <w:rPr>
          <w:rFonts w:hint="eastAsia" w:ascii="仿宋" w:hAnsi="仿宋" w:eastAsia="仿宋" w:cs="仿宋"/>
          <w:highlight w:val="none"/>
        </w:rPr>
        <w:fldChar w:fldCharType="separate"/>
      </w:r>
      <w:r>
        <w:rPr>
          <w:rFonts w:hint="eastAsia" w:ascii="仿宋" w:hAnsi="仿宋" w:eastAsia="仿宋" w:cs="仿宋"/>
          <w:b/>
          <w:bCs/>
          <w:kern w:val="44"/>
          <w:sz w:val="24"/>
          <w:highlight w:val="none"/>
        </w:rPr>
        <w:t>第五章 响应文件格式</w:t>
      </w:r>
      <w:r>
        <w:rPr>
          <w:rFonts w:hint="eastAsia" w:ascii="仿宋" w:hAnsi="仿宋" w:eastAsia="仿宋" w:cs="仿宋"/>
          <w:b/>
          <w:bCs/>
          <w:sz w:val="24"/>
          <w:highlight w:val="none"/>
        </w:rPr>
        <w:tab/>
      </w: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 PAGEREF _Toc9402 \h </w:instrText>
      </w:r>
      <w:r>
        <w:rPr>
          <w:rFonts w:hint="eastAsia" w:ascii="仿宋" w:hAnsi="仿宋" w:eastAsia="仿宋" w:cs="仿宋"/>
          <w:b/>
          <w:bCs/>
          <w:sz w:val="24"/>
          <w:highlight w:val="none"/>
        </w:rPr>
        <w:fldChar w:fldCharType="separate"/>
      </w:r>
      <w:r>
        <w:rPr>
          <w:rFonts w:hint="eastAsia" w:ascii="仿宋" w:hAnsi="仿宋" w:eastAsia="仿宋" w:cs="仿宋"/>
          <w:b/>
          <w:bCs/>
          <w:sz w:val="24"/>
          <w:highlight w:val="none"/>
        </w:rPr>
        <w:t>40</w:t>
      </w:r>
      <w:r>
        <w:rPr>
          <w:rFonts w:hint="eastAsia" w:ascii="仿宋" w:hAnsi="仿宋" w:eastAsia="仿宋" w:cs="仿宋"/>
          <w:b/>
          <w:bCs/>
          <w:sz w:val="24"/>
          <w:highlight w:val="none"/>
        </w:rPr>
        <w:fldChar w:fldCharType="end"/>
      </w:r>
      <w:r>
        <w:rPr>
          <w:rFonts w:hint="eastAsia" w:ascii="仿宋" w:hAnsi="仿宋" w:eastAsia="仿宋" w:cs="仿宋"/>
          <w:b/>
          <w:bCs/>
          <w:sz w:val="24"/>
          <w:highlight w:val="none"/>
        </w:rPr>
        <w:fldChar w:fldCharType="end"/>
      </w:r>
    </w:p>
    <w:p w14:paraId="0AE3DC19">
      <w:pPr>
        <w:pStyle w:val="25"/>
        <w:keepNext w:val="0"/>
        <w:keepLines w:val="0"/>
        <w:pageBreakBefore w:val="0"/>
        <w:widowControl w:val="0"/>
        <w:tabs>
          <w:tab w:val="right" w:leader="dot" w:pos="9297"/>
          <w:tab w:val="clear" w:pos="8296"/>
        </w:tabs>
        <w:kinsoku/>
        <w:wordWrap/>
        <w:overflowPunct/>
        <w:topLinePunct w:val="0"/>
        <w:autoSpaceDE/>
        <w:autoSpaceDN/>
        <w:bidi w:val="0"/>
        <w:adjustRightInd/>
        <w:snapToGrid/>
        <w:spacing w:line="560" w:lineRule="exact"/>
        <w:textAlignment w:val="auto"/>
        <w:rPr>
          <w:rFonts w:hint="eastAsia" w:ascii="仿宋" w:hAnsi="仿宋" w:eastAsia="仿宋" w:cs="仿宋"/>
          <w:b/>
          <w:bCs/>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"_Toc9031" </w:instrText>
      </w:r>
      <w:r>
        <w:rPr>
          <w:rFonts w:hint="eastAsia" w:ascii="仿宋" w:hAnsi="仿宋" w:eastAsia="仿宋" w:cs="仿宋"/>
          <w:highlight w:val="none"/>
        </w:rPr>
        <w:fldChar w:fldCharType="separate"/>
      </w:r>
      <w:r>
        <w:rPr>
          <w:rFonts w:hint="eastAsia" w:ascii="仿宋" w:hAnsi="仿宋" w:eastAsia="仿宋" w:cs="仿宋"/>
          <w:b/>
          <w:bCs/>
          <w:sz w:val="24"/>
          <w:highlight w:val="none"/>
        </w:rPr>
        <w:t>第一节 封面格式</w:t>
      </w:r>
      <w:r>
        <w:rPr>
          <w:rFonts w:hint="eastAsia" w:ascii="仿宋" w:hAnsi="仿宋" w:eastAsia="仿宋" w:cs="仿宋"/>
          <w:b/>
          <w:bCs/>
          <w:sz w:val="24"/>
          <w:highlight w:val="none"/>
        </w:rPr>
        <w:tab/>
      </w: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 PAGEREF _Toc9031 \h </w:instrText>
      </w:r>
      <w:r>
        <w:rPr>
          <w:rFonts w:hint="eastAsia" w:ascii="仿宋" w:hAnsi="仿宋" w:eastAsia="仿宋" w:cs="仿宋"/>
          <w:b/>
          <w:bCs/>
          <w:sz w:val="24"/>
          <w:highlight w:val="none"/>
        </w:rPr>
        <w:fldChar w:fldCharType="separate"/>
      </w:r>
      <w:r>
        <w:rPr>
          <w:rFonts w:hint="eastAsia" w:ascii="仿宋" w:hAnsi="仿宋" w:eastAsia="仿宋" w:cs="仿宋"/>
          <w:b/>
          <w:bCs/>
          <w:sz w:val="24"/>
          <w:highlight w:val="none"/>
        </w:rPr>
        <w:t>41</w:t>
      </w:r>
      <w:r>
        <w:rPr>
          <w:rFonts w:hint="eastAsia" w:ascii="仿宋" w:hAnsi="仿宋" w:eastAsia="仿宋" w:cs="仿宋"/>
          <w:b/>
          <w:bCs/>
          <w:sz w:val="24"/>
          <w:highlight w:val="none"/>
        </w:rPr>
        <w:fldChar w:fldCharType="end"/>
      </w:r>
      <w:r>
        <w:rPr>
          <w:rFonts w:hint="eastAsia" w:ascii="仿宋" w:hAnsi="仿宋" w:eastAsia="仿宋" w:cs="仿宋"/>
          <w:b/>
          <w:bCs/>
          <w:sz w:val="24"/>
          <w:highlight w:val="none"/>
        </w:rPr>
        <w:fldChar w:fldCharType="end"/>
      </w:r>
    </w:p>
    <w:p w14:paraId="4D787C16">
      <w:pPr>
        <w:pStyle w:val="25"/>
        <w:keepNext w:val="0"/>
        <w:keepLines w:val="0"/>
        <w:pageBreakBefore w:val="0"/>
        <w:widowControl w:val="0"/>
        <w:tabs>
          <w:tab w:val="right" w:leader="dot" w:pos="9297"/>
          <w:tab w:val="clear" w:pos="8296"/>
        </w:tabs>
        <w:kinsoku/>
        <w:wordWrap/>
        <w:overflowPunct/>
        <w:topLinePunct w:val="0"/>
        <w:autoSpaceDE/>
        <w:autoSpaceDN/>
        <w:bidi w:val="0"/>
        <w:adjustRightInd/>
        <w:snapToGrid/>
        <w:spacing w:line="560" w:lineRule="exact"/>
        <w:textAlignment w:val="auto"/>
        <w:rPr>
          <w:rFonts w:hint="eastAsia" w:ascii="仿宋" w:hAnsi="仿宋" w:eastAsia="仿宋" w:cs="仿宋"/>
          <w:b/>
          <w:bCs/>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"_Toc32645" </w:instrText>
      </w:r>
      <w:r>
        <w:rPr>
          <w:rFonts w:hint="eastAsia" w:ascii="仿宋" w:hAnsi="仿宋" w:eastAsia="仿宋" w:cs="仿宋"/>
          <w:highlight w:val="none"/>
        </w:rPr>
        <w:fldChar w:fldCharType="separate"/>
      </w:r>
      <w:r>
        <w:rPr>
          <w:rFonts w:hint="eastAsia" w:ascii="仿宋" w:hAnsi="仿宋" w:eastAsia="仿宋" w:cs="仿宋"/>
          <w:b/>
          <w:bCs/>
          <w:sz w:val="24"/>
          <w:highlight w:val="none"/>
        </w:rPr>
        <w:t>第二节 资格证明文件格式</w:t>
      </w:r>
      <w:r>
        <w:rPr>
          <w:rFonts w:hint="eastAsia" w:ascii="仿宋" w:hAnsi="仿宋" w:eastAsia="仿宋" w:cs="仿宋"/>
          <w:b/>
          <w:bCs/>
          <w:sz w:val="24"/>
          <w:highlight w:val="none"/>
        </w:rPr>
        <w:tab/>
      </w: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 PAGEREF _Toc32645 \h </w:instrText>
      </w:r>
      <w:r>
        <w:rPr>
          <w:rFonts w:hint="eastAsia" w:ascii="仿宋" w:hAnsi="仿宋" w:eastAsia="仿宋" w:cs="仿宋"/>
          <w:b/>
          <w:bCs/>
          <w:sz w:val="24"/>
          <w:highlight w:val="none"/>
        </w:rPr>
        <w:fldChar w:fldCharType="separate"/>
      </w:r>
      <w:r>
        <w:rPr>
          <w:rFonts w:hint="eastAsia" w:ascii="仿宋" w:hAnsi="仿宋" w:eastAsia="仿宋" w:cs="仿宋"/>
          <w:b/>
          <w:bCs/>
          <w:sz w:val="24"/>
          <w:highlight w:val="none"/>
        </w:rPr>
        <w:t>42</w:t>
      </w:r>
      <w:r>
        <w:rPr>
          <w:rFonts w:hint="eastAsia" w:ascii="仿宋" w:hAnsi="仿宋" w:eastAsia="仿宋" w:cs="仿宋"/>
          <w:b/>
          <w:bCs/>
          <w:sz w:val="24"/>
          <w:highlight w:val="none"/>
        </w:rPr>
        <w:fldChar w:fldCharType="end"/>
      </w:r>
      <w:r>
        <w:rPr>
          <w:rFonts w:hint="eastAsia" w:ascii="仿宋" w:hAnsi="仿宋" w:eastAsia="仿宋" w:cs="仿宋"/>
          <w:b/>
          <w:bCs/>
          <w:sz w:val="24"/>
          <w:highlight w:val="none"/>
        </w:rPr>
        <w:fldChar w:fldCharType="end"/>
      </w:r>
    </w:p>
    <w:p w14:paraId="0DDA41F4">
      <w:pPr>
        <w:pStyle w:val="25"/>
        <w:keepNext w:val="0"/>
        <w:keepLines w:val="0"/>
        <w:pageBreakBefore w:val="0"/>
        <w:widowControl w:val="0"/>
        <w:tabs>
          <w:tab w:val="right" w:leader="dot" w:pos="9297"/>
          <w:tab w:val="clear" w:pos="8296"/>
        </w:tabs>
        <w:kinsoku/>
        <w:wordWrap/>
        <w:overflowPunct/>
        <w:topLinePunct w:val="0"/>
        <w:autoSpaceDE/>
        <w:autoSpaceDN/>
        <w:bidi w:val="0"/>
        <w:adjustRightInd/>
        <w:snapToGrid/>
        <w:spacing w:line="560" w:lineRule="exact"/>
        <w:textAlignment w:val="auto"/>
        <w:rPr>
          <w:rFonts w:hint="eastAsia" w:ascii="仿宋" w:hAnsi="仿宋" w:eastAsia="仿宋" w:cs="仿宋"/>
          <w:b/>
          <w:bCs/>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"_Toc4748" </w:instrText>
      </w:r>
      <w:r>
        <w:rPr>
          <w:rFonts w:hint="eastAsia" w:ascii="仿宋" w:hAnsi="仿宋" w:eastAsia="仿宋" w:cs="仿宋"/>
          <w:highlight w:val="none"/>
        </w:rPr>
        <w:fldChar w:fldCharType="separate"/>
      </w:r>
      <w:r>
        <w:rPr>
          <w:rFonts w:hint="eastAsia" w:ascii="仿宋" w:hAnsi="仿宋" w:eastAsia="仿宋" w:cs="仿宋"/>
          <w:b/>
          <w:bCs/>
          <w:sz w:val="24"/>
          <w:highlight w:val="none"/>
        </w:rPr>
        <w:t>第三节 商务文件格式</w:t>
      </w:r>
      <w:r>
        <w:rPr>
          <w:rFonts w:hint="eastAsia" w:ascii="仿宋" w:hAnsi="仿宋" w:eastAsia="仿宋" w:cs="仿宋"/>
          <w:b/>
          <w:bCs/>
          <w:sz w:val="24"/>
          <w:highlight w:val="none"/>
        </w:rPr>
        <w:tab/>
      </w: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 PAGEREF _Toc4748 \h </w:instrText>
      </w:r>
      <w:r>
        <w:rPr>
          <w:rFonts w:hint="eastAsia" w:ascii="仿宋" w:hAnsi="仿宋" w:eastAsia="仿宋" w:cs="仿宋"/>
          <w:b/>
          <w:bCs/>
          <w:sz w:val="24"/>
          <w:highlight w:val="none"/>
        </w:rPr>
        <w:fldChar w:fldCharType="separate"/>
      </w:r>
      <w:r>
        <w:rPr>
          <w:rFonts w:hint="eastAsia" w:ascii="仿宋" w:hAnsi="仿宋" w:eastAsia="仿宋" w:cs="仿宋"/>
          <w:b/>
          <w:bCs/>
          <w:sz w:val="24"/>
          <w:highlight w:val="none"/>
        </w:rPr>
        <w:t>52</w:t>
      </w:r>
      <w:r>
        <w:rPr>
          <w:rFonts w:hint="eastAsia" w:ascii="仿宋" w:hAnsi="仿宋" w:eastAsia="仿宋" w:cs="仿宋"/>
          <w:b/>
          <w:bCs/>
          <w:sz w:val="24"/>
          <w:highlight w:val="none"/>
        </w:rPr>
        <w:fldChar w:fldCharType="end"/>
      </w:r>
      <w:r>
        <w:rPr>
          <w:rFonts w:hint="eastAsia" w:ascii="仿宋" w:hAnsi="仿宋" w:eastAsia="仿宋" w:cs="仿宋"/>
          <w:b/>
          <w:bCs/>
          <w:sz w:val="24"/>
          <w:highlight w:val="none"/>
        </w:rPr>
        <w:fldChar w:fldCharType="end"/>
      </w:r>
    </w:p>
    <w:p w14:paraId="3A2462DC">
      <w:pPr>
        <w:pStyle w:val="25"/>
        <w:keepNext w:val="0"/>
        <w:keepLines w:val="0"/>
        <w:pageBreakBefore w:val="0"/>
        <w:widowControl w:val="0"/>
        <w:tabs>
          <w:tab w:val="right" w:leader="dot" w:pos="9297"/>
          <w:tab w:val="clear" w:pos="8296"/>
        </w:tabs>
        <w:kinsoku/>
        <w:wordWrap/>
        <w:overflowPunct/>
        <w:topLinePunct w:val="0"/>
        <w:autoSpaceDE/>
        <w:autoSpaceDN/>
        <w:bidi w:val="0"/>
        <w:adjustRightInd/>
        <w:snapToGrid/>
        <w:spacing w:line="560" w:lineRule="exact"/>
        <w:textAlignment w:val="auto"/>
        <w:rPr>
          <w:rFonts w:hint="eastAsia" w:ascii="仿宋" w:hAnsi="仿宋" w:eastAsia="仿宋" w:cs="仿宋"/>
          <w:b/>
          <w:bCs/>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"_Toc5092" </w:instrText>
      </w:r>
      <w:r>
        <w:rPr>
          <w:rFonts w:hint="eastAsia" w:ascii="仿宋" w:hAnsi="仿宋" w:eastAsia="仿宋" w:cs="仿宋"/>
          <w:highlight w:val="none"/>
        </w:rPr>
        <w:fldChar w:fldCharType="separate"/>
      </w:r>
      <w:r>
        <w:rPr>
          <w:rFonts w:hint="eastAsia" w:ascii="仿宋" w:hAnsi="仿宋" w:eastAsia="仿宋" w:cs="仿宋"/>
          <w:b/>
          <w:bCs/>
          <w:sz w:val="24"/>
          <w:highlight w:val="none"/>
        </w:rPr>
        <w:t>第四节 技术文件格式</w:t>
      </w:r>
      <w:r>
        <w:rPr>
          <w:rFonts w:hint="eastAsia" w:ascii="仿宋" w:hAnsi="仿宋" w:eastAsia="仿宋" w:cs="仿宋"/>
          <w:b/>
          <w:bCs/>
          <w:sz w:val="24"/>
          <w:highlight w:val="none"/>
        </w:rPr>
        <w:tab/>
      </w: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 PAGEREF _Toc5092 \h </w:instrText>
      </w:r>
      <w:r>
        <w:rPr>
          <w:rFonts w:hint="eastAsia" w:ascii="仿宋" w:hAnsi="仿宋" w:eastAsia="仿宋" w:cs="仿宋"/>
          <w:b/>
          <w:bCs/>
          <w:sz w:val="24"/>
          <w:highlight w:val="none"/>
        </w:rPr>
        <w:fldChar w:fldCharType="separate"/>
      </w:r>
      <w:r>
        <w:rPr>
          <w:rFonts w:hint="eastAsia" w:ascii="仿宋" w:hAnsi="仿宋" w:eastAsia="仿宋" w:cs="仿宋"/>
          <w:b/>
          <w:bCs/>
          <w:sz w:val="24"/>
          <w:highlight w:val="none"/>
        </w:rPr>
        <w:t>63</w:t>
      </w:r>
      <w:r>
        <w:rPr>
          <w:rFonts w:hint="eastAsia" w:ascii="仿宋" w:hAnsi="仿宋" w:eastAsia="仿宋" w:cs="仿宋"/>
          <w:b/>
          <w:bCs/>
          <w:sz w:val="24"/>
          <w:highlight w:val="none"/>
        </w:rPr>
        <w:fldChar w:fldCharType="end"/>
      </w:r>
      <w:r>
        <w:rPr>
          <w:rFonts w:hint="eastAsia" w:ascii="仿宋" w:hAnsi="仿宋" w:eastAsia="仿宋" w:cs="仿宋"/>
          <w:b/>
          <w:bCs/>
          <w:sz w:val="24"/>
          <w:highlight w:val="none"/>
        </w:rPr>
        <w:fldChar w:fldCharType="end"/>
      </w:r>
    </w:p>
    <w:p w14:paraId="40BE2AA5">
      <w:pPr>
        <w:pStyle w:val="25"/>
        <w:keepNext w:val="0"/>
        <w:keepLines w:val="0"/>
        <w:pageBreakBefore w:val="0"/>
        <w:widowControl w:val="0"/>
        <w:tabs>
          <w:tab w:val="right" w:leader="dot" w:pos="9297"/>
          <w:tab w:val="clear" w:pos="8296"/>
        </w:tabs>
        <w:kinsoku/>
        <w:wordWrap/>
        <w:overflowPunct/>
        <w:topLinePunct w:val="0"/>
        <w:autoSpaceDE/>
        <w:autoSpaceDN/>
        <w:bidi w:val="0"/>
        <w:adjustRightInd/>
        <w:snapToGrid/>
        <w:spacing w:line="560" w:lineRule="exact"/>
        <w:textAlignment w:val="auto"/>
        <w:rPr>
          <w:rFonts w:hint="eastAsia" w:ascii="仿宋" w:hAnsi="仿宋" w:eastAsia="仿宋" w:cs="仿宋"/>
          <w:b/>
          <w:bCs/>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"_Toc2947" </w:instrText>
      </w:r>
      <w:r>
        <w:rPr>
          <w:rFonts w:hint="eastAsia" w:ascii="仿宋" w:hAnsi="仿宋" w:eastAsia="仿宋" w:cs="仿宋"/>
          <w:highlight w:val="none"/>
        </w:rPr>
        <w:fldChar w:fldCharType="separate"/>
      </w:r>
      <w:r>
        <w:rPr>
          <w:rFonts w:hint="eastAsia" w:ascii="仿宋" w:hAnsi="仿宋" w:eastAsia="仿宋" w:cs="仿宋"/>
          <w:b/>
          <w:bCs/>
          <w:sz w:val="24"/>
          <w:highlight w:val="none"/>
        </w:rPr>
        <w:t>第五节 报价文件格式</w:t>
      </w:r>
      <w:r>
        <w:rPr>
          <w:rFonts w:hint="eastAsia" w:ascii="仿宋" w:hAnsi="仿宋" w:eastAsia="仿宋" w:cs="仿宋"/>
          <w:b/>
          <w:bCs/>
          <w:sz w:val="24"/>
          <w:highlight w:val="none"/>
        </w:rPr>
        <w:tab/>
      </w: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 PAGEREF _Toc2947 \h </w:instrText>
      </w:r>
      <w:r>
        <w:rPr>
          <w:rFonts w:hint="eastAsia" w:ascii="仿宋" w:hAnsi="仿宋" w:eastAsia="仿宋" w:cs="仿宋"/>
          <w:b/>
          <w:bCs/>
          <w:sz w:val="24"/>
          <w:highlight w:val="none"/>
        </w:rPr>
        <w:fldChar w:fldCharType="separate"/>
      </w:r>
      <w:r>
        <w:rPr>
          <w:rFonts w:hint="eastAsia" w:ascii="仿宋" w:hAnsi="仿宋" w:eastAsia="仿宋" w:cs="仿宋"/>
          <w:b/>
          <w:bCs/>
          <w:sz w:val="24"/>
          <w:highlight w:val="none"/>
        </w:rPr>
        <w:t>67</w:t>
      </w:r>
      <w:r>
        <w:rPr>
          <w:rFonts w:hint="eastAsia" w:ascii="仿宋" w:hAnsi="仿宋" w:eastAsia="仿宋" w:cs="仿宋"/>
          <w:b/>
          <w:bCs/>
          <w:sz w:val="24"/>
          <w:highlight w:val="none"/>
        </w:rPr>
        <w:fldChar w:fldCharType="end"/>
      </w:r>
      <w:r>
        <w:rPr>
          <w:rFonts w:hint="eastAsia" w:ascii="仿宋" w:hAnsi="仿宋" w:eastAsia="仿宋" w:cs="仿宋"/>
          <w:b/>
          <w:bCs/>
          <w:sz w:val="24"/>
          <w:highlight w:val="none"/>
        </w:rPr>
        <w:fldChar w:fldCharType="end"/>
      </w:r>
    </w:p>
    <w:p w14:paraId="4BF27CFB">
      <w:pPr>
        <w:pStyle w:val="25"/>
        <w:keepNext w:val="0"/>
        <w:keepLines w:val="0"/>
        <w:pageBreakBefore w:val="0"/>
        <w:widowControl w:val="0"/>
        <w:tabs>
          <w:tab w:val="right" w:leader="dot" w:pos="9297"/>
          <w:tab w:val="clear" w:pos="8296"/>
        </w:tabs>
        <w:kinsoku/>
        <w:wordWrap/>
        <w:overflowPunct/>
        <w:topLinePunct w:val="0"/>
        <w:autoSpaceDE/>
        <w:autoSpaceDN/>
        <w:bidi w:val="0"/>
        <w:adjustRightInd/>
        <w:snapToGrid/>
        <w:spacing w:line="560" w:lineRule="exact"/>
        <w:textAlignment w:val="auto"/>
        <w:rPr>
          <w:rFonts w:hint="eastAsia" w:ascii="仿宋" w:hAnsi="仿宋" w:eastAsia="仿宋" w:cs="仿宋"/>
          <w:b/>
          <w:bCs/>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"_Toc28900" </w:instrText>
      </w:r>
      <w:r>
        <w:rPr>
          <w:rFonts w:hint="eastAsia" w:ascii="仿宋" w:hAnsi="仿宋" w:eastAsia="仿宋" w:cs="仿宋"/>
          <w:highlight w:val="none"/>
        </w:rPr>
        <w:fldChar w:fldCharType="separate"/>
      </w:r>
      <w:r>
        <w:rPr>
          <w:rFonts w:hint="eastAsia" w:ascii="仿宋" w:hAnsi="仿宋" w:eastAsia="仿宋" w:cs="仿宋"/>
          <w:b/>
          <w:bCs/>
          <w:sz w:val="24"/>
          <w:highlight w:val="none"/>
        </w:rPr>
        <w:t>第六节 其他文书、文件格式</w:t>
      </w:r>
      <w:r>
        <w:rPr>
          <w:rFonts w:hint="eastAsia" w:ascii="仿宋" w:hAnsi="仿宋" w:eastAsia="仿宋" w:cs="仿宋"/>
          <w:b/>
          <w:bCs/>
          <w:sz w:val="24"/>
          <w:highlight w:val="none"/>
        </w:rPr>
        <w:tab/>
      </w: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 PAGEREF _Toc28900 \h </w:instrText>
      </w:r>
      <w:r>
        <w:rPr>
          <w:rFonts w:hint="eastAsia" w:ascii="仿宋" w:hAnsi="仿宋" w:eastAsia="仿宋" w:cs="仿宋"/>
          <w:b/>
          <w:bCs/>
          <w:sz w:val="24"/>
          <w:highlight w:val="none"/>
        </w:rPr>
        <w:fldChar w:fldCharType="separate"/>
      </w:r>
      <w:r>
        <w:rPr>
          <w:rFonts w:hint="eastAsia" w:ascii="仿宋" w:hAnsi="仿宋" w:eastAsia="仿宋" w:cs="仿宋"/>
          <w:b/>
          <w:bCs/>
          <w:sz w:val="24"/>
          <w:highlight w:val="none"/>
        </w:rPr>
        <w:t>73</w:t>
      </w:r>
      <w:r>
        <w:rPr>
          <w:rFonts w:hint="eastAsia" w:ascii="仿宋" w:hAnsi="仿宋" w:eastAsia="仿宋" w:cs="仿宋"/>
          <w:b/>
          <w:bCs/>
          <w:sz w:val="24"/>
          <w:highlight w:val="none"/>
        </w:rPr>
        <w:fldChar w:fldCharType="end"/>
      </w:r>
      <w:r>
        <w:rPr>
          <w:rFonts w:hint="eastAsia" w:ascii="仿宋" w:hAnsi="仿宋" w:eastAsia="仿宋" w:cs="仿宋"/>
          <w:b/>
          <w:bCs/>
          <w:sz w:val="24"/>
          <w:highlight w:val="none"/>
        </w:rPr>
        <w:fldChar w:fldCharType="end"/>
      </w:r>
    </w:p>
    <w:p w14:paraId="66417B49">
      <w:pPr>
        <w:pStyle w:val="23"/>
        <w:keepNext w:val="0"/>
        <w:keepLines w:val="0"/>
        <w:pageBreakBefore w:val="0"/>
        <w:widowControl w:val="0"/>
        <w:tabs>
          <w:tab w:val="right" w:leader="dot" w:pos="9297"/>
        </w:tabs>
        <w:kinsoku/>
        <w:wordWrap/>
        <w:overflowPunct/>
        <w:topLinePunct w:val="0"/>
        <w:autoSpaceDE/>
        <w:autoSpaceDN/>
        <w:bidi w:val="0"/>
        <w:adjustRightInd/>
        <w:snapToGrid/>
        <w:spacing w:line="560" w:lineRule="exact"/>
        <w:textAlignment w:val="auto"/>
        <w:rPr>
          <w:rFonts w:hint="eastAsia" w:ascii="仿宋" w:hAnsi="仿宋" w:eastAsia="仿宋" w:cs="仿宋"/>
          <w:b/>
          <w:bCs/>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"_Toc24183" </w:instrText>
      </w:r>
      <w:r>
        <w:rPr>
          <w:rFonts w:hint="eastAsia" w:ascii="仿宋" w:hAnsi="仿宋" w:eastAsia="仿宋" w:cs="仿宋"/>
          <w:highlight w:val="none"/>
        </w:rPr>
        <w:fldChar w:fldCharType="separate"/>
      </w:r>
      <w:r>
        <w:rPr>
          <w:rFonts w:hint="eastAsia" w:ascii="仿宋" w:hAnsi="仿宋" w:eastAsia="仿宋" w:cs="仿宋"/>
          <w:b/>
          <w:bCs/>
          <w:kern w:val="44"/>
          <w:sz w:val="24"/>
          <w:highlight w:val="none"/>
        </w:rPr>
        <w:t>第六章 合同文本</w:t>
      </w:r>
      <w:r>
        <w:rPr>
          <w:rFonts w:hint="eastAsia" w:ascii="仿宋" w:hAnsi="仿宋" w:eastAsia="仿宋" w:cs="仿宋"/>
          <w:b/>
          <w:bCs/>
          <w:sz w:val="24"/>
          <w:highlight w:val="none"/>
        </w:rPr>
        <w:tab/>
      </w: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 PAGEREF _Toc24183 \h </w:instrText>
      </w:r>
      <w:r>
        <w:rPr>
          <w:rFonts w:hint="eastAsia" w:ascii="仿宋" w:hAnsi="仿宋" w:eastAsia="仿宋" w:cs="仿宋"/>
          <w:b/>
          <w:bCs/>
          <w:sz w:val="24"/>
          <w:highlight w:val="none"/>
        </w:rPr>
        <w:fldChar w:fldCharType="separate"/>
      </w:r>
      <w:r>
        <w:rPr>
          <w:rFonts w:hint="eastAsia" w:ascii="仿宋" w:hAnsi="仿宋" w:eastAsia="仿宋" w:cs="仿宋"/>
          <w:b/>
          <w:bCs/>
          <w:sz w:val="24"/>
          <w:highlight w:val="none"/>
        </w:rPr>
        <w:t>75</w:t>
      </w:r>
      <w:r>
        <w:rPr>
          <w:rFonts w:hint="eastAsia" w:ascii="仿宋" w:hAnsi="仿宋" w:eastAsia="仿宋" w:cs="仿宋"/>
          <w:b/>
          <w:bCs/>
          <w:sz w:val="24"/>
          <w:highlight w:val="none"/>
        </w:rPr>
        <w:fldChar w:fldCharType="end"/>
      </w:r>
      <w:r>
        <w:rPr>
          <w:rFonts w:hint="eastAsia" w:ascii="仿宋" w:hAnsi="仿宋" w:eastAsia="仿宋" w:cs="仿宋"/>
          <w:b/>
          <w:bCs/>
          <w:sz w:val="24"/>
          <w:highlight w:val="none"/>
        </w:rPr>
        <w:fldChar w:fldCharType="end"/>
      </w:r>
    </w:p>
    <w:p w14:paraId="39CDB9C7">
      <w:pPr>
        <w:pStyle w:val="25"/>
        <w:keepNext w:val="0"/>
        <w:keepLines w:val="0"/>
        <w:pageBreakBefore w:val="0"/>
        <w:widowControl w:val="0"/>
        <w:tabs>
          <w:tab w:val="right" w:leader="dot" w:pos="9297"/>
          <w:tab w:val="clear" w:pos="8296"/>
        </w:tabs>
        <w:kinsoku/>
        <w:wordWrap/>
        <w:overflowPunct/>
        <w:topLinePunct w:val="0"/>
        <w:autoSpaceDE/>
        <w:autoSpaceDN/>
        <w:bidi w:val="0"/>
        <w:adjustRightInd/>
        <w:snapToGrid/>
        <w:spacing w:line="560" w:lineRule="exact"/>
        <w:textAlignment w:val="auto"/>
        <w:rPr>
          <w:rFonts w:hint="eastAsia" w:ascii="仿宋" w:hAnsi="仿宋" w:eastAsia="仿宋" w:cs="仿宋"/>
          <w:b/>
          <w:bCs/>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"_Toc30027" </w:instrText>
      </w:r>
      <w:r>
        <w:rPr>
          <w:rFonts w:hint="eastAsia" w:ascii="仿宋" w:hAnsi="仿宋" w:eastAsia="仿宋" w:cs="仿宋"/>
          <w:highlight w:val="none"/>
        </w:rPr>
        <w:fldChar w:fldCharType="separate"/>
      </w:r>
      <w:r>
        <w:rPr>
          <w:rFonts w:hint="eastAsia" w:ascii="仿宋" w:hAnsi="仿宋" w:eastAsia="仿宋" w:cs="仿宋"/>
          <w:b/>
          <w:bCs/>
          <w:sz w:val="24"/>
          <w:highlight w:val="none"/>
        </w:rPr>
        <w:t>第一部分 合同书</w:t>
      </w:r>
      <w:r>
        <w:rPr>
          <w:rFonts w:hint="eastAsia" w:ascii="仿宋" w:hAnsi="仿宋" w:eastAsia="仿宋" w:cs="仿宋"/>
          <w:b/>
          <w:bCs/>
          <w:sz w:val="24"/>
          <w:highlight w:val="none"/>
        </w:rPr>
        <w:tab/>
      </w: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 PAGEREF _Toc30027 \h </w:instrText>
      </w:r>
      <w:r>
        <w:rPr>
          <w:rFonts w:hint="eastAsia" w:ascii="仿宋" w:hAnsi="仿宋" w:eastAsia="仿宋" w:cs="仿宋"/>
          <w:b/>
          <w:bCs/>
          <w:sz w:val="24"/>
          <w:highlight w:val="none"/>
        </w:rPr>
        <w:fldChar w:fldCharType="separate"/>
      </w:r>
      <w:r>
        <w:rPr>
          <w:rFonts w:hint="eastAsia" w:ascii="仿宋" w:hAnsi="仿宋" w:eastAsia="仿宋" w:cs="仿宋"/>
          <w:b/>
          <w:bCs/>
          <w:sz w:val="24"/>
          <w:highlight w:val="none"/>
        </w:rPr>
        <w:t>78</w:t>
      </w:r>
      <w:r>
        <w:rPr>
          <w:rFonts w:hint="eastAsia" w:ascii="仿宋" w:hAnsi="仿宋" w:eastAsia="仿宋" w:cs="仿宋"/>
          <w:b/>
          <w:bCs/>
          <w:sz w:val="24"/>
          <w:highlight w:val="none"/>
        </w:rPr>
        <w:fldChar w:fldCharType="end"/>
      </w:r>
      <w:r>
        <w:rPr>
          <w:rFonts w:hint="eastAsia" w:ascii="仿宋" w:hAnsi="仿宋" w:eastAsia="仿宋" w:cs="仿宋"/>
          <w:b/>
          <w:bCs/>
          <w:sz w:val="24"/>
          <w:highlight w:val="none"/>
        </w:rPr>
        <w:fldChar w:fldCharType="end"/>
      </w:r>
    </w:p>
    <w:p w14:paraId="7957675F">
      <w:pPr>
        <w:pStyle w:val="25"/>
        <w:keepNext w:val="0"/>
        <w:keepLines w:val="0"/>
        <w:pageBreakBefore w:val="0"/>
        <w:widowControl w:val="0"/>
        <w:tabs>
          <w:tab w:val="right" w:leader="dot" w:pos="9297"/>
          <w:tab w:val="clear" w:pos="8296"/>
        </w:tabs>
        <w:kinsoku/>
        <w:wordWrap/>
        <w:overflowPunct/>
        <w:topLinePunct w:val="0"/>
        <w:autoSpaceDE/>
        <w:autoSpaceDN/>
        <w:bidi w:val="0"/>
        <w:adjustRightInd/>
        <w:snapToGrid/>
        <w:spacing w:line="560" w:lineRule="exact"/>
        <w:textAlignment w:val="auto"/>
        <w:rPr>
          <w:rFonts w:hint="eastAsia" w:ascii="仿宋" w:hAnsi="仿宋" w:eastAsia="仿宋" w:cs="仿宋"/>
          <w:b/>
          <w:bCs/>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"_Toc10263" </w:instrText>
      </w:r>
      <w:r>
        <w:rPr>
          <w:rFonts w:hint="eastAsia" w:ascii="仿宋" w:hAnsi="仿宋" w:eastAsia="仿宋" w:cs="仿宋"/>
          <w:highlight w:val="none"/>
        </w:rPr>
        <w:fldChar w:fldCharType="separate"/>
      </w:r>
      <w:r>
        <w:rPr>
          <w:rFonts w:hint="eastAsia" w:ascii="仿宋" w:hAnsi="仿宋" w:eastAsia="仿宋" w:cs="仿宋"/>
          <w:b/>
          <w:bCs/>
          <w:sz w:val="24"/>
          <w:highlight w:val="none"/>
        </w:rPr>
        <w:t>第二部分 合同一般条款</w:t>
      </w:r>
      <w:r>
        <w:rPr>
          <w:rFonts w:hint="eastAsia" w:ascii="仿宋" w:hAnsi="仿宋" w:eastAsia="仿宋" w:cs="仿宋"/>
          <w:b/>
          <w:bCs/>
          <w:sz w:val="24"/>
          <w:highlight w:val="none"/>
        </w:rPr>
        <w:tab/>
      </w: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 PAGEREF _Toc10263 \h </w:instrText>
      </w:r>
      <w:r>
        <w:rPr>
          <w:rFonts w:hint="eastAsia" w:ascii="仿宋" w:hAnsi="仿宋" w:eastAsia="仿宋" w:cs="仿宋"/>
          <w:b/>
          <w:bCs/>
          <w:sz w:val="24"/>
          <w:highlight w:val="none"/>
        </w:rPr>
        <w:fldChar w:fldCharType="separate"/>
      </w:r>
      <w:r>
        <w:rPr>
          <w:rFonts w:hint="eastAsia" w:ascii="仿宋" w:hAnsi="仿宋" w:eastAsia="仿宋" w:cs="仿宋"/>
          <w:b/>
          <w:bCs/>
          <w:sz w:val="24"/>
          <w:highlight w:val="none"/>
        </w:rPr>
        <w:t>83</w:t>
      </w:r>
      <w:r>
        <w:rPr>
          <w:rFonts w:hint="eastAsia" w:ascii="仿宋" w:hAnsi="仿宋" w:eastAsia="仿宋" w:cs="仿宋"/>
          <w:b/>
          <w:bCs/>
          <w:sz w:val="24"/>
          <w:highlight w:val="none"/>
        </w:rPr>
        <w:fldChar w:fldCharType="end"/>
      </w:r>
      <w:r>
        <w:rPr>
          <w:rFonts w:hint="eastAsia" w:ascii="仿宋" w:hAnsi="仿宋" w:eastAsia="仿宋" w:cs="仿宋"/>
          <w:b/>
          <w:bCs/>
          <w:sz w:val="24"/>
          <w:highlight w:val="none"/>
        </w:rPr>
        <w:fldChar w:fldCharType="end"/>
      </w:r>
    </w:p>
    <w:p w14:paraId="38EF23A4">
      <w:pPr>
        <w:pStyle w:val="25"/>
        <w:keepNext w:val="0"/>
        <w:keepLines w:val="0"/>
        <w:pageBreakBefore w:val="0"/>
        <w:widowControl w:val="0"/>
        <w:tabs>
          <w:tab w:val="right" w:leader="dot" w:pos="9297"/>
          <w:tab w:val="clear" w:pos="8296"/>
        </w:tabs>
        <w:kinsoku/>
        <w:wordWrap/>
        <w:overflowPunct/>
        <w:topLinePunct w:val="0"/>
        <w:autoSpaceDE/>
        <w:autoSpaceDN/>
        <w:bidi w:val="0"/>
        <w:adjustRightInd/>
        <w:snapToGrid/>
        <w:spacing w:line="560" w:lineRule="exact"/>
        <w:textAlignment w:val="auto"/>
        <w:rPr>
          <w:rFonts w:hint="eastAsia" w:ascii="仿宋" w:hAnsi="仿宋" w:eastAsia="仿宋" w:cs="仿宋"/>
          <w:b/>
          <w:bCs/>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"_Toc10247" </w:instrText>
      </w:r>
      <w:r>
        <w:rPr>
          <w:rFonts w:hint="eastAsia" w:ascii="仿宋" w:hAnsi="仿宋" w:eastAsia="仿宋" w:cs="仿宋"/>
          <w:highlight w:val="none"/>
        </w:rPr>
        <w:fldChar w:fldCharType="separate"/>
      </w:r>
      <w:r>
        <w:rPr>
          <w:rFonts w:hint="eastAsia" w:ascii="仿宋" w:hAnsi="仿宋" w:eastAsia="仿宋" w:cs="仿宋"/>
          <w:b/>
          <w:bCs/>
          <w:sz w:val="24"/>
          <w:highlight w:val="none"/>
        </w:rPr>
        <w:t>第三部分 合同专用条款</w:t>
      </w:r>
      <w:r>
        <w:rPr>
          <w:rFonts w:hint="eastAsia" w:ascii="仿宋" w:hAnsi="仿宋" w:eastAsia="仿宋" w:cs="仿宋"/>
          <w:b/>
          <w:bCs/>
          <w:sz w:val="24"/>
          <w:highlight w:val="none"/>
        </w:rPr>
        <w:tab/>
      </w: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 PAGEREF _Toc10247 \h </w:instrText>
      </w:r>
      <w:r>
        <w:rPr>
          <w:rFonts w:hint="eastAsia" w:ascii="仿宋" w:hAnsi="仿宋" w:eastAsia="仿宋" w:cs="仿宋"/>
          <w:b/>
          <w:bCs/>
          <w:sz w:val="24"/>
          <w:highlight w:val="none"/>
        </w:rPr>
        <w:fldChar w:fldCharType="separate"/>
      </w:r>
      <w:r>
        <w:rPr>
          <w:rFonts w:hint="eastAsia" w:ascii="仿宋" w:hAnsi="仿宋" w:eastAsia="仿宋" w:cs="仿宋"/>
          <w:b/>
          <w:bCs/>
          <w:sz w:val="24"/>
          <w:highlight w:val="none"/>
        </w:rPr>
        <w:t>88</w:t>
      </w:r>
      <w:r>
        <w:rPr>
          <w:rFonts w:hint="eastAsia" w:ascii="仿宋" w:hAnsi="仿宋" w:eastAsia="仿宋" w:cs="仿宋"/>
          <w:b/>
          <w:bCs/>
          <w:sz w:val="24"/>
          <w:highlight w:val="none"/>
        </w:rPr>
        <w:fldChar w:fldCharType="end"/>
      </w:r>
      <w:r>
        <w:rPr>
          <w:rFonts w:hint="eastAsia" w:ascii="仿宋" w:hAnsi="仿宋" w:eastAsia="仿宋" w:cs="仿宋"/>
          <w:b/>
          <w:bCs/>
          <w:sz w:val="24"/>
          <w:highlight w:val="none"/>
        </w:rPr>
        <w:fldChar w:fldCharType="end"/>
      </w:r>
    </w:p>
    <w:p w14:paraId="69A5121D">
      <w:pPr>
        <w:pStyle w:val="23"/>
        <w:keepNext w:val="0"/>
        <w:keepLines w:val="0"/>
        <w:pageBreakBefore w:val="0"/>
        <w:widowControl w:val="0"/>
        <w:tabs>
          <w:tab w:val="right" w:leader="dot" w:pos="9297"/>
        </w:tabs>
        <w:kinsoku/>
        <w:wordWrap/>
        <w:overflowPunct/>
        <w:topLinePunct w:val="0"/>
        <w:autoSpaceDE/>
        <w:autoSpaceDN/>
        <w:bidi w:val="0"/>
        <w:adjustRightInd/>
        <w:snapToGrid/>
        <w:spacing w:line="560" w:lineRule="exact"/>
        <w:textAlignment w:val="auto"/>
        <w:rPr>
          <w:rFonts w:hint="eastAsia" w:ascii="仿宋" w:hAnsi="仿宋" w:eastAsia="仿宋" w:cs="仿宋"/>
          <w:b/>
          <w:bCs/>
          <w:sz w:val="24"/>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 HYPERLINK \l "_Toc9390" </w:instrText>
      </w:r>
      <w:r>
        <w:rPr>
          <w:rFonts w:hint="eastAsia" w:ascii="仿宋" w:hAnsi="仿宋" w:eastAsia="仿宋" w:cs="仿宋"/>
          <w:highlight w:val="none"/>
        </w:rPr>
        <w:fldChar w:fldCharType="separate"/>
      </w:r>
      <w:r>
        <w:rPr>
          <w:rFonts w:hint="eastAsia" w:ascii="仿宋" w:hAnsi="仿宋" w:eastAsia="仿宋" w:cs="仿宋"/>
          <w:b/>
          <w:bCs/>
          <w:kern w:val="44"/>
          <w:sz w:val="24"/>
          <w:highlight w:val="none"/>
        </w:rPr>
        <w:t>第七章 质疑、投诉材料格式</w:t>
      </w:r>
      <w:r>
        <w:rPr>
          <w:rFonts w:hint="eastAsia" w:ascii="仿宋" w:hAnsi="仿宋" w:eastAsia="仿宋" w:cs="仿宋"/>
          <w:b/>
          <w:bCs/>
          <w:sz w:val="24"/>
          <w:highlight w:val="none"/>
        </w:rPr>
        <w:tab/>
      </w:r>
      <w:r>
        <w:rPr>
          <w:rFonts w:hint="eastAsia" w:ascii="仿宋" w:hAnsi="仿宋" w:eastAsia="仿宋" w:cs="仿宋"/>
          <w:b/>
          <w:bCs/>
          <w:sz w:val="24"/>
          <w:highlight w:val="none"/>
        </w:rPr>
        <w:fldChar w:fldCharType="begin"/>
      </w:r>
      <w:r>
        <w:rPr>
          <w:rFonts w:hint="eastAsia" w:ascii="仿宋" w:hAnsi="仿宋" w:eastAsia="仿宋" w:cs="仿宋"/>
          <w:b/>
          <w:bCs/>
          <w:sz w:val="24"/>
          <w:highlight w:val="none"/>
        </w:rPr>
        <w:instrText xml:space="preserve"> PAGEREF _Toc9390 \h </w:instrText>
      </w:r>
      <w:r>
        <w:rPr>
          <w:rFonts w:hint="eastAsia" w:ascii="仿宋" w:hAnsi="仿宋" w:eastAsia="仿宋" w:cs="仿宋"/>
          <w:b/>
          <w:bCs/>
          <w:sz w:val="24"/>
          <w:highlight w:val="none"/>
        </w:rPr>
        <w:fldChar w:fldCharType="separate"/>
      </w:r>
      <w:r>
        <w:rPr>
          <w:rFonts w:hint="eastAsia" w:ascii="仿宋" w:hAnsi="仿宋" w:eastAsia="仿宋" w:cs="仿宋"/>
          <w:b/>
          <w:bCs/>
          <w:sz w:val="24"/>
          <w:highlight w:val="none"/>
        </w:rPr>
        <w:t>92</w:t>
      </w:r>
      <w:r>
        <w:rPr>
          <w:rFonts w:hint="eastAsia" w:ascii="仿宋" w:hAnsi="仿宋" w:eastAsia="仿宋" w:cs="仿宋"/>
          <w:b/>
          <w:bCs/>
          <w:sz w:val="24"/>
          <w:highlight w:val="none"/>
        </w:rPr>
        <w:fldChar w:fldCharType="end"/>
      </w:r>
      <w:r>
        <w:rPr>
          <w:rFonts w:hint="eastAsia" w:ascii="仿宋" w:hAnsi="仿宋" w:eastAsia="仿宋" w:cs="仿宋"/>
          <w:b/>
          <w:bCs/>
          <w:sz w:val="24"/>
          <w:highlight w:val="none"/>
        </w:rPr>
        <w:fldChar w:fldCharType="end"/>
      </w:r>
    </w:p>
    <w:p w14:paraId="033EAE28">
      <w:pPr>
        <w:pStyle w:val="25"/>
        <w:keepNext w:val="0"/>
        <w:keepLines w:val="0"/>
        <w:pageBreakBefore w:val="0"/>
        <w:widowControl w:val="0"/>
        <w:tabs>
          <w:tab w:val="right" w:leader="dot" w:pos="9297"/>
          <w:tab w:val="clear" w:pos="8296"/>
        </w:tabs>
        <w:kinsoku/>
        <w:wordWrap/>
        <w:overflowPunct/>
        <w:topLinePunct w:val="0"/>
        <w:autoSpaceDE/>
        <w:autoSpaceDN/>
        <w:bidi w:val="0"/>
        <w:adjustRightInd/>
        <w:snapToGrid/>
        <w:spacing w:line="560" w:lineRule="exact"/>
        <w:textAlignment w:val="auto"/>
        <w:rPr>
          <w:rFonts w:hint="eastAsia" w:ascii="仿宋" w:hAnsi="仿宋" w:eastAsia="仿宋" w:cs="仿宋"/>
          <w:b/>
          <w:szCs w:val="28"/>
          <w:highlight w:val="none"/>
        </w:rPr>
      </w:pPr>
      <w:r>
        <w:rPr>
          <w:rFonts w:hint="eastAsia" w:ascii="仿宋" w:hAnsi="仿宋" w:eastAsia="仿宋" w:cs="仿宋"/>
          <w:b/>
          <w:bCs/>
          <w:sz w:val="24"/>
          <w:highlight w:val="none"/>
        </w:rPr>
        <w:fldChar w:fldCharType="end"/>
      </w:r>
    </w:p>
    <w:p w14:paraId="7BB663CB">
      <w:pPr>
        <w:pStyle w:val="2"/>
        <w:rPr>
          <w:rFonts w:hint="eastAsia" w:ascii="仿宋" w:hAnsi="仿宋" w:eastAsia="仿宋" w:cs="仿宋"/>
          <w:highlight w:val="none"/>
        </w:rPr>
      </w:pPr>
    </w:p>
    <w:p w14:paraId="1BFDC907">
      <w:pPr>
        <w:tabs>
          <w:tab w:val="left" w:pos="7470"/>
        </w:tabs>
        <w:spacing w:line="400" w:lineRule="exact"/>
        <w:jc w:val="left"/>
        <w:rPr>
          <w:rFonts w:hint="eastAsia" w:ascii="仿宋" w:hAnsi="仿宋" w:eastAsia="仿宋" w:cs="仿宋"/>
          <w:b/>
          <w:sz w:val="32"/>
          <w:szCs w:val="32"/>
          <w:highlight w:val="none"/>
        </w:rPr>
      </w:pPr>
      <w:r>
        <w:rPr>
          <w:rFonts w:hint="eastAsia" w:ascii="仿宋" w:hAnsi="仿宋" w:eastAsia="仿宋" w:cs="仿宋"/>
          <w:b/>
          <w:sz w:val="32"/>
          <w:szCs w:val="32"/>
          <w:highlight w:val="none"/>
        </w:rPr>
        <w:tab/>
      </w:r>
    </w:p>
    <w:p w14:paraId="26FD0400">
      <w:pPr>
        <w:spacing w:line="400" w:lineRule="exact"/>
        <w:rPr>
          <w:rFonts w:hint="eastAsia" w:ascii="仿宋" w:hAnsi="仿宋" w:eastAsia="仿宋" w:cs="仿宋"/>
          <w:b/>
          <w:sz w:val="32"/>
          <w:szCs w:val="32"/>
          <w:highlight w:val="none"/>
        </w:rPr>
        <w:sectPr>
          <w:headerReference r:id="rId6" w:type="first"/>
          <w:footerReference r:id="rId8" w:type="first"/>
          <w:headerReference r:id="rId5" w:type="default"/>
          <w:footerReference r:id="rId7" w:type="default"/>
          <w:pgSz w:w="11905" w:h="16838"/>
          <w:pgMar w:top="1304" w:right="1304" w:bottom="1304" w:left="1304" w:header="720" w:footer="720" w:gutter="0"/>
          <w:pgNumType w:start="0"/>
          <w:cols w:space="720" w:num="1"/>
          <w:docGrid w:type="lines" w:linePitch="339" w:charSpace="0"/>
        </w:sectPr>
      </w:pPr>
    </w:p>
    <w:p w14:paraId="251F8502">
      <w:pPr>
        <w:keepNext/>
        <w:keepLines/>
        <w:spacing w:before="340" w:after="330" w:line="400" w:lineRule="exact"/>
        <w:jc w:val="center"/>
        <w:outlineLvl w:val="0"/>
        <w:rPr>
          <w:rFonts w:hint="eastAsia" w:ascii="仿宋" w:hAnsi="仿宋" w:eastAsia="仿宋" w:cs="仿宋"/>
          <w:b/>
          <w:bCs/>
          <w:kern w:val="44"/>
          <w:sz w:val="32"/>
          <w:szCs w:val="32"/>
          <w:highlight w:val="none"/>
        </w:rPr>
      </w:pPr>
      <w:bookmarkStart w:id="4" w:name="_Toc127516318"/>
      <w:bookmarkStart w:id="5" w:name="_Toc30710"/>
      <w:r>
        <w:rPr>
          <w:rFonts w:hint="eastAsia" w:ascii="仿宋" w:hAnsi="仿宋" w:eastAsia="仿宋" w:cs="仿宋"/>
          <w:b/>
          <w:bCs/>
          <w:kern w:val="44"/>
          <w:sz w:val="32"/>
          <w:szCs w:val="32"/>
          <w:highlight w:val="none"/>
        </w:rPr>
        <w:t>第一章 竞争性磋商公告</w:t>
      </w:r>
      <w:bookmarkEnd w:id="4"/>
      <w:bookmarkEnd w:id="5"/>
      <w:bookmarkStart w:id="6" w:name="_Toc44229878"/>
      <w:bookmarkStart w:id="7" w:name="_Toc35393798"/>
      <w:bookmarkStart w:id="8" w:name="_Toc35393629"/>
      <w:bookmarkStart w:id="9" w:name="_Toc28359089"/>
      <w:bookmarkStart w:id="10" w:name="_Toc28359012"/>
      <w:bookmarkStart w:id="11" w:name="_Toc28359004"/>
      <w:bookmarkStart w:id="12" w:name="_Toc35393623"/>
      <w:bookmarkStart w:id="13" w:name="_Toc35393792"/>
      <w:bookmarkStart w:id="14" w:name="_Toc28359081"/>
    </w:p>
    <w:tbl>
      <w:tblPr>
        <w:tblStyle w:val="32"/>
        <w:tblW w:w="9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60"/>
      </w:tblGrid>
      <w:tr w14:paraId="7AE6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jc w:val="center"/>
        </w:trPr>
        <w:tc>
          <w:tcPr>
            <w:tcW w:w="9560" w:type="dxa"/>
          </w:tcPr>
          <w:p w14:paraId="1E4F98B4">
            <w:pPr>
              <w:keepNext w:val="0"/>
              <w:keepLines w:val="0"/>
              <w:suppressLineNumbers w:val="0"/>
              <w:spacing w:before="0" w:beforeAutospacing="0" w:after="0" w:afterAutospacing="0"/>
              <w:ind w:left="0" w:right="0"/>
              <w:rPr>
                <w:rFonts w:hint="eastAsia" w:ascii="仿宋" w:hAnsi="仿宋" w:eastAsia="仿宋" w:cs="仿宋"/>
                <w:color w:val="auto"/>
                <w:highlight w:val="none"/>
              </w:rPr>
            </w:pPr>
            <w:r>
              <w:rPr>
                <w:rFonts w:hint="eastAsia" w:ascii="仿宋" w:hAnsi="仿宋" w:eastAsia="仿宋" w:cs="仿宋"/>
                <w:color w:val="auto"/>
                <w:highlight w:val="none"/>
              </w:rPr>
              <w:t>项目概况</w:t>
            </w:r>
          </w:p>
          <w:p w14:paraId="377EDF61">
            <w:pPr>
              <w:keepNext w:val="0"/>
              <w:keepLines w:val="0"/>
              <w:suppressLineNumbers w:val="0"/>
              <w:spacing w:before="0" w:beforeAutospacing="0" w:after="0" w:afterAutospacing="0" w:line="400" w:lineRule="exact"/>
              <w:ind w:left="0" w:right="0" w:firstLine="420" w:firstLineChars="200"/>
              <w:rPr>
                <w:rFonts w:hint="eastAsia" w:ascii="仿宋" w:hAnsi="仿宋" w:eastAsia="仿宋" w:cs="仿宋"/>
                <w:color w:val="auto"/>
                <w:highlight w:val="none"/>
              </w:rPr>
            </w:pPr>
            <w:r>
              <w:rPr>
                <w:rFonts w:hint="eastAsia" w:ascii="仿宋" w:hAnsi="仿宋" w:eastAsia="仿宋" w:cs="仿宋"/>
                <w:color w:val="auto"/>
                <w:highlight w:val="none"/>
                <w:u w:val="single"/>
                <w:lang w:eastAsia="zh-CN"/>
              </w:rPr>
              <w:t>南宁市公交企业客运成本规制补贴第三方专项审计项目</w:t>
            </w:r>
            <w:r>
              <w:rPr>
                <w:rFonts w:hint="eastAsia" w:ascii="仿宋" w:hAnsi="仿宋" w:eastAsia="仿宋" w:cs="仿宋"/>
                <w:color w:val="auto"/>
                <w:highlight w:val="none"/>
              </w:rPr>
              <w:t>项目的潜在供应商应在广西政府采购云平台（</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"https://www.zcygov.cn/）获取（下载）竞争性磋商文件，并于2023年"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https://www.gcy.zfcg.gxzf.gov.cn/）获取（下载）竞争性磋商文件，并于202</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年</w:t>
            </w:r>
            <w:r>
              <w:rPr>
                <w:rFonts w:hint="eastAsia" w:ascii="仿宋" w:hAnsi="仿宋" w:eastAsia="仿宋" w:cs="仿宋"/>
                <w:color w:val="auto"/>
                <w:highlight w:val="none"/>
              </w:rPr>
              <w:fldChar w:fldCharType="end"/>
            </w:r>
            <w:bookmarkStart w:id="15" w:name="PO_3000001868_PM015_2"/>
            <w:r>
              <w:rPr>
                <w:rFonts w:hint="eastAsia" w:ascii="仿宋" w:hAnsi="仿宋" w:eastAsia="仿宋" w:cs="仿宋"/>
                <w:color w:val="auto"/>
                <w:highlight w:val="none"/>
                <w:lang w:val="en-US" w:eastAsia="zh-CN"/>
              </w:rPr>
              <w:t>9月29日09</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lang w:eastAsia="zh-CN"/>
              </w:rPr>
              <w:t>0</w:t>
            </w:r>
            <w:r>
              <w:rPr>
                <w:rFonts w:hint="eastAsia" w:ascii="仿宋" w:hAnsi="仿宋" w:eastAsia="仿宋" w:cs="仿宋"/>
                <w:color w:val="auto"/>
                <w:highlight w:val="none"/>
              </w:rPr>
              <w:t>:00</w:t>
            </w:r>
            <w:bookmarkEnd w:id="15"/>
            <w:r>
              <w:rPr>
                <w:rFonts w:hint="eastAsia" w:ascii="仿宋" w:hAnsi="仿宋" w:eastAsia="仿宋" w:cs="仿宋"/>
                <w:color w:val="auto"/>
                <w:highlight w:val="none"/>
              </w:rPr>
              <w:t>（北京时间）前提交响应文件。</w:t>
            </w:r>
          </w:p>
        </w:tc>
      </w:tr>
      <w:bookmarkEnd w:id="6"/>
      <w:bookmarkEnd w:id="7"/>
      <w:bookmarkEnd w:id="8"/>
      <w:bookmarkEnd w:id="9"/>
      <w:bookmarkEnd w:id="10"/>
    </w:tbl>
    <w:p w14:paraId="0D82F3E5">
      <w:pPr>
        <w:spacing w:line="360" w:lineRule="auto"/>
        <w:outlineLvl w:val="1"/>
        <w:rPr>
          <w:rFonts w:hint="eastAsia" w:ascii="仿宋" w:hAnsi="仿宋" w:eastAsia="仿宋" w:cs="仿宋"/>
          <w:b/>
          <w:bCs/>
          <w:color w:val="auto"/>
          <w:szCs w:val="21"/>
          <w:highlight w:val="none"/>
        </w:rPr>
      </w:pPr>
      <w:bookmarkStart w:id="16" w:name="_Toc28359079"/>
      <w:bookmarkStart w:id="17" w:name="_Toc9172"/>
      <w:bookmarkStart w:id="18" w:name="_Toc35393621"/>
      <w:bookmarkStart w:id="19" w:name="_Toc24680"/>
      <w:bookmarkStart w:id="20" w:name="_Toc26191"/>
      <w:bookmarkStart w:id="21" w:name="_Toc28359002"/>
      <w:bookmarkStart w:id="22" w:name="_Toc35393790"/>
      <w:r>
        <w:rPr>
          <w:rFonts w:hint="eastAsia" w:ascii="仿宋" w:hAnsi="仿宋" w:eastAsia="仿宋" w:cs="仿宋"/>
          <w:b/>
          <w:bCs/>
          <w:color w:val="auto"/>
          <w:szCs w:val="21"/>
          <w:highlight w:val="none"/>
        </w:rPr>
        <w:t>一、项目基本情况</w:t>
      </w:r>
      <w:bookmarkEnd w:id="16"/>
      <w:bookmarkEnd w:id="17"/>
      <w:bookmarkEnd w:id="18"/>
      <w:bookmarkEnd w:id="19"/>
      <w:bookmarkEnd w:id="20"/>
      <w:bookmarkEnd w:id="21"/>
      <w:bookmarkEnd w:id="22"/>
    </w:p>
    <w:p w14:paraId="59925CED">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项目编号：</w:t>
      </w:r>
      <w:r>
        <w:rPr>
          <w:rFonts w:hint="eastAsia" w:ascii="仿宋" w:hAnsi="仿宋" w:eastAsia="仿宋" w:cs="仿宋"/>
          <w:color w:val="auto"/>
          <w:szCs w:val="21"/>
          <w:highlight w:val="none"/>
          <w:lang w:eastAsia="zh-CN"/>
        </w:rPr>
        <w:t>NNZC2026-C3-990390-GXZX</w:t>
      </w:r>
      <w:r>
        <w:rPr>
          <w:rFonts w:hint="eastAsia" w:ascii="仿宋" w:hAnsi="仿宋" w:eastAsia="仿宋" w:cs="仿宋"/>
          <w:color w:val="auto"/>
          <w:szCs w:val="21"/>
          <w:highlight w:val="none"/>
        </w:rPr>
        <w:t xml:space="preserve">  采购计划编号：</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"https://pay.zcygov.cn/purchaseplan_front/" \l "/plan/list/view?id=1000000000009848385" \t "_blank"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lang w:eastAsia="zh-CN"/>
        </w:rPr>
        <w:t>NNZC[2026]1670号-001</w:t>
      </w:r>
      <w:r>
        <w:rPr>
          <w:rFonts w:hint="eastAsia" w:ascii="仿宋" w:hAnsi="仿宋" w:eastAsia="仿宋" w:cs="仿宋"/>
          <w:color w:val="auto"/>
          <w:szCs w:val="21"/>
          <w:highlight w:val="none"/>
        </w:rPr>
        <w:fldChar w:fldCharType="end"/>
      </w:r>
    </w:p>
    <w:p w14:paraId="19A0D0F9">
      <w:pPr>
        <w:spacing w:line="400" w:lineRule="exact"/>
        <w:ind w:firstLine="42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lang w:eastAsia="zh-CN"/>
        </w:rPr>
        <w:t>南宁市公交企业客运成本规制补贴第三方专项审计项目</w:t>
      </w:r>
    </w:p>
    <w:p w14:paraId="27A37C95">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采购方式：竞争性磋商</w:t>
      </w:r>
    </w:p>
    <w:p w14:paraId="391E3D39">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预算金额：</w:t>
      </w:r>
      <w:r>
        <w:rPr>
          <w:rFonts w:hint="eastAsia" w:ascii="仿宋" w:hAnsi="仿宋" w:eastAsia="仿宋" w:cs="仿宋"/>
          <w:color w:val="auto"/>
          <w:szCs w:val="21"/>
          <w:highlight w:val="none"/>
          <w:lang w:eastAsia="zh-CN"/>
        </w:rPr>
        <w:t>450000.00</w:t>
      </w:r>
      <w:r>
        <w:rPr>
          <w:rFonts w:hint="eastAsia" w:ascii="仿宋" w:hAnsi="仿宋" w:eastAsia="仿宋" w:cs="仿宋"/>
          <w:color w:val="auto"/>
          <w:szCs w:val="21"/>
          <w:highlight w:val="none"/>
        </w:rPr>
        <w:t>元</w:t>
      </w:r>
      <w:bookmarkStart w:id="326" w:name="_GoBack"/>
      <w:bookmarkEnd w:id="326"/>
    </w:p>
    <w:p w14:paraId="504D7EEC">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最高限价</w:t>
      </w:r>
      <w:bookmarkStart w:id="23" w:name="_Hlk66782034"/>
      <w:r>
        <w:rPr>
          <w:rFonts w:hint="eastAsia" w:ascii="仿宋" w:hAnsi="仿宋" w:eastAsia="仿宋" w:cs="仿宋"/>
          <w:color w:val="auto"/>
          <w:szCs w:val="21"/>
          <w:highlight w:val="none"/>
        </w:rPr>
        <w:t>（如有）</w:t>
      </w:r>
      <w:bookmarkEnd w:id="23"/>
      <w:r>
        <w:rPr>
          <w:rFonts w:hint="eastAsia" w:ascii="仿宋" w:hAnsi="仿宋" w:eastAsia="仿宋" w:cs="仿宋"/>
          <w:color w:val="auto"/>
          <w:szCs w:val="21"/>
          <w:highlight w:val="none"/>
        </w:rPr>
        <w:t>：与采购预算金额一致</w:t>
      </w:r>
    </w:p>
    <w:p w14:paraId="2CEF2635">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采购需求：</w:t>
      </w:r>
    </w:p>
    <w:p w14:paraId="09B935DD">
      <w:pPr>
        <w:rPr>
          <w:rFonts w:hint="eastAsia" w:ascii="仿宋" w:hAnsi="仿宋" w:eastAsia="仿宋" w:cs="仿宋"/>
          <w:color w:val="auto"/>
          <w:highlight w:val="none"/>
        </w:rPr>
      </w:pPr>
    </w:p>
    <w:p w14:paraId="601127B9">
      <w:pPr>
        <w:spacing w:line="400" w:lineRule="exact"/>
        <w:ind w:firstLine="42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标项名称:</w:t>
      </w:r>
      <w:r>
        <w:rPr>
          <w:rFonts w:hint="eastAsia" w:ascii="仿宋" w:hAnsi="仿宋" w:eastAsia="仿宋" w:cs="仿宋"/>
          <w:color w:val="auto"/>
          <w:szCs w:val="21"/>
          <w:highlight w:val="none"/>
          <w:lang w:eastAsia="zh-CN"/>
        </w:rPr>
        <w:t>南宁市公交企业客运成本规制补贴第三方专项审计项目</w:t>
      </w:r>
    </w:p>
    <w:p w14:paraId="5B675782">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数量:不限</w:t>
      </w:r>
    </w:p>
    <w:p w14:paraId="4A12F4B8">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预算金额（元）:</w:t>
      </w:r>
      <w:r>
        <w:rPr>
          <w:rFonts w:hint="eastAsia" w:ascii="仿宋" w:hAnsi="仿宋" w:eastAsia="仿宋" w:cs="仿宋"/>
          <w:color w:val="auto"/>
          <w:szCs w:val="21"/>
          <w:highlight w:val="none"/>
          <w:lang w:eastAsia="zh-CN"/>
        </w:rPr>
        <w:t>450000.00</w:t>
      </w:r>
    </w:p>
    <w:p w14:paraId="375CF8F0">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200"/>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简要规格描述或项目基本概况介绍、用途：</w:t>
      </w:r>
      <w:r>
        <w:rPr>
          <w:rFonts w:hint="eastAsia" w:ascii="仿宋" w:hAnsi="仿宋" w:eastAsia="仿宋" w:cs="仿宋"/>
          <w:color w:val="auto"/>
          <w:szCs w:val="21"/>
          <w:highlight w:val="none"/>
          <w:lang w:val="en-US" w:eastAsia="zh-CN"/>
        </w:rPr>
        <w:t>根据相关政策要求，组织第三方机构对南宁市主城区公交企业2026年度公交财政补贴、南宁市（含县份）公交企业节能与新能源公交车推广应用情况进行专项审计，出具专项审计报告</w:t>
      </w:r>
      <w:r>
        <w:rPr>
          <w:rFonts w:hint="eastAsia" w:ascii="仿宋" w:hAnsi="仿宋" w:eastAsia="仿宋" w:cs="仿宋"/>
          <w:color w:val="auto"/>
          <w:szCs w:val="21"/>
          <w:highlight w:val="none"/>
        </w:rPr>
        <w:t>。如需进一步了解详细内容，详见竞争性磋商文件</w:t>
      </w:r>
      <w:r>
        <w:rPr>
          <w:rFonts w:hint="eastAsia" w:ascii="仿宋" w:hAnsi="仿宋" w:eastAsia="仿宋" w:cs="仿宋"/>
          <w:color w:val="auto"/>
          <w:szCs w:val="21"/>
          <w:highlight w:val="none"/>
          <w:lang w:val="en-US" w:eastAsia="zh-CN"/>
        </w:rPr>
        <w:t>。</w:t>
      </w:r>
    </w:p>
    <w:p w14:paraId="3E737099">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最高限价（如有）：</w:t>
      </w:r>
      <w:r>
        <w:rPr>
          <w:rFonts w:hint="eastAsia" w:ascii="仿宋" w:hAnsi="仿宋" w:eastAsia="仿宋" w:cs="仿宋"/>
          <w:color w:val="auto"/>
          <w:szCs w:val="21"/>
          <w:highlight w:val="none"/>
          <w:lang w:eastAsia="zh-CN"/>
        </w:rPr>
        <w:t>450000.00</w:t>
      </w:r>
      <w:r>
        <w:rPr>
          <w:rFonts w:hint="eastAsia" w:ascii="仿宋" w:hAnsi="仿宋" w:eastAsia="仿宋" w:cs="仿宋"/>
          <w:color w:val="auto"/>
          <w:szCs w:val="21"/>
          <w:highlight w:val="none"/>
        </w:rPr>
        <w:t>元</w:t>
      </w:r>
    </w:p>
    <w:p w14:paraId="206EF1C3">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合同履约期限：</w:t>
      </w:r>
    </w:p>
    <w:p w14:paraId="1F511DCC">
      <w:pPr>
        <w:spacing w:line="400" w:lineRule="exact"/>
        <w:ind w:firstLine="420" w:firstLineChars="200"/>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（一）2026年11月10日前，提交2026年度南宁市公交财政补贴、南宁市（含县份）公交企业节能与新能源公交车推广应用情况专项审计工作实施方案；</w:t>
      </w:r>
    </w:p>
    <w:p w14:paraId="410AF6EC">
      <w:pPr>
        <w:spacing w:line="400" w:lineRule="exact"/>
        <w:ind w:firstLine="420" w:firstLineChars="200"/>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（二）2027年2月28日前，提交2026年度南宁市（含县份）公交企业节能与新能源公交车推广应用情况专项审计报告；</w:t>
      </w:r>
    </w:p>
    <w:p w14:paraId="3EB7B389">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（三）2027年5月30日前，提交2026年度南宁市公交财政补贴审计报告。</w:t>
      </w:r>
    </w:p>
    <w:p w14:paraId="5F2AED30">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本标项</w:t>
      </w:r>
      <w:r>
        <w:rPr>
          <w:rFonts w:hint="eastAsia" w:ascii="仿宋" w:hAnsi="仿宋" w:eastAsia="仿宋" w:cs="仿宋"/>
          <w:b/>
          <w:bCs/>
          <w:color w:val="auto"/>
          <w:szCs w:val="21"/>
          <w:highlight w:val="none"/>
          <w:u w:val="single"/>
          <w:lang w:val="en-US" w:eastAsia="zh-CN"/>
        </w:rPr>
        <w:t>接受</w:t>
      </w:r>
      <w:r>
        <w:rPr>
          <w:rFonts w:hint="eastAsia" w:ascii="仿宋" w:hAnsi="仿宋" w:eastAsia="仿宋" w:cs="仿宋"/>
          <w:color w:val="auto"/>
          <w:szCs w:val="21"/>
          <w:highlight w:val="none"/>
        </w:rPr>
        <w:t>联合体竞标</w:t>
      </w:r>
    </w:p>
    <w:p w14:paraId="13205C4E">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备注：无</w:t>
      </w:r>
    </w:p>
    <w:p w14:paraId="35643CD1">
      <w:pPr>
        <w:rPr>
          <w:rFonts w:hint="eastAsia" w:ascii="仿宋" w:hAnsi="仿宋" w:eastAsia="仿宋" w:cs="仿宋"/>
          <w:color w:val="auto"/>
          <w:highlight w:val="none"/>
        </w:rPr>
      </w:pPr>
    </w:p>
    <w:p w14:paraId="70DE2767">
      <w:pPr>
        <w:spacing w:line="400" w:lineRule="exact"/>
        <w:ind w:firstLine="422" w:firstLineChars="200"/>
        <w:outlineLvl w:val="1"/>
        <w:rPr>
          <w:rFonts w:hint="eastAsia" w:ascii="仿宋" w:hAnsi="仿宋" w:eastAsia="仿宋" w:cs="仿宋"/>
          <w:bCs/>
          <w:color w:val="auto"/>
          <w:szCs w:val="21"/>
          <w:highlight w:val="none"/>
        </w:rPr>
      </w:pPr>
      <w:bookmarkStart w:id="24" w:name="_Toc35393799"/>
      <w:bookmarkStart w:id="25" w:name="_Toc18924"/>
      <w:bookmarkStart w:id="26" w:name="_Toc35393630"/>
      <w:bookmarkStart w:id="27" w:name="_Toc4069"/>
      <w:bookmarkStart w:id="28" w:name="_Toc44229879"/>
      <w:bookmarkStart w:id="29" w:name="_Toc28359090"/>
      <w:bookmarkStart w:id="30" w:name="_Toc28359013"/>
      <w:bookmarkStart w:id="31" w:name="_Toc9995"/>
      <w:r>
        <w:rPr>
          <w:rFonts w:hint="eastAsia" w:ascii="仿宋" w:hAnsi="仿宋" w:eastAsia="仿宋" w:cs="仿宋"/>
          <w:b/>
          <w:color w:val="auto"/>
          <w:kern w:val="44"/>
          <w:szCs w:val="21"/>
          <w:highlight w:val="none"/>
        </w:rPr>
        <w:t>二、申请人的资格条件</w:t>
      </w:r>
      <w:bookmarkEnd w:id="24"/>
      <w:bookmarkEnd w:id="25"/>
      <w:bookmarkEnd w:id="26"/>
      <w:bookmarkEnd w:id="27"/>
      <w:bookmarkEnd w:id="28"/>
      <w:bookmarkEnd w:id="29"/>
      <w:bookmarkEnd w:id="30"/>
      <w:bookmarkEnd w:id="31"/>
    </w:p>
    <w:p w14:paraId="0F9D5295">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1.满足《中华人民共和国政府采购法》第二十二条规定。</w:t>
      </w:r>
    </w:p>
    <w:p w14:paraId="47C61E8B">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2.落实政府采购政策需满足的资格要求：【</w:t>
      </w:r>
      <w:r>
        <w:rPr>
          <w:rFonts w:hint="eastAsia" w:ascii="仿宋" w:hAnsi="仿宋" w:eastAsia="仿宋" w:cs="仿宋"/>
          <w:color w:val="auto"/>
          <w:szCs w:val="21"/>
          <w:highlight w:val="none"/>
          <w:lang w:val="en-US" w:eastAsia="zh-CN"/>
        </w:rPr>
        <w:t>分标1</w:t>
      </w:r>
      <w:r>
        <w:rPr>
          <w:rFonts w:hint="eastAsia" w:ascii="仿宋" w:hAnsi="仿宋" w:eastAsia="仿宋" w:cs="仿宋"/>
          <w:color w:val="auto"/>
          <w:szCs w:val="21"/>
          <w:highlight w:val="none"/>
        </w:rPr>
        <w:t>】本项目非专门面向中小企业采购的项目</w:t>
      </w:r>
    </w:p>
    <w:p w14:paraId="21EF84FE">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3.本项目的特定资格要求：</w:t>
      </w:r>
      <w:r>
        <w:rPr>
          <w:rFonts w:hint="eastAsia" w:ascii="仿宋" w:hAnsi="仿宋" w:eastAsia="仿宋" w:cs="仿宋"/>
          <w:color w:val="auto"/>
          <w:szCs w:val="21"/>
          <w:highlight w:val="none"/>
          <w:u w:val="single"/>
        </w:rPr>
        <w:t>具有财政部门颁发的会计师事务所执业证书，全国性会计师事务所的广西分所应当具有广西壮族自治区财政厅颁发的会计师事务所分所执业证书。</w:t>
      </w:r>
    </w:p>
    <w:p w14:paraId="5D61656F">
      <w:pPr>
        <w:spacing w:line="400" w:lineRule="exact"/>
        <w:ind w:firstLine="422" w:firstLineChars="200"/>
        <w:outlineLvl w:val="1"/>
        <w:rPr>
          <w:rFonts w:hint="eastAsia" w:ascii="仿宋" w:hAnsi="仿宋" w:eastAsia="仿宋" w:cs="仿宋"/>
          <w:b/>
          <w:bCs/>
          <w:color w:val="auto"/>
          <w:szCs w:val="21"/>
          <w:highlight w:val="none"/>
        </w:rPr>
      </w:pPr>
      <w:bookmarkStart w:id="32" w:name="_Toc5551"/>
      <w:bookmarkStart w:id="33" w:name="_Toc5302"/>
      <w:bookmarkStart w:id="34" w:name="_Toc29302"/>
      <w:r>
        <w:rPr>
          <w:rFonts w:hint="eastAsia" w:ascii="仿宋" w:hAnsi="仿宋" w:eastAsia="仿宋" w:cs="仿宋"/>
          <w:b/>
          <w:bCs/>
          <w:color w:val="auto"/>
          <w:szCs w:val="21"/>
          <w:highlight w:val="none"/>
        </w:rPr>
        <w:t>三、获取采购文件</w:t>
      </w:r>
      <w:bookmarkEnd w:id="11"/>
      <w:bookmarkEnd w:id="12"/>
      <w:bookmarkEnd w:id="13"/>
      <w:bookmarkEnd w:id="14"/>
      <w:bookmarkEnd w:id="32"/>
      <w:bookmarkEnd w:id="33"/>
      <w:bookmarkEnd w:id="34"/>
    </w:p>
    <w:p w14:paraId="20295EAD">
      <w:pPr>
        <w:snapToGrid w:val="0"/>
        <w:spacing w:line="400" w:lineRule="exact"/>
        <w:ind w:firstLine="420" w:firstLineChars="200"/>
        <w:rPr>
          <w:rFonts w:hint="eastAsia" w:ascii="仿宋" w:hAnsi="仿宋" w:eastAsia="仿宋" w:cs="仿宋"/>
          <w:color w:val="auto"/>
          <w:szCs w:val="21"/>
          <w:highlight w:val="none"/>
        </w:rPr>
      </w:pPr>
      <w:bookmarkStart w:id="35" w:name="_Toc28359005"/>
      <w:bookmarkStart w:id="36" w:name="_Toc35393793"/>
      <w:bookmarkStart w:id="37" w:name="_Toc35393624"/>
      <w:bookmarkStart w:id="38" w:name="_Toc28359082"/>
      <w:r>
        <w:rPr>
          <w:rFonts w:hint="eastAsia" w:ascii="仿宋" w:hAnsi="仿宋" w:eastAsia="仿宋" w:cs="仿宋"/>
          <w:color w:val="auto"/>
          <w:szCs w:val="21"/>
          <w:highlight w:val="none"/>
        </w:rPr>
        <w:t>时间：自公告发布之日起至响应文件递交截止时间止，每天上午00:00至12:00，下午12:00至23:59（北京时间，法定节假日除外）</w:t>
      </w:r>
    </w:p>
    <w:p w14:paraId="0B23FD39">
      <w:pPr>
        <w:snapToGrid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地点：广西政府采购云平台线上获取</w:t>
      </w:r>
    </w:p>
    <w:p w14:paraId="2727ED23">
      <w:pPr>
        <w:snapToGrid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方式：供应商登录广西政府采购云平台https://www.gcy.zfcg.gxzf.gov.cn/在线申请获取采购文件（进入“项目采购”应用，在获取采购文件菜单中选择项目，申请获取采购文件） </w:t>
      </w:r>
    </w:p>
    <w:p w14:paraId="72A7CB04">
      <w:pPr>
        <w:snapToGrid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售价（元）：0</w:t>
      </w:r>
    </w:p>
    <w:p w14:paraId="64B6A11E">
      <w:pPr>
        <w:spacing w:line="400" w:lineRule="exact"/>
        <w:ind w:firstLine="422" w:firstLineChars="200"/>
        <w:outlineLvl w:val="1"/>
        <w:rPr>
          <w:rFonts w:hint="eastAsia" w:ascii="仿宋" w:hAnsi="仿宋" w:eastAsia="仿宋" w:cs="仿宋"/>
          <w:b/>
          <w:bCs/>
          <w:color w:val="auto"/>
          <w:szCs w:val="21"/>
          <w:highlight w:val="none"/>
        </w:rPr>
      </w:pPr>
      <w:bookmarkStart w:id="39" w:name="_Toc13575"/>
      <w:bookmarkStart w:id="40" w:name="_Toc31398"/>
      <w:bookmarkStart w:id="41" w:name="_Toc27560"/>
      <w:r>
        <w:rPr>
          <w:rFonts w:hint="eastAsia" w:ascii="仿宋" w:hAnsi="仿宋" w:eastAsia="仿宋" w:cs="仿宋"/>
          <w:b/>
          <w:bCs/>
          <w:color w:val="auto"/>
          <w:szCs w:val="21"/>
          <w:highlight w:val="none"/>
        </w:rPr>
        <w:t>四、</w:t>
      </w:r>
      <w:bookmarkEnd w:id="35"/>
      <w:bookmarkEnd w:id="36"/>
      <w:bookmarkEnd w:id="37"/>
      <w:bookmarkEnd w:id="38"/>
      <w:r>
        <w:rPr>
          <w:rFonts w:hint="eastAsia" w:ascii="仿宋" w:hAnsi="仿宋" w:eastAsia="仿宋" w:cs="仿宋"/>
          <w:b/>
          <w:bCs/>
          <w:color w:val="auto"/>
          <w:szCs w:val="21"/>
          <w:highlight w:val="none"/>
        </w:rPr>
        <w:t>响应文件提交</w:t>
      </w:r>
      <w:bookmarkEnd w:id="39"/>
      <w:bookmarkEnd w:id="40"/>
      <w:bookmarkEnd w:id="41"/>
    </w:p>
    <w:p w14:paraId="5264DF29">
      <w:pPr>
        <w:snapToGrid w:val="0"/>
        <w:spacing w:line="400" w:lineRule="exact"/>
        <w:ind w:firstLine="42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截止时间：202</w:t>
      </w:r>
      <w:r>
        <w:rPr>
          <w:rFonts w:hint="eastAsia" w:ascii="仿宋" w:hAnsi="仿宋" w:eastAsia="仿宋" w:cs="仿宋"/>
          <w:color w:val="auto"/>
          <w:kern w:val="0"/>
          <w:szCs w:val="21"/>
          <w:highlight w:val="none"/>
          <w:lang w:val="en-US" w:eastAsia="zh-CN"/>
        </w:rPr>
        <w:t>6</w:t>
      </w:r>
      <w:r>
        <w:rPr>
          <w:rFonts w:hint="eastAsia" w:ascii="仿宋" w:hAnsi="仿宋" w:eastAsia="仿宋" w:cs="仿宋"/>
          <w:color w:val="auto"/>
          <w:kern w:val="0"/>
          <w:szCs w:val="21"/>
          <w:highlight w:val="none"/>
        </w:rPr>
        <w:t>年</w:t>
      </w:r>
      <w:r>
        <w:rPr>
          <w:rFonts w:hint="eastAsia" w:ascii="仿宋" w:hAnsi="仿宋" w:eastAsia="仿宋" w:cs="仿宋"/>
          <w:color w:val="auto"/>
          <w:highlight w:val="none"/>
          <w:lang w:val="en-US" w:eastAsia="zh-CN"/>
        </w:rPr>
        <w:t>9月29日</w:t>
      </w:r>
      <w:r>
        <w:rPr>
          <w:rFonts w:hint="eastAsia" w:ascii="仿宋" w:hAnsi="仿宋" w:eastAsia="仿宋" w:cs="仿宋"/>
          <w:color w:val="auto"/>
          <w:kern w:val="0"/>
          <w:szCs w:val="21"/>
          <w:highlight w:val="none"/>
        </w:rPr>
        <w:t xml:space="preserve"> </w:t>
      </w:r>
      <w:r>
        <w:rPr>
          <w:rFonts w:hint="eastAsia" w:ascii="仿宋" w:hAnsi="仿宋" w:eastAsia="仿宋" w:cs="仿宋"/>
          <w:color w:val="auto"/>
          <w:kern w:val="0"/>
          <w:szCs w:val="21"/>
          <w:highlight w:val="none"/>
          <w:lang w:val="en-US" w:eastAsia="zh-CN"/>
        </w:rPr>
        <w:t>09</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lang w:val="en-US" w:eastAsia="zh-CN"/>
        </w:rPr>
        <w:t>3</w:t>
      </w:r>
      <w:r>
        <w:rPr>
          <w:rFonts w:hint="eastAsia" w:ascii="仿宋" w:hAnsi="仿宋" w:eastAsia="仿宋" w:cs="仿宋"/>
          <w:color w:val="auto"/>
          <w:kern w:val="0"/>
          <w:szCs w:val="21"/>
          <w:highlight w:val="none"/>
          <w:lang w:eastAsia="zh-CN"/>
        </w:rPr>
        <w:t>0</w:t>
      </w:r>
      <w:r>
        <w:rPr>
          <w:rFonts w:hint="eastAsia" w:ascii="仿宋" w:hAnsi="仿宋" w:eastAsia="仿宋" w:cs="仿宋"/>
          <w:color w:val="auto"/>
          <w:kern w:val="0"/>
          <w:szCs w:val="21"/>
          <w:highlight w:val="none"/>
        </w:rPr>
        <w:t>（北京时间）</w:t>
      </w:r>
    </w:p>
    <w:p w14:paraId="0A015A7B">
      <w:pPr>
        <w:snapToGrid w:val="0"/>
        <w:spacing w:line="400" w:lineRule="exact"/>
        <w:ind w:firstLine="42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xml:space="preserve">地点：请登录广西政府采购云平台投标客户端竞标 </w:t>
      </w:r>
    </w:p>
    <w:p w14:paraId="79876DBC">
      <w:pPr>
        <w:spacing w:line="400" w:lineRule="exact"/>
        <w:ind w:firstLine="422" w:firstLineChars="200"/>
        <w:outlineLvl w:val="1"/>
        <w:rPr>
          <w:rFonts w:hint="eastAsia" w:ascii="仿宋" w:hAnsi="仿宋" w:eastAsia="仿宋" w:cs="仿宋"/>
          <w:b/>
          <w:bCs/>
          <w:color w:val="auto"/>
          <w:szCs w:val="21"/>
          <w:highlight w:val="none"/>
        </w:rPr>
      </w:pPr>
      <w:bookmarkStart w:id="42" w:name="_Toc7632"/>
      <w:bookmarkStart w:id="43" w:name="_Toc19959"/>
      <w:bookmarkStart w:id="44" w:name="_Toc11980"/>
      <w:r>
        <w:rPr>
          <w:rFonts w:hint="eastAsia" w:ascii="仿宋" w:hAnsi="仿宋" w:eastAsia="仿宋" w:cs="仿宋"/>
          <w:b/>
          <w:bCs/>
          <w:color w:val="auto"/>
          <w:szCs w:val="21"/>
          <w:highlight w:val="none"/>
        </w:rPr>
        <w:t>五、响应文件开启（首次响应文件开启时间）</w:t>
      </w:r>
      <w:bookmarkEnd w:id="42"/>
      <w:bookmarkEnd w:id="43"/>
      <w:bookmarkEnd w:id="44"/>
    </w:p>
    <w:p w14:paraId="2183E386">
      <w:pPr>
        <w:spacing w:line="400" w:lineRule="exact"/>
        <w:ind w:firstLine="420"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开启时间：</w:t>
      </w:r>
      <w:r>
        <w:rPr>
          <w:rFonts w:hint="eastAsia" w:ascii="仿宋" w:hAnsi="仿宋" w:eastAsia="仿宋" w:cs="仿宋"/>
          <w:color w:val="auto"/>
          <w:kern w:val="0"/>
          <w:szCs w:val="21"/>
          <w:highlight w:val="none"/>
        </w:rPr>
        <w:t>202</w:t>
      </w:r>
      <w:r>
        <w:rPr>
          <w:rFonts w:hint="eastAsia" w:ascii="仿宋" w:hAnsi="仿宋" w:eastAsia="仿宋" w:cs="仿宋"/>
          <w:color w:val="auto"/>
          <w:kern w:val="0"/>
          <w:szCs w:val="21"/>
          <w:highlight w:val="none"/>
          <w:lang w:val="en-US" w:eastAsia="zh-CN"/>
        </w:rPr>
        <w:t>6</w:t>
      </w:r>
      <w:r>
        <w:rPr>
          <w:rFonts w:hint="eastAsia" w:ascii="仿宋" w:hAnsi="仿宋" w:eastAsia="仿宋" w:cs="仿宋"/>
          <w:color w:val="auto"/>
          <w:kern w:val="0"/>
          <w:szCs w:val="21"/>
          <w:highlight w:val="none"/>
        </w:rPr>
        <w:t>年</w:t>
      </w:r>
      <w:r>
        <w:rPr>
          <w:rFonts w:hint="eastAsia" w:ascii="仿宋" w:hAnsi="仿宋" w:eastAsia="仿宋" w:cs="仿宋"/>
          <w:color w:val="auto"/>
          <w:highlight w:val="none"/>
          <w:lang w:val="en-US" w:eastAsia="zh-CN"/>
        </w:rPr>
        <w:t>9月29日</w:t>
      </w:r>
      <w:r>
        <w:rPr>
          <w:rFonts w:hint="eastAsia" w:ascii="仿宋" w:hAnsi="仿宋" w:eastAsia="仿宋" w:cs="仿宋"/>
          <w:color w:val="auto"/>
          <w:kern w:val="0"/>
          <w:szCs w:val="21"/>
          <w:highlight w:val="none"/>
        </w:rPr>
        <w:t xml:space="preserve"> </w:t>
      </w:r>
      <w:r>
        <w:rPr>
          <w:rFonts w:hint="eastAsia" w:ascii="仿宋" w:hAnsi="仿宋" w:eastAsia="仿宋" w:cs="仿宋"/>
          <w:color w:val="auto"/>
          <w:kern w:val="0"/>
          <w:szCs w:val="21"/>
          <w:highlight w:val="none"/>
          <w:lang w:val="en-US" w:eastAsia="zh-CN"/>
        </w:rPr>
        <w:t>09</w:t>
      </w:r>
      <w:r>
        <w:rPr>
          <w:rFonts w:hint="eastAsia" w:ascii="仿宋" w:hAnsi="仿宋" w:eastAsia="仿宋" w:cs="仿宋"/>
          <w:color w:val="auto"/>
          <w:kern w:val="0"/>
          <w:szCs w:val="21"/>
          <w:highlight w:val="none"/>
          <w:lang w:eastAsia="zh-CN"/>
        </w:rPr>
        <w:t>:</w:t>
      </w:r>
      <w:r>
        <w:rPr>
          <w:rFonts w:hint="eastAsia" w:ascii="仿宋" w:hAnsi="仿宋" w:eastAsia="仿宋" w:cs="仿宋"/>
          <w:color w:val="auto"/>
          <w:kern w:val="0"/>
          <w:szCs w:val="21"/>
          <w:highlight w:val="none"/>
          <w:lang w:val="en-US" w:eastAsia="zh-CN"/>
        </w:rPr>
        <w:t>3</w:t>
      </w:r>
      <w:r>
        <w:rPr>
          <w:rFonts w:hint="eastAsia" w:ascii="仿宋" w:hAnsi="仿宋" w:eastAsia="仿宋" w:cs="仿宋"/>
          <w:color w:val="auto"/>
          <w:kern w:val="0"/>
          <w:szCs w:val="21"/>
          <w:highlight w:val="none"/>
          <w:lang w:eastAsia="zh-CN"/>
        </w:rPr>
        <w:t>0</w:t>
      </w:r>
      <w:r>
        <w:rPr>
          <w:rFonts w:hint="eastAsia" w:ascii="仿宋" w:hAnsi="仿宋" w:eastAsia="仿宋" w:cs="仿宋"/>
          <w:bCs/>
          <w:color w:val="auto"/>
          <w:szCs w:val="21"/>
          <w:highlight w:val="none"/>
        </w:rPr>
        <w:t>（北京时间）</w:t>
      </w:r>
    </w:p>
    <w:p w14:paraId="03B2A75F">
      <w:pPr>
        <w:spacing w:line="400" w:lineRule="exact"/>
        <w:ind w:firstLine="420" w:firstLineChars="200"/>
        <w:rPr>
          <w:rFonts w:hint="eastAsia" w:ascii="仿宋" w:hAnsi="仿宋" w:eastAsia="仿宋" w:cs="仿宋"/>
          <w:bCs/>
          <w:color w:val="auto"/>
          <w:szCs w:val="21"/>
          <w:highlight w:val="none"/>
          <w:u w:val="single"/>
        </w:rPr>
      </w:pPr>
      <w:r>
        <w:rPr>
          <w:rFonts w:hint="eastAsia" w:ascii="仿宋" w:hAnsi="仿宋" w:eastAsia="仿宋" w:cs="仿宋"/>
          <w:bCs/>
          <w:color w:val="auto"/>
          <w:szCs w:val="21"/>
          <w:highlight w:val="none"/>
        </w:rPr>
        <w:t>地点：广西政府采购云平台远程开标大厅</w:t>
      </w:r>
    </w:p>
    <w:p w14:paraId="555FF74B">
      <w:pPr>
        <w:spacing w:line="400" w:lineRule="exact"/>
        <w:ind w:firstLine="422" w:firstLineChars="200"/>
        <w:outlineLvl w:val="1"/>
        <w:rPr>
          <w:rFonts w:hint="eastAsia" w:ascii="仿宋" w:hAnsi="仿宋" w:eastAsia="仿宋" w:cs="仿宋"/>
          <w:b/>
          <w:bCs/>
          <w:color w:val="auto"/>
          <w:szCs w:val="21"/>
          <w:highlight w:val="none"/>
        </w:rPr>
      </w:pPr>
      <w:bookmarkStart w:id="45" w:name="_Toc35393794"/>
      <w:bookmarkStart w:id="46" w:name="_Toc24999"/>
      <w:bookmarkStart w:id="47" w:name="_Toc28359084"/>
      <w:bookmarkStart w:id="48" w:name="_Toc27849"/>
      <w:bookmarkStart w:id="49" w:name="_Toc28359007"/>
      <w:bookmarkStart w:id="50" w:name="_Toc18473"/>
      <w:bookmarkStart w:id="51" w:name="_Toc35393625"/>
      <w:r>
        <w:rPr>
          <w:rFonts w:hint="eastAsia" w:ascii="仿宋" w:hAnsi="仿宋" w:eastAsia="仿宋" w:cs="仿宋"/>
          <w:b/>
          <w:bCs/>
          <w:color w:val="auto"/>
          <w:szCs w:val="21"/>
          <w:highlight w:val="none"/>
        </w:rPr>
        <w:t>六、公告期限</w:t>
      </w:r>
      <w:bookmarkEnd w:id="45"/>
      <w:bookmarkEnd w:id="46"/>
      <w:bookmarkEnd w:id="47"/>
      <w:bookmarkEnd w:id="48"/>
      <w:bookmarkEnd w:id="49"/>
      <w:bookmarkEnd w:id="50"/>
      <w:bookmarkEnd w:id="51"/>
    </w:p>
    <w:p w14:paraId="40FC5EDC">
      <w:pPr>
        <w:spacing w:line="400" w:lineRule="exact"/>
        <w:ind w:firstLine="42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自本公告发布之日起5个工作日。</w:t>
      </w:r>
    </w:p>
    <w:p w14:paraId="0339BC36">
      <w:pPr>
        <w:spacing w:line="400" w:lineRule="exact"/>
        <w:ind w:firstLine="422" w:firstLineChars="200"/>
        <w:outlineLvl w:val="1"/>
        <w:rPr>
          <w:rFonts w:hint="eastAsia" w:ascii="仿宋" w:hAnsi="仿宋" w:eastAsia="仿宋" w:cs="仿宋"/>
          <w:b/>
          <w:bCs/>
          <w:color w:val="auto"/>
          <w:szCs w:val="21"/>
          <w:highlight w:val="none"/>
        </w:rPr>
      </w:pPr>
      <w:bookmarkStart w:id="52" w:name="_Toc32214"/>
      <w:bookmarkStart w:id="53" w:name="_Toc21374"/>
      <w:bookmarkStart w:id="54" w:name="_Toc35393626"/>
      <w:bookmarkStart w:id="55" w:name="_Toc26247"/>
      <w:bookmarkStart w:id="56" w:name="_Toc35393795"/>
      <w:r>
        <w:rPr>
          <w:rFonts w:hint="eastAsia" w:ascii="仿宋" w:hAnsi="仿宋" w:eastAsia="仿宋" w:cs="仿宋"/>
          <w:b/>
          <w:bCs/>
          <w:color w:val="auto"/>
          <w:szCs w:val="21"/>
          <w:highlight w:val="none"/>
        </w:rPr>
        <w:t>七、其他补充事宜</w:t>
      </w:r>
      <w:bookmarkEnd w:id="52"/>
      <w:bookmarkEnd w:id="53"/>
      <w:bookmarkEnd w:id="54"/>
      <w:bookmarkEnd w:id="55"/>
      <w:bookmarkEnd w:id="56"/>
    </w:p>
    <w:p w14:paraId="2318526E">
      <w:pPr>
        <w:spacing w:line="400" w:lineRule="exact"/>
        <w:ind w:firstLine="420" w:firstLineChars="200"/>
        <w:rPr>
          <w:rFonts w:hint="eastAsia" w:ascii="仿宋" w:hAnsi="仿宋" w:eastAsia="仿宋" w:cs="仿宋"/>
          <w:color w:val="auto"/>
          <w:kern w:val="0"/>
          <w:szCs w:val="21"/>
          <w:highlight w:val="none"/>
        </w:rPr>
      </w:pPr>
      <w:r>
        <w:rPr>
          <w:rFonts w:hint="eastAsia" w:ascii="仿宋" w:hAnsi="仿宋" w:eastAsia="仿宋" w:cs="仿宋"/>
          <w:color w:val="auto"/>
          <w:szCs w:val="21"/>
          <w:highlight w:val="none"/>
        </w:rPr>
        <w:t>1.</w:t>
      </w:r>
      <w:r>
        <w:rPr>
          <w:rFonts w:hint="eastAsia" w:ascii="仿宋" w:hAnsi="仿宋" w:eastAsia="仿宋" w:cs="仿宋"/>
          <w:color w:val="auto"/>
          <w:kern w:val="0"/>
          <w:szCs w:val="21"/>
          <w:highlight w:val="none"/>
        </w:rPr>
        <w:t>磋商保证金：本项目不收取磋商保证金</w:t>
      </w:r>
    </w:p>
    <w:p w14:paraId="17DF0019">
      <w:pPr>
        <w:spacing w:line="400" w:lineRule="exact"/>
        <w:ind w:left="399" w:leftChars="190" w:firstLine="0" w:firstLineChars="0"/>
        <w:jc w:val="left"/>
        <w:rPr>
          <w:rFonts w:hint="eastAsia" w:ascii="仿宋" w:hAnsi="仿宋" w:eastAsia="仿宋" w:cs="仿宋"/>
          <w:color w:val="auto"/>
          <w:highlight w:val="none"/>
        </w:rPr>
      </w:pPr>
      <w:r>
        <w:rPr>
          <w:rFonts w:hint="eastAsia" w:ascii="仿宋" w:hAnsi="仿宋" w:eastAsia="仿宋" w:cs="仿宋"/>
          <w:color w:val="auto"/>
          <w:kern w:val="0"/>
          <w:szCs w:val="21"/>
          <w:highlight w:val="none"/>
        </w:rPr>
        <w:t>2.采购意向公开链接：</w:t>
      </w:r>
      <w:bookmarkStart w:id="57" w:name="_Hlk37429595"/>
      <w:bookmarkStart w:id="58" w:name="_Hlk37429585"/>
      <w:r>
        <w:rPr>
          <w:rFonts w:hint="eastAsia" w:ascii="仿宋" w:hAnsi="仿宋" w:eastAsia="仿宋" w:cs="仿宋"/>
          <w:color w:val="auto"/>
          <w:kern w:val="0"/>
          <w:szCs w:val="21"/>
          <w:highlight w:val="none"/>
        </w:rPr>
        <w:t>http://www.ccgp-guangxi.gov.cn/site/detail?parentId=66485&amp;articleId=BjgzKiozHMfMe1ms5xpRiQ==</w:t>
      </w:r>
    </w:p>
    <w:p w14:paraId="4FC63662">
      <w:pPr>
        <w:spacing w:line="400" w:lineRule="exact"/>
        <w:ind w:firstLine="420" w:firstLineChars="2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3.网上查询地址：</w:t>
      </w:r>
      <w:bookmarkEnd w:id="57"/>
      <w:bookmarkEnd w:id="58"/>
      <w:bookmarkStart w:id="59" w:name="_Hlk37429674"/>
      <w:r>
        <w:rPr>
          <w:rFonts w:hint="eastAsia" w:ascii="仿宋" w:hAnsi="仿宋" w:eastAsia="仿宋" w:cs="仿宋"/>
          <w:color w:val="auto"/>
          <w:kern w:val="0"/>
          <w:szCs w:val="21"/>
          <w:highlight w:val="none"/>
        </w:rPr>
        <w:t>中国政府采购网（www.ccgp.gov.cn）、广西壮族自治区政府采购网（zfcg.gxzf.gov.cn）、全国公共资源交易平台（广西•南宁）（http://ggzy.jgswj.gxzf.gov.cn/nnggzy/）。</w:t>
      </w:r>
    </w:p>
    <w:p w14:paraId="12DE9A31">
      <w:pPr>
        <w:spacing w:line="400" w:lineRule="exact"/>
        <w:ind w:firstLine="420" w:firstLineChars="200"/>
        <w:rPr>
          <w:rFonts w:hint="eastAsia" w:ascii="仿宋" w:hAnsi="仿宋" w:eastAsia="仿宋" w:cs="仿宋"/>
          <w:color w:val="auto"/>
          <w:kern w:val="0"/>
          <w:szCs w:val="21"/>
          <w:highlight w:val="none"/>
        </w:rPr>
      </w:pPr>
      <w:r>
        <w:rPr>
          <w:rFonts w:hint="eastAsia" w:ascii="仿宋" w:hAnsi="仿宋" w:eastAsia="仿宋" w:cs="仿宋"/>
          <w:color w:val="auto"/>
          <w:szCs w:val="21"/>
          <w:highlight w:val="none"/>
        </w:rPr>
        <w:t>4.</w:t>
      </w:r>
      <w:r>
        <w:rPr>
          <w:rFonts w:hint="eastAsia" w:ascii="仿宋" w:hAnsi="仿宋" w:eastAsia="仿宋" w:cs="仿宋"/>
          <w:color w:val="auto"/>
          <w:kern w:val="0"/>
          <w:szCs w:val="21"/>
          <w:highlight w:val="none"/>
        </w:rPr>
        <w:t>本项目需要落实的政府采购政策：</w:t>
      </w:r>
    </w:p>
    <w:bookmarkEnd w:id="59"/>
    <w:p w14:paraId="019529D2">
      <w:pPr>
        <w:spacing w:line="400" w:lineRule="exact"/>
        <w:ind w:firstLine="420" w:firstLineChars="200"/>
        <w:rPr>
          <w:rFonts w:hint="eastAsia" w:ascii="仿宋" w:hAnsi="仿宋" w:eastAsia="仿宋" w:cs="仿宋"/>
          <w:color w:val="auto"/>
          <w:kern w:val="0"/>
          <w:szCs w:val="21"/>
          <w:highlight w:val="none"/>
        </w:rPr>
      </w:pPr>
      <w:bookmarkStart w:id="60" w:name="PO_3000001868_PM023"/>
      <w:bookmarkEnd w:id="60"/>
      <w:r>
        <w:rPr>
          <w:rFonts w:hint="eastAsia" w:ascii="仿宋" w:hAnsi="仿宋" w:eastAsia="仿宋" w:cs="仿宋"/>
          <w:color w:val="auto"/>
          <w:kern w:val="0"/>
          <w:szCs w:val="21"/>
          <w:highlight w:val="none"/>
        </w:rPr>
        <w:t>《政府采购促进中小企业发展暂行办法》（财库〔2020〕46号）</w:t>
      </w:r>
    </w:p>
    <w:p w14:paraId="1471BBD1">
      <w:pPr>
        <w:spacing w:line="400" w:lineRule="exact"/>
        <w:ind w:firstLine="42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《关于我区政府采购支持监狱企业发展有关问题的通知》（桂财采〔2015〕24号）</w:t>
      </w:r>
    </w:p>
    <w:p w14:paraId="6118CBDD">
      <w:pPr>
        <w:spacing w:line="400" w:lineRule="exact"/>
        <w:ind w:firstLine="420" w:firstLineChars="200"/>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《三部门联合发布关于促进残疾人就业政府采购政策的通知》（财库〔2017〕141号）</w:t>
      </w:r>
    </w:p>
    <w:p w14:paraId="00A7B023">
      <w:pPr>
        <w:spacing w:line="400" w:lineRule="exact"/>
        <w:ind w:firstLine="420" w:firstLineChars="200"/>
        <w:rPr>
          <w:rFonts w:hint="eastAsia" w:ascii="仿宋" w:hAnsi="仿宋" w:eastAsia="仿宋" w:cs="仿宋"/>
          <w:color w:val="auto"/>
          <w:kern w:val="0"/>
          <w:szCs w:val="21"/>
          <w:highlight w:val="none"/>
        </w:rPr>
      </w:pPr>
      <w:r>
        <w:rPr>
          <w:rFonts w:hint="eastAsia" w:ascii="仿宋" w:hAnsi="仿宋" w:eastAsia="仿宋" w:cs="仿宋"/>
          <w:color w:val="auto"/>
          <w:szCs w:val="21"/>
          <w:highlight w:val="none"/>
        </w:rPr>
        <w:t>5.</w:t>
      </w:r>
      <w:r>
        <w:rPr>
          <w:rFonts w:hint="eastAsia" w:ascii="仿宋" w:hAnsi="仿宋" w:eastAsia="仿宋" w:cs="仿宋"/>
          <w:color w:val="auto"/>
          <w:kern w:val="0"/>
          <w:szCs w:val="21"/>
          <w:highlight w:val="none"/>
        </w:rPr>
        <w:t>供应商认为采购文件使自己的权益受到损害的，可以自获取采购文件之日或者采购文件公告期限届满之日（公告期限届满后获取采购文件的，以公告期限届满之日为准）起7个工作日内以书面形式一次性向采购人和采购代理机构提出同一环节的质疑。否则，逾期的质疑采购人及</w:t>
      </w:r>
      <w:r>
        <w:rPr>
          <w:rFonts w:hint="eastAsia" w:ascii="仿宋" w:hAnsi="仿宋" w:eastAsia="仿宋" w:cs="仿宋"/>
          <w:color w:val="auto"/>
          <w:kern w:val="0"/>
          <w:szCs w:val="21"/>
          <w:highlight w:val="none"/>
          <w:lang w:eastAsia="zh-CN"/>
        </w:rPr>
        <w:t>采购代理机构</w:t>
      </w:r>
      <w:r>
        <w:rPr>
          <w:rFonts w:hint="eastAsia" w:ascii="仿宋" w:hAnsi="仿宋" w:eastAsia="仿宋" w:cs="仿宋"/>
          <w:color w:val="auto"/>
          <w:kern w:val="0"/>
          <w:szCs w:val="21"/>
          <w:highlight w:val="none"/>
        </w:rPr>
        <w:t>可不予接受。质疑供应商对采购人、采购代理机构的答复不满意或者采购人、采购代理机构未在规定的时间内作出答复的，可以在答复期满后十五个工作日内向同级政府采购监督管理部门投诉。</w:t>
      </w:r>
    </w:p>
    <w:p w14:paraId="2C71C9B5">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6.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7E39D6A">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7.</w:t>
      </w:r>
      <w:r>
        <w:rPr>
          <w:rFonts w:hint="eastAsia" w:ascii="仿宋" w:hAnsi="仿宋" w:eastAsia="仿宋" w:cs="仿宋"/>
          <w:color w:val="auto"/>
          <w:szCs w:val="21"/>
          <w:highlight w:val="none"/>
          <w:lang w:eastAsia="zh-CN"/>
        </w:rPr>
        <w:t>对在“信用中国”网站（www.creditchina.gov.cn） 被列入重大税收违法失信主体或在“中国执行信息公开网”网站（https://zxgk.court.gov.cn/zhixing/）被列入失信被执行人或在中国政府采购网（www.ccgp.gov.cn）被列入政府采购严重违法失信行为记录名单及其他不符合《中华人民共和国政府采购法》第二十二条规定条件的供应商，不得参与政府采购活动</w:t>
      </w:r>
      <w:r>
        <w:rPr>
          <w:rFonts w:hint="eastAsia" w:ascii="仿宋" w:hAnsi="仿宋" w:eastAsia="仿宋" w:cs="仿宋"/>
          <w:color w:val="auto"/>
          <w:szCs w:val="21"/>
          <w:highlight w:val="none"/>
        </w:rPr>
        <w:t>。</w:t>
      </w:r>
    </w:p>
    <w:p w14:paraId="5EE7D455">
      <w:pPr>
        <w:spacing w:line="400" w:lineRule="exact"/>
        <w:ind w:firstLine="420" w:firstLineChars="200"/>
        <w:rPr>
          <w:rFonts w:hint="eastAsia" w:ascii="仿宋" w:hAnsi="仿宋" w:eastAsia="仿宋" w:cs="仿宋"/>
          <w:color w:val="auto"/>
          <w:kern w:val="0"/>
          <w:szCs w:val="21"/>
          <w:highlight w:val="none"/>
        </w:rPr>
      </w:pPr>
      <w:r>
        <w:rPr>
          <w:rFonts w:hint="eastAsia" w:ascii="仿宋" w:hAnsi="仿宋" w:eastAsia="仿宋" w:cs="仿宋"/>
          <w:color w:val="auto"/>
          <w:szCs w:val="21"/>
          <w:highlight w:val="none"/>
        </w:rPr>
        <w:t>8.</w:t>
      </w:r>
      <w:r>
        <w:rPr>
          <w:rFonts w:hint="eastAsia" w:ascii="仿宋" w:hAnsi="仿宋" w:eastAsia="仿宋" w:cs="仿宋"/>
          <w:color w:val="auto"/>
          <w:kern w:val="0"/>
          <w:szCs w:val="21"/>
          <w:highlight w:val="none"/>
        </w:rPr>
        <w:t xml:space="preserve">若对项目采购电子交易系统操作有疑问，可登录“广西政府采购云平台”平台（https://www.gcy.zfcg.gxzf.gov.cn/），点击右侧咨询小采，获取采小蜜智能服务管家帮助，或拨打广西政府采购云平台服务热线95763获取热线服务帮助。 </w:t>
      </w:r>
    </w:p>
    <w:p w14:paraId="70519D33">
      <w:pPr>
        <w:spacing w:line="400" w:lineRule="exact"/>
        <w:ind w:firstLine="422" w:firstLineChars="200"/>
        <w:outlineLvl w:val="1"/>
        <w:rPr>
          <w:rFonts w:hint="eastAsia" w:ascii="仿宋" w:hAnsi="仿宋" w:eastAsia="仿宋" w:cs="仿宋"/>
          <w:bCs/>
          <w:color w:val="auto"/>
          <w:szCs w:val="21"/>
          <w:highlight w:val="none"/>
        </w:rPr>
      </w:pPr>
      <w:bookmarkStart w:id="61" w:name="_Toc11765"/>
      <w:bookmarkStart w:id="62" w:name="_Toc17865"/>
      <w:bookmarkStart w:id="63" w:name="_Toc22706"/>
      <w:r>
        <w:rPr>
          <w:rFonts w:hint="eastAsia" w:ascii="仿宋" w:hAnsi="仿宋" w:eastAsia="仿宋" w:cs="仿宋"/>
          <w:b/>
          <w:color w:val="auto"/>
          <w:kern w:val="44"/>
          <w:szCs w:val="21"/>
          <w:highlight w:val="none"/>
        </w:rPr>
        <w:t>八、凡对本次采购提出询问，请按以下方式联系</w:t>
      </w:r>
      <w:bookmarkEnd w:id="61"/>
      <w:bookmarkEnd w:id="62"/>
      <w:bookmarkEnd w:id="63"/>
    </w:p>
    <w:p w14:paraId="3BFF98BE">
      <w:pPr>
        <w:spacing w:line="40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1.采购人信息</w:t>
      </w:r>
    </w:p>
    <w:p w14:paraId="62402B6A">
      <w:pPr>
        <w:spacing w:line="400" w:lineRule="exact"/>
        <w:ind w:firstLine="420" w:firstLineChars="200"/>
        <w:jc w:val="lef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名 称：</w:t>
      </w:r>
      <w:r>
        <w:rPr>
          <w:rFonts w:hint="eastAsia" w:ascii="仿宋" w:hAnsi="仿宋" w:eastAsia="仿宋" w:cs="仿宋"/>
          <w:color w:val="auto"/>
          <w:kern w:val="0"/>
          <w:szCs w:val="21"/>
          <w:highlight w:val="none"/>
          <w:u w:val="single"/>
        </w:rPr>
        <w:t>南宁市交通运输局</w:t>
      </w:r>
    </w:p>
    <w:p w14:paraId="716E45F2">
      <w:pPr>
        <w:spacing w:line="400" w:lineRule="exact"/>
        <w:ind w:firstLine="420" w:firstLineChars="200"/>
        <w:jc w:val="left"/>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地址：</w:t>
      </w:r>
      <w:r>
        <w:rPr>
          <w:rFonts w:hint="eastAsia" w:ascii="仿宋" w:hAnsi="仿宋" w:eastAsia="仿宋" w:cs="仿宋"/>
          <w:color w:val="auto"/>
          <w:kern w:val="0"/>
          <w:szCs w:val="21"/>
          <w:highlight w:val="none"/>
          <w:u w:val="single"/>
          <w:lang w:eastAsia="zh-CN"/>
        </w:rPr>
        <w:t>南宁市青秀区滨湖路80号</w:t>
      </w:r>
    </w:p>
    <w:p w14:paraId="4EA69182">
      <w:pPr>
        <w:spacing w:line="400" w:lineRule="exact"/>
        <w:ind w:firstLine="420" w:firstLineChars="200"/>
        <w:rPr>
          <w:rFonts w:hint="eastAsia" w:ascii="仿宋" w:hAnsi="仿宋" w:eastAsia="仿宋" w:cs="仿宋"/>
          <w:color w:val="auto"/>
          <w:kern w:val="0"/>
          <w:szCs w:val="21"/>
          <w:highlight w:val="none"/>
          <w:lang w:eastAsia="zh-CN"/>
        </w:rPr>
      </w:pPr>
      <w:r>
        <w:rPr>
          <w:rFonts w:hint="eastAsia" w:ascii="仿宋" w:hAnsi="仿宋" w:eastAsia="仿宋" w:cs="仿宋"/>
          <w:color w:val="auto"/>
          <w:kern w:val="0"/>
          <w:szCs w:val="21"/>
          <w:highlight w:val="none"/>
        </w:rPr>
        <w:t>项目联系人：</w:t>
      </w:r>
      <w:r>
        <w:rPr>
          <w:rFonts w:hint="eastAsia" w:ascii="仿宋" w:hAnsi="仿宋" w:eastAsia="仿宋" w:cs="仿宋"/>
          <w:color w:val="auto"/>
          <w:kern w:val="0"/>
          <w:szCs w:val="21"/>
          <w:highlight w:val="none"/>
          <w:u w:val="single"/>
          <w:lang w:eastAsia="zh-CN"/>
        </w:rPr>
        <w:t>屈宇航</w:t>
      </w:r>
    </w:p>
    <w:p w14:paraId="4A8EE98C">
      <w:pPr>
        <w:spacing w:line="400" w:lineRule="exact"/>
        <w:ind w:firstLine="420" w:firstLineChars="200"/>
        <w:jc w:val="left"/>
        <w:rPr>
          <w:rFonts w:hint="eastAsia" w:ascii="仿宋" w:hAnsi="仿宋" w:eastAsia="仿宋" w:cs="仿宋"/>
          <w:color w:val="auto"/>
          <w:szCs w:val="21"/>
          <w:highlight w:val="none"/>
          <w:u w:val="single"/>
          <w:lang w:eastAsia="zh-CN"/>
        </w:rPr>
      </w:pPr>
      <w:r>
        <w:rPr>
          <w:rFonts w:hint="eastAsia" w:ascii="仿宋" w:hAnsi="仿宋" w:eastAsia="仿宋" w:cs="仿宋"/>
          <w:color w:val="auto"/>
          <w:szCs w:val="21"/>
          <w:highlight w:val="none"/>
        </w:rPr>
        <w:t>联系电话：</w:t>
      </w:r>
      <w:r>
        <w:rPr>
          <w:rFonts w:hint="eastAsia" w:ascii="仿宋" w:hAnsi="仿宋" w:eastAsia="仿宋" w:cs="仿宋"/>
          <w:color w:val="auto"/>
          <w:szCs w:val="21"/>
          <w:highlight w:val="none"/>
          <w:u w:val="single"/>
          <w:lang w:eastAsia="zh-CN"/>
        </w:rPr>
        <w:t>0771-5857665</w:t>
      </w:r>
    </w:p>
    <w:p w14:paraId="784F8C86">
      <w:pPr>
        <w:spacing w:line="40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2.采购代理机构信息</w:t>
      </w:r>
    </w:p>
    <w:p w14:paraId="7FA9B7C2">
      <w:pPr>
        <w:spacing w:line="400" w:lineRule="exact"/>
        <w:ind w:firstLine="420" w:firstLineChars="200"/>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名 称：</w:t>
      </w:r>
      <w:r>
        <w:rPr>
          <w:rFonts w:hint="eastAsia" w:ascii="仿宋" w:hAnsi="仿宋" w:eastAsia="仿宋" w:cs="仿宋"/>
          <w:color w:val="auto"/>
          <w:szCs w:val="21"/>
          <w:highlight w:val="none"/>
          <w:u w:val="single"/>
        </w:rPr>
        <w:t>广西中信恒泰工程顾问有限公司</w:t>
      </w:r>
    </w:p>
    <w:p w14:paraId="793F6350">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地　址：</w:t>
      </w:r>
      <w:r>
        <w:rPr>
          <w:rFonts w:hint="eastAsia" w:ascii="仿宋" w:hAnsi="仿宋" w:eastAsia="仿宋" w:cs="仿宋"/>
          <w:color w:val="auto"/>
          <w:szCs w:val="21"/>
          <w:highlight w:val="none"/>
          <w:u w:val="single"/>
        </w:rPr>
        <w:t>南宁市青秀区云景路69号南宁市轨道交通运营控制中心B楼8层</w:t>
      </w:r>
    </w:p>
    <w:p w14:paraId="093D7E73">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联系电话：</w:t>
      </w:r>
      <w:r>
        <w:rPr>
          <w:rFonts w:hint="eastAsia" w:ascii="仿宋" w:hAnsi="仿宋" w:eastAsia="仿宋" w:cs="仿宋"/>
          <w:color w:val="auto"/>
          <w:szCs w:val="21"/>
          <w:highlight w:val="none"/>
          <w:u w:val="single"/>
        </w:rPr>
        <w:t>0771-2215359</w:t>
      </w:r>
    </w:p>
    <w:p w14:paraId="2C3423C3">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3.项目联系方式</w:t>
      </w:r>
    </w:p>
    <w:p w14:paraId="0F43934E">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项目联系人：</w:t>
      </w:r>
      <w:r>
        <w:rPr>
          <w:rFonts w:hint="eastAsia" w:ascii="仿宋" w:hAnsi="仿宋" w:eastAsia="仿宋" w:cs="仿宋"/>
          <w:color w:val="auto"/>
          <w:szCs w:val="21"/>
          <w:highlight w:val="none"/>
          <w:u w:val="single"/>
          <w:lang w:val="en-US" w:eastAsia="zh-CN"/>
        </w:rPr>
        <w:t>李秋宏</w:t>
      </w:r>
    </w:p>
    <w:p w14:paraId="66F79F9E">
      <w:pPr>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电    话：</w:t>
      </w:r>
      <w:r>
        <w:rPr>
          <w:rFonts w:hint="eastAsia" w:ascii="仿宋" w:hAnsi="仿宋" w:eastAsia="仿宋" w:cs="仿宋"/>
          <w:color w:val="auto"/>
          <w:szCs w:val="21"/>
          <w:highlight w:val="none"/>
          <w:u w:val="single"/>
        </w:rPr>
        <w:t>0771-2215359</w:t>
      </w:r>
    </w:p>
    <w:p w14:paraId="6F2EA414">
      <w:pPr>
        <w:spacing w:line="40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附件： </w:t>
      </w:r>
    </w:p>
    <w:p w14:paraId="696B6DB4">
      <w:pPr>
        <w:spacing w:line="40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1.CA证书申请方式及操作指南下载地址（现场申请方式见网址：</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"http://www.ccgp-guangxi.gov.cn/OfficeService/DownloadArea/8354055.html?utm=a0003.39a112b4.cmp001.d0002.f0464b20ff2a11eb873141bf9e381949" </w:instrText>
      </w:r>
      <w:r>
        <w:rPr>
          <w:rFonts w:hint="eastAsia" w:ascii="仿宋" w:hAnsi="仿宋" w:eastAsia="仿宋" w:cs="仿宋"/>
          <w:color w:val="auto"/>
          <w:highlight w:val="none"/>
        </w:rPr>
        <w:fldChar w:fldCharType="separate"/>
      </w:r>
      <w:r>
        <w:rPr>
          <w:rFonts w:hint="eastAsia" w:ascii="仿宋" w:hAnsi="仿宋" w:eastAsia="仿宋" w:cs="仿宋"/>
          <w:color w:val="auto"/>
          <w:szCs w:val="21"/>
          <w:highlight w:val="none"/>
          <w:u w:val="single"/>
        </w:rPr>
        <w:t>http://www.ccgp-guangxi.gov.cn/OfficeService/DownloadArea/8354055.html?utm=a0003.39a112b4.cmp001.d0002.f0464b20ff2a11eb873141bf9e381949</w:t>
      </w:r>
      <w:r>
        <w:rPr>
          <w:rFonts w:hint="eastAsia" w:ascii="仿宋" w:hAnsi="仿宋" w:eastAsia="仿宋" w:cs="仿宋"/>
          <w:color w:val="auto"/>
          <w:szCs w:val="21"/>
          <w:highlight w:val="none"/>
          <w:u w:val="single"/>
        </w:rPr>
        <w:fldChar w:fldCharType="end"/>
      </w:r>
      <w:r>
        <w:rPr>
          <w:rFonts w:hint="eastAsia" w:ascii="仿宋" w:hAnsi="仿宋" w:eastAsia="仿宋" w:cs="仿宋"/>
          <w:color w:val="auto"/>
          <w:szCs w:val="21"/>
          <w:highlight w:val="none"/>
        </w:rPr>
        <w:t xml:space="preserve">（广西政府采购网）/网上申请方式见网址： </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"http://nncz.nanning.gov.cn/" </w:instrText>
      </w:r>
      <w:r>
        <w:rPr>
          <w:rFonts w:hint="eastAsia" w:ascii="仿宋" w:hAnsi="仿宋" w:eastAsia="仿宋" w:cs="仿宋"/>
          <w:color w:val="auto"/>
          <w:highlight w:val="none"/>
        </w:rPr>
        <w:fldChar w:fldCharType="separate"/>
      </w:r>
      <w:r>
        <w:rPr>
          <w:rFonts w:hint="eastAsia" w:ascii="仿宋" w:hAnsi="仿宋" w:eastAsia="仿宋" w:cs="仿宋"/>
          <w:color w:val="auto"/>
          <w:szCs w:val="21"/>
          <w:highlight w:val="none"/>
          <w:u w:val="single"/>
        </w:rPr>
        <w:t>http://nncz.nanning.gov.cn/</w:t>
      </w:r>
      <w:r>
        <w:rPr>
          <w:rFonts w:hint="eastAsia" w:ascii="仿宋" w:hAnsi="仿宋" w:eastAsia="仿宋" w:cs="仿宋"/>
          <w:color w:val="auto"/>
          <w:szCs w:val="21"/>
          <w:highlight w:val="none"/>
          <w:u w:val="single"/>
        </w:rPr>
        <w:fldChar w:fldCharType="end"/>
      </w:r>
      <w:r>
        <w:rPr>
          <w:rFonts w:hint="eastAsia" w:ascii="仿宋" w:hAnsi="仿宋" w:eastAsia="仿宋" w:cs="仿宋"/>
          <w:color w:val="auto"/>
          <w:szCs w:val="21"/>
          <w:highlight w:val="none"/>
        </w:rPr>
        <w:t>（南宁市财政局官网）-下载专区-“广西广西政府采购云平台西部CA办理方式”或“南宁市广西政府采购云平台CA证书办理操作指南”）</w:t>
      </w:r>
    </w:p>
    <w:p w14:paraId="788F0058">
      <w:pPr>
        <w:spacing w:line="400" w:lineRule="exact"/>
        <w:ind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2.电子响应文件制作与投送教程（在此网址下载：</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"http://nncz.nanning.gov.cn/" </w:instrText>
      </w:r>
      <w:r>
        <w:rPr>
          <w:rFonts w:hint="eastAsia" w:ascii="仿宋" w:hAnsi="仿宋" w:eastAsia="仿宋" w:cs="仿宋"/>
          <w:color w:val="auto"/>
          <w:highlight w:val="none"/>
        </w:rPr>
        <w:fldChar w:fldCharType="separate"/>
      </w:r>
      <w:r>
        <w:rPr>
          <w:rFonts w:hint="eastAsia" w:ascii="仿宋" w:hAnsi="仿宋" w:eastAsia="仿宋" w:cs="仿宋"/>
          <w:color w:val="auto"/>
          <w:szCs w:val="21"/>
          <w:highlight w:val="none"/>
          <w:u w:val="single"/>
        </w:rPr>
        <w:t>http://nncz.nanning.gov.cn/</w:t>
      </w:r>
      <w:r>
        <w:rPr>
          <w:rFonts w:hint="eastAsia" w:ascii="仿宋" w:hAnsi="仿宋" w:eastAsia="仿宋" w:cs="仿宋"/>
          <w:color w:val="auto"/>
          <w:szCs w:val="21"/>
          <w:highlight w:val="none"/>
          <w:u w:val="single"/>
        </w:rPr>
        <w:fldChar w:fldCharType="end"/>
      </w:r>
      <w:r>
        <w:rPr>
          <w:rFonts w:hint="eastAsia" w:ascii="仿宋" w:hAnsi="仿宋" w:eastAsia="仿宋" w:cs="仿宋"/>
          <w:color w:val="auto"/>
          <w:szCs w:val="21"/>
          <w:highlight w:val="none"/>
        </w:rPr>
        <w:t>（南宁市财政局官网）-下载专区）</w:t>
      </w:r>
    </w:p>
    <w:p w14:paraId="60E6B0DB">
      <w:pPr>
        <w:spacing w:line="400" w:lineRule="exact"/>
        <w:ind w:firstLine="420" w:firstLineChars="200"/>
        <w:jc w:val="left"/>
        <w:rPr>
          <w:rFonts w:hint="eastAsia" w:ascii="仿宋" w:hAnsi="仿宋" w:eastAsia="仿宋" w:cs="仿宋"/>
          <w:color w:val="auto"/>
          <w:szCs w:val="21"/>
          <w:highlight w:val="none"/>
        </w:rPr>
      </w:pPr>
    </w:p>
    <w:p w14:paraId="25EAED02">
      <w:pPr>
        <w:keepNext w:val="0"/>
        <w:keepLines w:val="0"/>
        <w:pageBreakBefore w:val="0"/>
        <w:widowControl w:val="0"/>
        <w:kinsoku/>
        <w:wordWrap/>
        <w:overflowPunct/>
        <w:topLinePunct w:val="0"/>
        <w:autoSpaceDE/>
        <w:autoSpaceDN/>
        <w:bidi w:val="0"/>
        <w:adjustRightInd/>
        <w:snapToGrid/>
        <w:spacing w:line="400" w:lineRule="exact"/>
        <w:ind w:firstLine="3150" w:firstLineChars="1500"/>
        <w:jc w:val="center"/>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u w:val="single"/>
        </w:rPr>
        <w:t>广西中信恒泰工程顾问有限公司</w:t>
      </w:r>
    </w:p>
    <w:p w14:paraId="7E8C373C">
      <w:pPr>
        <w:keepNext w:val="0"/>
        <w:keepLines w:val="0"/>
        <w:pageBreakBefore w:val="0"/>
        <w:widowControl w:val="0"/>
        <w:kinsoku/>
        <w:wordWrap/>
        <w:overflowPunct/>
        <w:topLinePunct w:val="0"/>
        <w:autoSpaceDE/>
        <w:autoSpaceDN/>
        <w:bidi w:val="0"/>
        <w:adjustRightInd/>
        <w:snapToGrid/>
        <w:spacing w:line="400" w:lineRule="exact"/>
        <w:ind w:firstLine="3150" w:firstLineChars="1500"/>
        <w:jc w:val="center"/>
        <w:textAlignment w:val="auto"/>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202</w:t>
      </w:r>
      <w:r>
        <w:rPr>
          <w:rFonts w:hint="eastAsia" w:ascii="仿宋" w:hAnsi="仿宋" w:eastAsia="仿宋" w:cs="仿宋"/>
          <w:color w:val="auto"/>
          <w:szCs w:val="21"/>
          <w:highlight w:val="none"/>
          <w:u w:val="single"/>
          <w:lang w:val="en-US" w:eastAsia="zh-CN"/>
        </w:rPr>
        <w:t>6</w:t>
      </w:r>
      <w:r>
        <w:rPr>
          <w:rFonts w:hint="eastAsia" w:ascii="仿宋" w:hAnsi="仿宋" w:eastAsia="仿宋" w:cs="仿宋"/>
          <w:color w:val="auto"/>
          <w:szCs w:val="21"/>
          <w:highlight w:val="none"/>
          <w:u w:val="single"/>
        </w:rPr>
        <w:t>年</w:t>
      </w:r>
      <w:r>
        <w:rPr>
          <w:rFonts w:hint="eastAsia" w:ascii="仿宋" w:hAnsi="仿宋" w:eastAsia="仿宋" w:cs="仿宋"/>
          <w:color w:val="auto"/>
          <w:highlight w:val="none"/>
          <w:u w:val="single"/>
          <w:lang w:val="en-US" w:eastAsia="zh-CN"/>
        </w:rPr>
        <w:t>9月3日</w:t>
      </w:r>
    </w:p>
    <w:p w14:paraId="11F08679">
      <w:pPr>
        <w:spacing w:line="400" w:lineRule="exact"/>
        <w:ind w:firstLine="420" w:firstLineChars="200"/>
        <w:jc w:val="right"/>
        <w:rPr>
          <w:rFonts w:hint="eastAsia" w:ascii="仿宋" w:hAnsi="仿宋" w:eastAsia="仿宋" w:cs="仿宋"/>
          <w:szCs w:val="21"/>
          <w:highlight w:val="none"/>
          <w:u w:val="single"/>
        </w:rPr>
        <w:sectPr>
          <w:footerReference r:id="rId9" w:type="default"/>
          <w:pgSz w:w="11905" w:h="16838"/>
          <w:pgMar w:top="1304" w:right="1304" w:bottom="1304" w:left="1304" w:header="720" w:footer="720" w:gutter="0"/>
          <w:pgNumType w:fmt="decimal" w:start="1"/>
          <w:cols w:space="720" w:num="1"/>
          <w:docGrid w:type="lines" w:linePitch="339" w:charSpace="0"/>
        </w:sectPr>
      </w:pPr>
    </w:p>
    <w:p w14:paraId="5BA58065">
      <w:pPr>
        <w:keepNext/>
        <w:keepLines/>
        <w:spacing w:before="340" w:after="330" w:line="400" w:lineRule="exact"/>
        <w:jc w:val="center"/>
        <w:outlineLvl w:val="0"/>
        <w:rPr>
          <w:rFonts w:hint="eastAsia" w:ascii="仿宋" w:hAnsi="仿宋" w:eastAsia="仿宋" w:cs="仿宋"/>
          <w:b/>
          <w:bCs/>
          <w:kern w:val="44"/>
          <w:sz w:val="32"/>
          <w:szCs w:val="32"/>
          <w:highlight w:val="none"/>
        </w:rPr>
      </w:pPr>
      <w:bookmarkStart w:id="64" w:name="_Toc127516319"/>
      <w:bookmarkStart w:id="65" w:name="_Toc26321"/>
      <w:r>
        <w:rPr>
          <w:rFonts w:hint="eastAsia" w:ascii="仿宋" w:hAnsi="仿宋" w:eastAsia="仿宋" w:cs="仿宋"/>
          <w:b/>
          <w:bCs/>
          <w:kern w:val="44"/>
          <w:sz w:val="32"/>
          <w:szCs w:val="32"/>
          <w:highlight w:val="none"/>
        </w:rPr>
        <w:t>第二章 采购需求</w:t>
      </w:r>
      <w:bookmarkEnd w:id="64"/>
      <w:bookmarkEnd w:id="65"/>
    </w:p>
    <w:p w14:paraId="1746B513">
      <w:pPr>
        <w:spacing w:line="420" w:lineRule="exact"/>
        <w:jc w:val="left"/>
        <w:rPr>
          <w:rFonts w:hint="eastAsia" w:ascii="仿宋" w:hAnsi="仿宋" w:eastAsia="仿宋" w:cs="仿宋"/>
          <w:szCs w:val="21"/>
          <w:highlight w:val="none"/>
        </w:rPr>
      </w:pPr>
      <w:r>
        <w:rPr>
          <w:rFonts w:hint="eastAsia" w:ascii="仿宋" w:hAnsi="仿宋" w:eastAsia="仿宋" w:cs="仿宋"/>
          <w:szCs w:val="21"/>
          <w:highlight w:val="none"/>
        </w:rPr>
        <w:t>说明：</w:t>
      </w:r>
    </w:p>
    <w:p w14:paraId="41DD62E5">
      <w:pPr>
        <w:spacing w:line="420" w:lineRule="exact"/>
        <w:ind w:firstLine="420" w:firstLineChars="200"/>
        <w:jc w:val="left"/>
        <w:rPr>
          <w:rFonts w:hint="eastAsia" w:ascii="仿宋" w:hAnsi="仿宋" w:eastAsia="仿宋" w:cs="仿宋"/>
          <w:szCs w:val="21"/>
          <w:highlight w:val="none"/>
        </w:rPr>
      </w:pPr>
      <w:r>
        <w:rPr>
          <w:rFonts w:hint="eastAsia" w:ascii="仿宋" w:hAnsi="仿宋" w:eastAsia="仿宋" w:cs="仿宋"/>
          <w:highlight w:val="none"/>
        </w:rPr>
        <w:t>1. 为落实政府采购政策需满足的要求（根据项目实际情况填写内容）</w:t>
      </w:r>
    </w:p>
    <w:p w14:paraId="7CF90F5E">
      <w:pPr>
        <w:spacing w:line="420" w:lineRule="exact"/>
        <w:ind w:firstLine="420" w:firstLineChars="200"/>
        <w:jc w:val="left"/>
        <w:rPr>
          <w:rFonts w:hint="eastAsia" w:ascii="仿宋" w:hAnsi="仿宋" w:eastAsia="仿宋" w:cs="仿宋"/>
          <w:szCs w:val="21"/>
          <w:highlight w:val="none"/>
        </w:rPr>
      </w:pPr>
      <w:r>
        <w:rPr>
          <w:rFonts w:hint="eastAsia" w:ascii="仿宋" w:hAnsi="仿宋" w:eastAsia="仿宋" w:cs="仿宋"/>
          <w:szCs w:val="21"/>
          <w:highlight w:val="none"/>
        </w:rPr>
        <w:t>（1）本竞争性磋商采购文件所称中小企业必须符合《政府采购促进中小企业发展管理办法》（财库〔2020〕46号）的规定。</w:t>
      </w:r>
    </w:p>
    <w:p w14:paraId="5CC1011B">
      <w:pPr>
        <w:tabs>
          <w:tab w:val="left" w:pos="180"/>
          <w:tab w:val="left" w:pos="1620"/>
        </w:tabs>
        <w:spacing w:line="420" w:lineRule="exact"/>
        <w:ind w:firstLine="420" w:firstLineChars="200"/>
        <w:rPr>
          <w:rFonts w:hint="eastAsia" w:ascii="仿宋" w:hAnsi="仿宋" w:eastAsia="仿宋" w:cs="仿宋"/>
          <w:b/>
          <w:bCs/>
          <w:szCs w:val="21"/>
          <w:highlight w:val="none"/>
        </w:rPr>
      </w:pPr>
      <w:r>
        <w:rPr>
          <w:rFonts w:hint="eastAsia" w:ascii="仿宋" w:hAnsi="仿宋" w:eastAsia="仿宋" w:cs="仿宋"/>
          <w:szCs w:val="21"/>
          <w:highlight w:val="none"/>
        </w:rPr>
        <w:t>（2）服务项目中包含货物的，根据《财政部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公章），否则响应文件作无效处理。如本项目包含的配套货物属于品目清单内非标注“★”的产品时，应优先采购，具体详见“第四章 评审程序和评定成交的标准”。</w:t>
      </w:r>
    </w:p>
    <w:p w14:paraId="29BD6F0A">
      <w:pPr>
        <w:spacing w:line="420" w:lineRule="exact"/>
        <w:ind w:firstLine="420" w:firstLineChars="200"/>
        <w:jc w:val="left"/>
        <w:rPr>
          <w:rFonts w:hint="eastAsia" w:ascii="仿宋" w:hAnsi="仿宋" w:eastAsia="仿宋" w:cs="仿宋"/>
          <w:szCs w:val="21"/>
          <w:highlight w:val="none"/>
        </w:rPr>
      </w:pPr>
      <w:r>
        <w:rPr>
          <w:rFonts w:hint="eastAsia" w:ascii="仿宋" w:hAnsi="仿宋" w:eastAsia="仿宋" w:cs="仿宋"/>
          <w:szCs w:val="21"/>
          <w:highlight w:val="none"/>
        </w:rPr>
        <w:t>（3）服务项目中伴随的货物包含列入《网络关键设备和网络安全专用产品目录》的网络安全专用产品，应当按照《信息安全技术 网络安全专用产品安全技术要求》等相关国家标准的强制性要求，提供具备资格的机构安全认证合格或者安全检测证明材料（加盖供应商公章），否则响应文件作无效处理。</w:t>
      </w:r>
    </w:p>
    <w:p w14:paraId="20AAFABD">
      <w:pPr>
        <w:spacing w:line="420" w:lineRule="exact"/>
        <w:ind w:firstLine="413" w:firstLineChars="196"/>
        <w:rPr>
          <w:rFonts w:hint="eastAsia" w:ascii="仿宋" w:hAnsi="仿宋" w:eastAsia="仿宋" w:cs="仿宋"/>
          <w:b/>
          <w:bCs/>
          <w:szCs w:val="21"/>
          <w:highlight w:val="none"/>
        </w:rPr>
      </w:pPr>
      <w:r>
        <w:rPr>
          <w:rFonts w:hint="eastAsia" w:ascii="仿宋" w:hAnsi="仿宋" w:eastAsia="仿宋" w:cs="仿宋"/>
          <w:b/>
          <w:bCs/>
          <w:szCs w:val="21"/>
          <w:highlight w:val="none"/>
        </w:rPr>
        <w:t>2.“实质性要求”是指采购需求中带“▲”的条款或者不能负偏离的条款或者已经指明不满足按响应文件作无效处理的条款。</w:t>
      </w:r>
    </w:p>
    <w:p w14:paraId="5D8D224D">
      <w:pPr>
        <w:spacing w:line="420" w:lineRule="exact"/>
        <w:ind w:firstLine="420" w:firstLineChars="200"/>
        <w:jc w:val="left"/>
        <w:rPr>
          <w:rFonts w:hint="eastAsia" w:ascii="仿宋" w:hAnsi="仿宋" w:eastAsia="仿宋" w:cs="仿宋"/>
          <w:highlight w:val="none"/>
        </w:rPr>
      </w:pPr>
      <w:r>
        <w:rPr>
          <w:rFonts w:hint="eastAsia" w:ascii="仿宋" w:hAnsi="仿宋" w:eastAsia="仿宋" w:cs="仿宋"/>
          <w:szCs w:val="21"/>
          <w:highlight w:val="none"/>
        </w:rPr>
        <w:t>3.</w:t>
      </w:r>
      <w:r>
        <w:rPr>
          <w:rFonts w:hint="eastAsia" w:ascii="仿宋" w:hAnsi="仿宋" w:eastAsia="仿宋" w:cs="仿宋"/>
          <w:highlight w:val="none"/>
        </w:rPr>
        <w:t>如竞标供应商竞标产品存在侵犯他人的知识产权或者专利成果行为的，应承担相应法律责任。</w:t>
      </w:r>
    </w:p>
    <w:p w14:paraId="5942EE7D">
      <w:pPr>
        <w:pStyle w:val="29"/>
        <w:ind w:firstLine="210"/>
        <w:jc w:val="center"/>
        <w:rPr>
          <w:rFonts w:hint="eastAsia" w:ascii="仿宋" w:hAnsi="仿宋" w:eastAsia="仿宋" w:cs="仿宋"/>
          <w:highlight w:val="none"/>
        </w:rPr>
        <w:sectPr>
          <w:pgSz w:w="11905" w:h="16838"/>
          <w:pgMar w:top="1304" w:right="1304" w:bottom="1304" w:left="1304" w:header="720" w:footer="720" w:gutter="0"/>
          <w:pgNumType w:fmt="decimal"/>
          <w:cols w:space="720" w:num="1"/>
          <w:docGrid w:type="lines" w:linePitch="339" w:charSpace="0"/>
        </w:sectPr>
      </w:pPr>
    </w:p>
    <w:tbl>
      <w:tblPr>
        <w:tblStyle w:val="31"/>
        <w:tblW w:w="963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29"/>
        <w:gridCol w:w="464"/>
        <w:gridCol w:w="682"/>
        <w:gridCol w:w="450"/>
        <w:gridCol w:w="464"/>
        <w:gridCol w:w="4909"/>
        <w:gridCol w:w="1064"/>
        <w:gridCol w:w="1168"/>
      </w:tblGrid>
      <w:tr w14:paraId="392E96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25" w:hRule="atLeast"/>
          <w:jc w:val="center"/>
        </w:trPr>
        <w:tc>
          <w:tcPr>
            <w:tcW w:w="9630" w:type="dxa"/>
            <w:gridSpan w:val="8"/>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ECF23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jc w:val="center"/>
              <w:textAlignment w:val="auto"/>
              <w:rPr>
                <w:rFonts w:hint="eastAsia" w:ascii="仿宋" w:hAnsi="仿宋" w:eastAsia="仿宋" w:cs="仿宋"/>
                <w:szCs w:val="21"/>
                <w:highlight w:val="none"/>
              </w:rPr>
            </w:pPr>
            <w:r>
              <w:rPr>
                <w:rFonts w:hint="eastAsia" w:ascii="仿宋" w:hAnsi="仿宋" w:eastAsia="仿宋" w:cs="仿宋"/>
                <w:szCs w:val="21"/>
                <w:highlight w:val="none"/>
              </w:rPr>
              <w:t>服务需求一览表</w:t>
            </w:r>
          </w:p>
        </w:tc>
      </w:tr>
      <w:tr w14:paraId="591E44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1575"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43BA7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jc w:val="center"/>
              <w:textAlignment w:val="auto"/>
              <w:rPr>
                <w:rFonts w:hint="eastAsia" w:ascii="仿宋" w:hAnsi="仿宋" w:eastAsia="仿宋" w:cs="仿宋"/>
                <w:highlight w:val="none"/>
              </w:rPr>
            </w:pPr>
            <w:r>
              <w:rPr>
                <w:rFonts w:hint="eastAsia" w:ascii="仿宋" w:hAnsi="仿宋" w:eastAsia="仿宋" w:cs="仿宋"/>
                <w:highlight w:val="none"/>
              </w:rPr>
              <w:t>标段</w:t>
            </w:r>
          </w:p>
        </w:tc>
        <w:tc>
          <w:tcPr>
            <w:tcW w:w="8055" w:type="dxa"/>
            <w:gridSpan w:val="5"/>
            <w:tcBorders>
              <w:top w:val="single" w:color="auto" w:sz="4" w:space="0"/>
              <w:left w:val="single" w:color="auto" w:sz="4" w:space="0"/>
              <w:bottom w:val="single" w:color="auto" w:sz="4" w:space="0"/>
              <w:right w:val="single" w:color="auto" w:sz="4" w:space="0"/>
            </w:tcBorders>
            <w:vAlign w:val="center"/>
          </w:tcPr>
          <w:p w14:paraId="76694C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jc w:val="left"/>
              <w:textAlignment w:val="auto"/>
              <w:rPr>
                <w:rFonts w:hint="eastAsia" w:ascii="仿宋" w:hAnsi="仿宋" w:eastAsia="仿宋" w:cs="仿宋"/>
                <w:szCs w:val="21"/>
                <w:highlight w:val="none"/>
              </w:rPr>
            </w:pPr>
            <w:r>
              <w:rPr>
                <w:rFonts w:hint="eastAsia" w:ascii="仿宋" w:hAnsi="仿宋" w:eastAsia="仿宋" w:cs="仿宋"/>
                <w:szCs w:val="21"/>
                <w:highlight w:val="none"/>
                <w:u w:val="single"/>
              </w:rPr>
              <w:t xml:space="preserve">/ </w:t>
            </w:r>
            <w:r>
              <w:rPr>
                <w:rFonts w:hint="eastAsia" w:ascii="仿宋" w:hAnsi="仿宋" w:eastAsia="仿宋" w:cs="仿宋"/>
                <w:szCs w:val="21"/>
                <w:highlight w:val="none"/>
              </w:rPr>
              <w:t>分标</w:t>
            </w:r>
          </w:p>
        </w:tc>
      </w:tr>
      <w:tr w14:paraId="3C3667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429" w:type="dxa"/>
            <w:vMerge w:val="restart"/>
            <w:tcBorders>
              <w:top w:val="single" w:color="auto" w:sz="4" w:space="0"/>
              <w:left w:val="single" w:color="auto" w:sz="4" w:space="0"/>
              <w:right w:val="single" w:color="auto" w:sz="4" w:space="0"/>
            </w:tcBorders>
            <w:tcMar>
              <w:top w:w="0" w:type="dxa"/>
              <w:left w:w="0" w:type="dxa"/>
              <w:bottom w:w="0" w:type="dxa"/>
              <w:right w:w="0" w:type="dxa"/>
            </w:tcMar>
            <w:vAlign w:val="center"/>
          </w:tcPr>
          <w:p w14:paraId="54FB83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jc w:val="center"/>
              <w:textAlignment w:val="auto"/>
              <w:rPr>
                <w:rFonts w:hint="eastAsia" w:ascii="仿宋" w:hAnsi="仿宋" w:eastAsia="仿宋" w:cs="仿宋"/>
                <w:highlight w:val="none"/>
              </w:rPr>
            </w:pPr>
            <w:r>
              <w:rPr>
                <w:rFonts w:hint="eastAsia" w:ascii="仿宋" w:hAnsi="仿宋" w:eastAsia="仿宋" w:cs="仿宋"/>
                <w:highlight w:val="none"/>
              </w:rPr>
              <w:t>采购清单及技术参数</w:t>
            </w:r>
          </w:p>
        </w:tc>
        <w:tc>
          <w:tcPr>
            <w:tcW w:w="464" w:type="dxa"/>
            <w:tcBorders>
              <w:top w:val="single" w:color="auto" w:sz="4" w:space="0"/>
              <w:left w:val="single" w:color="auto" w:sz="4" w:space="0"/>
              <w:bottom w:val="single" w:color="auto" w:sz="4" w:space="0"/>
              <w:right w:val="single" w:color="auto" w:sz="4" w:space="0"/>
            </w:tcBorders>
            <w:vAlign w:val="center"/>
          </w:tcPr>
          <w:p w14:paraId="336F32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jc w:val="center"/>
              <w:textAlignment w:val="auto"/>
              <w:rPr>
                <w:rFonts w:hint="eastAsia" w:ascii="仿宋" w:hAnsi="仿宋" w:eastAsia="仿宋" w:cs="仿宋"/>
                <w:highlight w:val="none"/>
              </w:rPr>
            </w:pPr>
            <w:r>
              <w:rPr>
                <w:rFonts w:hint="eastAsia" w:ascii="仿宋" w:hAnsi="仿宋" w:eastAsia="仿宋" w:cs="仿宋"/>
                <w:highlight w:val="none"/>
              </w:rPr>
              <w:t>序号</w:t>
            </w:r>
          </w:p>
        </w:tc>
        <w:tc>
          <w:tcPr>
            <w:tcW w:w="682" w:type="dxa"/>
            <w:tcBorders>
              <w:top w:val="single" w:color="auto" w:sz="4" w:space="0"/>
              <w:left w:val="single" w:color="auto" w:sz="4" w:space="0"/>
              <w:bottom w:val="single" w:color="auto" w:sz="4" w:space="0"/>
              <w:right w:val="single" w:color="auto" w:sz="4" w:space="0"/>
            </w:tcBorders>
            <w:vAlign w:val="center"/>
          </w:tcPr>
          <w:p w14:paraId="486DA3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jc w:val="center"/>
              <w:textAlignment w:val="auto"/>
              <w:rPr>
                <w:rFonts w:hint="eastAsia" w:ascii="仿宋" w:hAnsi="仿宋" w:eastAsia="仿宋" w:cs="仿宋"/>
                <w:highlight w:val="none"/>
              </w:rPr>
            </w:pPr>
            <w:r>
              <w:rPr>
                <w:rFonts w:hint="eastAsia" w:ascii="仿宋" w:hAnsi="仿宋" w:eastAsia="仿宋" w:cs="仿宋"/>
                <w:highlight w:val="none"/>
              </w:rPr>
              <w:t>标的的名称</w:t>
            </w:r>
          </w:p>
        </w:tc>
        <w:tc>
          <w:tcPr>
            <w:tcW w:w="450" w:type="dxa"/>
            <w:tcBorders>
              <w:top w:val="single" w:color="auto" w:sz="4" w:space="0"/>
              <w:left w:val="single" w:color="auto" w:sz="4" w:space="0"/>
              <w:bottom w:val="single" w:color="auto" w:sz="4" w:space="0"/>
              <w:right w:val="single" w:color="auto" w:sz="4" w:space="0"/>
            </w:tcBorders>
            <w:vAlign w:val="center"/>
          </w:tcPr>
          <w:p w14:paraId="414380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jc w:val="center"/>
              <w:textAlignment w:val="auto"/>
              <w:rPr>
                <w:rFonts w:hint="eastAsia" w:ascii="仿宋" w:hAnsi="仿宋" w:eastAsia="仿宋" w:cs="仿宋"/>
                <w:highlight w:val="none"/>
              </w:rPr>
            </w:pPr>
            <w:r>
              <w:rPr>
                <w:rFonts w:hint="eastAsia" w:ascii="仿宋" w:hAnsi="仿宋" w:eastAsia="仿宋" w:cs="仿宋"/>
                <w:highlight w:val="none"/>
              </w:rPr>
              <w:t>单位</w:t>
            </w:r>
          </w:p>
        </w:tc>
        <w:tc>
          <w:tcPr>
            <w:tcW w:w="464" w:type="dxa"/>
            <w:tcBorders>
              <w:top w:val="single" w:color="auto" w:sz="4" w:space="0"/>
              <w:left w:val="single" w:color="auto" w:sz="4" w:space="0"/>
              <w:bottom w:val="single" w:color="auto" w:sz="4" w:space="0"/>
              <w:right w:val="single" w:color="auto" w:sz="4" w:space="0"/>
            </w:tcBorders>
            <w:vAlign w:val="center"/>
          </w:tcPr>
          <w:p w14:paraId="5278A7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jc w:val="center"/>
              <w:textAlignment w:val="auto"/>
              <w:rPr>
                <w:rFonts w:hint="eastAsia" w:ascii="仿宋" w:hAnsi="仿宋" w:eastAsia="仿宋" w:cs="仿宋"/>
                <w:highlight w:val="none"/>
              </w:rPr>
            </w:pPr>
            <w:r>
              <w:rPr>
                <w:rFonts w:hint="eastAsia" w:ascii="仿宋" w:hAnsi="仿宋" w:eastAsia="仿宋" w:cs="仿宋"/>
                <w:highlight w:val="none"/>
              </w:rPr>
              <w:t>数量</w:t>
            </w:r>
          </w:p>
        </w:tc>
        <w:tc>
          <w:tcPr>
            <w:tcW w:w="4909" w:type="dxa"/>
            <w:tcBorders>
              <w:top w:val="single" w:color="auto" w:sz="4" w:space="0"/>
              <w:left w:val="single" w:color="auto" w:sz="4" w:space="0"/>
              <w:bottom w:val="single" w:color="auto" w:sz="4" w:space="0"/>
              <w:right w:val="single" w:color="auto" w:sz="4" w:space="0"/>
            </w:tcBorders>
            <w:vAlign w:val="center"/>
          </w:tcPr>
          <w:p w14:paraId="7A1D0B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jc w:val="center"/>
              <w:textAlignment w:val="auto"/>
              <w:rPr>
                <w:rFonts w:hint="eastAsia" w:ascii="仿宋" w:hAnsi="仿宋" w:eastAsia="仿宋" w:cs="仿宋"/>
                <w:highlight w:val="none"/>
              </w:rPr>
            </w:pPr>
            <w:r>
              <w:rPr>
                <w:rFonts w:hint="eastAsia" w:ascii="仿宋" w:hAnsi="仿宋" w:eastAsia="仿宋" w:cs="仿宋"/>
                <w:highlight w:val="none"/>
              </w:rPr>
              <w:t>服务参数</w:t>
            </w:r>
          </w:p>
        </w:tc>
        <w:tc>
          <w:tcPr>
            <w:tcW w:w="1064" w:type="dxa"/>
            <w:tcBorders>
              <w:top w:val="single" w:color="auto" w:sz="4" w:space="0"/>
              <w:left w:val="single" w:color="auto" w:sz="4" w:space="0"/>
              <w:bottom w:val="single" w:color="auto" w:sz="4" w:space="0"/>
              <w:right w:val="single" w:color="auto" w:sz="4" w:space="0"/>
            </w:tcBorders>
            <w:vAlign w:val="center"/>
          </w:tcPr>
          <w:p w14:paraId="1E3F64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jc w:val="center"/>
              <w:textAlignment w:val="auto"/>
              <w:rPr>
                <w:rFonts w:hint="eastAsia" w:ascii="仿宋" w:hAnsi="仿宋" w:eastAsia="仿宋" w:cs="仿宋"/>
                <w:highlight w:val="none"/>
              </w:rPr>
            </w:pPr>
            <w:r>
              <w:rPr>
                <w:rFonts w:hint="eastAsia" w:ascii="仿宋" w:hAnsi="仿宋" w:eastAsia="仿宋" w:cs="仿宋"/>
                <w:highlight w:val="none"/>
                <w:lang w:eastAsia="zh-CN"/>
              </w:rPr>
              <w:t>分项</w:t>
            </w:r>
            <w:r>
              <w:rPr>
                <w:rFonts w:hint="eastAsia" w:ascii="仿宋" w:hAnsi="仿宋" w:eastAsia="仿宋" w:cs="仿宋"/>
                <w:highlight w:val="none"/>
              </w:rPr>
              <w:t>预算合计（元）</w:t>
            </w:r>
          </w:p>
        </w:tc>
        <w:tc>
          <w:tcPr>
            <w:tcW w:w="1168" w:type="dxa"/>
            <w:tcBorders>
              <w:top w:val="single" w:color="auto" w:sz="4" w:space="0"/>
              <w:left w:val="single" w:color="auto" w:sz="4" w:space="0"/>
              <w:bottom w:val="single" w:color="auto" w:sz="4" w:space="0"/>
              <w:right w:val="single" w:color="auto" w:sz="4" w:space="0"/>
            </w:tcBorders>
            <w:vAlign w:val="center"/>
          </w:tcPr>
          <w:p w14:paraId="5C06DC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00" w:lineRule="atLeast"/>
              <w:ind w:left="0" w:right="0"/>
              <w:jc w:val="center"/>
              <w:textAlignment w:val="auto"/>
              <w:rPr>
                <w:rFonts w:hint="eastAsia" w:ascii="仿宋" w:hAnsi="仿宋" w:eastAsia="仿宋" w:cs="仿宋"/>
                <w:highlight w:val="none"/>
              </w:rPr>
            </w:pPr>
            <w:r>
              <w:rPr>
                <w:rFonts w:hint="eastAsia" w:ascii="仿宋" w:hAnsi="仿宋" w:eastAsia="仿宋" w:cs="仿宋"/>
                <w:highlight w:val="none"/>
              </w:rPr>
              <w:t>中小企业划分标准所属行业名称（行业名称及划分见本章附件2）</w:t>
            </w:r>
          </w:p>
        </w:tc>
      </w:tr>
      <w:tr w14:paraId="115021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429" w:type="dxa"/>
            <w:vMerge w:val="continue"/>
            <w:tcBorders>
              <w:left w:val="single" w:color="auto" w:sz="4" w:space="0"/>
              <w:right w:val="single" w:color="auto" w:sz="4" w:space="0"/>
            </w:tcBorders>
            <w:tcMar>
              <w:top w:w="0" w:type="dxa"/>
              <w:left w:w="0" w:type="dxa"/>
              <w:bottom w:w="0" w:type="dxa"/>
              <w:right w:w="0" w:type="dxa"/>
            </w:tcMar>
            <w:vAlign w:val="center"/>
          </w:tcPr>
          <w:p w14:paraId="3840A4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jc w:val="center"/>
              <w:textAlignment w:val="auto"/>
              <w:rPr>
                <w:rFonts w:hint="eastAsia" w:ascii="仿宋" w:hAnsi="仿宋" w:eastAsia="仿宋" w:cs="仿宋"/>
                <w:highlight w:val="none"/>
              </w:rPr>
            </w:pPr>
          </w:p>
        </w:tc>
        <w:tc>
          <w:tcPr>
            <w:tcW w:w="464" w:type="dxa"/>
            <w:tcBorders>
              <w:top w:val="single" w:color="auto" w:sz="4" w:space="0"/>
              <w:left w:val="single" w:color="auto" w:sz="4" w:space="0"/>
              <w:bottom w:val="single" w:color="auto" w:sz="4" w:space="0"/>
              <w:right w:val="single" w:color="auto" w:sz="4" w:space="0"/>
            </w:tcBorders>
            <w:vAlign w:val="center"/>
          </w:tcPr>
          <w:p w14:paraId="6F78BC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jc w:val="center"/>
              <w:textAlignment w:val="auto"/>
              <w:rPr>
                <w:rFonts w:hint="eastAsia" w:ascii="仿宋" w:hAnsi="仿宋" w:eastAsia="仿宋" w:cs="仿宋"/>
                <w:szCs w:val="21"/>
                <w:highlight w:val="none"/>
              </w:rPr>
            </w:pPr>
            <w:r>
              <w:rPr>
                <w:rFonts w:hint="eastAsia" w:ascii="仿宋" w:hAnsi="仿宋" w:eastAsia="仿宋" w:cs="仿宋"/>
                <w:szCs w:val="21"/>
                <w:highlight w:val="none"/>
              </w:rPr>
              <w:t>1</w:t>
            </w:r>
          </w:p>
        </w:tc>
        <w:tc>
          <w:tcPr>
            <w:tcW w:w="682" w:type="dxa"/>
            <w:tcBorders>
              <w:top w:val="single" w:color="auto" w:sz="4" w:space="0"/>
              <w:left w:val="single" w:color="auto" w:sz="4" w:space="0"/>
              <w:bottom w:val="single" w:color="auto" w:sz="4" w:space="0"/>
              <w:right w:val="single" w:color="auto" w:sz="4" w:space="0"/>
            </w:tcBorders>
            <w:vAlign w:val="center"/>
          </w:tcPr>
          <w:p w14:paraId="633ECE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jc w:val="center"/>
              <w:textAlignment w:val="auto"/>
              <w:rPr>
                <w:rFonts w:hint="eastAsia" w:ascii="仿宋" w:hAnsi="仿宋" w:eastAsia="仿宋" w:cs="仿宋"/>
                <w:highlight w:val="none"/>
                <w:lang w:eastAsia="zh-CN"/>
              </w:rPr>
            </w:pPr>
            <w:r>
              <w:rPr>
                <w:rFonts w:hint="eastAsia" w:ascii="仿宋" w:hAnsi="仿宋" w:eastAsia="仿宋" w:cs="仿宋"/>
                <w:highlight w:val="none"/>
                <w:lang w:eastAsia="zh-CN"/>
              </w:rPr>
              <w:t>南宁市公交企业客运成本规制补贴第三方专项审计项目</w:t>
            </w:r>
          </w:p>
        </w:tc>
        <w:tc>
          <w:tcPr>
            <w:tcW w:w="450" w:type="dxa"/>
            <w:tcBorders>
              <w:top w:val="single" w:color="auto" w:sz="4" w:space="0"/>
              <w:left w:val="single" w:color="auto" w:sz="4" w:space="0"/>
              <w:bottom w:val="single" w:color="auto" w:sz="4" w:space="0"/>
              <w:right w:val="single" w:color="auto" w:sz="4" w:space="0"/>
            </w:tcBorders>
            <w:vAlign w:val="center"/>
          </w:tcPr>
          <w:p w14:paraId="2AB485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jc w:val="center"/>
              <w:textAlignment w:val="auto"/>
              <w:rPr>
                <w:rFonts w:hint="eastAsia" w:ascii="仿宋" w:hAnsi="仿宋" w:eastAsia="仿宋" w:cs="仿宋"/>
                <w:szCs w:val="21"/>
                <w:highlight w:val="none"/>
              </w:rPr>
            </w:pPr>
            <w:r>
              <w:rPr>
                <w:rFonts w:hint="eastAsia" w:ascii="仿宋" w:hAnsi="仿宋" w:eastAsia="仿宋" w:cs="仿宋"/>
                <w:szCs w:val="21"/>
                <w:highlight w:val="none"/>
              </w:rPr>
              <w:t>项</w:t>
            </w:r>
          </w:p>
        </w:tc>
        <w:tc>
          <w:tcPr>
            <w:tcW w:w="464" w:type="dxa"/>
            <w:tcBorders>
              <w:top w:val="single" w:color="auto" w:sz="4" w:space="0"/>
              <w:left w:val="single" w:color="auto" w:sz="4" w:space="0"/>
              <w:bottom w:val="single" w:color="auto" w:sz="4" w:space="0"/>
              <w:right w:val="single" w:color="auto" w:sz="4" w:space="0"/>
            </w:tcBorders>
            <w:vAlign w:val="center"/>
          </w:tcPr>
          <w:p w14:paraId="78FCA7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jc w:val="center"/>
              <w:textAlignment w:val="auto"/>
              <w:rPr>
                <w:rFonts w:hint="eastAsia" w:ascii="仿宋" w:hAnsi="仿宋" w:eastAsia="仿宋" w:cs="仿宋"/>
                <w:szCs w:val="21"/>
                <w:highlight w:val="none"/>
              </w:rPr>
            </w:pPr>
            <w:r>
              <w:rPr>
                <w:rFonts w:hint="eastAsia" w:ascii="仿宋" w:hAnsi="仿宋" w:eastAsia="仿宋" w:cs="仿宋"/>
                <w:szCs w:val="21"/>
                <w:highlight w:val="none"/>
              </w:rPr>
              <w:t>1</w:t>
            </w:r>
          </w:p>
        </w:tc>
        <w:tc>
          <w:tcPr>
            <w:tcW w:w="4909" w:type="dxa"/>
            <w:tcBorders>
              <w:top w:val="single" w:color="auto" w:sz="4" w:space="0"/>
              <w:left w:val="single" w:color="auto" w:sz="4" w:space="0"/>
              <w:bottom w:val="single" w:color="auto" w:sz="4" w:space="0"/>
              <w:right w:val="single" w:color="auto" w:sz="4" w:space="0"/>
            </w:tcBorders>
            <w:vAlign w:val="center"/>
          </w:tcPr>
          <w:p w14:paraId="081A82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firstLine="422" w:firstLineChars="200"/>
              <w:textAlignment w:val="auto"/>
              <w:rPr>
                <w:rFonts w:hint="eastAsia" w:ascii="仿宋" w:hAnsi="仿宋" w:eastAsia="仿宋" w:cs="仿宋"/>
                <w:b/>
                <w:bCs/>
                <w:sz w:val="21"/>
                <w:szCs w:val="21"/>
              </w:rPr>
            </w:pPr>
            <w:r>
              <w:rPr>
                <w:rFonts w:hint="eastAsia" w:ascii="仿宋" w:hAnsi="仿宋" w:eastAsia="仿宋" w:cs="仿宋"/>
                <w:b/>
                <w:bCs/>
                <w:sz w:val="21"/>
                <w:szCs w:val="21"/>
              </w:rPr>
              <w:t>一、</w:t>
            </w:r>
            <w:r>
              <w:rPr>
                <w:rFonts w:hint="eastAsia" w:ascii="仿宋" w:hAnsi="仿宋" w:eastAsia="仿宋" w:cs="仿宋"/>
                <w:b/>
                <w:sz w:val="21"/>
                <w:szCs w:val="21"/>
              </w:rPr>
              <w:t>政策文件</w:t>
            </w:r>
            <w:r>
              <w:rPr>
                <w:rFonts w:hint="eastAsia" w:ascii="仿宋" w:hAnsi="仿宋" w:eastAsia="仿宋" w:cs="仿宋"/>
                <w:b/>
                <w:bCs/>
                <w:sz w:val="21"/>
                <w:szCs w:val="21"/>
              </w:rPr>
              <w:t>依据</w:t>
            </w:r>
          </w:p>
          <w:p w14:paraId="044E52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eastAsia" w:ascii="仿宋" w:hAnsi="仿宋" w:eastAsia="仿宋" w:cs="仿宋"/>
                <w:szCs w:val="21"/>
                <w:highlight w:val="none"/>
                <w:lang w:val="en-US" w:eastAsia="zh-CN"/>
              </w:rPr>
            </w:pPr>
            <w:r>
              <w:rPr>
                <w:rFonts w:hint="eastAsia" w:ascii="仿宋" w:hAnsi="仿宋" w:eastAsia="仿宋" w:cs="仿宋"/>
                <w:szCs w:val="21"/>
                <w:highlight w:val="none"/>
                <w:lang w:val="en-US" w:eastAsia="zh-CN"/>
              </w:rPr>
              <w:t>（一）《城市公共交通条例》（国务院令第793号）</w:t>
            </w:r>
          </w:p>
          <w:p w14:paraId="5D18B4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eastAsia" w:ascii="仿宋" w:hAnsi="仿宋" w:eastAsia="仿宋" w:cs="仿宋"/>
                <w:szCs w:val="21"/>
                <w:highlight w:val="none"/>
                <w:lang w:val="en-US" w:eastAsia="zh-CN"/>
              </w:rPr>
            </w:pPr>
            <w:r>
              <w:rPr>
                <w:rFonts w:hint="eastAsia" w:ascii="仿宋" w:hAnsi="仿宋" w:eastAsia="仿宋" w:cs="仿宋"/>
                <w:szCs w:val="21"/>
                <w:highlight w:val="none"/>
                <w:lang w:val="en-US" w:eastAsia="zh-CN"/>
              </w:rPr>
              <w:t>（二）城市公共汽车和电车客运管理规定（交通运输部令2017年第5号）</w:t>
            </w:r>
          </w:p>
          <w:p w14:paraId="25EC5E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eastAsia" w:ascii="仿宋" w:hAnsi="仿宋" w:eastAsia="仿宋" w:cs="仿宋"/>
                <w:szCs w:val="21"/>
                <w:highlight w:val="none"/>
                <w:lang w:val="en-US" w:eastAsia="zh-CN"/>
              </w:rPr>
            </w:pPr>
            <w:r>
              <w:rPr>
                <w:rFonts w:hint="eastAsia" w:ascii="仿宋" w:hAnsi="仿宋" w:eastAsia="仿宋" w:cs="仿宋"/>
                <w:szCs w:val="21"/>
                <w:highlight w:val="none"/>
                <w:lang w:val="en-US" w:eastAsia="zh-CN"/>
              </w:rPr>
              <w:t>（三）《交通运输部 国家发展和改革委员会 公安部 财政部 人力资源和社会保障部 自然资源部 国家金融监督管理总局 中国证券监督管理委员会 中华全国总工会 关于推进城市公共交通健康可持续发展的若干意见》（交运发〔2023〕144号）。</w:t>
            </w:r>
          </w:p>
          <w:p w14:paraId="656549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eastAsia" w:ascii="仿宋" w:hAnsi="仿宋" w:eastAsia="仿宋" w:cs="仿宋"/>
                <w:szCs w:val="21"/>
                <w:highlight w:val="none"/>
                <w:lang w:val="en-US" w:eastAsia="zh-CN"/>
              </w:rPr>
            </w:pPr>
            <w:r>
              <w:rPr>
                <w:rFonts w:hint="eastAsia" w:ascii="仿宋" w:hAnsi="仿宋" w:eastAsia="仿宋" w:cs="仿宋"/>
                <w:szCs w:val="21"/>
                <w:highlight w:val="none"/>
                <w:lang w:val="en-US" w:eastAsia="zh-CN"/>
              </w:rPr>
              <w:t>（四）《关于完善城市公交车成品油价格补助政策 加快新能源汽车推广应用的通知》（财建〔2015〕159号）</w:t>
            </w:r>
          </w:p>
          <w:p w14:paraId="187C53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eastAsia" w:ascii="仿宋" w:hAnsi="仿宋" w:eastAsia="仿宋" w:cs="仿宋"/>
                <w:szCs w:val="21"/>
                <w:highlight w:val="none"/>
                <w:lang w:val="en-US" w:eastAsia="zh-CN"/>
              </w:rPr>
            </w:pPr>
            <w:r>
              <w:rPr>
                <w:rFonts w:hint="eastAsia" w:ascii="仿宋" w:hAnsi="仿宋" w:eastAsia="仿宋" w:cs="仿宋"/>
                <w:szCs w:val="21"/>
                <w:highlight w:val="none"/>
                <w:lang w:val="en-US" w:eastAsia="zh-CN"/>
              </w:rPr>
              <w:t>（五）《关于完善广西城市公交车成品油价格补助政策加快广西新能源汽车推广应用的通知》（桂财建〔2016〕3号）</w:t>
            </w:r>
          </w:p>
          <w:p w14:paraId="0C1015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jc w:val="both"/>
              <w:textAlignment w:val="auto"/>
              <w:rPr>
                <w:rFonts w:hint="eastAsia" w:ascii="仿宋" w:hAnsi="仿宋" w:eastAsia="仿宋" w:cs="仿宋"/>
                <w:szCs w:val="21"/>
                <w:highlight w:val="none"/>
                <w:lang w:eastAsia="zh"/>
              </w:rPr>
            </w:pPr>
            <w:r>
              <w:rPr>
                <w:rFonts w:hint="eastAsia" w:ascii="仿宋" w:hAnsi="仿宋" w:eastAsia="仿宋" w:cs="仿宋"/>
                <w:szCs w:val="21"/>
                <w:highlight w:val="none"/>
                <w:lang w:val="en-US" w:eastAsia="zh-CN"/>
              </w:rPr>
              <w:t>（六）《南宁市公交企业财政补贴暂行办法》（南府办〔2012〕202号）、《南宁市公交企业客运成本规制财政补贴方案》（南府办函〔2012〕164号）和《南宁市公交企业客运成本规制财政补贴实施细则》等文件。</w:t>
            </w:r>
          </w:p>
          <w:p w14:paraId="1A7BC8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2" w:firstLineChars="200"/>
              <w:textAlignment w:val="auto"/>
              <w:rPr>
                <w:rFonts w:hint="eastAsia" w:ascii="仿宋" w:hAnsi="仿宋" w:eastAsia="仿宋" w:cs="仿宋"/>
                <w:b/>
                <w:bCs/>
                <w:sz w:val="21"/>
                <w:szCs w:val="21"/>
                <w:highlight w:val="none"/>
              </w:rPr>
            </w:pPr>
            <w:r>
              <w:rPr>
                <w:rFonts w:hint="eastAsia" w:ascii="仿宋" w:hAnsi="仿宋" w:eastAsia="仿宋" w:cs="仿宋"/>
                <w:b/>
                <w:bCs/>
                <w:szCs w:val="22"/>
                <w:highlight w:val="none"/>
              </w:rPr>
              <w:t>二、工作</w:t>
            </w:r>
            <w:r>
              <w:rPr>
                <w:rFonts w:hint="eastAsia" w:ascii="仿宋" w:hAnsi="仿宋" w:eastAsia="仿宋" w:cs="仿宋"/>
                <w:b/>
                <w:bCs/>
                <w:sz w:val="21"/>
                <w:szCs w:val="21"/>
                <w:highlight w:val="none"/>
              </w:rPr>
              <w:t>开展要求</w:t>
            </w:r>
          </w:p>
          <w:p w14:paraId="345BC6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firstLine="420" w:firstLineChars="200"/>
              <w:jc w:val="both"/>
              <w:textAlignment w:val="auto"/>
              <w:rPr>
                <w:rFonts w:hint="eastAsia" w:ascii="仿宋" w:hAnsi="仿宋" w:eastAsia="仿宋" w:cs="仿宋"/>
                <w:b w:val="0"/>
                <w:bCs/>
                <w:kern w:val="1"/>
                <w:szCs w:val="20"/>
                <w:highlight w:val="none"/>
                <w:lang w:val="en-US" w:eastAsia="zh-CN"/>
              </w:rPr>
            </w:pPr>
            <w:r>
              <w:rPr>
                <w:rFonts w:hint="eastAsia" w:ascii="仿宋" w:hAnsi="仿宋" w:eastAsia="仿宋" w:cs="仿宋"/>
                <w:b w:val="0"/>
                <w:bCs/>
                <w:kern w:val="1"/>
                <w:szCs w:val="20"/>
                <w:highlight w:val="none"/>
                <w:lang w:val="en-US" w:eastAsia="zh-CN"/>
              </w:rPr>
              <w:t>根据相关政策要求，组织第三方机构对南宁市主城区公交企业2026年度公交财政补贴、南宁市（含县份）公交企业节能与新能源公交车推广应用情况进行专项审计，出具专项审计报告。2026年度南宁市公交财政补贴专项审计要求对市主城区各公交企业公交线路驻点检查，跟车抽查，审计报告内容包括公交线路运营里程、客流量核定，企业内部控制分析、车均运营收入、成本、损耗的对比分析等，确定财政补贴总额，审计报告涵盖全行业的总体审计报告、各公交企业的审计报告，要有财务分析、发现存在问题、企业整改意见等；2026年度南宁市（含县份）公交企业节能与新能源公交车推广应用情况专项审计包括各企业新能源及节能公交车管理情况、新增或更新情况、新能源及节能公交车行驶里程数据等。审计工作要求对公交企业成本支出是否合法、合规、合理、规范提出意见，对公交企业收入是否完整、准确，收入确认制度和流程是否完整、有效、准确提出意见。形成公交企业成本支出和收入专题分析报告。</w:t>
            </w:r>
          </w:p>
        </w:tc>
        <w:tc>
          <w:tcPr>
            <w:tcW w:w="1064" w:type="dxa"/>
            <w:tcBorders>
              <w:top w:val="single" w:color="auto" w:sz="4" w:space="0"/>
              <w:left w:val="single" w:color="auto" w:sz="4" w:space="0"/>
              <w:bottom w:val="single" w:color="auto" w:sz="4" w:space="0"/>
              <w:right w:val="single" w:color="auto" w:sz="4" w:space="0"/>
            </w:tcBorders>
            <w:vAlign w:val="center"/>
          </w:tcPr>
          <w:p w14:paraId="365A28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jc w:val="center"/>
              <w:textAlignment w:val="auto"/>
              <w:rPr>
                <w:rFonts w:hint="eastAsia" w:ascii="仿宋" w:hAnsi="仿宋" w:eastAsia="仿宋" w:cs="仿宋"/>
                <w:szCs w:val="21"/>
                <w:highlight w:val="none"/>
              </w:rPr>
            </w:pPr>
            <w:r>
              <w:rPr>
                <w:rFonts w:hint="eastAsia" w:ascii="仿宋" w:hAnsi="仿宋" w:eastAsia="仿宋" w:cs="仿宋"/>
                <w:szCs w:val="21"/>
                <w:highlight w:val="none"/>
                <w:lang w:eastAsia="zh-CN"/>
              </w:rPr>
              <w:t>450000.00</w:t>
            </w:r>
          </w:p>
        </w:tc>
        <w:tc>
          <w:tcPr>
            <w:tcW w:w="1168" w:type="dxa"/>
            <w:tcBorders>
              <w:top w:val="single" w:color="auto" w:sz="4" w:space="0"/>
              <w:left w:val="single" w:color="auto" w:sz="4" w:space="0"/>
              <w:bottom w:val="single" w:color="auto" w:sz="4" w:space="0"/>
              <w:right w:val="single" w:color="auto" w:sz="4" w:space="0"/>
            </w:tcBorders>
            <w:vAlign w:val="center"/>
          </w:tcPr>
          <w:p w14:paraId="29494B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jc w:val="center"/>
              <w:textAlignment w:val="auto"/>
              <w:rPr>
                <w:rFonts w:hint="eastAsia" w:ascii="仿宋" w:hAnsi="仿宋" w:eastAsia="仿宋" w:cs="仿宋"/>
                <w:szCs w:val="21"/>
                <w:highlight w:val="none"/>
                <w:lang w:val="en-US"/>
              </w:rPr>
            </w:pPr>
            <w:r>
              <w:rPr>
                <w:rFonts w:hint="eastAsia" w:ascii="仿宋" w:hAnsi="仿宋" w:eastAsia="仿宋" w:cs="仿宋"/>
                <w:szCs w:val="21"/>
                <w:highlight w:val="none"/>
                <w:lang w:val="en-US" w:eastAsia="zh-CN"/>
              </w:rPr>
              <w:t>其他未列明行业</w:t>
            </w:r>
          </w:p>
        </w:tc>
      </w:tr>
      <w:tr w14:paraId="7ACD82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47" w:hRule="atLeast"/>
          <w:jc w:val="center"/>
        </w:trPr>
        <w:tc>
          <w:tcPr>
            <w:tcW w:w="429" w:type="dxa"/>
            <w:tcBorders>
              <w:top w:val="single" w:color="auto" w:sz="4" w:space="0"/>
              <w:left w:val="single" w:color="auto" w:sz="4" w:space="0"/>
              <w:bottom w:val="single" w:color="auto" w:sz="4" w:space="0"/>
              <w:right w:val="single" w:color="auto" w:sz="4" w:space="0"/>
            </w:tcBorders>
            <w:vAlign w:val="center"/>
          </w:tcPr>
          <w:p w14:paraId="464404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jc w:val="center"/>
              <w:textAlignment w:val="auto"/>
              <w:rPr>
                <w:rFonts w:hint="eastAsia" w:ascii="仿宋" w:hAnsi="仿宋" w:eastAsia="仿宋" w:cs="仿宋"/>
                <w:sz w:val="24"/>
                <w:highlight w:val="none"/>
              </w:rPr>
            </w:pPr>
            <w:r>
              <w:rPr>
                <w:rFonts w:hint="eastAsia" w:ascii="仿宋" w:hAnsi="仿宋" w:eastAsia="仿宋" w:cs="仿宋"/>
                <w:szCs w:val="21"/>
                <w:highlight w:val="none"/>
              </w:rPr>
              <w:t>商务条款</w:t>
            </w:r>
          </w:p>
        </w:tc>
        <w:tc>
          <w:tcPr>
            <w:tcW w:w="9201" w:type="dxa"/>
            <w:gridSpan w:val="7"/>
            <w:tcBorders>
              <w:top w:val="single" w:color="auto" w:sz="4" w:space="0"/>
              <w:left w:val="single" w:color="auto" w:sz="4" w:space="0"/>
              <w:bottom w:val="single" w:color="auto" w:sz="4" w:space="0"/>
              <w:right w:val="single" w:color="auto" w:sz="4" w:space="0"/>
            </w:tcBorders>
            <w:vAlign w:val="center"/>
          </w:tcPr>
          <w:p w14:paraId="17A8AF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firstLine="422" w:firstLineChars="200"/>
              <w:textAlignment w:val="auto"/>
              <w:rPr>
                <w:rFonts w:hint="eastAsia" w:ascii="仿宋" w:hAnsi="仿宋" w:eastAsia="仿宋" w:cs="仿宋"/>
                <w:highlight w:val="none"/>
              </w:rPr>
            </w:pPr>
            <w:r>
              <w:rPr>
                <w:rFonts w:hint="eastAsia" w:ascii="仿宋" w:hAnsi="仿宋" w:eastAsia="仿宋" w:cs="仿宋"/>
                <w:b/>
                <w:bCs/>
                <w:highlight w:val="none"/>
              </w:rPr>
              <w:t>一、合同签订期：</w:t>
            </w:r>
            <w:r>
              <w:rPr>
                <w:rFonts w:hint="eastAsia" w:ascii="仿宋" w:hAnsi="仿宋" w:eastAsia="仿宋" w:cs="仿宋"/>
                <w:highlight w:val="none"/>
              </w:rPr>
              <w:t>自成交通知书发出之日起25日内。</w:t>
            </w:r>
          </w:p>
          <w:p w14:paraId="1C16DE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firstLine="422" w:firstLineChars="200"/>
              <w:textAlignment w:val="auto"/>
              <w:rPr>
                <w:rFonts w:hint="eastAsia" w:ascii="仿宋" w:hAnsi="仿宋" w:eastAsia="仿宋" w:cs="仿宋"/>
                <w:highlight w:val="none"/>
              </w:rPr>
            </w:pPr>
            <w:r>
              <w:rPr>
                <w:rFonts w:hint="eastAsia" w:ascii="仿宋" w:hAnsi="仿宋" w:eastAsia="仿宋" w:cs="仿宋"/>
                <w:b/>
                <w:bCs/>
                <w:highlight w:val="none"/>
              </w:rPr>
              <w:t>▲二、合同履</w:t>
            </w:r>
            <w:r>
              <w:rPr>
                <w:rFonts w:hint="eastAsia" w:ascii="仿宋" w:hAnsi="仿宋" w:eastAsia="仿宋" w:cs="仿宋"/>
                <w:b/>
                <w:bCs/>
                <w:highlight w:val="none"/>
                <w:lang w:val="en-US" w:eastAsia="zh-CN"/>
              </w:rPr>
              <w:t>约</w:t>
            </w:r>
            <w:r>
              <w:rPr>
                <w:rFonts w:hint="eastAsia" w:ascii="仿宋" w:hAnsi="仿宋" w:eastAsia="仿宋" w:cs="仿宋"/>
                <w:b/>
                <w:bCs/>
                <w:highlight w:val="none"/>
              </w:rPr>
              <w:t>期限：</w:t>
            </w:r>
          </w:p>
          <w:p w14:paraId="0E7A90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firstLine="420" w:firstLineChars="200"/>
              <w:textAlignment w:val="auto"/>
              <w:rPr>
                <w:rFonts w:hint="eastAsia" w:ascii="仿宋" w:hAnsi="仿宋" w:eastAsia="仿宋" w:cs="仿宋"/>
                <w:highlight w:val="none"/>
                <w:lang w:val="en-US" w:eastAsia="zh-CN"/>
              </w:rPr>
            </w:pPr>
            <w:r>
              <w:rPr>
                <w:rFonts w:hint="eastAsia" w:ascii="仿宋" w:hAnsi="仿宋" w:eastAsia="仿宋" w:cs="仿宋"/>
                <w:highlight w:val="none"/>
                <w:lang w:val="en-US" w:eastAsia="zh-CN"/>
              </w:rPr>
              <w:t>（一）2026年11月10日前，提交2026年度南宁市公交财政补贴、南宁市（含县份）公交企业节能与新能源公交车推广应用情况专项审计工作实施方案；</w:t>
            </w:r>
          </w:p>
          <w:p w14:paraId="0BBD09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firstLine="420" w:firstLineChars="200"/>
              <w:textAlignment w:val="auto"/>
              <w:rPr>
                <w:rFonts w:hint="eastAsia" w:ascii="仿宋" w:hAnsi="仿宋" w:eastAsia="仿宋" w:cs="仿宋"/>
                <w:highlight w:val="none"/>
                <w:lang w:val="en-US" w:eastAsia="zh-CN"/>
              </w:rPr>
            </w:pPr>
            <w:r>
              <w:rPr>
                <w:rFonts w:hint="eastAsia" w:ascii="仿宋" w:hAnsi="仿宋" w:eastAsia="仿宋" w:cs="仿宋"/>
                <w:highlight w:val="none"/>
                <w:lang w:val="en-US" w:eastAsia="zh-CN"/>
              </w:rPr>
              <w:t>（二）2027年2月28日前，提交2026年度南宁市（含县份）公交企业节能与新能源公交车推广应用情况专项审计报告；</w:t>
            </w:r>
          </w:p>
          <w:p w14:paraId="3664AC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firstLine="420" w:firstLineChars="200"/>
              <w:textAlignment w:val="auto"/>
              <w:rPr>
                <w:rFonts w:hint="eastAsia" w:ascii="仿宋" w:hAnsi="仿宋" w:eastAsia="仿宋" w:cs="仿宋"/>
                <w:highlight w:val="none"/>
              </w:rPr>
            </w:pPr>
            <w:r>
              <w:rPr>
                <w:rFonts w:hint="eastAsia" w:ascii="仿宋" w:hAnsi="仿宋" w:eastAsia="仿宋" w:cs="仿宋"/>
                <w:highlight w:val="none"/>
                <w:lang w:val="en-US" w:eastAsia="zh-CN"/>
              </w:rPr>
              <w:t>（三）2027年5月30日前，提交2026年度南宁市公交财政补贴审计报告。</w:t>
            </w:r>
          </w:p>
          <w:p w14:paraId="79603D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firstLine="422" w:firstLineChars="200"/>
              <w:textAlignment w:val="auto"/>
              <w:rPr>
                <w:rFonts w:hint="eastAsia" w:ascii="仿宋" w:hAnsi="仿宋" w:eastAsia="仿宋" w:cs="仿宋"/>
                <w:highlight w:val="none"/>
              </w:rPr>
            </w:pPr>
            <w:r>
              <w:rPr>
                <w:rFonts w:hint="eastAsia" w:ascii="仿宋" w:hAnsi="仿宋" w:eastAsia="仿宋" w:cs="仿宋"/>
                <w:b/>
                <w:bCs/>
                <w:highlight w:val="none"/>
              </w:rPr>
              <w:t>三、提交服务成果地点：</w:t>
            </w:r>
            <w:r>
              <w:rPr>
                <w:rFonts w:hint="eastAsia" w:ascii="仿宋" w:hAnsi="仿宋" w:eastAsia="仿宋" w:cs="仿宋"/>
                <w:highlight w:val="none"/>
              </w:rPr>
              <w:t xml:space="preserve">南宁市 </w:t>
            </w:r>
          </w:p>
          <w:p w14:paraId="5140A7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firstLine="422" w:firstLineChars="200"/>
              <w:textAlignment w:val="auto"/>
              <w:rPr>
                <w:rFonts w:hint="eastAsia" w:ascii="仿宋" w:hAnsi="仿宋" w:eastAsia="仿宋" w:cs="仿宋"/>
                <w:b/>
                <w:bCs/>
                <w:highlight w:val="none"/>
              </w:rPr>
            </w:pPr>
            <w:r>
              <w:rPr>
                <w:rFonts w:hint="eastAsia" w:ascii="仿宋" w:hAnsi="仿宋" w:eastAsia="仿宋" w:cs="仿宋"/>
                <w:b/>
                <w:bCs/>
                <w:highlight w:val="none"/>
              </w:rPr>
              <w:t>四、提交成果要求：</w:t>
            </w:r>
          </w:p>
          <w:p w14:paraId="5BC1F1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firstLine="420" w:firstLineChars="200"/>
              <w:textAlignment w:val="auto"/>
              <w:rPr>
                <w:rFonts w:hint="eastAsia" w:ascii="仿宋" w:hAnsi="仿宋" w:eastAsia="仿宋" w:cs="仿宋"/>
                <w:highlight w:val="none"/>
              </w:rPr>
            </w:pPr>
            <w:r>
              <w:rPr>
                <w:rFonts w:hint="eastAsia" w:ascii="仿宋" w:hAnsi="仿宋" w:eastAsia="仿宋" w:cs="仿宋"/>
                <w:highlight w:val="none"/>
              </w:rPr>
              <w:t>1、响应时磋商供应商需根据采购需求服务内容提交相应《工作时间计划表》，列明拟定完成各阶段工作的工作时间、工作内容以及责任主体。在本项目咨询服务实施时，成交供应商必须根据《工作时间计划表》提交相应的阶段性成果文件。项目完成时将系统的全部有关文件、资料等文档汇集成册交付采购人。服务期工作报告与服务成果清单作为采购人支付合同款的依据。</w:t>
            </w:r>
          </w:p>
          <w:p w14:paraId="2CD33D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firstLine="420" w:firstLineChars="200"/>
              <w:textAlignment w:val="auto"/>
              <w:rPr>
                <w:rFonts w:hint="eastAsia" w:ascii="仿宋" w:hAnsi="仿宋" w:eastAsia="仿宋" w:cs="仿宋"/>
                <w:highlight w:val="none"/>
              </w:rPr>
            </w:pPr>
            <w:r>
              <w:rPr>
                <w:rFonts w:hint="eastAsia" w:ascii="仿宋" w:hAnsi="仿宋" w:eastAsia="仿宋" w:cs="仿宋"/>
                <w:highlight w:val="none"/>
              </w:rPr>
              <w:t>2、提交服务成果资料份数：一式</w:t>
            </w:r>
            <w:r>
              <w:rPr>
                <w:rFonts w:hint="eastAsia" w:ascii="仿宋" w:hAnsi="仿宋" w:eastAsia="仿宋" w:cs="仿宋"/>
                <w:highlight w:val="none"/>
                <w:lang w:val="en-US" w:eastAsia="zh-CN"/>
              </w:rPr>
              <w:t>五</w:t>
            </w:r>
            <w:r>
              <w:rPr>
                <w:rFonts w:hint="eastAsia" w:ascii="仿宋" w:hAnsi="仿宋" w:eastAsia="仿宋" w:cs="仿宋"/>
                <w:highlight w:val="none"/>
              </w:rPr>
              <w:t>份。</w:t>
            </w:r>
          </w:p>
          <w:p w14:paraId="2CBEED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firstLine="422" w:firstLineChars="200"/>
              <w:textAlignment w:val="auto"/>
              <w:rPr>
                <w:rFonts w:hint="eastAsia" w:ascii="仿宋" w:hAnsi="仿宋" w:eastAsia="仿宋" w:cs="仿宋"/>
                <w:b/>
                <w:bCs/>
                <w:highlight w:val="none"/>
              </w:rPr>
            </w:pPr>
            <w:r>
              <w:rPr>
                <w:rFonts w:hint="eastAsia" w:ascii="仿宋" w:hAnsi="仿宋" w:eastAsia="仿宋" w:cs="仿宋"/>
                <w:b/>
                <w:bCs/>
                <w:highlight w:val="none"/>
              </w:rPr>
              <w:t>五、售后服务要求：</w:t>
            </w:r>
          </w:p>
          <w:p w14:paraId="0D2BC2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firstLine="420" w:firstLineChars="200"/>
              <w:textAlignment w:val="auto"/>
              <w:rPr>
                <w:rFonts w:hint="eastAsia" w:ascii="仿宋" w:hAnsi="仿宋" w:eastAsia="仿宋" w:cs="仿宋"/>
                <w:highlight w:val="none"/>
              </w:rPr>
            </w:pPr>
            <w:r>
              <w:rPr>
                <w:rFonts w:hint="eastAsia" w:ascii="仿宋" w:hAnsi="仿宋" w:eastAsia="仿宋" w:cs="仿宋"/>
                <w:highlight w:val="none"/>
              </w:rPr>
              <w:t>1、质量保证期：符合国家法律法规、地方有关现行条例制度要求。</w:t>
            </w:r>
          </w:p>
          <w:p w14:paraId="16F578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firstLine="420" w:firstLineChars="200"/>
              <w:textAlignment w:val="auto"/>
              <w:rPr>
                <w:rFonts w:hint="eastAsia" w:ascii="仿宋" w:hAnsi="仿宋" w:eastAsia="仿宋" w:cs="仿宋"/>
                <w:highlight w:val="none"/>
              </w:rPr>
            </w:pPr>
            <w:r>
              <w:rPr>
                <w:rFonts w:hint="eastAsia" w:ascii="仿宋" w:hAnsi="仿宋" w:eastAsia="仿宋" w:cs="仿宋"/>
                <w:highlight w:val="none"/>
              </w:rPr>
              <w:t>2、根据工作对接会、协调会、验收等意见相应修改完善服务成果。</w:t>
            </w:r>
          </w:p>
          <w:p w14:paraId="6A1DDB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firstLine="420" w:firstLineChars="200"/>
              <w:textAlignment w:val="auto"/>
              <w:rPr>
                <w:rFonts w:hint="eastAsia" w:ascii="仿宋" w:hAnsi="仿宋" w:eastAsia="仿宋" w:cs="仿宋"/>
                <w:highlight w:val="none"/>
              </w:rPr>
            </w:pPr>
            <w:r>
              <w:rPr>
                <w:rFonts w:hint="eastAsia" w:ascii="仿宋" w:hAnsi="仿宋" w:eastAsia="仿宋" w:cs="仿宋"/>
                <w:highlight w:val="none"/>
              </w:rPr>
              <w:t>3、处理问题响应时间：在服务期内，供应商接到采购人通知后</w:t>
            </w:r>
            <w:r>
              <w:rPr>
                <w:rFonts w:hint="eastAsia" w:ascii="仿宋" w:hAnsi="仿宋" w:eastAsia="仿宋" w:cs="仿宋"/>
                <w:highlight w:val="none"/>
                <w:lang w:val="en-US" w:eastAsia="zh-CN"/>
              </w:rPr>
              <w:t>8</w:t>
            </w:r>
            <w:r>
              <w:rPr>
                <w:rFonts w:hint="eastAsia" w:ascii="仿宋" w:hAnsi="仿宋" w:eastAsia="仿宋" w:cs="仿宋"/>
                <w:highlight w:val="none"/>
              </w:rPr>
              <w:t>小时内到达指定地点并切实有效解决问题。</w:t>
            </w:r>
          </w:p>
          <w:p w14:paraId="606E2A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firstLine="420" w:firstLineChars="200"/>
              <w:textAlignment w:val="auto"/>
              <w:rPr>
                <w:rFonts w:hint="eastAsia" w:ascii="仿宋" w:hAnsi="仿宋" w:eastAsia="仿宋" w:cs="仿宋"/>
                <w:highlight w:val="none"/>
              </w:rPr>
            </w:pPr>
            <w:r>
              <w:rPr>
                <w:rFonts w:hint="eastAsia" w:ascii="仿宋" w:hAnsi="仿宋" w:eastAsia="仿宋" w:cs="仿宋"/>
                <w:highlight w:val="none"/>
              </w:rPr>
              <w:t>4、成交供应商对拟投入项目组人员辞退或者离职或者调整的应提前1个月书面通知采购人，对拟投入项目组人员调动的应提前1个月书面通知采购人且获得书面同意后方可调动，并对以上情况及时补充相应人员，同时确保人员在离岗前完成交接手续。</w:t>
            </w:r>
          </w:p>
          <w:p w14:paraId="6E48FC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2" w:firstLineChars="200"/>
              <w:textAlignment w:val="auto"/>
              <w:rPr>
                <w:rFonts w:hint="eastAsia" w:ascii="仿宋" w:hAnsi="仿宋" w:eastAsia="仿宋" w:cs="仿宋"/>
                <w:highlight w:val="none"/>
              </w:rPr>
            </w:pPr>
            <w:r>
              <w:rPr>
                <w:rFonts w:hint="eastAsia" w:ascii="仿宋" w:hAnsi="仿宋" w:eastAsia="仿宋" w:cs="仿宋"/>
                <w:b/>
                <w:bCs/>
                <w:highlight w:val="none"/>
              </w:rPr>
              <w:t>六、其他要求</w:t>
            </w:r>
            <w:r>
              <w:rPr>
                <w:rFonts w:hint="eastAsia" w:ascii="仿宋" w:hAnsi="仿宋" w:eastAsia="仿宋" w:cs="仿宋"/>
                <w:highlight w:val="none"/>
              </w:rPr>
              <w:t>：</w:t>
            </w:r>
          </w:p>
          <w:p w14:paraId="030EF0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仿宋" w:hAnsi="仿宋" w:eastAsia="仿宋" w:cs="仿宋"/>
                <w:highlight w:val="none"/>
              </w:rPr>
            </w:pPr>
            <w:r>
              <w:rPr>
                <w:rFonts w:hint="eastAsia" w:ascii="仿宋" w:hAnsi="仿宋" w:eastAsia="仿宋" w:cs="仿宋"/>
                <w:highlight w:val="none"/>
              </w:rPr>
              <w:t>1、报价必须含以下部分，包括：</w:t>
            </w:r>
          </w:p>
          <w:p w14:paraId="26F7F1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仿宋" w:hAnsi="仿宋" w:eastAsia="仿宋" w:cs="仿宋"/>
                <w:highlight w:val="none"/>
              </w:rPr>
            </w:pPr>
            <w:r>
              <w:rPr>
                <w:rFonts w:hint="eastAsia" w:ascii="仿宋" w:hAnsi="仿宋" w:eastAsia="仿宋" w:cs="仿宋"/>
                <w:highlight w:val="none"/>
              </w:rPr>
              <w:t>（1）本项目所涉及的咨询服务费；</w:t>
            </w:r>
          </w:p>
          <w:p w14:paraId="69C934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仿宋" w:hAnsi="仿宋" w:eastAsia="仿宋" w:cs="仿宋"/>
                <w:highlight w:val="none"/>
              </w:rPr>
            </w:pPr>
            <w:r>
              <w:rPr>
                <w:rFonts w:hint="eastAsia" w:ascii="仿宋" w:hAnsi="仿宋" w:eastAsia="仿宋" w:cs="仿宋"/>
                <w:highlight w:val="none"/>
              </w:rPr>
              <w:t>（2）包括但不限于所有编制费、调查与分析、报告汇报等费用；</w:t>
            </w:r>
          </w:p>
          <w:p w14:paraId="0289C5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仿宋" w:hAnsi="仿宋" w:eastAsia="仿宋" w:cs="仿宋"/>
                <w:highlight w:val="none"/>
              </w:rPr>
            </w:pPr>
            <w:r>
              <w:rPr>
                <w:rFonts w:hint="eastAsia" w:ascii="仿宋" w:hAnsi="仿宋" w:eastAsia="仿宋" w:cs="仿宋"/>
                <w:highlight w:val="none"/>
              </w:rPr>
              <w:t>（3）项目技术支持费用、培训费用、成果文件费用；</w:t>
            </w:r>
          </w:p>
          <w:p w14:paraId="0551C5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仿宋" w:hAnsi="仿宋" w:eastAsia="仿宋" w:cs="仿宋"/>
                <w:highlight w:val="none"/>
              </w:rPr>
            </w:pPr>
            <w:r>
              <w:rPr>
                <w:rFonts w:hint="eastAsia" w:ascii="仿宋" w:hAnsi="仿宋" w:eastAsia="仿宋" w:cs="仿宋"/>
                <w:highlight w:val="none"/>
              </w:rPr>
              <w:t>（4）工作人员工资、交通及差旅费、办公费、管理费、合理利润及税费等与本项目有关的一切费用。</w:t>
            </w:r>
          </w:p>
          <w:p w14:paraId="6A367C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2" w:firstLineChars="200"/>
              <w:textAlignment w:val="auto"/>
              <w:rPr>
                <w:rFonts w:hint="eastAsia" w:ascii="仿宋" w:hAnsi="仿宋" w:eastAsia="仿宋" w:cs="仿宋"/>
                <w:b/>
                <w:bCs/>
                <w:highlight w:val="none"/>
              </w:rPr>
            </w:pPr>
            <w:r>
              <w:rPr>
                <w:rFonts w:hint="eastAsia" w:ascii="仿宋" w:hAnsi="仿宋" w:eastAsia="仿宋" w:cs="仿宋"/>
                <w:b/>
                <w:bCs/>
                <w:highlight w:val="none"/>
              </w:rPr>
              <w:t>七、报价形式：总价包干。</w:t>
            </w:r>
          </w:p>
          <w:p w14:paraId="5CF612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2" w:firstLineChars="200"/>
              <w:textAlignment w:val="auto"/>
              <w:rPr>
                <w:rFonts w:hint="eastAsia" w:ascii="仿宋" w:hAnsi="仿宋" w:eastAsia="仿宋" w:cs="仿宋"/>
                <w:b/>
                <w:bCs/>
                <w:highlight w:val="none"/>
              </w:rPr>
            </w:pPr>
            <w:r>
              <w:rPr>
                <w:rFonts w:hint="eastAsia" w:ascii="仿宋" w:hAnsi="仿宋" w:eastAsia="仿宋" w:cs="仿宋"/>
                <w:b/>
                <w:bCs/>
                <w:highlight w:val="none"/>
              </w:rPr>
              <w:t>八、付款方式：</w:t>
            </w:r>
          </w:p>
          <w:p w14:paraId="2B5B527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本项目无预付款，供应商所提交的服务经采购人验收合格后，按项目进度内容支付合同款：</w:t>
            </w:r>
          </w:p>
          <w:p w14:paraId="2B77603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（一）提交2026年度南宁市公交财政补贴、南宁市（含县份）公交企业节能与新能源公交车推广应用情况审计工作实施方案，经采购人认可后一个月内，采购人支付成交供应商50%合同金额；</w:t>
            </w:r>
          </w:p>
          <w:p w14:paraId="4ED1EF1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（二）提交2026年南宁市（含县份）公交企业节能与新能源公交车推广应用情况专项审计报告、2026年度南宁市公交财政补贴审计报告，经采购人组织评审通过后一个月内，采购人支付成交供应商50%合同金额；</w:t>
            </w:r>
          </w:p>
          <w:p w14:paraId="5B67324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firstLine="420" w:firstLineChars="200"/>
              <w:textAlignment w:val="auto"/>
              <w:rPr>
                <w:rFonts w:hint="eastAsia" w:ascii="仿宋" w:hAnsi="仿宋" w:eastAsia="仿宋" w:cs="仿宋"/>
                <w:highlight w:val="none"/>
              </w:rPr>
            </w:pPr>
            <w:r>
              <w:rPr>
                <w:rFonts w:hint="eastAsia" w:ascii="仿宋" w:hAnsi="仿宋" w:eastAsia="仿宋" w:cs="仿宋"/>
                <w:sz w:val="21"/>
                <w:szCs w:val="21"/>
                <w:highlight w:val="none"/>
                <w:lang w:val="en-US" w:eastAsia="zh-CN"/>
              </w:rPr>
              <w:t>（三）采购人在支付合同金额时，如因国库支付管理系统关闭，暂时无法支付费用的，付款期限顺延至财政国库支付系统开通后的7个工作日内支付。</w:t>
            </w:r>
          </w:p>
          <w:p w14:paraId="112BCB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2" w:firstLineChars="200"/>
              <w:textAlignment w:val="auto"/>
              <w:rPr>
                <w:rFonts w:hint="eastAsia" w:ascii="仿宋" w:hAnsi="仿宋" w:eastAsia="仿宋" w:cs="仿宋"/>
                <w:highlight w:val="none"/>
              </w:rPr>
            </w:pPr>
            <w:r>
              <w:rPr>
                <w:rFonts w:hint="eastAsia" w:ascii="仿宋" w:hAnsi="仿宋" w:eastAsia="仿宋" w:cs="仿宋"/>
                <w:b/>
                <w:bCs/>
                <w:highlight w:val="none"/>
              </w:rPr>
              <w:t>九、成果归属：</w:t>
            </w:r>
            <w:r>
              <w:rPr>
                <w:rFonts w:hint="eastAsia" w:ascii="仿宋" w:hAnsi="仿宋" w:eastAsia="仿宋" w:cs="仿宋"/>
                <w:highlight w:val="none"/>
              </w:rPr>
              <w:t>成果通过验收后，版权和使用权归采购人所有。未经同意，成交供应商不得擅自对外公开发表或对向他人提供成果。</w:t>
            </w:r>
          </w:p>
          <w:p w14:paraId="7023F8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422" w:firstLineChars="200"/>
              <w:textAlignment w:val="auto"/>
              <w:rPr>
                <w:rFonts w:hint="eastAsia" w:ascii="仿宋" w:hAnsi="仿宋" w:eastAsia="仿宋" w:cs="仿宋"/>
                <w:highlight w:val="none"/>
              </w:rPr>
            </w:pPr>
            <w:r>
              <w:rPr>
                <w:rFonts w:hint="eastAsia" w:ascii="仿宋" w:hAnsi="仿宋" w:eastAsia="仿宋" w:cs="仿宋"/>
                <w:b/>
                <w:bCs/>
                <w:highlight w:val="none"/>
              </w:rPr>
              <w:t>十、</w:t>
            </w:r>
            <w:r>
              <w:rPr>
                <w:rFonts w:hint="eastAsia" w:ascii="仿宋" w:hAnsi="仿宋" w:eastAsia="仿宋" w:cs="仿宋"/>
                <w:b/>
                <w:bCs/>
                <w:highlight w:val="none"/>
                <w:lang w:val="zh-CN"/>
              </w:rPr>
              <w:t>验收标准：</w:t>
            </w:r>
            <w:r>
              <w:rPr>
                <w:rFonts w:hint="eastAsia" w:ascii="仿宋" w:hAnsi="仿宋" w:eastAsia="仿宋" w:cs="仿宋"/>
                <w:highlight w:val="none"/>
              </w:rPr>
              <w:t>供应商必须在所响应的《工作时间计划表》规定时间内按竞争性磋商文件要求、响应文件响应及时间要求提交符合采购人要求的成果材料。</w:t>
            </w:r>
          </w:p>
        </w:tc>
      </w:tr>
      <w:tr w14:paraId="394700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47" w:hRule="atLeast"/>
          <w:jc w:val="center"/>
        </w:trPr>
        <w:tc>
          <w:tcPr>
            <w:tcW w:w="429" w:type="dxa"/>
            <w:tcBorders>
              <w:top w:val="single" w:color="auto" w:sz="4" w:space="0"/>
              <w:left w:val="single" w:color="auto" w:sz="4" w:space="0"/>
              <w:bottom w:val="single" w:color="auto" w:sz="4" w:space="0"/>
              <w:right w:val="single" w:color="auto" w:sz="4" w:space="0"/>
            </w:tcBorders>
            <w:vAlign w:val="center"/>
          </w:tcPr>
          <w:p w14:paraId="783FFE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atLeast"/>
              <w:ind w:left="0" w:right="0"/>
              <w:jc w:val="center"/>
              <w:textAlignment w:val="auto"/>
              <w:rPr>
                <w:rFonts w:hint="eastAsia" w:ascii="仿宋" w:hAnsi="仿宋" w:eastAsia="仿宋" w:cs="仿宋"/>
                <w:sz w:val="24"/>
                <w:highlight w:val="none"/>
              </w:rPr>
            </w:pPr>
            <w:r>
              <w:rPr>
                <w:rFonts w:hint="eastAsia" w:ascii="仿宋" w:hAnsi="仿宋" w:eastAsia="仿宋" w:cs="仿宋"/>
                <w:szCs w:val="21"/>
                <w:highlight w:val="none"/>
              </w:rPr>
              <w:t>其他说明</w:t>
            </w:r>
          </w:p>
        </w:tc>
        <w:tc>
          <w:tcPr>
            <w:tcW w:w="9201" w:type="dxa"/>
            <w:gridSpan w:val="7"/>
            <w:tcBorders>
              <w:top w:val="single" w:color="auto" w:sz="4" w:space="0"/>
              <w:left w:val="single" w:color="auto" w:sz="4" w:space="0"/>
              <w:bottom w:val="single" w:color="auto" w:sz="4" w:space="0"/>
              <w:right w:val="single" w:color="auto" w:sz="4" w:space="0"/>
            </w:tcBorders>
            <w:vAlign w:val="center"/>
          </w:tcPr>
          <w:p w14:paraId="08E40D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contextualSpacing/>
              <w:textAlignment w:val="auto"/>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w:t>
            </w:r>
            <w:r>
              <w:rPr>
                <w:rFonts w:hint="eastAsia" w:ascii="仿宋" w:hAnsi="仿宋" w:eastAsia="仿宋" w:cs="仿宋"/>
                <w:b w:val="0"/>
                <w:bCs/>
                <w:color w:val="auto"/>
                <w:szCs w:val="21"/>
                <w:highlight w:val="none"/>
                <w:lang w:val="en-US" w:eastAsia="zh-CN"/>
              </w:rPr>
              <w:t>一、</w:t>
            </w:r>
            <w:r>
              <w:rPr>
                <w:rFonts w:hint="eastAsia" w:ascii="仿宋" w:hAnsi="仿宋" w:eastAsia="仿宋" w:cs="仿宋"/>
                <w:b w:val="0"/>
                <w:bCs/>
                <w:color w:val="auto"/>
                <w:szCs w:val="21"/>
                <w:highlight w:val="none"/>
              </w:rPr>
              <w:t>采购预算价</w:t>
            </w:r>
          </w:p>
          <w:p w14:paraId="65AC02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contextualSpacing/>
              <w:textAlignment w:val="auto"/>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以采购预算金额为最高限价，供应商的竞标报价超最高限价的作无效响应处理。采购标的和数量如需求与实际有出入可以调剂，但不能超出预算总额。</w:t>
            </w:r>
          </w:p>
          <w:p w14:paraId="2849FF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contextualSpacing/>
              <w:textAlignment w:val="auto"/>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lang w:val="en-US" w:eastAsia="zh-CN"/>
              </w:rPr>
              <w:t>二、</w:t>
            </w:r>
            <w:r>
              <w:rPr>
                <w:rFonts w:hint="eastAsia" w:ascii="仿宋" w:hAnsi="仿宋" w:eastAsia="仿宋" w:cs="仿宋"/>
                <w:b w:val="0"/>
                <w:bCs/>
                <w:color w:val="auto"/>
                <w:szCs w:val="21"/>
                <w:highlight w:val="none"/>
              </w:rPr>
              <w:t>磋商说明</w:t>
            </w:r>
          </w:p>
          <w:p w14:paraId="694B00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contextualSpacing/>
              <w:textAlignment w:val="auto"/>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在磋商过程中，磋商小组可能会根据磋商文件和磋商情况实质性变动采购需求中的技术、服务要求以及合同草案条款，对磋商文件作出的实质性变动是磋商文件的有效组成部分，磋商小组以书面形式同时通知所有参加磋商的供应商。请各供应商做好磋商应答准备。</w:t>
            </w:r>
          </w:p>
          <w:p w14:paraId="553CAC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contextualSpacing/>
              <w:textAlignment w:val="auto"/>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lang w:val="en-US" w:eastAsia="zh-CN"/>
              </w:rPr>
              <w:t>三、</w:t>
            </w:r>
            <w:r>
              <w:rPr>
                <w:rFonts w:hint="eastAsia" w:ascii="仿宋" w:hAnsi="仿宋" w:eastAsia="仿宋" w:cs="仿宋"/>
                <w:b w:val="0"/>
                <w:bCs/>
                <w:color w:val="auto"/>
                <w:szCs w:val="21"/>
                <w:highlight w:val="none"/>
              </w:rPr>
              <w:t>服务方案及要求</w:t>
            </w:r>
          </w:p>
          <w:p w14:paraId="324DCE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contextualSpacing/>
              <w:textAlignment w:val="auto"/>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1.磋商供应商可根据自身优势在响应本采购文件要求的基础上提供有建设性的且适用项目实际的服务方案，如：实施方案、业绩等。</w:t>
            </w:r>
          </w:p>
          <w:p w14:paraId="14ED95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contextualSpacing/>
              <w:textAlignment w:val="auto"/>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2.如有，请提供履约能力相关证明或业绩证明。</w:t>
            </w:r>
          </w:p>
          <w:p w14:paraId="13F0AA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textAlignment w:val="auto"/>
              <w:rPr>
                <w:rFonts w:hint="eastAsia" w:ascii="仿宋" w:hAnsi="仿宋" w:eastAsia="仿宋" w:cs="仿宋"/>
                <w:b/>
                <w:szCs w:val="22"/>
                <w:highlight w:val="none"/>
              </w:rPr>
            </w:pPr>
            <w:r>
              <w:rPr>
                <w:rFonts w:hint="eastAsia" w:ascii="仿宋" w:hAnsi="仿宋" w:eastAsia="仿宋" w:cs="仿宋"/>
                <w:b w:val="0"/>
                <w:bCs/>
                <w:color w:val="auto"/>
                <w:szCs w:val="21"/>
                <w:highlight w:val="none"/>
              </w:rPr>
              <w:t>3.供应商如在南宁设有常驻的测评技术支持机构提供本地化服务的，请于响应文件中提供相关证明文件。</w:t>
            </w:r>
          </w:p>
        </w:tc>
      </w:tr>
    </w:tbl>
    <w:p w14:paraId="5372ADE2">
      <w:pPr>
        <w:spacing w:line="428" w:lineRule="exact"/>
        <w:ind w:left="119"/>
        <w:rPr>
          <w:rFonts w:hint="eastAsia" w:ascii="仿宋" w:hAnsi="仿宋" w:eastAsia="仿宋" w:cs="仿宋"/>
          <w:sz w:val="17"/>
          <w:szCs w:val="17"/>
          <w:highlight w:val="none"/>
        </w:rPr>
      </w:pPr>
      <w:r>
        <w:rPr>
          <w:rFonts w:hint="eastAsia" w:ascii="仿宋" w:hAnsi="仿宋" w:eastAsia="仿宋" w:cs="仿宋"/>
          <w:sz w:val="32"/>
          <w:szCs w:val="32"/>
          <w:highlight w:val="none"/>
        </w:rPr>
        <w:t>附件：</w:t>
      </w:r>
    </w:p>
    <w:p w14:paraId="0B238F76">
      <w:pPr>
        <w:spacing w:line="528" w:lineRule="exact"/>
        <w:jc w:val="center"/>
        <w:rPr>
          <w:rFonts w:hint="eastAsia" w:ascii="仿宋" w:hAnsi="仿宋" w:eastAsia="仿宋" w:cs="仿宋"/>
          <w:sz w:val="40"/>
          <w:szCs w:val="40"/>
          <w:highlight w:val="none"/>
        </w:rPr>
      </w:pPr>
      <w:r>
        <w:rPr>
          <w:rFonts w:hint="eastAsia" w:ascii="仿宋" w:hAnsi="仿宋" w:eastAsia="仿宋" w:cs="仿宋"/>
          <w:sz w:val="40"/>
          <w:szCs w:val="40"/>
          <w:highlight w:val="none"/>
        </w:rPr>
        <w:t>节能产品政府采购品目清单</w:t>
      </w:r>
    </w:p>
    <w:tbl>
      <w:tblPr>
        <w:tblStyle w:val="31"/>
        <w:tblW w:w="9606" w:type="dxa"/>
        <w:jc w:val="center"/>
        <w:tblLayout w:type="fixed"/>
        <w:tblCellMar>
          <w:top w:w="0" w:type="dxa"/>
          <w:left w:w="108" w:type="dxa"/>
          <w:bottom w:w="0" w:type="dxa"/>
          <w:right w:w="108" w:type="dxa"/>
        </w:tblCellMar>
      </w:tblPr>
      <w:tblGrid>
        <w:gridCol w:w="1162"/>
        <w:gridCol w:w="974"/>
        <w:gridCol w:w="1501"/>
        <w:gridCol w:w="1611"/>
        <w:gridCol w:w="4358"/>
      </w:tblGrid>
      <w:tr w14:paraId="6F21833A">
        <w:tblPrEx>
          <w:tblCellMar>
            <w:top w:w="0" w:type="dxa"/>
            <w:left w:w="108" w:type="dxa"/>
            <w:bottom w:w="0" w:type="dxa"/>
            <w:right w:w="108" w:type="dxa"/>
          </w:tblCellMar>
        </w:tblPrEx>
        <w:trPr>
          <w:trHeight w:val="555" w:hRule="atLeast"/>
          <w:jc w:val="center"/>
        </w:trPr>
        <w:tc>
          <w:tcPr>
            <w:tcW w:w="1162" w:type="dxa"/>
            <w:tcBorders>
              <w:top w:val="single" w:color="000000" w:sz="8" w:space="0"/>
              <w:left w:val="single" w:color="000000" w:sz="8" w:space="0"/>
              <w:bottom w:val="single" w:color="000000" w:sz="8" w:space="0"/>
              <w:right w:val="single" w:color="000000" w:sz="8" w:space="0"/>
            </w:tcBorders>
            <w:vAlign w:val="center"/>
          </w:tcPr>
          <w:p w14:paraId="5893BB6E">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22"/>
                <w:szCs w:val="22"/>
                <w:highlight w:val="none"/>
              </w:rPr>
            </w:pPr>
            <w:r>
              <w:rPr>
                <w:rFonts w:hint="eastAsia" w:ascii="仿宋" w:hAnsi="仿宋" w:eastAsia="仿宋" w:cs="仿宋"/>
                <w:b/>
                <w:bCs/>
                <w:kern w:val="0"/>
                <w:sz w:val="22"/>
                <w:szCs w:val="22"/>
                <w:highlight w:val="none"/>
              </w:rPr>
              <w:t>品目序号</w:t>
            </w:r>
          </w:p>
        </w:tc>
        <w:tc>
          <w:tcPr>
            <w:tcW w:w="4086" w:type="dxa"/>
            <w:gridSpan w:val="3"/>
            <w:tcBorders>
              <w:top w:val="single" w:color="000000" w:sz="8" w:space="0"/>
              <w:left w:val="nil"/>
              <w:bottom w:val="single" w:color="000000" w:sz="8" w:space="0"/>
              <w:right w:val="single" w:color="000000" w:sz="8" w:space="0"/>
            </w:tcBorders>
            <w:vAlign w:val="center"/>
          </w:tcPr>
          <w:p w14:paraId="3686AEA2">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22"/>
                <w:szCs w:val="22"/>
                <w:highlight w:val="none"/>
              </w:rPr>
            </w:pPr>
            <w:r>
              <w:rPr>
                <w:rFonts w:hint="eastAsia" w:ascii="仿宋" w:hAnsi="仿宋" w:eastAsia="仿宋" w:cs="仿宋"/>
                <w:b/>
                <w:bCs/>
                <w:kern w:val="0"/>
                <w:sz w:val="22"/>
                <w:szCs w:val="22"/>
                <w:highlight w:val="none"/>
              </w:rPr>
              <w:t>名称</w:t>
            </w:r>
          </w:p>
        </w:tc>
        <w:tc>
          <w:tcPr>
            <w:tcW w:w="4358" w:type="dxa"/>
            <w:tcBorders>
              <w:top w:val="single" w:color="000000" w:sz="8" w:space="0"/>
              <w:left w:val="nil"/>
              <w:bottom w:val="single" w:color="000000" w:sz="8" w:space="0"/>
              <w:right w:val="single" w:color="000000" w:sz="8" w:space="0"/>
            </w:tcBorders>
            <w:vAlign w:val="center"/>
          </w:tcPr>
          <w:p w14:paraId="65CE5228">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22"/>
                <w:szCs w:val="22"/>
                <w:highlight w:val="none"/>
              </w:rPr>
            </w:pPr>
            <w:r>
              <w:rPr>
                <w:rFonts w:hint="eastAsia" w:ascii="仿宋" w:hAnsi="仿宋" w:eastAsia="仿宋" w:cs="仿宋"/>
                <w:b/>
                <w:bCs/>
                <w:kern w:val="0"/>
                <w:sz w:val="22"/>
                <w:szCs w:val="22"/>
                <w:highlight w:val="none"/>
              </w:rPr>
              <w:t>依据的标准</w:t>
            </w:r>
          </w:p>
        </w:tc>
      </w:tr>
      <w:tr w14:paraId="3C481859">
        <w:tblPrEx>
          <w:tblCellMar>
            <w:top w:w="0" w:type="dxa"/>
            <w:left w:w="108" w:type="dxa"/>
            <w:bottom w:w="0" w:type="dxa"/>
            <w:right w:w="108" w:type="dxa"/>
          </w:tblCellMar>
        </w:tblPrEx>
        <w:trPr>
          <w:trHeight w:val="495" w:hRule="atLeast"/>
          <w:jc w:val="center"/>
        </w:trPr>
        <w:tc>
          <w:tcPr>
            <w:tcW w:w="1162" w:type="dxa"/>
            <w:vMerge w:val="restart"/>
            <w:tcBorders>
              <w:top w:val="nil"/>
              <w:left w:val="single" w:color="000000" w:sz="8" w:space="0"/>
              <w:bottom w:val="single" w:color="000000" w:sz="8" w:space="0"/>
              <w:right w:val="single" w:color="000000" w:sz="8" w:space="0"/>
            </w:tcBorders>
            <w:vAlign w:val="center"/>
          </w:tcPr>
          <w:p w14:paraId="4B173BAC">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1</w:t>
            </w:r>
          </w:p>
        </w:tc>
        <w:tc>
          <w:tcPr>
            <w:tcW w:w="974" w:type="dxa"/>
            <w:vMerge w:val="restart"/>
            <w:tcBorders>
              <w:top w:val="nil"/>
              <w:left w:val="single" w:color="000000" w:sz="8" w:space="0"/>
              <w:bottom w:val="single" w:color="000000" w:sz="8" w:space="0"/>
              <w:right w:val="single" w:color="000000" w:sz="8" w:space="0"/>
            </w:tcBorders>
            <w:vAlign w:val="center"/>
          </w:tcPr>
          <w:p w14:paraId="20A2FC58">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A020101计算机设备</w:t>
            </w:r>
          </w:p>
        </w:tc>
        <w:tc>
          <w:tcPr>
            <w:tcW w:w="1501" w:type="dxa"/>
            <w:tcBorders>
              <w:top w:val="nil"/>
              <w:left w:val="nil"/>
              <w:bottom w:val="single" w:color="000000" w:sz="8" w:space="0"/>
              <w:right w:val="single" w:color="000000" w:sz="8" w:space="0"/>
            </w:tcBorders>
            <w:vAlign w:val="center"/>
          </w:tcPr>
          <w:p w14:paraId="7E1FA4F8">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★A02010104台式计算机</w:t>
            </w:r>
          </w:p>
        </w:tc>
        <w:tc>
          <w:tcPr>
            <w:tcW w:w="1611" w:type="dxa"/>
            <w:tcBorders>
              <w:top w:val="nil"/>
              <w:left w:val="nil"/>
              <w:bottom w:val="single" w:color="000000" w:sz="8" w:space="0"/>
              <w:right w:val="single" w:color="000000" w:sz="8" w:space="0"/>
            </w:tcBorders>
            <w:vAlign w:val="center"/>
          </w:tcPr>
          <w:p w14:paraId="488D6085">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2F4B884E">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《微型计算机能效限定值及能效等级》（GB28380）</w:t>
            </w:r>
          </w:p>
        </w:tc>
      </w:tr>
      <w:tr w14:paraId="1D7102E3">
        <w:tblPrEx>
          <w:tblCellMar>
            <w:top w:w="0" w:type="dxa"/>
            <w:left w:w="108" w:type="dxa"/>
            <w:bottom w:w="0" w:type="dxa"/>
            <w:right w:w="108" w:type="dxa"/>
          </w:tblCellMar>
        </w:tblPrEx>
        <w:trPr>
          <w:trHeight w:val="49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3C54BCAF">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5639ECC9">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tcBorders>
              <w:top w:val="nil"/>
              <w:left w:val="nil"/>
              <w:bottom w:val="single" w:color="000000" w:sz="8" w:space="0"/>
              <w:right w:val="single" w:color="000000" w:sz="8" w:space="0"/>
            </w:tcBorders>
            <w:vAlign w:val="center"/>
          </w:tcPr>
          <w:p w14:paraId="7D653A8B">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★A02010105便携式计算机</w:t>
            </w:r>
          </w:p>
        </w:tc>
        <w:tc>
          <w:tcPr>
            <w:tcW w:w="1611" w:type="dxa"/>
            <w:tcBorders>
              <w:top w:val="nil"/>
              <w:left w:val="nil"/>
              <w:bottom w:val="single" w:color="000000" w:sz="8" w:space="0"/>
              <w:right w:val="single" w:color="000000" w:sz="8" w:space="0"/>
            </w:tcBorders>
            <w:vAlign w:val="center"/>
          </w:tcPr>
          <w:p w14:paraId="062C31C6">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7B1DC7D6">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《微型计算机能效限定值及能效等级》（GB28380）</w:t>
            </w:r>
          </w:p>
        </w:tc>
      </w:tr>
      <w:tr w14:paraId="54100432">
        <w:tblPrEx>
          <w:tblCellMar>
            <w:top w:w="0" w:type="dxa"/>
            <w:left w:w="108" w:type="dxa"/>
            <w:bottom w:w="0" w:type="dxa"/>
            <w:right w:w="108" w:type="dxa"/>
          </w:tblCellMar>
        </w:tblPrEx>
        <w:trPr>
          <w:trHeight w:val="73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35474937">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65760774">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tcBorders>
              <w:top w:val="nil"/>
              <w:left w:val="nil"/>
              <w:bottom w:val="single" w:color="000000" w:sz="8" w:space="0"/>
              <w:right w:val="single" w:color="000000" w:sz="8" w:space="0"/>
            </w:tcBorders>
            <w:vAlign w:val="center"/>
          </w:tcPr>
          <w:p w14:paraId="4E33ACE3">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★A02010107平板式微型计算机</w:t>
            </w:r>
          </w:p>
        </w:tc>
        <w:tc>
          <w:tcPr>
            <w:tcW w:w="1611" w:type="dxa"/>
            <w:tcBorders>
              <w:top w:val="nil"/>
              <w:left w:val="nil"/>
              <w:bottom w:val="single" w:color="000000" w:sz="8" w:space="0"/>
              <w:right w:val="single" w:color="000000" w:sz="8" w:space="0"/>
            </w:tcBorders>
            <w:vAlign w:val="center"/>
          </w:tcPr>
          <w:p w14:paraId="0BC6AB68">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5433637A">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《微型计算机能效限定值及能效等级》（GB28380）</w:t>
            </w:r>
          </w:p>
        </w:tc>
      </w:tr>
      <w:tr w14:paraId="29F540B8">
        <w:tblPrEx>
          <w:tblCellMar>
            <w:top w:w="0" w:type="dxa"/>
            <w:left w:w="108" w:type="dxa"/>
            <w:bottom w:w="0" w:type="dxa"/>
            <w:right w:w="108" w:type="dxa"/>
          </w:tblCellMar>
        </w:tblPrEx>
        <w:trPr>
          <w:trHeight w:val="495" w:hRule="atLeast"/>
          <w:jc w:val="center"/>
        </w:trPr>
        <w:tc>
          <w:tcPr>
            <w:tcW w:w="1162" w:type="dxa"/>
            <w:vMerge w:val="restart"/>
            <w:tcBorders>
              <w:top w:val="nil"/>
              <w:left w:val="single" w:color="000000" w:sz="8" w:space="0"/>
              <w:bottom w:val="single" w:color="000000" w:sz="8" w:space="0"/>
              <w:right w:val="single" w:color="000000" w:sz="8" w:space="0"/>
            </w:tcBorders>
            <w:vAlign w:val="center"/>
          </w:tcPr>
          <w:p w14:paraId="47D40F7F">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2</w:t>
            </w:r>
          </w:p>
        </w:tc>
        <w:tc>
          <w:tcPr>
            <w:tcW w:w="974" w:type="dxa"/>
            <w:vMerge w:val="restart"/>
            <w:tcBorders>
              <w:top w:val="nil"/>
              <w:left w:val="single" w:color="000000" w:sz="8" w:space="0"/>
              <w:bottom w:val="single" w:color="000000" w:sz="8" w:space="0"/>
              <w:right w:val="single" w:color="000000" w:sz="8" w:space="0"/>
            </w:tcBorders>
            <w:vAlign w:val="center"/>
          </w:tcPr>
          <w:p w14:paraId="4F1A4292">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A020106输入输出设备</w:t>
            </w:r>
          </w:p>
        </w:tc>
        <w:tc>
          <w:tcPr>
            <w:tcW w:w="1501" w:type="dxa"/>
            <w:vMerge w:val="restart"/>
            <w:tcBorders>
              <w:top w:val="nil"/>
              <w:left w:val="single" w:color="000000" w:sz="8" w:space="0"/>
              <w:bottom w:val="single" w:color="000000" w:sz="8" w:space="0"/>
              <w:right w:val="single" w:color="000000" w:sz="8" w:space="0"/>
            </w:tcBorders>
            <w:vAlign w:val="center"/>
          </w:tcPr>
          <w:p w14:paraId="46228FCC">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A02010601打印设备</w:t>
            </w:r>
          </w:p>
        </w:tc>
        <w:tc>
          <w:tcPr>
            <w:tcW w:w="1611" w:type="dxa"/>
            <w:tcBorders>
              <w:top w:val="nil"/>
              <w:left w:val="nil"/>
              <w:bottom w:val="single" w:color="000000" w:sz="8" w:space="0"/>
              <w:right w:val="single" w:color="000000" w:sz="8" w:space="0"/>
            </w:tcBorders>
            <w:vAlign w:val="center"/>
          </w:tcPr>
          <w:p w14:paraId="61567AC0">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A0201060101喷墨打印机</w:t>
            </w:r>
          </w:p>
        </w:tc>
        <w:tc>
          <w:tcPr>
            <w:tcW w:w="4358" w:type="dxa"/>
            <w:tcBorders>
              <w:top w:val="nil"/>
              <w:left w:val="nil"/>
              <w:bottom w:val="single" w:color="000000" w:sz="8" w:space="0"/>
              <w:right w:val="single" w:color="000000" w:sz="8" w:space="0"/>
            </w:tcBorders>
            <w:vAlign w:val="center"/>
          </w:tcPr>
          <w:p w14:paraId="3AA8AE66">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《复印机、打印机和传真机能效限定值及能效等级》（GB21521）</w:t>
            </w:r>
          </w:p>
        </w:tc>
      </w:tr>
      <w:tr w14:paraId="12B68BE2">
        <w:tblPrEx>
          <w:tblCellMar>
            <w:top w:w="0" w:type="dxa"/>
            <w:left w:w="108" w:type="dxa"/>
            <w:bottom w:w="0" w:type="dxa"/>
            <w:right w:w="108" w:type="dxa"/>
          </w:tblCellMar>
        </w:tblPrEx>
        <w:trPr>
          <w:trHeight w:val="49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23918C9D">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3866EF8C">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vMerge w:val="continue"/>
            <w:tcBorders>
              <w:top w:val="nil"/>
              <w:left w:val="single" w:color="000000" w:sz="8" w:space="0"/>
              <w:bottom w:val="single" w:color="000000" w:sz="8" w:space="0"/>
              <w:right w:val="single" w:color="000000" w:sz="8" w:space="0"/>
            </w:tcBorders>
            <w:vAlign w:val="center"/>
          </w:tcPr>
          <w:p w14:paraId="17D82E59">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611" w:type="dxa"/>
            <w:tcBorders>
              <w:top w:val="nil"/>
              <w:left w:val="nil"/>
              <w:bottom w:val="single" w:color="000000" w:sz="8" w:space="0"/>
              <w:right w:val="single" w:color="000000" w:sz="8" w:space="0"/>
            </w:tcBorders>
            <w:vAlign w:val="center"/>
          </w:tcPr>
          <w:p w14:paraId="1FB4D59C">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★A0201060102激光打印机</w:t>
            </w:r>
          </w:p>
        </w:tc>
        <w:tc>
          <w:tcPr>
            <w:tcW w:w="4358" w:type="dxa"/>
            <w:tcBorders>
              <w:top w:val="nil"/>
              <w:left w:val="nil"/>
              <w:bottom w:val="single" w:color="000000" w:sz="8" w:space="0"/>
              <w:right w:val="single" w:color="000000" w:sz="8" w:space="0"/>
            </w:tcBorders>
            <w:vAlign w:val="center"/>
          </w:tcPr>
          <w:p w14:paraId="2F68F451">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《复印机、打印机和传真机能效限定值及能效等级》（GB21521）</w:t>
            </w:r>
          </w:p>
        </w:tc>
      </w:tr>
      <w:tr w14:paraId="2B649081">
        <w:tblPrEx>
          <w:tblCellMar>
            <w:top w:w="0" w:type="dxa"/>
            <w:left w:w="108" w:type="dxa"/>
            <w:bottom w:w="0" w:type="dxa"/>
            <w:right w:w="108" w:type="dxa"/>
          </w:tblCellMar>
        </w:tblPrEx>
        <w:trPr>
          <w:trHeight w:val="49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555D787B">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08BE17EF">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vMerge w:val="continue"/>
            <w:tcBorders>
              <w:top w:val="nil"/>
              <w:left w:val="single" w:color="000000" w:sz="8" w:space="0"/>
              <w:bottom w:val="single" w:color="000000" w:sz="8" w:space="0"/>
              <w:right w:val="single" w:color="000000" w:sz="8" w:space="0"/>
            </w:tcBorders>
            <w:vAlign w:val="center"/>
          </w:tcPr>
          <w:p w14:paraId="631C52E2">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611" w:type="dxa"/>
            <w:tcBorders>
              <w:top w:val="nil"/>
              <w:left w:val="nil"/>
              <w:bottom w:val="single" w:color="000000" w:sz="8" w:space="0"/>
              <w:right w:val="single" w:color="000000" w:sz="8" w:space="0"/>
            </w:tcBorders>
            <w:vAlign w:val="center"/>
          </w:tcPr>
          <w:p w14:paraId="7F1E314B">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★A0201060104针式打印机</w:t>
            </w:r>
          </w:p>
        </w:tc>
        <w:tc>
          <w:tcPr>
            <w:tcW w:w="4358" w:type="dxa"/>
            <w:tcBorders>
              <w:top w:val="nil"/>
              <w:left w:val="nil"/>
              <w:bottom w:val="single" w:color="000000" w:sz="8" w:space="0"/>
              <w:right w:val="single" w:color="000000" w:sz="8" w:space="0"/>
            </w:tcBorders>
            <w:vAlign w:val="center"/>
          </w:tcPr>
          <w:p w14:paraId="737D9B59">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《复印机、打印机和传真机能效限定值及能效等级》（GB21521）</w:t>
            </w:r>
          </w:p>
        </w:tc>
      </w:tr>
      <w:tr w14:paraId="542A6F84">
        <w:tblPrEx>
          <w:tblCellMar>
            <w:top w:w="0" w:type="dxa"/>
            <w:left w:w="108" w:type="dxa"/>
            <w:bottom w:w="0" w:type="dxa"/>
            <w:right w:w="108" w:type="dxa"/>
          </w:tblCellMar>
        </w:tblPrEx>
        <w:trPr>
          <w:trHeight w:val="49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6E0E9A9D">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7544239D">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tcBorders>
              <w:top w:val="nil"/>
              <w:left w:val="nil"/>
              <w:bottom w:val="single" w:color="000000" w:sz="8" w:space="0"/>
              <w:right w:val="single" w:color="000000" w:sz="8" w:space="0"/>
            </w:tcBorders>
            <w:vAlign w:val="center"/>
          </w:tcPr>
          <w:p w14:paraId="71881D2D">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A02010604显示设备</w:t>
            </w:r>
          </w:p>
        </w:tc>
        <w:tc>
          <w:tcPr>
            <w:tcW w:w="1611" w:type="dxa"/>
            <w:tcBorders>
              <w:top w:val="nil"/>
              <w:left w:val="nil"/>
              <w:bottom w:val="single" w:color="000000" w:sz="8" w:space="0"/>
              <w:right w:val="single" w:color="000000" w:sz="8" w:space="0"/>
            </w:tcBorders>
            <w:vAlign w:val="center"/>
          </w:tcPr>
          <w:p w14:paraId="243372BA">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★A0201060401液晶显示器</w:t>
            </w:r>
          </w:p>
        </w:tc>
        <w:tc>
          <w:tcPr>
            <w:tcW w:w="4358" w:type="dxa"/>
            <w:tcBorders>
              <w:top w:val="nil"/>
              <w:left w:val="nil"/>
              <w:bottom w:val="single" w:color="000000" w:sz="8" w:space="0"/>
              <w:right w:val="single" w:color="000000" w:sz="8" w:space="0"/>
            </w:tcBorders>
            <w:vAlign w:val="center"/>
          </w:tcPr>
          <w:p w14:paraId="7E60398A">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《计算机显示器能效限定值及能效等级》（GB21520）</w:t>
            </w:r>
          </w:p>
        </w:tc>
      </w:tr>
      <w:tr w14:paraId="1E798364">
        <w:tblPrEx>
          <w:tblCellMar>
            <w:top w:w="0" w:type="dxa"/>
            <w:left w:w="108" w:type="dxa"/>
            <w:bottom w:w="0" w:type="dxa"/>
            <w:right w:w="108" w:type="dxa"/>
          </w:tblCellMar>
        </w:tblPrEx>
        <w:trPr>
          <w:trHeight w:val="97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0E87EEC4">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0B3C9D84">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tcBorders>
              <w:top w:val="nil"/>
              <w:left w:val="nil"/>
              <w:bottom w:val="single" w:color="000000" w:sz="8" w:space="0"/>
              <w:right w:val="single" w:color="000000" w:sz="8" w:space="0"/>
            </w:tcBorders>
            <w:vAlign w:val="center"/>
          </w:tcPr>
          <w:p w14:paraId="1D1121EC">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A02010609图形图像输入设备</w:t>
            </w:r>
          </w:p>
        </w:tc>
        <w:tc>
          <w:tcPr>
            <w:tcW w:w="1611" w:type="dxa"/>
            <w:tcBorders>
              <w:top w:val="nil"/>
              <w:left w:val="nil"/>
              <w:bottom w:val="single" w:color="000000" w:sz="8" w:space="0"/>
              <w:right w:val="single" w:color="000000" w:sz="8" w:space="0"/>
            </w:tcBorders>
            <w:vAlign w:val="center"/>
          </w:tcPr>
          <w:p w14:paraId="61C13488">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A0201060901扫描仪</w:t>
            </w:r>
          </w:p>
        </w:tc>
        <w:tc>
          <w:tcPr>
            <w:tcW w:w="4358" w:type="dxa"/>
            <w:tcBorders>
              <w:top w:val="nil"/>
              <w:left w:val="nil"/>
              <w:bottom w:val="single" w:color="000000" w:sz="8" w:space="0"/>
              <w:right w:val="single" w:color="000000" w:sz="8" w:space="0"/>
            </w:tcBorders>
            <w:vAlign w:val="center"/>
          </w:tcPr>
          <w:p w14:paraId="7BF0189B">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参照《复印机、打印机和传真机能效限定值及能效等级》（GB21521中打印速度为15页/分的针式打印机相关要求中打印速度为15页/分的针式打印机相关要求</w:t>
            </w:r>
          </w:p>
        </w:tc>
      </w:tr>
      <w:tr w14:paraId="5DF836ED">
        <w:tblPrEx>
          <w:tblCellMar>
            <w:top w:w="0" w:type="dxa"/>
            <w:left w:w="108" w:type="dxa"/>
            <w:bottom w:w="0" w:type="dxa"/>
            <w:right w:w="108" w:type="dxa"/>
          </w:tblCellMar>
        </w:tblPrEx>
        <w:trPr>
          <w:trHeight w:val="495" w:hRule="atLeast"/>
          <w:jc w:val="center"/>
        </w:trPr>
        <w:tc>
          <w:tcPr>
            <w:tcW w:w="1162" w:type="dxa"/>
            <w:tcBorders>
              <w:top w:val="nil"/>
              <w:left w:val="single" w:color="000000" w:sz="8" w:space="0"/>
              <w:bottom w:val="single" w:color="000000" w:sz="8" w:space="0"/>
              <w:right w:val="single" w:color="000000" w:sz="8" w:space="0"/>
            </w:tcBorders>
            <w:vAlign w:val="center"/>
          </w:tcPr>
          <w:p w14:paraId="5D2F38B2">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3</w:t>
            </w:r>
          </w:p>
        </w:tc>
        <w:tc>
          <w:tcPr>
            <w:tcW w:w="974" w:type="dxa"/>
            <w:tcBorders>
              <w:top w:val="nil"/>
              <w:left w:val="nil"/>
              <w:bottom w:val="single" w:color="000000" w:sz="8" w:space="0"/>
              <w:right w:val="single" w:color="000000" w:sz="8" w:space="0"/>
            </w:tcBorders>
            <w:vAlign w:val="center"/>
          </w:tcPr>
          <w:p w14:paraId="428755C8">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A020202投影仪</w:t>
            </w:r>
          </w:p>
        </w:tc>
        <w:tc>
          <w:tcPr>
            <w:tcW w:w="1501" w:type="dxa"/>
            <w:tcBorders>
              <w:top w:val="nil"/>
              <w:left w:val="nil"/>
              <w:bottom w:val="single" w:color="000000" w:sz="8" w:space="0"/>
              <w:right w:val="single" w:color="000000" w:sz="8" w:space="0"/>
            </w:tcBorders>
            <w:vAlign w:val="center"/>
          </w:tcPr>
          <w:p w14:paraId="0DF640F4">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1611" w:type="dxa"/>
            <w:tcBorders>
              <w:top w:val="nil"/>
              <w:left w:val="nil"/>
              <w:bottom w:val="single" w:color="000000" w:sz="8" w:space="0"/>
              <w:right w:val="single" w:color="000000" w:sz="8" w:space="0"/>
            </w:tcBorders>
            <w:vAlign w:val="center"/>
          </w:tcPr>
          <w:p w14:paraId="70547CB1">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71019620">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《投影机能效限定值及能效等级》（GB32028）</w:t>
            </w:r>
          </w:p>
        </w:tc>
      </w:tr>
      <w:tr w14:paraId="70B9B21D">
        <w:tblPrEx>
          <w:tblCellMar>
            <w:top w:w="0" w:type="dxa"/>
            <w:left w:w="108" w:type="dxa"/>
            <w:bottom w:w="0" w:type="dxa"/>
            <w:right w:w="108" w:type="dxa"/>
          </w:tblCellMar>
        </w:tblPrEx>
        <w:trPr>
          <w:trHeight w:val="495" w:hRule="atLeast"/>
          <w:jc w:val="center"/>
        </w:trPr>
        <w:tc>
          <w:tcPr>
            <w:tcW w:w="1162" w:type="dxa"/>
            <w:tcBorders>
              <w:top w:val="nil"/>
              <w:left w:val="single" w:color="000000" w:sz="8" w:space="0"/>
              <w:bottom w:val="single" w:color="000000" w:sz="8" w:space="0"/>
              <w:right w:val="single" w:color="000000" w:sz="8" w:space="0"/>
            </w:tcBorders>
            <w:vAlign w:val="center"/>
          </w:tcPr>
          <w:p w14:paraId="6DEC70C7">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4</w:t>
            </w:r>
          </w:p>
        </w:tc>
        <w:tc>
          <w:tcPr>
            <w:tcW w:w="974" w:type="dxa"/>
            <w:tcBorders>
              <w:top w:val="nil"/>
              <w:left w:val="nil"/>
              <w:bottom w:val="single" w:color="000000" w:sz="8" w:space="0"/>
              <w:right w:val="single" w:color="000000" w:sz="8" w:space="0"/>
            </w:tcBorders>
            <w:vAlign w:val="center"/>
          </w:tcPr>
          <w:p w14:paraId="3C64FD91">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A020204多功能一体机</w:t>
            </w:r>
          </w:p>
        </w:tc>
        <w:tc>
          <w:tcPr>
            <w:tcW w:w="1501" w:type="dxa"/>
            <w:tcBorders>
              <w:top w:val="nil"/>
              <w:left w:val="nil"/>
              <w:bottom w:val="single" w:color="000000" w:sz="8" w:space="0"/>
              <w:right w:val="single" w:color="000000" w:sz="8" w:space="0"/>
            </w:tcBorders>
            <w:vAlign w:val="center"/>
          </w:tcPr>
          <w:p w14:paraId="37DB79FA">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1611" w:type="dxa"/>
            <w:tcBorders>
              <w:top w:val="nil"/>
              <w:left w:val="nil"/>
              <w:bottom w:val="single" w:color="000000" w:sz="8" w:space="0"/>
              <w:right w:val="single" w:color="000000" w:sz="8" w:space="0"/>
            </w:tcBorders>
            <w:vAlign w:val="center"/>
          </w:tcPr>
          <w:p w14:paraId="394B2754">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5FA3B457">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《复印机、打印机和传真机能效限定值及能效等级》（GB21521）</w:t>
            </w:r>
          </w:p>
        </w:tc>
      </w:tr>
      <w:tr w14:paraId="1EE6FE96">
        <w:tblPrEx>
          <w:tblCellMar>
            <w:top w:w="0" w:type="dxa"/>
            <w:left w:w="108" w:type="dxa"/>
            <w:bottom w:w="0" w:type="dxa"/>
            <w:right w:w="108" w:type="dxa"/>
          </w:tblCellMar>
        </w:tblPrEx>
        <w:trPr>
          <w:trHeight w:val="495" w:hRule="atLeast"/>
          <w:jc w:val="center"/>
        </w:trPr>
        <w:tc>
          <w:tcPr>
            <w:tcW w:w="1162" w:type="dxa"/>
            <w:tcBorders>
              <w:top w:val="nil"/>
              <w:left w:val="single" w:color="000000" w:sz="8" w:space="0"/>
              <w:bottom w:val="single" w:color="000000" w:sz="8" w:space="0"/>
              <w:right w:val="single" w:color="000000" w:sz="8" w:space="0"/>
            </w:tcBorders>
            <w:vAlign w:val="center"/>
          </w:tcPr>
          <w:p w14:paraId="1AC41406">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5</w:t>
            </w:r>
          </w:p>
        </w:tc>
        <w:tc>
          <w:tcPr>
            <w:tcW w:w="974" w:type="dxa"/>
            <w:tcBorders>
              <w:top w:val="nil"/>
              <w:left w:val="nil"/>
              <w:bottom w:val="single" w:color="000000" w:sz="8" w:space="0"/>
              <w:right w:val="single" w:color="000000" w:sz="8" w:space="0"/>
            </w:tcBorders>
            <w:vAlign w:val="center"/>
          </w:tcPr>
          <w:p w14:paraId="313DC558">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A020519泵</w:t>
            </w:r>
          </w:p>
        </w:tc>
        <w:tc>
          <w:tcPr>
            <w:tcW w:w="1501" w:type="dxa"/>
            <w:tcBorders>
              <w:top w:val="nil"/>
              <w:left w:val="nil"/>
              <w:bottom w:val="single" w:color="000000" w:sz="8" w:space="0"/>
              <w:right w:val="single" w:color="000000" w:sz="8" w:space="0"/>
            </w:tcBorders>
            <w:vAlign w:val="center"/>
          </w:tcPr>
          <w:p w14:paraId="31B5DBC2">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A02051901离心泵</w:t>
            </w:r>
          </w:p>
        </w:tc>
        <w:tc>
          <w:tcPr>
            <w:tcW w:w="1611" w:type="dxa"/>
            <w:tcBorders>
              <w:top w:val="nil"/>
              <w:left w:val="nil"/>
              <w:bottom w:val="single" w:color="000000" w:sz="8" w:space="0"/>
              <w:right w:val="single" w:color="000000" w:sz="8" w:space="0"/>
            </w:tcBorders>
            <w:vAlign w:val="center"/>
          </w:tcPr>
          <w:p w14:paraId="5FAA460A">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75A8B080">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《清水离心泵能效限定值及节能评价值》（GB19762）</w:t>
            </w:r>
          </w:p>
        </w:tc>
      </w:tr>
      <w:tr w14:paraId="2398903D">
        <w:tblPrEx>
          <w:tblCellMar>
            <w:top w:w="0" w:type="dxa"/>
            <w:left w:w="108" w:type="dxa"/>
            <w:bottom w:w="0" w:type="dxa"/>
            <w:right w:w="108" w:type="dxa"/>
          </w:tblCellMar>
        </w:tblPrEx>
        <w:trPr>
          <w:trHeight w:val="735" w:hRule="atLeast"/>
          <w:jc w:val="center"/>
        </w:trPr>
        <w:tc>
          <w:tcPr>
            <w:tcW w:w="1162" w:type="dxa"/>
            <w:vMerge w:val="restart"/>
            <w:tcBorders>
              <w:top w:val="nil"/>
              <w:left w:val="single" w:color="000000" w:sz="8" w:space="0"/>
              <w:bottom w:val="single" w:color="000000" w:sz="8" w:space="0"/>
              <w:right w:val="single" w:color="000000" w:sz="8" w:space="0"/>
            </w:tcBorders>
            <w:vAlign w:val="center"/>
          </w:tcPr>
          <w:p w14:paraId="263FF2E5">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6</w:t>
            </w:r>
          </w:p>
        </w:tc>
        <w:tc>
          <w:tcPr>
            <w:tcW w:w="974" w:type="dxa"/>
            <w:vMerge w:val="restart"/>
            <w:tcBorders>
              <w:top w:val="nil"/>
              <w:left w:val="single" w:color="000000" w:sz="8" w:space="0"/>
              <w:bottom w:val="single" w:color="000000" w:sz="8" w:space="0"/>
              <w:right w:val="single" w:color="000000" w:sz="8" w:space="0"/>
            </w:tcBorders>
            <w:vAlign w:val="center"/>
          </w:tcPr>
          <w:p w14:paraId="207BFE72">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A020523制冷空调设备</w:t>
            </w:r>
          </w:p>
        </w:tc>
        <w:tc>
          <w:tcPr>
            <w:tcW w:w="1501" w:type="dxa"/>
            <w:vMerge w:val="restart"/>
            <w:tcBorders>
              <w:top w:val="nil"/>
              <w:left w:val="single" w:color="000000" w:sz="8" w:space="0"/>
              <w:bottom w:val="single" w:color="000000" w:sz="8" w:space="0"/>
              <w:right w:val="single" w:color="000000" w:sz="8" w:space="0"/>
            </w:tcBorders>
            <w:vAlign w:val="center"/>
          </w:tcPr>
          <w:p w14:paraId="5B476FF4">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★A02052301制冷压缩机</w:t>
            </w:r>
          </w:p>
        </w:tc>
        <w:tc>
          <w:tcPr>
            <w:tcW w:w="1611" w:type="dxa"/>
            <w:tcBorders>
              <w:top w:val="nil"/>
              <w:left w:val="nil"/>
              <w:bottom w:val="single" w:color="000000" w:sz="8" w:space="0"/>
              <w:right w:val="single" w:color="000000" w:sz="8" w:space="0"/>
            </w:tcBorders>
            <w:vAlign w:val="center"/>
          </w:tcPr>
          <w:p w14:paraId="79000F96">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冷水机组</w:t>
            </w:r>
          </w:p>
        </w:tc>
        <w:tc>
          <w:tcPr>
            <w:tcW w:w="4358" w:type="dxa"/>
            <w:tcBorders>
              <w:top w:val="nil"/>
              <w:left w:val="nil"/>
              <w:bottom w:val="single" w:color="000000" w:sz="8" w:space="0"/>
              <w:right w:val="single" w:color="000000" w:sz="8" w:space="0"/>
            </w:tcBorders>
            <w:vAlign w:val="center"/>
          </w:tcPr>
          <w:p w14:paraId="498E770F">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《冷水机组能效限定值及能效等级》（GB19577），《低环境温度空气源热泵（冷水）机组能效限定值及能效等级》（GB37480）</w:t>
            </w:r>
          </w:p>
        </w:tc>
      </w:tr>
      <w:tr w14:paraId="4A57BBBF">
        <w:tblPrEx>
          <w:tblCellMar>
            <w:top w:w="0" w:type="dxa"/>
            <w:left w:w="108" w:type="dxa"/>
            <w:bottom w:w="0" w:type="dxa"/>
            <w:right w:w="108" w:type="dxa"/>
          </w:tblCellMar>
        </w:tblPrEx>
        <w:trPr>
          <w:trHeight w:val="49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4328B545">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315CA406">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vMerge w:val="continue"/>
            <w:tcBorders>
              <w:top w:val="nil"/>
              <w:left w:val="single" w:color="000000" w:sz="8" w:space="0"/>
              <w:bottom w:val="single" w:color="000000" w:sz="8" w:space="0"/>
              <w:right w:val="single" w:color="000000" w:sz="8" w:space="0"/>
            </w:tcBorders>
            <w:vAlign w:val="center"/>
          </w:tcPr>
          <w:p w14:paraId="4241EF02">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611" w:type="dxa"/>
            <w:tcBorders>
              <w:top w:val="nil"/>
              <w:left w:val="nil"/>
              <w:bottom w:val="single" w:color="000000" w:sz="8" w:space="0"/>
              <w:right w:val="single" w:color="000000" w:sz="8" w:space="0"/>
            </w:tcBorders>
            <w:vAlign w:val="center"/>
          </w:tcPr>
          <w:p w14:paraId="1981B2D4">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水源热泵机组</w:t>
            </w:r>
          </w:p>
        </w:tc>
        <w:tc>
          <w:tcPr>
            <w:tcW w:w="4358" w:type="dxa"/>
            <w:tcBorders>
              <w:top w:val="nil"/>
              <w:left w:val="nil"/>
              <w:bottom w:val="single" w:color="000000" w:sz="8" w:space="0"/>
              <w:right w:val="single" w:color="000000" w:sz="8" w:space="0"/>
            </w:tcBorders>
            <w:vAlign w:val="center"/>
          </w:tcPr>
          <w:p w14:paraId="4E86DB4D">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《水（地）源热泵机组能效限定值及能效等级》（GB30721）</w:t>
            </w:r>
          </w:p>
        </w:tc>
      </w:tr>
      <w:tr w14:paraId="1EA793B0">
        <w:tblPrEx>
          <w:tblCellMar>
            <w:top w:w="0" w:type="dxa"/>
            <w:left w:w="108" w:type="dxa"/>
            <w:bottom w:w="0" w:type="dxa"/>
            <w:right w:w="108" w:type="dxa"/>
          </w:tblCellMar>
        </w:tblPrEx>
        <w:trPr>
          <w:trHeight w:val="49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20E44CB8">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120AB2AB">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vMerge w:val="continue"/>
            <w:tcBorders>
              <w:top w:val="nil"/>
              <w:left w:val="single" w:color="000000" w:sz="8" w:space="0"/>
              <w:bottom w:val="single" w:color="000000" w:sz="8" w:space="0"/>
              <w:right w:val="single" w:color="000000" w:sz="8" w:space="0"/>
            </w:tcBorders>
            <w:vAlign w:val="center"/>
          </w:tcPr>
          <w:p w14:paraId="28102D41">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611" w:type="dxa"/>
            <w:tcBorders>
              <w:top w:val="nil"/>
              <w:left w:val="nil"/>
              <w:bottom w:val="single" w:color="000000" w:sz="8" w:space="0"/>
              <w:right w:val="single" w:color="000000" w:sz="8" w:space="0"/>
            </w:tcBorders>
            <w:vAlign w:val="center"/>
          </w:tcPr>
          <w:p w14:paraId="6041AD1E">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溴化锂吸收式冷水机组</w:t>
            </w:r>
          </w:p>
        </w:tc>
        <w:tc>
          <w:tcPr>
            <w:tcW w:w="4358" w:type="dxa"/>
            <w:tcBorders>
              <w:top w:val="nil"/>
              <w:left w:val="nil"/>
              <w:bottom w:val="single" w:color="000000" w:sz="8" w:space="0"/>
              <w:right w:val="single" w:color="000000" w:sz="8" w:space="0"/>
            </w:tcBorders>
            <w:vAlign w:val="center"/>
          </w:tcPr>
          <w:p w14:paraId="2B35EF47">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《溴化锂吸收式冷水机组能效限定值及能效等级》（GB29540）</w:t>
            </w:r>
          </w:p>
        </w:tc>
      </w:tr>
      <w:tr w14:paraId="5818FFBB">
        <w:tblPrEx>
          <w:tblCellMar>
            <w:top w:w="0" w:type="dxa"/>
            <w:left w:w="108" w:type="dxa"/>
            <w:bottom w:w="0" w:type="dxa"/>
            <w:right w:w="108" w:type="dxa"/>
          </w:tblCellMar>
        </w:tblPrEx>
        <w:trPr>
          <w:trHeight w:val="73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72FCEAA8">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43C0BE31">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vMerge w:val="restart"/>
            <w:tcBorders>
              <w:top w:val="nil"/>
              <w:left w:val="single" w:color="000000" w:sz="8" w:space="0"/>
              <w:bottom w:val="single" w:color="000000" w:sz="8" w:space="0"/>
              <w:right w:val="single" w:color="000000" w:sz="8" w:space="0"/>
            </w:tcBorders>
            <w:vAlign w:val="center"/>
          </w:tcPr>
          <w:p w14:paraId="05E489E9">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★A02052305空调机组</w:t>
            </w:r>
          </w:p>
        </w:tc>
        <w:tc>
          <w:tcPr>
            <w:tcW w:w="1611" w:type="dxa"/>
            <w:tcBorders>
              <w:top w:val="nil"/>
              <w:left w:val="nil"/>
              <w:bottom w:val="single" w:color="000000" w:sz="8" w:space="0"/>
              <w:right w:val="single" w:color="000000" w:sz="8" w:space="0"/>
            </w:tcBorders>
            <w:vAlign w:val="center"/>
          </w:tcPr>
          <w:p w14:paraId="5530B8CF">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多联式空调（热泵）机组(制冷量&gt;14000W)</w:t>
            </w:r>
          </w:p>
        </w:tc>
        <w:tc>
          <w:tcPr>
            <w:tcW w:w="4358" w:type="dxa"/>
            <w:tcBorders>
              <w:top w:val="nil"/>
              <w:left w:val="nil"/>
              <w:bottom w:val="single" w:color="000000" w:sz="8" w:space="0"/>
              <w:right w:val="single" w:color="000000" w:sz="8" w:space="0"/>
            </w:tcBorders>
            <w:vAlign w:val="center"/>
          </w:tcPr>
          <w:p w14:paraId="04AE6DE5">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《多联式空调（热泵）机组能效限定值及能源效率等级》（GB21454）</w:t>
            </w:r>
          </w:p>
        </w:tc>
      </w:tr>
      <w:tr w14:paraId="317947BD">
        <w:tblPrEx>
          <w:tblCellMar>
            <w:top w:w="0" w:type="dxa"/>
            <w:left w:w="108" w:type="dxa"/>
            <w:bottom w:w="0" w:type="dxa"/>
            <w:right w:w="108" w:type="dxa"/>
          </w:tblCellMar>
        </w:tblPrEx>
        <w:trPr>
          <w:trHeight w:val="73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1F12883A">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507A1826">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vMerge w:val="continue"/>
            <w:tcBorders>
              <w:top w:val="nil"/>
              <w:left w:val="single" w:color="000000" w:sz="8" w:space="0"/>
              <w:bottom w:val="single" w:color="000000" w:sz="8" w:space="0"/>
              <w:right w:val="single" w:color="000000" w:sz="8" w:space="0"/>
            </w:tcBorders>
            <w:vAlign w:val="center"/>
          </w:tcPr>
          <w:p w14:paraId="1290144F">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611" w:type="dxa"/>
            <w:tcBorders>
              <w:top w:val="nil"/>
              <w:left w:val="nil"/>
              <w:bottom w:val="single" w:color="000000" w:sz="8" w:space="0"/>
              <w:right w:val="single" w:color="000000" w:sz="8" w:space="0"/>
            </w:tcBorders>
            <w:vAlign w:val="center"/>
          </w:tcPr>
          <w:p w14:paraId="371D07B9">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单元式空气调节机(制冷量&gt;14000W</w:t>
            </w:r>
          </w:p>
        </w:tc>
        <w:tc>
          <w:tcPr>
            <w:tcW w:w="4358" w:type="dxa"/>
            <w:tcBorders>
              <w:top w:val="nil"/>
              <w:left w:val="nil"/>
              <w:bottom w:val="single" w:color="000000" w:sz="8" w:space="0"/>
              <w:right w:val="single" w:color="000000" w:sz="8" w:space="0"/>
            </w:tcBorders>
            <w:vAlign w:val="center"/>
          </w:tcPr>
          <w:p w14:paraId="62E2138F">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《单元式空气调节机能效限定值及能效等级》（GB19576）《风管送风式空调机组能效限定值及能效等级》（GB37479）</w:t>
            </w:r>
          </w:p>
        </w:tc>
      </w:tr>
      <w:tr w14:paraId="3EED34C7">
        <w:tblPrEx>
          <w:tblCellMar>
            <w:top w:w="0" w:type="dxa"/>
            <w:left w:w="108" w:type="dxa"/>
            <w:bottom w:w="0" w:type="dxa"/>
            <w:right w:w="108" w:type="dxa"/>
          </w:tblCellMar>
        </w:tblPrEx>
        <w:trPr>
          <w:trHeight w:val="73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2CD09AA4">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311704C0">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tcBorders>
              <w:top w:val="nil"/>
              <w:left w:val="nil"/>
              <w:bottom w:val="single" w:color="000000" w:sz="8" w:space="0"/>
              <w:right w:val="single" w:color="000000" w:sz="8" w:space="0"/>
            </w:tcBorders>
            <w:vAlign w:val="center"/>
          </w:tcPr>
          <w:p w14:paraId="7098FC61">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★A02052309专用制冷、空调设备</w:t>
            </w:r>
          </w:p>
        </w:tc>
        <w:tc>
          <w:tcPr>
            <w:tcW w:w="1611" w:type="dxa"/>
            <w:tcBorders>
              <w:top w:val="nil"/>
              <w:left w:val="nil"/>
              <w:bottom w:val="single" w:color="000000" w:sz="8" w:space="0"/>
              <w:right w:val="single" w:color="000000" w:sz="8" w:space="0"/>
            </w:tcBorders>
            <w:vAlign w:val="center"/>
          </w:tcPr>
          <w:p w14:paraId="0152E20F">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机房空调</w:t>
            </w:r>
          </w:p>
        </w:tc>
        <w:tc>
          <w:tcPr>
            <w:tcW w:w="4358" w:type="dxa"/>
            <w:tcBorders>
              <w:top w:val="nil"/>
              <w:left w:val="nil"/>
              <w:bottom w:val="single" w:color="000000" w:sz="8" w:space="0"/>
              <w:right w:val="single" w:color="000000" w:sz="8" w:space="0"/>
            </w:tcBorders>
            <w:vAlign w:val="center"/>
          </w:tcPr>
          <w:p w14:paraId="026BF8D7">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《单元式空气调节机能效限定值及能效等级》（GB19576）</w:t>
            </w:r>
          </w:p>
        </w:tc>
      </w:tr>
      <w:tr w14:paraId="142C50B7">
        <w:tblPrEx>
          <w:tblCellMar>
            <w:top w:w="0" w:type="dxa"/>
            <w:left w:w="108" w:type="dxa"/>
            <w:bottom w:w="0" w:type="dxa"/>
            <w:right w:w="108" w:type="dxa"/>
          </w:tblCellMar>
        </w:tblPrEx>
        <w:trPr>
          <w:trHeight w:val="73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2E113D7E">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231C8259">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tcBorders>
              <w:top w:val="nil"/>
              <w:left w:val="nil"/>
              <w:bottom w:val="single" w:color="000000" w:sz="8" w:space="0"/>
              <w:right w:val="single" w:color="000000" w:sz="8" w:space="0"/>
            </w:tcBorders>
            <w:vAlign w:val="center"/>
          </w:tcPr>
          <w:p w14:paraId="2AB66856">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A02052399其他制冷空调设备</w:t>
            </w:r>
          </w:p>
        </w:tc>
        <w:tc>
          <w:tcPr>
            <w:tcW w:w="1611" w:type="dxa"/>
            <w:tcBorders>
              <w:top w:val="nil"/>
              <w:left w:val="nil"/>
              <w:bottom w:val="single" w:color="000000" w:sz="8" w:space="0"/>
              <w:right w:val="single" w:color="000000" w:sz="8" w:space="0"/>
            </w:tcBorders>
            <w:vAlign w:val="center"/>
          </w:tcPr>
          <w:p w14:paraId="7F2B95B0">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冷却塔</w:t>
            </w:r>
          </w:p>
        </w:tc>
        <w:tc>
          <w:tcPr>
            <w:tcW w:w="4358" w:type="dxa"/>
            <w:tcBorders>
              <w:top w:val="nil"/>
              <w:left w:val="nil"/>
              <w:bottom w:val="single" w:color="000000" w:sz="8" w:space="0"/>
              <w:right w:val="single" w:color="000000" w:sz="8" w:space="0"/>
            </w:tcBorders>
            <w:vAlign w:val="center"/>
          </w:tcPr>
          <w:p w14:paraId="035E86FE">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《机械通风冷却塔第1部分：中小型开式冷却塔》（GB/T7190.1）；《机械通风冷却塔第2部分：大型开式冷却塔》（GB/T7190.2）</w:t>
            </w:r>
          </w:p>
        </w:tc>
      </w:tr>
      <w:tr w14:paraId="3BA89A04">
        <w:tblPrEx>
          <w:tblCellMar>
            <w:top w:w="0" w:type="dxa"/>
            <w:left w:w="108" w:type="dxa"/>
            <w:bottom w:w="0" w:type="dxa"/>
            <w:right w:w="108" w:type="dxa"/>
          </w:tblCellMar>
        </w:tblPrEx>
        <w:trPr>
          <w:trHeight w:val="495" w:hRule="atLeast"/>
          <w:jc w:val="center"/>
        </w:trPr>
        <w:tc>
          <w:tcPr>
            <w:tcW w:w="1162" w:type="dxa"/>
            <w:tcBorders>
              <w:top w:val="nil"/>
              <w:left w:val="single" w:color="000000" w:sz="8" w:space="0"/>
              <w:bottom w:val="single" w:color="000000" w:sz="8" w:space="0"/>
              <w:right w:val="single" w:color="000000" w:sz="8" w:space="0"/>
            </w:tcBorders>
            <w:vAlign w:val="center"/>
          </w:tcPr>
          <w:p w14:paraId="2135DD09">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7</w:t>
            </w:r>
          </w:p>
        </w:tc>
        <w:tc>
          <w:tcPr>
            <w:tcW w:w="974" w:type="dxa"/>
            <w:tcBorders>
              <w:top w:val="nil"/>
              <w:left w:val="nil"/>
              <w:bottom w:val="single" w:color="000000" w:sz="8" w:space="0"/>
              <w:right w:val="single" w:color="000000" w:sz="8" w:space="0"/>
            </w:tcBorders>
            <w:vAlign w:val="center"/>
          </w:tcPr>
          <w:p w14:paraId="1E083AD4">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A020601电机</w:t>
            </w:r>
          </w:p>
        </w:tc>
        <w:tc>
          <w:tcPr>
            <w:tcW w:w="1501" w:type="dxa"/>
            <w:tcBorders>
              <w:top w:val="nil"/>
              <w:left w:val="nil"/>
              <w:bottom w:val="single" w:color="000000" w:sz="8" w:space="0"/>
              <w:right w:val="single" w:color="000000" w:sz="8" w:space="0"/>
            </w:tcBorders>
            <w:vAlign w:val="center"/>
          </w:tcPr>
          <w:p w14:paraId="2497E5B6">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1611" w:type="dxa"/>
            <w:tcBorders>
              <w:top w:val="nil"/>
              <w:left w:val="nil"/>
              <w:bottom w:val="single" w:color="000000" w:sz="8" w:space="0"/>
              <w:right w:val="single" w:color="000000" w:sz="8" w:space="0"/>
            </w:tcBorders>
            <w:vAlign w:val="center"/>
          </w:tcPr>
          <w:p w14:paraId="3F7C41F5">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5C95EDDC">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《中小型三相异步电动机能效限定值及能效等级》（GB18613）</w:t>
            </w:r>
          </w:p>
        </w:tc>
      </w:tr>
      <w:tr w14:paraId="5570BA5F">
        <w:tblPrEx>
          <w:tblCellMar>
            <w:top w:w="0" w:type="dxa"/>
            <w:left w:w="108" w:type="dxa"/>
            <w:bottom w:w="0" w:type="dxa"/>
            <w:right w:w="108" w:type="dxa"/>
          </w:tblCellMar>
        </w:tblPrEx>
        <w:trPr>
          <w:trHeight w:val="495" w:hRule="atLeast"/>
          <w:jc w:val="center"/>
        </w:trPr>
        <w:tc>
          <w:tcPr>
            <w:tcW w:w="1162" w:type="dxa"/>
            <w:tcBorders>
              <w:top w:val="nil"/>
              <w:left w:val="single" w:color="000000" w:sz="8" w:space="0"/>
              <w:bottom w:val="single" w:color="000000" w:sz="8" w:space="0"/>
              <w:right w:val="single" w:color="000000" w:sz="8" w:space="0"/>
            </w:tcBorders>
            <w:vAlign w:val="center"/>
          </w:tcPr>
          <w:p w14:paraId="08B5EE3A">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8</w:t>
            </w:r>
          </w:p>
        </w:tc>
        <w:tc>
          <w:tcPr>
            <w:tcW w:w="974" w:type="dxa"/>
            <w:tcBorders>
              <w:top w:val="nil"/>
              <w:left w:val="nil"/>
              <w:bottom w:val="single" w:color="000000" w:sz="8" w:space="0"/>
              <w:right w:val="single" w:color="000000" w:sz="8" w:space="0"/>
            </w:tcBorders>
            <w:vAlign w:val="center"/>
          </w:tcPr>
          <w:p w14:paraId="2E3C2648">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A020602变压器</w:t>
            </w:r>
          </w:p>
        </w:tc>
        <w:tc>
          <w:tcPr>
            <w:tcW w:w="1501" w:type="dxa"/>
            <w:tcBorders>
              <w:top w:val="nil"/>
              <w:left w:val="nil"/>
              <w:bottom w:val="single" w:color="000000" w:sz="8" w:space="0"/>
              <w:right w:val="single" w:color="000000" w:sz="8" w:space="0"/>
            </w:tcBorders>
            <w:vAlign w:val="center"/>
          </w:tcPr>
          <w:p w14:paraId="1B5231B0">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配电变压器</w:t>
            </w:r>
          </w:p>
        </w:tc>
        <w:tc>
          <w:tcPr>
            <w:tcW w:w="1611" w:type="dxa"/>
            <w:tcBorders>
              <w:top w:val="nil"/>
              <w:left w:val="nil"/>
              <w:bottom w:val="single" w:color="000000" w:sz="8" w:space="0"/>
              <w:right w:val="single" w:color="000000" w:sz="8" w:space="0"/>
            </w:tcBorders>
            <w:vAlign w:val="center"/>
          </w:tcPr>
          <w:p w14:paraId="5A4B4163">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21F17C60">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《三相配电变压器能效限定值及能效等级》（GB20052）</w:t>
            </w:r>
          </w:p>
        </w:tc>
      </w:tr>
      <w:tr w14:paraId="5A4C6D8D">
        <w:tblPrEx>
          <w:tblCellMar>
            <w:top w:w="0" w:type="dxa"/>
            <w:left w:w="108" w:type="dxa"/>
            <w:bottom w:w="0" w:type="dxa"/>
            <w:right w:w="108" w:type="dxa"/>
          </w:tblCellMar>
        </w:tblPrEx>
        <w:trPr>
          <w:trHeight w:val="495" w:hRule="atLeast"/>
          <w:jc w:val="center"/>
        </w:trPr>
        <w:tc>
          <w:tcPr>
            <w:tcW w:w="1162" w:type="dxa"/>
            <w:tcBorders>
              <w:top w:val="nil"/>
              <w:left w:val="single" w:color="000000" w:sz="8" w:space="0"/>
              <w:bottom w:val="single" w:color="000000" w:sz="8" w:space="0"/>
              <w:right w:val="single" w:color="000000" w:sz="8" w:space="0"/>
            </w:tcBorders>
            <w:vAlign w:val="center"/>
          </w:tcPr>
          <w:p w14:paraId="4C9F2DA5">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9</w:t>
            </w:r>
          </w:p>
        </w:tc>
        <w:tc>
          <w:tcPr>
            <w:tcW w:w="974" w:type="dxa"/>
            <w:tcBorders>
              <w:top w:val="nil"/>
              <w:left w:val="nil"/>
              <w:bottom w:val="single" w:color="000000" w:sz="8" w:space="0"/>
              <w:right w:val="single" w:color="000000" w:sz="8" w:space="0"/>
            </w:tcBorders>
            <w:vAlign w:val="center"/>
          </w:tcPr>
          <w:p w14:paraId="5AF762B5">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★A020609镇流器</w:t>
            </w:r>
          </w:p>
        </w:tc>
        <w:tc>
          <w:tcPr>
            <w:tcW w:w="1501" w:type="dxa"/>
            <w:tcBorders>
              <w:top w:val="nil"/>
              <w:left w:val="nil"/>
              <w:bottom w:val="single" w:color="000000" w:sz="8" w:space="0"/>
              <w:right w:val="single" w:color="000000" w:sz="8" w:space="0"/>
            </w:tcBorders>
            <w:vAlign w:val="center"/>
          </w:tcPr>
          <w:p w14:paraId="4E8D742A">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管型荧光灯镇流器</w:t>
            </w:r>
          </w:p>
        </w:tc>
        <w:tc>
          <w:tcPr>
            <w:tcW w:w="1611" w:type="dxa"/>
            <w:tcBorders>
              <w:top w:val="nil"/>
              <w:left w:val="nil"/>
              <w:bottom w:val="single" w:color="000000" w:sz="8" w:space="0"/>
              <w:right w:val="single" w:color="000000" w:sz="8" w:space="0"/>
            </w:tcBorders>
            <w:vAlign w:val="center"/>
          </w:tcPr>
          <w:p w14:paraId="230CAA99">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5FD16C2C">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《管形荧光灯镇流器能效限定值及能效等级》（GB17896）</w:t>
            </w:r>
          </w:p>
        </w:tc>
      </w:tr>
      <w:tr w14:paraId="5246678B">
        <w:tblPrEx>
          <w:tblCellMar>
            <w:top w:w="0" w:type="dxa"/>
            <w:left w:w="108" w:type="dxa"/>
            <w:bottom w:w="0" w:type="dxa"/>
            <w:right w:w="108" w:type="dxa"/>
          </w:tblCellMar>
        </w:tblPrEx>
        <w:trPr>
          <w:trHeight w:val="495" w:hRule="atLeast"/>
          <w:jc w:val="center"/>
        </w:trPr>
        <w:tc>
          <w:tcPr>
            <w:tcW w:w="1162" w:type="dxa"/>
            <w:vMerge w:val="restart"/>
            <w:tcBorders>
              <w:top w:val="nil"/>
              <w:left w:val="single" w:color="000000" w:sz="8" w:space="0"/>
              <w:bottom w:val="single" w:color="000000" w:sz="8" w:space="0"/>
              <w:right w:val="single" w:color="000000" w:sz="8" w:space="0"/>
            </w:tcBorders>
            <w:vAlign w:val="center"/>
          </w:tcPr>
          <w:p w14:paraId="7DDA98C1">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10</w:t>
            </w:r>
          </w:p>
        </w:tc>
        <w:tc>
          <w:tcPr>
            <w:tcW w:w="974" w:type="dxa"/>
            <w:vMerge w:val="restart"/>
            <w:tcBorders>
              <w:top w:val="nil"/>
              <w:left w:val="single" w:color="000000" w:sz="8" w:space="0"/>
              <w:bottom w:val="single" w:color="000000" w:sz="8" w:space="0"/>
              <w:right w:val="single" w:color="000000" w:sz="8" w:space="0"/>
            </w:tcBorders>
            <w:vAlign w:val="center"/>
          </w:tcPr>
          <w:p w14:paraId="666AFE4C">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A020618生活用电器</w:t>
            </w:r>
          </w:p>
        </w:tc>
        <w:tc>
          <w:tcPr>
            <w:tcW w:w="1501" w:type="dxa"/>
            <w:tcBorders>
              <w:top w:val="nil"/>
              <w:left w:val="nil"/>
              <w:bottom w:val="single" w:color="000000" w:sz="8" w:space="0"/>
              <w:right w:val="single" w:color="000000" w:sz="8" w:space="0"/>
            </w:tcBorders>
            <w:vAlign w:val="center"/>
          </w:tcPr>
          <w:p w14:paraId="406DE841">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A0206180101电冰箱</w:t>
            </w:r>
          </w:p>
        </w:tc>
        <w:tc>
          <w:tcPr>
            <w:tcW w:w="1611" w:type="dxa"/>
            <w:tcBorders>
              <w:top w:val="nil"/>
              <w:left w:val="nil"/>
              <w:bottom w:val="single" w:color="000000" w:sz="8" w:space="0"/>
              <w:right w:val="single" w:color="000000" w:sz="8" w:space="0"/>
            </w:tcBorders>
            <w:vAlign w:val="center"/>
          </w:tcPr>
          <w:p w14:paraId="3A48156B">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23D62C0C">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《家用电冰箱耗电量限定值及能效等级》（GB 12021.2）</w:t>
            </w:r>
          </w:p>
        </w:tc>
      </w:tr>
      <w:tr w14:paraId="26062106">
        <w:tblPrEx>
          <w:tblCellMar>
            <w:top w:w="0" w:type="dxa"/>
            <w:left w:w="108" w:type="dxa"/>
            <w:bottom w:w="0" w:type="dxa"/>
            <w:right w:w="108" w:type="dxa"/>
          </w:tblCellMar>
        </w:tblPrEx>
        <w:trPr>
          <w:trHeight w:val="97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3EBC5FA9">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30E3C2BD">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vMerge w:val="restart"/>
            <w:tcBorders>
              <w:top w:val="nil"/>
              <w:left w:val="single" w:color="000000" w:sz="8" w:space="0"/>
              <w:bottom w:val="single" w:color="000000" w:sz="8" w:space="0"/>
              <w:right w:val="single" w:color="000000" w:sz="8" w:space="0"/>
            </w:tcBorders>
            <w:vAlign w:val="center"/>
          </w:tcPr>
          <w:p w14:paraId="68A53975">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★A0206180203空调机</w:t>
            </w:r>
          </w:p>
        </w:tc>
        <w:tc>
          <w:tcPr>
            <w:tcW w:w="1611" w:type="dxa"/>
            <w:tcBorders>
              <w:top w:val="nil"/>
              <w:left w:val="nil"/>
              <w:bottom w:val="single" w:color="000000" w:sz="8" w:space="0"/>
              <w:right w:val="single" w:color="000000" w:sz="8" w:space="0"/>
            </w:tcBorders>
            <w:vAlign w:val="center"/>
          </w:tcPr>
          <w:p w14:paraId="0E10D3BF">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房间空气调节器</w:t>
            </w:r>
          </w:p>
        </w:tc>
        <w:tc>
          <w:tcPr>
            <w:tcW w:w="4358" w:type="dxa"/>
            <w:tcBorders>
              <w:top w:val="nil"/>
              <w:left w:val="nil"/>
              <w:bottom w:val="single" w:color="000000" w:sz="8" w:space="0"/>
              <w:right w:val="single" w:color="000000" w:sz="8" w:space="0"/>
            </w:tcBorders>
            <w:vAlign w:val="center"/>
          </w:tcPr>
          <w:p w14:paraId="24E245E2">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《转速可控型房间空气调节器能效限定值及能效等级》（GB21455-2013），待2019年修订发布后，按《房间空气调节器能效限定值及能效等级》（GB21455-2019实施。</w:t>
            </w:r>
          </w:p>
        </w:tc>
      </w:tr>
      <w:tr w14:paraId="3F129811">
        <w:tblPrEx>
          <w:tblCellMar>
            <w:top w:w="0" w:type="dxa"/>
            <w:left w:w="108" w:type="dxa"/>
            <w:bottom w:w="0" w:type="dxa"/>
            <w:right w:w="108" w:type="dxa"/>
          </w:tblCellMar>
        </w:tblPrEx>
        <w:trPr>
          <w:trHeight w:val="73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15ED6E94">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0C264047">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vMerge w:val="continue"/>
            <w:tcBorders>
              <w:top w:val="nil"/>
              <w:left w:val="single" w:color="000000" w:sz="8" w:space="0"/>
              <w:bottom w:val="single" w:color="000000" w:sz="8" w:space="0"/>
              <w:right w:val="single" w:color="000000" w:sz="8" w:space="0"/>
            </w:tcBorders>
            <w:vAlign w:val="center"/>
          </w:tcPr>
          <w:p w14:paraId="61F81997">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611" w:type="dxa"/>
            <w:tcBorders>
              <w:top w:val="nil"/>
              <w:left w:val="nil"/>
              <w:bottom w:val="single" w:color="000000" w:sz="8" w:space="0"/>
              <w:right w:val="single" w:color="000000" w:sz="8" w:space="0"/>
            </w:tcBorders>
            <w:vAlign w:val="center"/>
          </w:tcPr>
          <w:p w14:paraId="49EA9468">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多联式空调（热泵）机组（制冷量≤ 14000W）</w:t>
            </w:r>
          </w:p>
        </w:tc>
        <w:tc>
          <w:tcPr>
            <w:tcW w:w="4358" w:type="dxa"/>
            <w:tcBorders>
              <w:top w:val="nil"/>
              <w:left w:val="nil"/>
              <w:bottom w:val="single" w:color="000000" w:sz="8" w:space="0"/>
              <w:right w:val="single" w:color="000000" w:sz="8" w:space="0"/>
            </w:tcBorders>
            <w:vAlign w:val="center"/>
          </w:tcPr>
          <w:p w14:paraId="47667BFE">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《多联式空调（热泵）机组能效限定值及能源效率等级》（GB21454）</w:t>
            </w:r>
          </w:p>
        </w:tc>
      </w:tr>
      <w:tr w14:paraId="47566361">
        <w:tblPrEx>
          <w:tblCellMar>
            <w:top w:w="0" w:type="dxa"/>
            <w:left w:w="108" w:type="dxa"/>
            <w:bottom w:w="0" w:type="dxa"/>
            <w:right w:w="108" w:type="dxa"/>
          </w:tblCellMar>
        </w:tblPrEx>
        <w:trPr>
          <w:trHeight w:val="73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1FED5E34">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2E9AF262">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vMerge w:val="continue"/>
            <w:tcBorders>
              <w:top w:val="nil"/>
              <w:left w:val="single" w:color="000000" w:sz="8" w:space="0"/>
              <w:bottom w:val="single" w:color="000000" w:sz="8" w:space="0"/>
              <w:right w:val="single" w:color="000000" w:sz="8" w:space="0"/>
            </w:tcBorders>
            <w:vAlign w:val="center"/>
          </w:tcPr>
          <w:p w14:paraId="25DAE9FE">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611" w:type="dxa"/>
            <w:tcBorders>
              <w:top w:val="nil"/>
              <w:left w:val="nil"/>
              <w:bottom w:val="single" w:color="000000" w:sz="8" w:space="0"/>
              <w:right w:val="single" w:color="000000" w:sz="8" w:space="0"/>
            </w:tcBorders>
            <w:vAlign w:val="center"/>
          </w:tcPr>
          <w:p w14:paraId="184C91B7">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单元式空气调节机(制冷量≤14000W)</w:t>
            </w:r>
          </w:p>
        </w:tc>
        <w:tc>
          <w:tcPr>
            <w:tcW w:w="4358" w:type="dxa"/>
            <w:tcBorders>
              <w:top w:val="nil"/>
              <w:left w:val="nil"/>
              <w:bottom w:val="single" w:color="000000" w:sz="8" w:space="0"/>
              <w:right w:val="single" w:color="000000" w:sz="8" w:space="0"/>
            </w:tcBorders>
            <w:vAlign w:val="center"/>
          </w:tcPr>
          <w:p w14:paraId="0ACA9B95">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《单元式空气调节机能效限定值及能源效率等级》（GB19576）《风管送风式空调机组能效限定值及能效等级》（GB37479）</w:t>
            </w:r>
          </w:p>
        </w:tc>
      </w:tr>
      <w:tr w14:paraId="0101E901">
        <w:tblPrEx>
          <w:tblCellMar>
            <w:top w:w="0" w:type="dxa"/>
            <w:left w:w="108" w:type="dxa"/>
            <w:bottom w:w="0" w:type="dxa"/>
            <w:right w:w="108" w:type="dxa"/>
          </w:tblCellMar>
        </w:tblPrEx>
        <w:trPr>
          <w:trHeight w:val="49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11FB3EC5">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2B708910">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tcBorders>
              <w:top w:val="nil"/>
              <w:left w:val="nil"/>
              <w:bottom w:val="single" w:color="000000" w:sz="8" w:space="0"/>
              <w:right w:val="single" w:color="000000" w:sz="8" w:space="0"/>
            </w:tcBorders>
            <w:vAlign w:val="center"/>
          </w:tcPr>
          <w:p w14:paraId="6106C734">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A0206180301洗衣机</w:t>
            </w:r>
          </w:p>
        </w:tc>
        <w:tc>
          <w:tcPr>
            <w:tcW w:w="1611" w:type="dxa"/>
            <w:tcBorders>
              <w:top w:val="nil"/>
              <w:left w:val="nil"/>
              <w:bottom w:val="single" w:color="000000" w:sz="8" w:space="0"/>
              <w:right w:val="single" w:color="000000" w:sz="8" w:space="0"/>
            </w:tcBorders>
            <w:vAlign w:val="center"/>
          </w:tcPr>
          <w:p w14:paraId="3517ACD1">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1347A415">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《电动洗衣机能效水效限定值及等级》（GB12021.4）</w:t>
            </w:r>
          </w:p>
        </w:tc>
      </w:tr>
      <w:tr w14:paraId="2934C43F">
        <w:tblPrEx>
          <w:tblCellMar>
            <w:top w:w="0" w:type="dxa"/>
            <w:left w:w="108" w:type="dxa"/>
            <w:bottom w:w="0" w:type="dxa"/>
            <w:right w:w="108" w:type="dxa"/>
          </w:tblCellMar>
        </w:tblPrEx>
        <w:trPr>
          <w:trHeight w:val="49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7A7DFE46">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1C6EF364">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vMerge w:val="restart"/>
            <w:tcBorders>
              <w:top w:val="nil"/>
              <w:left w:val="single" w:color="000000" w:sz="8" w:space="0"/>
              <w:bottom w:val="single" w:color="000000" w:sz="8" w:space="0"/>
              <w:right w:val="single" w:color="000000" w:sz="8" w:space="0"/>
            </w:tcBorders>
            <w:vAlign w:val="center"/>
          </w:tcPr>
          <w:p w14:paraId="6035B4D3">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A02061808热水器</w:t>
            </w:r>
          </w:p>
        </w:tc>
        <w:tc>
          <w:tcPr>
            <w:tcW w:w="1611" w:type="dxa"/>
            <w:tcBorders>
              <w:top w:val="nil"/>
              <w:left w:val="nil"/>
              <w:bottom w:val="single" w:color="000000" w:sz="8" w:space="0"/>
              <w:right w:val="single" w:color="000000" w:sz="8" w:space="0"/>
            </w:tcBorders>
            <w:vAlign w:val="center"/>
          </w:tcPr>
          <w:p w14:paraId="4F6AE4CD">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★电热水器</w:t>
            </w:r>
          </w:p>
        </w:tc>
        <w:tc>
          <w:tcPr>
            <w:tcW w:w="4358" w:type="dxa"/>
            <w:tcBorders>
              <w:top w:val="nil"/>
              <w:left w:val="nil"/>
              <w:bottom w:val="single" w:color="000000" w:sz="8" w:space="0"/>
              <w:right w:val="single" w:color="000000" w:sz="8" w:space="0"/>
            </w:tcBorders>
            <w:vAlign w:val="center"/>
          </w:tcPr>
          <w:p w14:paraId="094E6087">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《储水式电热水器能效限定值及能效等级》（GB21519）</w:t>
            </w:r>
          </w:p>
        </w:tc>
      </w:tr>
      <w:tr w14:paraId="3618841E">
        <w:tblPrEx>
          <w:tblCellMar>
            <w:top w:w="0" w:type="dxa"/>
            <w:left w:w="108" w:type="dxa"/>
            <w:bottom w:w="0" w:type="dxa"/>
            <w:right w:w="108" w:type="dxa"/>
          </w:tblCellMar>
        </w:tblPrEx>
        <w:trPr>
          <w:trHeight w:val="49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142B7FB8">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3B3772A4">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vMerge w:val="continue"/>
            <w:tcBorders>
              <w:top w:val="nil"/>
              <w:left w:val="single" w:color="000000" w:sz="8" w:space="0"/>
              <w:bottom w:val="single" w:color="000000" w:sz="8" w:space="0"/>
              <w:right w:val="single" w:color="000000" w:sz="8" w:space="0"/>
            </w:tcBorders>
            <w:vAlign w:val="center"/>
          </w:tcPr>
          <w:p w14:paraId="447226E3">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611" w:type="dxa"/>
            <w:tcBorders>
              <w:top w:val="nil"/>
              <w:left w:val="nil"/>
              <w:bottom w:val="single" w:color="000000" w:sz="8" w:space="0"/>
              <w:right w:val="single" w:color="000000" w:sz="8" w:space="0"/>
            </w:tcBorders>
            <w:vAlign w:val="center"/>
          </w:tcPr>
          <w:p w14:paraId="439C5362">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燃气热水器</w:t>
            </w:r>
          </w:p>
        </w:tc>
        <w:tc>
          <w:tcPr>
            <w:tcW w:w="4358" w:type="dxa"/>
            <w:tcBorders>
              <w:top w:val="nil"/>
              <w:left w:val="nil"/>
              <w:bottom w:val="single" w:color="000000" w:sz="8" w:space="0"/>
              <w:right w:val="single" w:color="000000" w:sz="8" w:space="0"/>
            </w:tcBorders>
            <w:vAlign w:val="center"/>
          </w:tcPr>
          <w:p w14:paraId="20235672">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《家用燃气快速热水器和燃气采暖热水炉能效限定值及能效等级》（GB20665）</w:t>
            </w:r>
          </w:p>
        </w:tc>
      </w:tr>
      <w:tr w14:paraId="7C1FBF6E">
        <w:tblPrEx>
          <w:tblCellMar>
            <w:top w:w="0" w:type="dxa"/>
            <w:left w:w="108" w:type="dxa"/>
            <w:bottom w:w="0" w:type="dxa"/>
            <w:right w:w="108" w:type="dxa"/>
          </w:tblCellMar>
        </w:tblPrEx>
        <w:trPr>
          <w:trHeight w:val="49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1408A939">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1A91DEC9">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vMerge w:val="continue"/>
            <w:tcBorders>
              <w:top w:val="nil"/>
              <w:left w:val="single" w:color="000000" w:sz="8" w:space="0"/>
              <w:bottom w:val="single" w:color="000000" w:sz="8" w:space="0"/>
              <w:right w:val="single" w:color="000000" w:sz="8" w:space="0"/>
            </w:tcBorders>
            <w:vAlign w:val="center"/>
          </w:tcPr>
          <w:p w14:paraId="055F1772">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611" w:type="dxa"/>
            <w:tcBorders>
              <w:top w:val="nil"/>
              <w:left w:val="nil"/>
              <w:bottom w:val="single" w:color="000000" w:sz="8" w:space="0"/>
              <w:right w:val="single" w:color="000000" w:sz="8" w:space="0"/>
            </w:tcBorders>
            <w:vAlign w:val="center"/>
          </w:tcPr>
          <w:p w14:paraId="0A5CC835">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热泵热水器</w:t>
            </w:r>
          </w:p>
        </w:tc>
        <w:tc>
          <w:tcPr>
            <w:tcW w:w="4358" w:type="dxa"/>
            <w:tcBorders>
              <w:top w:val="nil"/>
              <w:left w:val="nil"/>
              <w:bottom w:val="single" w:color="000000" w:sz="8" w:space="0"/>
              <w:right w:val="single" w:color="000000" w:sz="8" w:space="0"/>
            </w:tcBorders>
            <w:vAlign w:val="center"/>
          </w:tcPr>
          <w:p w14:paraId="2B99F923">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《热泵热水机（器）能效限定值及能效等级》（GB29541）</w:t>
            </w:r>
          </w:p>
        </w:tc>
      </w:tr>
      <w:tr w14:paraId="24FC41D3">
        <w:tblPrEx>
          <w:tblCellMar>
            <w:top w:w="0" w:type="dxa"/>
            <w:left w:w="108" w:type="dxa"/>
            <w:bottom w:w="0" w:type="dxa"/>
            <w:right w:w="108" w:type="dxa"/>
          </w:tblCellMar>
        </w:tblPrEx>
        <w:trPr>
          <w:trHeight w:val="49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1A92C243">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45410CD4">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vMerge w:val="continue"/>
            <w:tcBorders>
              <w:top w:val="nil"/>
              <w:left w:val="single" w:color="000000" w:sz="8" w:space="0"/>
              <w:bottom w:val="single" w:color="000000" w:sz="8" w:space="0"/>
              <w:right w:val="single" w:color="000000" w:sz="8" w:space="0"/>
            </w:tcBorders>
            <w:vAlign w:val="center"/>
          </w:tcPr>
          <w:p w14:paraId="725BB967">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611" w:type="dxa"/>
            <w:tcBorders>
              <w:top w:val="nil"/>
              <w:left w:val="nil"/>
              <w:bottom w:val="single" w:color="000000" w:sz="8" w:space="0"/>
              <w:right w:val="single" w:color="000000" w:sz="8" w:space="0"/>
            </w:tcBorders>
            <w:vAlign w:val="center"/>
          </w:tcPr>
          <w:p w14:paraId="48C41825">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太阳能热水系统</w:t>
            </w:r>
          </w:p>
        </w:tc>
        <w:tc>
          <w:tcPr>
            <w:tcW w:w="4358" w:type="dxa"/>
            <w:tcBorders>
              <w:top w:val="nil"/>
              <w:left w:val="nil"/>
              <w:bottom w:val="single" w:color="000000" w:sz="8" w:space="0"/>
              <w:right w:val="single" w:color="000000" w:sz="8" w:space="0"/>
            </w:tcBorders>
            <w:vAlign w:val="center"/>
          </w:tcPr>
          <w:p w14:paraId="682F4F9D">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《家用太阳能热水系统能效限定值及能效等级》（GB26969）</w:t>
            </w:r>
          </w:p>
        </w:tc>
      </w:tr>
      <w:tr w14:paraId="4CC20961">
        <w:tblPrEx>
          <w:tblCellMar>
            <w:top w:w="0" w:type="dxa"/>
            <w:left w:w="108" w:type="dxa"/>
            <w:bottom w:w="0" w:type="dxa"/>
            <w:right w:w="108" w:type="dxa"/>
          </w:tblCellMar>
        </w:tblPrEx>
        <w:trPr>
          <w:trHeight w:val="495" w:hRule="atLeast"/>
          <w:jc w:val="center"/>
        </w:trPr>
        <w:tc>
          <w:tcPr>
            <w:tcW w:w="1162" w:type="dxa"/>
            <w:vMerge w:val="restart"/>
            <w:tcBorders>
              <w:top w:val="nil"/>
              <w:left w:val="single" w:color="000000" w:sz="8" w:space="0"/>
              <w:bottom w:val="single" w:color="000000" w:sz="8" w:space="0"/>
              <w:right w:val="single" w:color="000000" w:sz="8" w:space="0"/>
            </w:tcBorders>
            <w:vAlign w:val="center"/>
          </w:tcPr>
          <w:p w14:paraId="1BE4412E">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11</w:t>
            </w:r>
          </w:p>
        </w:tc>
        <w:tc>
          <w:tcPr>
            <w:tcW w:w="974" w:type="dxa"/>
            <w:vMerge w:val="restart"/>
            <w:tcBorders>
              <w:top w:val="nil"/>
              <w:left w:val="single" w:color="000000" w:sz="8" w:space="0"/>
              <w:bottom w:val="single" w:color="000000" w:sz="8" w:space="0"/>
              <w:right w:val="single" w:color="000000" w:sz="8" w:space="0"/>
            </w:tcBorders>
            <w:vAlign w:val="center"/>
          </w:tcPr>
          <w:p w14:paraId="12DDAA96">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A020619照明设备</w:t>
            </w:r>
          </w:p>
        </w:tc>
        <w:tc>
          <w:tcPr>
            <w:tcW w:w="1501" w:type="dxa"/>
            <w:tcBorders>
              <w:top w:val="nil"/>
              <w:left w:val="nil"/>
              <w:bottom w:val="single" w:color="000000" w:sz="8" w:space="0"/>
              <w:right w:val="single" w:color="000000" w:sz="8" w:space="0"/>
            </w:tcBorders>
            <w:vAlign w:val="center"/>
          </w:tcPr>
          <w:p w14:paraId="52E71EC8">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★普通照明用双端荧光灯</w:t>
            </w:r>
          </w:p>
        </w:tc>
        <w:tc>
          <w:tcPr>
            <w:tcW w:w="1611" w:type="dxa"/>
            <w:tcBorders>
              <w:top w:val="nil"/>
              <w:left w:val="nil"/>
              <w:bottom w:val="single" w:color="000000" w:sz="8" w:space="0"/>
              <w:right w:val="single" w:color="000000" w:sz="8" w:space="0"/>
            </w:tcBorders>
            <w:vAlign w:val="center"/>
          </w:tcPr>
          <w:p w14:paraId="5C99EE63">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28014882">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《普通照明用双端荧光灯能效限定值及能效等级》（GB19043）</w:t>
            </w:r>
          </w:p>
        </w:tc>
      </w:tr>
      <w:tr w14:paraId="681E5B2B">
        <w:tblPrEx>
          <w:tblCellMar>
            <w:top w:w="0" w:type="dxa"/>
            <w:left w:w="108" w:type="dxa"/>
            <w:bottom w:w="0" w:type="dxa"/>
            <w:right w:w="108" w:type="dxa"/>
          </w:tblCellMar>
        </w:tblPrEx>
        <w:trPr>
          <w:trHeight w:val="49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3BEBF1E6">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1A33ECA2">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tcBorders>
              <w:top w:val="nil"/>
              <w:left w:val="nil"/>
              <w:bottom w:val="single" w:color="000000" w:sz="8" w:space="0"/>
              <w:right w:val="single" w:color="000000" w:sz="8" w:space="0"/>
            </w:tcBorders>
            <w:vAlign w:val="center"/>
          </w:tcPr>
          <w:p w14:paraId="1065E8DB">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LED道路/隧道照明产品</w:t>
            </w:r>
          </w:p>
        </w:tc>
        <w:tc>
          <w:tcPr>
            <w:tcW w:w="1611" w:type="dxa"/>
            <w:tcBorders>
              <w:top w:val="nil"/>
              <w:left w:val="nil"/>
              <w:bottom w:val="single" w:color="000000" w:sz="8" w:space="0"/>
              <w:right w:val="single" w:color="000000" w:sz="8" w:space="0"/>
            </w:tcBorders>
            <w:vAlign w:val="center"/>
          </w:tcPr>
          <w:p w14:paraId="370D9DB7">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22AE3013">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《道路和隧道照明用LED灯具能效限定值及能效等级》（GB37478）</w:t>
            </w:r>
          </w:p>
        </w:tc>
      </w:tr>
      <w:tr w14:paraId="4194F59C">
        <w:tblPrEx>
          <w:tblCellMar>
            <w:top w:w="0" w:type="dxa"/>
            <w:left w:w="108" w:type="dxa"/>
            <w:bottom w:w="0" w:type="dxa"/>
            <w:right w:w="108" w:type="dxa"/>
          </w:tblCellMar>
        </w:tblPrEx>
        <w:trPr>
          <w:trHeight w:val="49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2385A4D1">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045CB65A">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tcBorders>
              <w:top w:val="nil"/>
              <w:left w:val="nil"/>
              <w:bottom w:val="single" w:color="000000" w:sz="8" w:space="0"/>
              <w:right w:val="single" w:color="000000" w:sz="8" w:space="0"/>
            </w:tcBorders>
            <w:vAlign w:val="center"/>
          </w:tcPr>
          <w:p w14:paraId="0FBB24F9">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LED筒灯</w:t>
            </w:r>
          </w:p>
        </w:tc>
        <w:tc>
          <w:tcPr>
            <w:tcW w:w="1611" w:type="dxa"/>
            <w:tcBorders>
              <w:top w:val="nil"/>
              <w:left w:val="nil"/>
              <w:bottom w:val="single" w:color="000000" w:sz="8" w:space="0"/>
              <w:right w:val="single" w:color="000000" w:sz="8" w:space="0"/>
            </w:tcBorders>
            <w:vAlign w:val="center"/>
          </w:tcPr>
          <w:p w14:paraId="37353471">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5913C147">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《室内照明用LED产品能效限定值及能效等级》（GB30255）</w:t>
            </w:r>
          </w:p>
        </w:tc>
      </w:tr>
      <w:tr w14:paraId="2C5DB3DA">
        <w:tblPrEx>
          <w:tblCellMar>
            <w:top w:w="0" w:type="dxa"/>
            <w:left w:w="108" w:type="dxa"/>
            <w:bottom w:w="0" w:type="dxa"/>
            <w:right w:w="108" w:type="dxa"/>
          </w:tblCellMar>
        </w:tblPrEx>
        <w:trPr>
          <w:trHeight w:val="73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7096E042">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3EDA62AA">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tcBorders>
              <w:top w:val="nil"/>
              <w:left w:val="nil"/>
              <w:bottom w:val="single" w:color="000000" w:sz="8" w:space="0"/>
              <w:right w:val="single" w:color="000000" w:sz="8" w:space="0"/>
            </w:tcBorders>
            <w:vAlign w:val="center"/>
          </w:tcPr>
          <w:p w14:paraId="088AE49F">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普通照明用非定向自镇流LED灯</w:t>
            </w:r>
          </w:p>
        </w:tc>
        <w:tc>
          <w:tcPr>
            <w:tcW w:w="1611" w:type="dxa"/>
            <w:tcBorders>
              <w:top w:val="nil"/>
              <w:left w:val="nil"/>
              <w:bottom w:val="single" w:color="000000" w:sz="8" w:space="0"/>
              <w:right w:val="single" w:color="000000" w:sz="8" w:space="0"/>
            </w:tcBorders>
            <w:vAlign w:val="center"/>
          </w:tcPr>
          <w:p w14:paraId="5AC93467">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3BC2110F">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《室内照明用LED产品能效限定值及能效等级》（GB30255）</w:t>
            </w:r>
          </w:p>
        </w:tc>
      </w:tr>
      <w:tr w14:paraId="2EEB27CC">
        <w:tblPrEx>
          <w:tblCellMar>
            <w:top w:w="0" w:type="dxa"/>
            <w:left w:w="108" w:type="dxa"/>
            <w:bottom w:w="0" w:type="dxa"/>
            <w:right w:w="108" w:type="dxa"/>
          </w:tblCellMar>
        </w:tblPrEx>
        <w:trPr>
          <w:trHeight w:val="735" w:hRule="atLeast"/>
          <w:jc w:val="center"/>
        </w:trPr>
        <w:tc>
          <w:tcPr>
            <w:tcW w:w="1162" w:type="dxa"/>
            <w:tcBorders>
              <w:top w:val="nil"/>
              <w:left w:val="single" w:color="000000" w:sz="8" w:space="0"/>
              <w:bottom w:val="single" w:color="000000" w:sz="8" w:space="0"/>
              <w:right w:val="single" w:color="000000" w:sz="8" w:space="0"/>
            </w:tcBorders>
            <w:vAlign w:val="center"/>
          </w:tcPr>
          <w:p w14:paraId="4F476173">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12</w:t>
            </w:r>
          </w:p>
        </w:tc>
        <w:tc>
          <w:tcPr>
            <w:tcW w:w="974" w:type="dxa"/>
            <w:tcBorders>
              <w:top w:val="nil"/>
              <w:left w:val="nil"/>
              <w:bottom w:val="single" w:color="000000" w:sz="8" w:space="0"/>
              <w:right w:val="single" w:color="000000" w:sz="8" w:space="0"/>
            </w:tcBorders>
            <w:vAlign w:val="center"/>
          </w:tcPr>
          <w:p w14:paraId="20BD3781">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★A020910电视设备</w:t>
            </w:r>
          </w:p>
        </w:tc>
        <w:tc>
          <w:tcPr>
            <w:tcW w:w="1501" w:type="dxa"/>
            <w:tcBorders>
              <w:top w:val="nil"/>
              <w:left w:val="nil"/>
              <w:bottom w:val="single" w:color="000000" w:sz="8" w:space="0"/>
              <w:right w:val="single" w:color="000000" w:sz="8" w:space="0"/>
            </w:tcBorders>
            <w:vAlign w:val="center"/>
          </w:tcPr>
          <w:p w14:paraId="51AFA87F">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A02091001普通电视设备（电视机）</w:t>
            </w:r>
          </w:p>
        </w:tc>
        <w:tc>
          <w:tcPr>
            <w:tcW w:w="1611" w:type="dxa"/>
            <w:tcBorders>
              <w:top w:val="nil"/>
              <w:left w:val="nil"/>
              <w:bottom w:val="single" w:color="000000" w:sz="8" w:space="0"/>
              <w:right w:val="single" w:color="000000" w:sz="8" w:space="0"/>
            </w:tcBorders>
            <w:vAlign w:val="center"/>
          </w:tcPr>
          <w:p w14:paraId="4532389E">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4E593F5C">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《平板电视能效限定值及能效等级》（GB24850）</w:t>
            </w:r>
          </w:p>
        </w:tc>
      </w:tr>
      <w:tr w14:paraId="34D2313F">
        <w:tblPrEx>
          <w:tblCellMar>
            <w:top w:w="0" w:type="dxa"/>
            <w:left w:w="108" w:type="dxa"/>
            <w:bottom w:w="0" w:type="dxa"/>
            <w:right w:w="108" w:type="dxa"/>
          </w:tblCellMar>
        </w:tblPrEx>
        <w:trPr>
          <w:trHeight w:val="975" w:hRule="atLeast"/>
          <w:jc w:val="center"/>
        </w:trPr>
        <w:tc>
          <w:tcPr>
            <w:tcW w:w="1162" w:type="dxa"/>
            <w:tcBorders>
              <w:top w:val="nil"/>
              <w:left w:val="single" w:color="000000" w:sz="8" w:space="0"/>
              <w:bottom w:val="single" w:color="000000" w:sz="8" w:space="0"/>
              <w:right w:val="single" w:color="000000" w:sz="8" w:space="0"/>
            </w:tcBorders>
            <w:vAlign w:val="center"/>
          </w:tcPr>
          <w:p w14:paraId="5B84B3AC">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13</w:t>
            </w:r>
          </w:p>
        </w:tc>
        <w:tc>
          <w:tcPr>
            <w:tcW w:w="974" w:type="dxa"/>
            <w:tcBorders>
              <w:top w:val="nil"/>
              <w:left w:val="nil"/>
              <w:bottom w:val="single" w:color="000000" w:sz="8" w:space="0"/>
              <w:right w:val="single" w:color="000000" w:sz="8" w:space="0"/>
            </w:tcBorders>
            <w:vAlign w:val="center"/>
          </w:tcPr>
          <w:p w14:paraId="6F942D28">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★A020911视频设备</w:t>
            </w:r>
          </w:p>
        </w:tc>
        <w:tc>
          <w:tcPr>
            <w:tcW w:w="1501" w:type="dxa"/>
            <w:tcBorders>
              <w:top w:val="nil"/>
              <w:left w:val="nil"/>
              <w:bottom w:val="single" w:color="000000" w:sz="8" w:space="0"/>
              <w:right w:val="single" w:color="000000" w:sz="8" w:space="0"/>
            </w:tcBorders>
            <w:vAlign w:val="center"/>
          </w:tcPr>
          <w:p w14:paraId="6721A939">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A02091107视频监控设备</w:t>
            </w:r>
          </w:p>
        </w:tc>
        <w:tc>
          <w:tcPr>
            <w:tcW w:w="1611" w:type="dxa"/>
            <w:tcBorders>
              <w:top w:val="nil"/>
              <w:left w:val="nil"/>
              <w:bottom w:val="single" w:color="000000" w:sz="8" w:space="0"/>
              <w:right w:val="single" w:color="000000" w:sz="8" w:space="0"/>
            </w:tcBorders>
            <w:vAlign w:val="center"/>
          </w:tcPr>
          <w:p w14:paraId="11DACF77">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监视器</w:t>
            </w:r>
          </w:p>
        </w:tc>
        <w:tc>
          <w:tcPr>
            <w:tcW w:w="4358" w:type="dxa"/>
            <w:tcBorders>
              <w:top w:val="nil"/>
              <w:left w:val="nil"/>
              <w:bottom w:val="single" w:color="000000" w:sz="8" w:space="0"/>
              <w:right w:val="single" w:color="000000" w:sz="8" w:space="0"/>
            </w:tcBorders>
            <w:vAlign w:val="center"/>
          </w:tcPr>
          <w:p w14:paraId="5CB71D7C">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以射频信号为主要信号输入的监视器应符合《平板电视能效限定值及能效等级》（GB24850），以数字信号为主要信号输入的监视器应符合《计算机显示器能效限定值及能效等级》（GB21520）</w:t>
            </w:r>
          </w:p>
        </w:tc>
      </w:tr>
      <w:tr w14:paraId="166BCA5D">
        <w:tblPrEx>
          <w:tblCellMar>
            <w:top w:w="0" w:type="dxa"/>
            <w:left w:w="108" w:type="dxa"/>
            <w:bottom w:w="0" w:type="dxa"/>
            <w:right w:w="108" w:type="dxa"/>
          </w:tblCellMar>
        </w:tblPrEx>
        <w:trPr>
          <w:trHeight w:val="495" w:hRule="atLeast"/>
          <w:jc w:val="center"/>
        </w:trPr>
        <w:tc>
          <w:tcPr>
            <w:tcW w:w="1162" w:type="dxa"/>
            <w:tcBorders>
              <w:top w:val="nil"/>
              <w:left w:val="single" w:color="000000" w:sz="8" w:space="0"/>
              <w:bottom w:val="single" w:color="000000" w:sz="8" w:space="0"/>
              <w:right w:val="single" w:color="000000" w:sz="8" w:space="0"/>
            </w:tcBorders>
            <w:vAlign w:val="center"/>
          </w:tcPr>
          <w:p w14:paraId="2B5A04DD">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14</w:t>
            </w:r>
          </w:p>
        </w:tc>
        <w:tc>
          <w:tcPr>
            <w:tcW w:w="974" w:type="dxa"/>
            <w:tcBorders>
              <w:top w:val="nil"/>
              <w:left w:val="nil"/>
              <w:bottom w:val="single" w:color="000000" w:sz="8" w:space="0"/>
              <w:right w:val="single" w:color="000000" w:sz="8" w:space="0"/>
            </w:tcBorders>
            <w:vAlign w:val="center"/>
          </w:tcPr>
          <w:p w14:paraId="7A0E62A6">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A031210饮食炊事机械</w:t>
            </w:r>
          </w:p>
        </w:tc>
        <w:tc>
          <w:tcPr>
            <w:tcW w:w="1501" w:type="dxa"/>
            <w:tcBorders>
              <w:top w:val="nil"/>
              <w:left w:val="nil"/>
              <w:bottom w:val="single" w:color="000000" w:sz="8" w:space="0"/>
              <w:right w:val="single" w:color="000000" w:sz="8" w:space="0"/>
            </w:tcBorders>
            <w:vAlign w:val="center"/>
          </w:tcPr>
          <w:p w14:paraId="6F42FE1C">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商用燃气灶具</w:t>
            </w:r>
          </w:p>
        </w:tc>
        <w:tc>
          <w:tcPr>
            <w:tcW w:w="1611" w:type="dxa"/>
            <w:tcBorders>
              <w:top w:val="nil"/>
              <w:left w:val="nil"/>
              <w:bottom w:val="single" w:color="000000" w:sz="8" w:space="0"/>
              <w:right w:val="single" w:color="000000" w:sz="8" w:space="0"/>
            </w:tcBorders>
            <w:vAlign w:val="center"/>
          </w:tcPr>
          <w:p w14:paraId="033EECE8">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3085FA43">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《商用燃气灶具能效限定值及能效等级》（GB30531）</w:t>
            </w:r>
          </w:p>
        </w:tc>
      </w:tr>
      <w:tr w14:paraId="2924BA92">
        <w:tblPrEx>
          <w:tblCellMar>
            <w:top w:w="0" w:type="dxa"/>
            <w:left w:w="108" w:type="dxa"/>
            <w:bottom w:w="0" w:type="dxa"/>
            <w:right w:w="108" w:type="dxa"/>
          </w:tblCellMar>
        </w:tblPrEx>
        <w:trPr>
          <w:trHeight w:val="285" w:hRule="atLeast"/>
          <w:jc w:val="center"/>
        </w:trPr>
        <w:tc>
          <w:tcPr>
            <w:tcW w:w="1162" w:type="dxa"/>
            <w:vMerge w:val="restart"/>
            <w:tcBorders>
              <w:top w:val="nil"/>
              <w:left w:val="single" w:color="000000" w:sz="8" w:space="0"/>
              <w:bottom w:val="single" w:color="000000" w:sz="8" w:space="0"/>
              <w:right w:val="single" w:color="000000" w:sz="8" w:space="0"/>
            </w:tcBorders>
            <w:vAlign w:val="center"/>
          </w:tcPr>
          <w:p w14:paraId="790452DA">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15</w:t>
            </w:r>
          </w:p>
        </w:tc>
        <w:tc>
          <w:tcPr>
            <w:tcW w:w="974" w:type="dxa"/>
            <w:vMerge w:val="restart"/>
            <w:tcBorders>
              <w:top w:val="nil"/>
              <w:left w:val="single" w:color="000000" w:sz="8" w:space="0"/>
              <w:bottom w:val="single" w:color="000000" w:sz="8" w:space="0"/>
              <w:right w:val="single" w:color="000000" w:sz="8" w:space="0"/>
            </w:tcBorders>
            <w:vAlign w:val="center"/>
          </w:tcPr>
          <w:p w14:paraId="2F4A8008">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★A060805便器</w:t>
            </w:r>
          </w:p>
        </w:tc>
        <w:tc>
          <w:tcPr>
            <w:tcW w:w="1501" w:type="dxa"/>
            <w:tcBorders>
              <w:top w:val="nil"/>
              <w:left w:val="nil"/>
              <w:bottom w:val="single" w:color="000000" w:sz="8" w:space="0"/>
              <w:right w:val="single" w:color="000000" w:sz="8" w:space="0"/>
            </w:tcBorders>
            <w:vAlign w:val="center"/>
          </w:tcPr>
          <w:p w14:paraId="6365A5B8">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坐便器</w:t>
            </w:r>
          </w:p>
        </w:tc>
        <w:tc>
          <w:tcPr>
            <w:tcW w:w="1611" w:type="dxa"/>
            <w:tcBorders>
              <w:top w:val="nil"/>
              <w:left w:val="nil"/>
              <w:bottom w:val="single" w:color="000000" w:sz="8" w:space="0"/>
              <w:right w:val="single" w:color="000000" w:sz="8" w:space="0"/>
            </w:tcBorders>
            <w:vAlign w:val="center"/>
          </w:tcPr>
          <w:p w14:paraId="1D4C85E3">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49A275A9">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《坐便器水效限定值及水效等级》（GB25502）</w:t>
            </w:r>
          </w:p>
        </w:tc>
      </w:tr>
      <w:tr w14:paraId="6B48C247">
        <w:tblPrEx>
          <w:tblCellMar>
            <w:top w:w="0" w:type="dxa"/>
            <w:left w:w="108" w:type="dxa"/>
            <w:bottom w:w="0" w:type="dxa"/>
            <w:right w:w="108" w:type="dxa"/>
          </w:tblCellMar>
        </w:tblPrEx>
        <w:trPr>
          <w:trHeight w:val="49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2EB1C643">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406380C9">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tcBorders>
              <w:top w:val="nil"/>
              <w:left w:val="nil"/>
              <w:bottom w:val="single" w:color="000000" w:sz="8" w:space="0"/>
              <w:right w:val="single" w:color="000000" w:sz="8" w:space="0"/>
            </w:tcBorders>
            <w:vAlign w:val="center"/>
          </w:tcPr>
          <w:p w14:paraId="61840469">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蹲便器</w:t>
            </w:r>
          </w:p>
        </w:tc>
        <w:tc>
          <w:tcPr>
            <w:tcW w:w="1611" w:type="dxa"/>
            <w:tcBorders>
              <w:top w:val="nil"/>
              <w:left w:val="nil"/>
              <w:bottom w:val="single" w:color="000000" w:sz="8" w:space="0"/>
              <w:right w:val="single" w:color="000000" w:sz="8" w:space="0"/>
            </w:tcBorders>
            <w:vAlign w:val="center"/>
          </w:tcPr>
          <w:p w14:paraId="464B7547">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4F6E4D5A">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《蹲便器用水效率限定值及用水效率等级》（GB30717）</w:t>
            </w:r>
          </w:p>
        </w:tc>
      </w:tr>
      <w:tr w14:paraId="36DE3627">
        <w:tblPrEx>
          <w:tblCellMar>
            <w:top w:w="0" w:type="dxa"/>
            <w:left w:w="108" w:type="dxa"/>
            <w:bottom w:w="0" w:type="dxa"/>
            <w:right w:w="108" w:type="dxa"/>
          </w:tblCellMar>
        </w:tblPrEx>
        <w:trPr>
          <w:trHeight w:val="495" w:hRule="atLeast"/>
          <w:jc w:val="center"/>
        </w:trPr>
        <w:tc>
          <w:tcPr>
            <w:tcW w:w="1162" w:type="dxa"/>
            <w:vMerge w:val="continue"/>
            <w:tcBorders>
              <w:top w:val="nil"/>
              <w:left w:val="single" w:color="000000" w:sz="8" w:space="0"/>
              <w:bottom w:val="single" w:color="000000" w:sz="8" w:space="0"/>
              <w:right w:val="single" w:color="000000" w:sz="8" w:space="0"/>
            </w:tcBorders>
            <w:vAlign w:val="center"/>
          </w:tcPr>
          <w:p w14:paraId="6BDBAA0B">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974" w:type="dxa"/>
            <w:vMerge w:val="continue"/>
            <w:tcBorders>
              <w:top w:val="nil"/>
              <w:left w:val="single" w:color="000000" w:sz="8" w:space="0"/>
              <w:bottom w:val="single" w:color="000000" w:sz="8" w:space="0"/>
              <w:right w:val="single" w:color="000000" w:sz="8" w:space="0"/>
            </w:tcBorders>
            <w:vAlign w:val="center"/>
          </w:tcPr>
          <w:p w14:paraId="2048027A">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p>
        </w:tc>
        <w:tc>
          <w:tcPr>
            <w:tcW w:w="1501" w:type="dxa"/>
            <w:tcBorders>
              <w:top w:val="nil"/>
              <w:left w:val="nil"/>
              <w:bottom w:val="single" w:color="000000" w:sz="8" w:space="0"/>
              <w:right w:val="single" w:color="000000" w:sz="8" w:space="0"/>
            </w:tcBorders>
            <w:vAlign w:val="center"/>
          </w:tcPr>
          <w:p w14:paraId="33FE34C2">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小便器</w:t>
            </w:r>
          </w:p>
        </w:tc>
        <w:tc>
          <w:tcPr>
            <w:tcW w:w="1611" w:type="dxa"/>
            <w:tcBorders>
              <w:top w:val="nil"/>
              <w:left w:val="nil"/>
              <w:bottom w:val="single" w:color="000000" w:sz="8" w:space="0"/>
              <w:right w:val="single" w:color="000000" w:sz="8" w:space="0"/>
            </w:tcBorders>
            <w:vAlign w:val="center"/>
          </w:tcPr>
          <w:p w14:paraId="3BDE1494">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7DB376BC">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《小便器用水效率限定值及用水效率等级》（GB28377）</w:t>
            </w:r>
          </w:p>
        </w:tc>
      </w:tr>
      <w:tr w14:paraId="17356335">
        <w:tblPrEx>
          <w:tblCellMar>
            <w:top w:w="0" w:type="dxa"/>
            <w:left w:w="108" w:type="dxa"/>
            <w:bottom w:w="0" w:type="dxa"/>
            <w:right w:w="108" w:type="dxa"/>
          </w:tblCellMar>
        </w:tblPrEx>
        <w:trPr>
          <w:trHeight w:val="495" w:hRule="atLeast"/>
          <w:jc w:val="center"/>
        </w:trPr>
        <w:tc>
          <w:tcPr>
            <w:tcW w:w="1162" w:type="dxa"/>
            <w:tcBorders>
              <w:top w:val="nil"/>
              <w:left w:val="single" w:color="000000" w:sz="8" w:space="0"/>
              <w:bottom w:val="single" w:color="000000" w:sz="8" w:space="0"/>
              <w:right w:val="single" w:color="000000" w:sz="8" w:space="0"/>
            </w:tcBorders>
            <w:vAlign w:val="center"/>
          </w:tcPr>
          <w:p w14:paraId="182E55E2">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16</w:t>
            </w:r>
          </w:p>
        </w:tc>
        <w:tc>
          <w:tcPr>
            <w:tcW w:w="974" w:type="dxa"/>
            <w:tcBorders>
              <w:top w:val="nil"/>
              <w:left w:val="nil"/>
              <w:bottom w:val="single" w:color="000000" w:sz="8" w:space="0"/>
              <w:right w:val="single" w:color="000000" w:sz="8" w:space="0"/>
            </w:tcBorders>
            <w:vAlign w:val="center"/>
          </w:tcPr>
          <w:p w14:paraId="4B7CC68B">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★A060806水嘴</w:t>
            </w:r>
          </w:p>
        </w:tc>
        <w:tc>
          <w:tcPr>
            <w:tcW w:w="1501" w:type="dxa"/>
            <w:tcBorders>
              <w:top w:val="nil"/>
              <w:left w:val="nil"/>
              <w:bottom w:val="single" w:color="000000" w:sz="8" w:space="0"/>
              <w:right w:val="single" w:color="000000" w:sz="8" w:space="0"/>
            </w:tcBorders>
            <w:vAlign w:val="center"/>
          </w:tcPr>
          <w:p w14:paraId="3E78C5C7">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1611" w:type="dxa"/>
            <w:tcBorders>
              <w:top w:val="nil"/>
              <w:left w:val="nil"/>
              <w:bottom w:val="single" w:color="000000" w:sz="8" w:space="0"/>
              <w:right w:val="single" w:color="000000" w:sz="8" w:space="0"/>
            </w:tcBorders>
            <w:vAlign w:val="center"/>
          </w:tcPr>
          <w:p w14:paraId="57E04B04">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266C5326">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《水嘴用水效率限定值及用水效率等级》（GB 25501）</w:t>
            </w:r>
          </w:p>
        </w:tc>
      </w:tr>
      <w:tr w14:paraId="1A8B3654">
        <w:tblPrEx>
          <w:tblCellMar>
            <w:top w:w="0" w:type="dxa"/>
            <w:left w:w="108" w:type="dxa"/>
            <w:bottom w:w="0" w:type="dxa"/>
            <w:right w:w="108" w:type="dxa"/>
          </w:tblCellMar>
        </w:tblPrEx>
        <w:trPr>
          <w:trHeight w:val="495" w:hRule="atLeast"/>
          <w:jc w:val="center"/>
        </w:trPr>
        <w:tc>
          <w:tcPr>
            <w:tcW w:w="1162" w:type="dxa"/>
            <w:tcBorders>
              <w:top w:val="nil"/>
              <w:left w:val="single" w:color="000000" w:sz="8" w:space="0"/>
              <w:bottom w:val="single" w:color="000000" w:sz="8" w:space="0"/>
              <w:right w:val="single" w:color="000000" w:sz="8" w:space="0"/>
            </w:tcBorders>
            <w:vAlign w:val="center"/>
          </w:tcPr>
          <w:p w14:paraId="04B8A82C">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17</w:t>
            </w:r>
          </w:p>
        </w:tc>
        <w:tc>
          <w:tcPr>
            <w:tcW w:w="974" w:type="dxa"/>
            <w:tcBorders>
              <w:top w:val="nil"/>
              <w:left w:val="nil"/>
              <w:bottom w:val="single" w:color="000000" w:sz="8" w:space="0"/>
              <w:right w:val="single" w:color="000000" w:sz="8" w:space="0"/>
            </w:tcBorders>
            <w:vAlign w:val="center"/>
          </w:tcPr>
          <w:p w14:paraId="492ED42C">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A060807便器冲洗阀</w:t>
            </w:r>
          </w:p>
        </w:tc>
        <w:tc>
          <w:tcPr>
            <w:tcW w:w="1501" w:type="dxa"/>
            <w:tcBorders>
              <w:top w:val="nil"/>
              <w:left w:val="nil"/>
              <w:bottom w:val="single" w:color="000000" w:sz="8" w:space="0"/>
              <w:right w:val="single" w:color="000000" w:sz="8" w:space="0"/>
            </w:tcBorders>
            <w:vAlign w:val="center"/>
          </w:tcPr>
          <w:p w14:paraId="094E1BA1">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1611" w:type="dxa"/>
            <w:tcBorders>
              <w:top w:val="nil"/>
              <w:left w:val="nil"/>
              <w:bottom w:val="single" w:color="000000" w:sz="8" w:space="0"/>
              <w:right w:val="single" w:color="000000" w:sz="8" w:space="0"/>
            </w:tcBorders>
            <w:vAlign w:val="center"/>
          </w:tcPr>
          <w:p w14:paraId="4D6138FB">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2B14532A">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《便器冲洗阀用水效率限定值及用水效率等级》（GB28379）</w:t>
            </w:r>
          </w:p>
        </w:tc>
      </w:tr>
      <w:tr w14:paraId="397E6059">
        <w:tblPrEx>
          <w:tblCellMar>
            <w:top w:w="0" w:type="dxa"/>
            <w:left w:w="108" w:type="dxa"/>
            <w:bottom w:w="0" w:type="dxa"/>
            <w:right w:w="108" w:type="dxa"/>
          </w:tblCellMar>
        </w:tblPrEx>
        <w:trPr>
          <w:trHeight w:val="495" w:hRule="atLeast"/>
          <w:jc w:val="center"/>
        </w:trPr>
        <w:tc>
          <w:tcPr>
            <w:tcW w:w="1162" w:type="dxa"/>
            <w:tcBorders>
              <w:top w:val="nil"/>
              <w:left w:val="single" w:color="000000" w:sz="8" w:space="0"/>
              <w:bottom w:val="single" w:color="000000" w:sz="8" w:space="0"/>
              <w:right w:val="single" w:color="000000" w:sz="8" w:space="0"/>
            </w:tcBorders>
            <w:vAlign w:val="center"/>
          </w:tcPr>
          <w:p w14:paraId="1E01E35A">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18</w:t>
            </w:r>
          </w:p>
        </w:tc>
        <w:tc>
          <w:tcPr>
            <w:tcW w:w="974" w:type="dxa"/>
            <w:tcBorders>
              <w:top w:val="nil"/>
              <w:left w:val="nil"/>
              <w:bottom w:val="single" w:color="000000" w:sz="8" w:space="0"/>
              <w:right w:val="single" w:color="000000" w:sz="8" w:space="0"/>
            </w:tcBorders>
            <w:vAlign w:val="center"/>
          </w:tcPr>
          <w:p w14:paraId="4EC990E2">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A060810淋浴器</w:t>
            </w:r>
          </w:p>
        </w:tc>
        <w:tc>
          <w:tcPr>
            <w:tcW w:w="1501" w:type="dxa"/>
            <w:tcBorders>
              <w:top w:val="nil"/>
              <w:left w:val="nil"/>
              <w:bottom w:val="single" w:color="000000" w:sz="8" w:space="0"/>
              <w:right w:val="single" w:color="000000" w:sz="8" w:space="0"/>
            </w:tcBorders>
            <w:vAlign w:val="center"/>
          </w:tcPr>
          <w:p w14:paraId="4AF111AB">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1611" w:type="dxa"/>
            <w:tcBorders>
              <w:top w:val="nil"/>
              <w:left w:val="nil"/>
              <w:bottom w:val="single" w:color="000000" w:sz="8" w:space="0"/>
              <w:right w:val="single" w:color="000000" w:sz="8" w:space="0"/>
            </w:tcBorders>
            <w:vAlign w:val="center"/>
          </w:tcPr>
          <w:p w14:paraId="67C35D70">
            <w:pPr>
              <w:keepNext w:val="0"/>
              <w:keepLines w:val="0"/>
              <w:widowControl/>
              <w:suppressLineNumbers w:val="0"/>
              <w:spacing w:before="0" w:beforeAutospacing="0" w:after="0" w:afterAutospacing="0"/>
              <w:ind w:left="0" w:right="0"/>
              <w:jc w:val="center"/>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　</w:t>
            </w:r>
          </w:p>
        </w:tc>
        <w:tc>
          <w:tcPr>
            <w:tcW w:w="4358" w:type="dxa"/>
            <w:tcBorders>
              <w:top w:val="nil"/>
              <w:left w:val="nil"/>
              <w:bottom w:val="single" w:color="000000" w:sz="8" w:space="0"/>
              <w:right w:val="single" w:color="000000" w:sz="8" w:space="0"/>
            </w:tcBorders>
            <w:vAlign w:val="center"/>
          </w:tcPr>
          <w:p w14:paraId="2DD60496">
            <w:pPr>
              <w:keepNext w:val="0"/>
              <w:keepLines w:val="0"/>
              <w:widowControl/>
              <w:suppressLineNumbers w:val="0"/>
              <w:spacing w:before="0" w:beforeAutospacing="0" w:after="0" w:afterAutospacing="0"/>
              <w:ind w:left="0" w:right="0"/>
              <w:jc w:val="left"/>
              <w:rPr>
                <w:rFonts w:hint="eastAsia" w:ascii="仿宋" w:hAnsi="仿宋" w:eastAsia="仿宋" w:cs="仿宋"/>
                <w:kern w:val="0"/>
                <w:sz w:val="20"/>
                <w:szCs w:val="20"/>
                <w:highlight w:val="none"/>
              </w:rPr>
            </w:pPr>
            <w:r>
              <w:rPr>
                <w:rFonts w:hint="eastAsia" w:ascii="仿宋" w:hAnsi="仿宋" w:eastAsia="仿宋" w:cs="仿宋"/>
                <w:kern w:val="0"/>
                <w:sz w:val="20"/>
                <w:szCs w:val="20"/>
                <w:highlight w:val="none"/>
              </w:rPr>
              <w:t>《淋浴器用水效率限定值及用水效率等级》（GB28378）</w:t>
            </w:r>
          </w:p>
        </w:tc>
      </w:tr>
    </w:tbl>
    <w:p w14:paraId="4908077D">
      <w:pPr>
        <w:spacing w:after="120" w:line="360" w:lineRule="auto"/>
        <w:rPr>
          <w:rFonts w:hint="eastAsia" w:ascii="仿宋" w:hAnsi="仿宋" w:eastAsia="仿宋" w:cs="仿宋"/>
          <w:szCs w:val="21"/>
          <w:highlight w:val="none"/>
        </w:rPr>
      </w:pPr>
      <w:r>
        <w:rPr>
          <w:rFonts w:hint="eastAsia" w:ascii="仿宋" w:hAnsi="仿宋" w:eastAsia="仿宋" w:cs="仿宋"/>
          <w:spacing w:val="-3"/>
          <w:szCs w:val="21"/>
          <w:highlight w:val="none"/>
        </w:rPr>
        <w:t>注：1.节能产品认证应依据相关国家标准的最新版本，依据国家标准中二级能效（水效）</w:t>
      </w:r>
      <w:r>
        <w:rPr>
          <w:rFonts w:hint="eastAsia" w:ascii="仿宋" w:hAnsi="仿宋" w:eastAsia="仿宋" w:cs="仿宋"/>
          <w:szCs w:val="21"/>
          <w:highlight w:val="none"/>
        </w:rPr>
        <w:t>指标。</w:t>
      </w:r>
    </w:p>
    <w:p w14:paraId="171FD493">
      <w:pPr>
        <w:jc w:val="left"/>
        <w:rPr>
          <w:rFonts w:hint="eastAsia" w:ascii="仿宋" w:hAnsi="仿宋" w:eastAsia="仿宋" w:cs="仿宋"/>
          <w:kern w:val="0"/>
          <w:sz w:val="32"/>
          <w:szCs w:val="32"/>
          <w:highlight w:val="none"/>
        </w:rPr>
      </w:pPr>
      <w:r>
        <w:rPr>
          <w:rFonts w:hint="eastAsia" w:ascii="仿宋" w:hAnsi="仿宋" w:eastAsia="仿宋" w:cs="仿宋"/>
          <w:kern w:val="0"/>
          <w:sz w:val="20"/>
          <w:szCs w:val="21"/>
          <w:highlight w:val="none"/>
        </w:rPr>
        <w:t>2.以“★”标注的为政府强制采购产品。</w:t>
      </w:r>
      <w:r>
        <w:rPr>
          <w:rFonts w:hint="eastAsia" w:ascii="仿宋" w:hAnsi="仿宋" w:eastAsia="仿宋" w:cs="仿宋"/>
          <w:kern w:val="0"/>
          <w:sz w:val="20"/>
          <w:szCs w:val="21"/>
          <w:highlight w:val="none"/>
        </w:rPr>
        <w:br w:type="page"/>
      </w:r>
      <w:r>
        <w:rPr>
          <w:rFonts w:hint="eastAsia" w:ascii="仿宋" w:hAnsi="仿宋" w:eastAsia="仿宋" w:cs="仿宋"/>
          <w:kern w:val="0"/>
          <w:sz w:val="32"/>
          <w:szCs w:val="32"/>
          <w:highlight w:val="none"/>
        </w:rPr>
        <w:t>附件2：</w:t>
      </w:r>
    </w:p>
    <w:p w14:paraId="3EF1DB7F">
      <w:pPr>
        <w:spacing w:line="528" w:lineRule="exact"/>
        <w:ind w:left="11" w:hanging="11"/>
        <w:jc w:val="center"/>
        <w:rPr>
          <w:rFonts w:hint="eastAsia" w:ascii="仿宋" w:hAnsi="仿宋" w:eastAsia="仿宋" w:cs="仿宋"/>
          <w:sz w:val="40"/>
          <w:szCs w:val="40"/>
          <w:highlight w:val="none"/>
        </w:rPr>
      </w:pPr>
      <w:r>
        <w:rPr>
          <w:rFonts w:hint="eastAsia" w:ascii="仿宋" w:hAnsi="仿宋" w:eastAsia="仿宋" w:cs="仿宋"/>
          <w:sz w:val="40"/>
          <w:szCs w:val="40"/>
          <w:highlight w:val="none"/>
        </w:rPr>
        <w:t>中小微企业划型标准</w:t>
      </w:r>
    </w:p>
    <w:tbl>
      <w:tblPr>
        <w:tblStyle w:val="31"/>
        <w:tblW w:w="9497" w:type="dxa"/>
        <w:jc w:val="center"/>
        <w:tblLayout w:type="fixed"/>
        <w:tblCellMar>
          <w:top w:w="0" w:type="dxa"/>
          <w:left w:w="108" w:type="dxa"/>
          <w:bottom w:w="0" w:type="dxa"/>
          <w:right w:w="108" w:type="dxa"/>
        </w:tblCellMar>
      </w:tblPr>
      <w:tblGrid>
        <w:gridCol w:w="1985"/>
        <w:gridCol w:w="1559"/>
        <w:gridCol w:w="1276"/>
        <w:gridCol w:w="1842"/>
        <w:gridCol w:w="1701"/>
        <w:gridCol w:w="1134"/>
      </w:tblGrid>
      <w:tr w14:paraId="7AD2E091">
        <w:tblPrEx>
          <w:tblCellMar>
            <w:top w:w="0" w:type="dxa"/>
            <w:left w:w="108" w:type="dxa"/>
            <w:bottom w:w="0" w:type="dxa"/>
            <w:right w:w="108" w:type="dxa"/>
          </w:tblCellMar>
        </w:tblPrEx>
        <w:trPr>
          <w:trHeight w:val="285" w:hRule="atLeast"/>
          <w:jc w:val="center"/>
        </w:trPr>
        <w:tc>
          <w:tcPr>
            <w:tcW w:w="1985" w:type="dxa"/>
            <w:tcBorders>
              <w:top w:val="single" w:color="auto" w:sz="4" w:space="0"/>
              <w:left w:val="single" w:color="auto" w:sz="4" w:space="0"/>
              <w:bottom w:val="single" w:color="auto" w:sz="4" w:space="0"/>
              <w:right w:val="single" w:color="auto" w:sz="4" w:space="0"/>
            </w:tcBorders>
            <w:vAlign w:val="center"/>
          </w:tcPr>
          <w:p w14:paraId="2D6DA284">
            <w:pPr>
              <w:keepNext w:val="0"/>
              <w:keepLines w:val="0"/>
              <w:widowControl/>
              <w:suppressLineNumbers w:val="0"/>
              <w:spacing w:before="0" w:beforeAutospacing="0" w:after="0" w:afterAutospacing="0"/>
              <w:ind w:left="0" w:right="0"/>
              <w:jc w:val="left"/>
              <w:rPr>
                <w:rFonts w:hint="eastAsia" w:ascii="仿宋" w:hAnsi="仿宋" w:eastAsia="仿宋" w:cs="仿宋"/>
                <w:b/>
                <w:kern w:val="0"/>
                <w:sz w:val="24"/>
                <w:highlight w:val="none"/>
              </w:rPr>
            </w:pPr>
            <w:r>
              <w:rPr>
                <w:rFonts w:hint="eastAsia" w:ascii="仿宋" w:hAnsi="仿宋" w:eastAsia="仿宋" w:cs="仿宋"/>
                <w:b/>
                <w:kern w:val="0"/>
                <w:sz w:val="24"/>
                <w:highlight w:val="none"/>
              </w:rPr>
              <w:t>行业名称</w:t>
            </w:r>
          </w:p>
        </w:tc>
        <w:tc>
          <w:tcPr>
            <w:tcW w:w="1559" w:type="dxa"/>
            <w:tcBorders>
              <w:top w:val="single" w:color="auto" w:sz="4" w:space="0"/>
              <w:left w:val="nil"/>
              <w:bottom w:val="single" w:color="auto" w:sz="4" w:space="0"/>
              <w:right w:val="single" w:color="auto" w:sz="4" w:space="0"/>
            </w:tcBorders>
            <w:vAlign w:val="center"/>
          </w:tcPr>
          <w:p w14:paraId="72822BE5">
            <w:pPr>
              <w:keepNext w:val="0"/>
              <w:keepLines w:val="0"/>
              <w:widowControl/>
              <w:suppressLineNumbers w:val="0"/>
              <w:spacing w:before="0" w:beforeAutospacing="0" w:after="0" w:afterAutospacing="0"/>
              <w:ind w:left="0" w:right="0"/>
              <w:jc w:val="left"/>
              <w:rPr>
                <w:rFonts w:hint="eastAsia" w:ascii="仿宋" w:hAnsi="仿宋" w:eastAsia="仿宋" w:cs="仿宋"/>
                <w:b/>
                <w:kern w:val="0"/>
                <w:sz w:val="24"/>
                <w:highlight w:val="none"/>
              </w:rPr>
            </w:pPr>
            <w:r>
              <w:rPr>
                <w:rFonts w:hint="eastAsia" w:ascii="仿宋" w:hAnsi="仿宋" w:eastAsia="仿宋" w:cs="仿宋"/>
                <w:b/>
                <w:kern w:val="0"/>
                <w:sz w:val="24"/>
                <w:highlight w:val="none"/>
              </w:rPr>
              <w:t>指标名称</w:t>
            </w:r>
          </w:p>
        </w:tc>
        <w:tc>
          <w:tcPr>
            <w:tcW w:w="1276" w:type="dxa"/>
            <w:tcBorders>
              <w:top w:val="single" w:color="auto" w:sz="4" w:space="0"/>
              <w:left w:val="nil"/>
              <w:bottom w:val="single" w:color="auto" w:sz="4" w:space="0"/>
              <w:right w:val="single" w:color="auto" w:sz="4" w:space="0"/>
            </w:tcBorders>
            <w:vAlign w:val="center"/>
          </w:tcPr>
          <w:p w14:paraId="791743B1">
            <w:pPr>
              <w:keepNext w:val="0"/>
              <w:keepLines w:val="0"/>
              <w:widowControl/>
              <w:suppressLineNumbers w:val="0"/>
              <w:spacing w:before="0" w:beforeAutospacing="0" w:after="0" w:afterAutospacing="0"/>
              <w:ind w:left="0" w:right="0"/>
              <w:jc w:val="left"/>
              <w:rPr>
                <w:rFonts w:hint="eastAsia" w:ascii="仿宋" w:hAnsi="仿宋" w:eastAsia="仿宋" w:cs="仿宋"/>
                <w:b/>
                <w:kern w:val="0"/>
                <w:sz w:val="24"/>
                <w:highlight w:val="none"/>
              </w:rPr>
            </w:pPr>
            <w:r>
              <w:rPr>
                <w:rFonts w:hint="eastAsia" w:ascii="仿宋" w:hAnsi="仿宋" w:eastAsia="仿宋" w:cs="仿宋"/>
                <w:b/>
                <w:kern w:val="0"/>
                <w:sz w:val="24"/>
                <w:highlight w:val="none"/>
              </w:rPr>
              <w:t>计量单位</w:t>
            </w:r>
          </w:p>
        </w:tc>
        <w:tc>
          <w:tcPr>
            <w:tcW w:w="1842" w:type="dxa"/>
            <w:tcBorders>
              <w:top w:val="single" w:color="auto" w:sz="4" w:space="0"/>
              <w:left w:val="nil"/>
              <w:bottom w:val="single" w:color="auto" w:sz="4" w:space="0"/>
              <w:right w:val="single" w:color="auto" w:sz="4" w:space="0"/>
            </w:tcBorders>
            <w:vAlign w:val="center"/>
          </w:tcPr>
          <w:p w14:paraId="23D0CCB1">
            <w:pPr>
              <w:keepNext w:val="0"/>
              <w:keepLines w:val="0"/>
              <w:widowControl/>
              <w:suppressLineNumbers w:val="0"/>
              <w:spacing w:before="0" w:beforeAutospacing="0" w:after="0" w:afterAutospacing="0"/>
              <w:ind w:left="0" w:right="0"/>
              <w:jc w:val="left"/>
              <w:rPr>
                <w:rFonts w:hint="eastAsia" w:ascii="仿宋" w:hAnsi="仿宋" w:eastAsia="仿宋" w:cs="仿宋"/>
                <w:b/>
                <w:kern w:val="0"/>
                <w:sz w:val="24"/>
                <w:highlight w:val="none"/>
              </w:rPr>
            </w:pPr>
            <w:r>
              <w:rPr>
                <w:rFonts w:hint="eastAsia" w:ascii="仿宋" w:hAnsi="仿宋" w:eastAsia="仿宋" w:cs="仿宋"/>
                <w:b/>
                <w:kern w:val="0"/>
                <w:sz w:val="24"/>
                <w:highlight w:val="none"/>
              </w:rPr>
              <w:t>中型</w:t>
            </w:r>
          </w:p>
        </w:tc>
        <w:tc>
          <w:tcPr>
            <w:tcW w:w="1701" w:type="dxa"/>
            <w:tcBorders>
              <w:top w:val="single" w:color="auto" w:sz="4" w:space="0"/>
              <w:left w:val="nil"/>
              <w:bottom w:val="single" w:color="auto" w:sz="4" w:space="0"/>
              <w:right w:val="single" w:color="auto" w:sz="4" w:space="0"/>
            </w:tcBorders>
            <w:vAlign w:val="center"/>
          </w:tcPr>
          <w:p w14:paraId="670513CC">
            <w:pPr>
              <w:keepNext w:val="0"/>
              <w:keepLines w:val="0"/>
              <w:widowControl/>
              <w:suppressLineNumbers w:val="0"/>
              <w:spacing w:before="0" w:beforeAutospacing="0" w:after="0" w:afterAutospacing="0"/>
              <w:ind w:left="0" w:right="0"/>
              <w:jc w:val="left"/>
              <w:rPr>
                <w:rFonts w:hint="eastAsia" w:ascii="仿宋" w:hAnsi="仿宋" w:eastAsia="仿宋" w:cs="仿宋"/>
                <w:b/>
                <w:kern w:val="0"/>
                <w:sz w:val="24"/>
                <w:highlight w:val="none"/>
              </w:rPr>
            </w:pPr>
            <w:r>
              <w:rPr>
                <w:rFonts w:hint="eastAsia" w:ascii="仿宋" w:hAnsi="仿宋" w:eastAsia="仿宋" w:cs="仿宋"/>
                <w:b/>
                <w:kern w:val="0"/>
                <w:sz w:val="24"/>
                <w:highlight w:val="none"/>
              </w:rPr>
              <w:t>小型</w:t>
            </w:r>
          </w:p>
        </w:tc>
        <w:tc>
          <w:tcPr>
            <w:tcW w:w="1134" w:type="dxa"/>
            <w:tcBorders>
              <w:top w:val="single" w:color="auto" w:sz="4" w:space="0"/>
              <w:left w:val="nil"/>
              <w:bottom w:val="single" w:color="auto" w:sz="4" w:space="0"/>
              <w:right w:val="single" w:color="auto" w:sz="4" w:space="0"/>
            </w:tcBorders>
            <w:vAlign w:val="center"/>
          </w:tcPr>
          <w:p w14:paraId="4A50461A">
            <w:pPr>
              <w:keepNext w:val="0"/>
              <w:keepLines w:val="0"/>
              <w:widowControl/>
              <w:suppressLineNumbers w:val="0"/>
              <w:spacing w:before="0" w:beforeAutospacing="0" w:after="0" w:afterAutospacing="0"/>
              <w:ind w:left="0" w:right="0"/>
              <w:jc w:val="left"/>
              <w:rPr>
                <w:rFonts w:hint="eastAsia" w:ascii="仿宋" w:hAnsi="仿宋" w:eastAsia="仿宋" w:cs="仿宋"/>
                <w:b/>
                <w:kern w:val="0"/>
                <w:sz w:val="24"/>
                <w:highlight w:val="none"/>
              </w:rPr>
            </w:pPr>
            <w:r>
              <w:rPr>
                <w:rFonts w:hint="eastAsia" w:ascii="仿宋" w:hAnsi="仿宋" w:eastAsia="仿宋" w:cs="仿宋"/>
                <w:b/>
                <w:kern w:val="0"/>
                <w:sz w:val="24"/>
                <w:highlight w:val="none"/>
              </w:rPr>
              <w:t>微型</w:t>
            </w:r>
          </w:p>
        </w:tc>
      </w:tr>
      <w:tr w14:paraId="2DC4A0E1">
        <w:tblPrEx>
          <w:tblCellMar>
            <w:top w:w="0" w:type="dxa"/>
            <w:left w:w="108" w:type="dxa"/>
            <w:bottom w:w="0" w:type="dxa"/>
            <w:right w:w="108" w:type="dxa"/>
          </w:tblCellMar>
        </w:tblPrEx>
        <w:trPr>
          <w:trHeight w:val="225" w:hRule="atLeast"/>
          <w:jc w:val="center"/>
        </w:trPr>
        <w:tc>
          <w:tcPr>
            <w:tcW w:w="1985" w:type="dxa"/>
            <w:tcBorders>
              <w:top w:val="nil"/>
              <w:left w:val="single" w:color="auto" w:sz="4" w:space="0"/>
              <w:bottom w:val="single" w:color="auto" w:sz="4" w:space="0"/>
              <w:right w:val="single" w:color="auto" w:sz="4" w:space="0"/>
            </w:tcBorders>
            <w:vAlign w:val="bottom"/>
          </w:tcPr>
          <w:p w14:paraId="47B75D0E">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r>
              <w:rPr>
                <w:rFonts w:hint="eastAsia" w:ascii="仿宋" w:hAnsi="仿宋" w:eastAsia="仿宋" w:cs="仿宋"/>
                <w:b/>
                <w:bCs/>
                <w:kern w:val="0"/>
                <w:sz w:val="18"/>
                <w:szCs w:val="18"/>
                <w:highlight w:val="none"/>
              </w:rPr>
              <w:t>农、林、牧、渔</w:t>
            </w:r>
          </w:p>
        </w:tc>
        <w:tc>
          <w:tcPr>
            <w:tcW w:w="1559" w:type="dxa"/>
            <w:tcBorders>
              <w:top w:val="nil"/>
              <w:left w:val="nil"/>
              <w:bottom w:val="single" w:color="auto" w:sz="4" w:space="0"/>
              <w:right w:val="single" w:color="auto" w:sz="4" w:space="0"/>
            </w:tcBorders>
            <w:vAlign w:val="center"/>
          </w:tcPr>
          <w:p w14:paraId="3C4ABF99">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营业收入（Y）</w:t>
            </w:r>
          </w:p>
        </w:tc>
        <w:tc>
          <w:tcPr>
            <w:tcW w:w="1276" w:type="dxa"/>
            <w:tcBorders>
              <w:top w:val="nil"/>
              <w:left w:val="nil"/>
              <w:bottom w:val="single" w:color="auto" w:sz="4" w:space="0"/>
              <w:right w:val="single" w:color="auto" w:sz="4" w:space="0"/>
            </w:tcBorders>
            <w:vAlign w:val="center"/>
          </w:tcPr>
          <w:p w14:paraId="47419A24">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1FC5E9E1">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500≤Y＜20000</w:t>
            </w:r>
          </w:p>
        </w:tc>
        <w:tc>
          <w:tcPr>
            <w:tcW w:w="1701" w:type="dxa"/>
            <w:tcBorders>
              <w:top w:val="nil"/>
              <w:left w:val="nil"/>
              <w:bottom w:val="single" w:color="auto" w:sz="4" w:space="0"/>
              <w:right w:val="single" w:color="auto" w:sz="4" w:space="0"/>
            </w:tcBorders>
            <w:vAlign w:val="center"/>
          </w:tcPr>
          <w:p w14:paraId="6D17ADDF">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50≤Y＜500</w:t>
            </w:r>
          </w:p>
        </w:tc>
        <w:tc>
          <w:tcPr>
            <w:tcW w:w="1134" w:type="dxa"/>
            <w:tcBorders>
              <w:top w:val="nil"/>
              <w:left w:val="nil"/>
              <w:bottom w:val="single" w:color="auto" w:sz="4" w:space="0"/>
              <w:right w:val="single" w:color="auto" w:sz="4" w:space="0"/>
            </w:tcBorders>
            <w:vAlign w:val="center"/>
          </w:tcPr>
          <w:p w14:paraId="766987A3">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Y＜50</w:t>
            </w:r>
          </w:p>
        </w:tc>
      </w:tr>
      <w:tr w14:paraId="052D3B5E">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center"/>
          </w:tcPr>
          <w:p w14:paraId="3E41260D">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r>
              <w:rPr>
                <w:rFonts w:hint="eastAsia" w:ascii="仿宋" w:hAnsi="仿宋" w:eastAsia="仿宋" w:cs="仿宋"/>
                <w:b/>
                <w:bCs/>
                <w:kern w:val="0"/>
                <w:sz w:val="18"/>
                <w:szCs w:val="18"/>
                <w:highlight w:val="none"/>
              </w:rPr>
              <w:t>工业</w:t>
            </w:r>
          </w:p>
        </w:tc>
        <w:tc>
          <w:tcPr>
            <w:tcW w:w="1559" w:type="dxa"/>
            <w:tcBorders>
              <w:top w:val="nil"/>
              <w:left w:val="nil"/>
              <w:bottom w:val="single" w:color="auto" w:sz="4" w:space="0"/>
              <w:right w:val="single" w:color="auto" w:sz="4" w:space="0"/>
            </w:tcBorders>
            <w:vAlign w:val="center"/>
          </w:tcPr>
          <w:p w14:paraId="3D33BB28">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从业人员（X）</w:t>
            </w:r>
          </w:p>
        </w:tc>
        <w:tc>
          <w:tcPr>
            <w:tcW w:w="1276" w:type="dxa"/>
            <w:tcBorders>
              <w:top w:val="nil"/>
              <w:left w:val="nil"/>
              <w:bottom w:val="single" w:color="auto" w:sz="4" w:space="0"/>
              <w:right w:val="single" w:color="auto" w:sz="4" w:space="0"/>
            </w:tcBorders>
            <w:vAlign w:val="center"/>
          </w:tcPr>
          <w:p w14:paraId="0B830E0A">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34E5DC7C">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300≤X＜1000</w:t>
            </w:r>
          </w:p>
        </w:tc>
        <w:tc>
          <w:tcPr>
            <w:tcW w:w="1701" w:type="dxa"/>
            <w:tcBorders>
              <w:top w:val="nil"/>
              <w:left w:val="nil"/>
              <w:bottom w:val="single" w:color="auto" w:sz="4" w:space="0"/>
              <w:right w:val="single" w:color="auto" w:sz="4" w:space="0"/>
            </w:tcBorders>
            <w:vAlign w:val="center"/>
          </w:tcPr>
          <w:p w14:paraId="1F7C4464">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20≤X＜300</w:t>
            </w:r>
          </w:p>
        </w:tc>
        <w:tc>
          <w:tcPr>
            <w:tcW w:w="1134" w:type="dxa"/>
            <w:tcBorders>
              <w:top w:val="nil"/>
              <w:left w:val="nil"/>
              <w:bottom w:val="single" w:color="auto" w:sz="4" w:space="0"/>
              <w:right w:val="single" w:color="auto" w:sz="4" w:space="0"/>
            </w:tcBorders>
            <w:vAlign w:val="center"/>
          </w:tcPr>
          <w:p w14:paraId="6BF53C6A">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X＜20</w:t>
            </w:r>
          </w:p>
        </w:tc>
      </w:tr>
      <w:tr w14:paraId="0614F6D4">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233C5260">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2AA8B333">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营业收入（Y）</w:t>
            </w:r>
          </w:p>
        </w:tc>
        <w:tc>
          <w:tcPr>
            <w:tcW w:w="1276" w:type="dxa"/>
            <w:tcBorders>
              <w:top w:val="nil"/>
              <w:left w:val="nil"/>
              <w:bottom w:val="single" w:color="auto" w:sz="4" w:space="0"/>
              <w:right w:val="single" w:color="auto" w:sz="4" w:space="0"/>
            </w:tcBorders>
            <w:vAlign w:val="center"/>
          </w:tcPr>
          <w:p w14:paraId="516DE30D">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714B0D7D">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2000≤Y＜40000</w:t>
            </w:r>
          </w:p>
        </w:tc>
        <w:tc>
          <w:tcPr>
            <w:tcW w:w="1701" w:type="dxa"/>
            <w:tcBorders>
              <w:top w:val="nil"/>
              <w:left w:val="nil"/>
              <w:bottom w:val="single" w:color="auto" w:sz="4" w:space="0"/>
              <w:right w:val="single" w:color="auto" w:sz="4" w:space="0"/>
            </w:tcBorders>
            <w:vAlign w:val="center"/>
          </w:tcPr>
          <w:p w14:paraId="0945DE0A">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300≤Y＜2000</w:t>
            </w:r>
          </w:p>
        </w:tc>
        <w:tc>
          <w:tcPr>
            <w:tcW w:w="1134" w:type="dxa"/>
            <w:tcBorders>
              <w:top w:val="nil"/>
              <w:left w:val="nil"/>
              <w:bottom w:val="single" w:color="auto" w:sz="4" w:space="0"/>
              <w:right w:val="single" w:color="auto" w:sz="4" w:space="0"/>
            </w:tcBorders>
            <w:vAlign w:val="center"/>
          </w:tcPr>
          <w:p w14:paraId="102C4AF1">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Y＜300</w:t>
            </w:r>
          </w:p>
        </w:tc>
      </w:tr>
      <w:tr w14:paraId="0AA9D6AC">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center"/>
          </w:tcPr>
          <w:p w14:paraId="680EE3F4">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r>
              <w:rPr>
                <w:rFonts w:hint="eastAsia" w:ascii="仿宋" w:hAnsi="仿宋" w:eastAsia="仿宋" w:cs="仿宋"/>
                <w:b/>
                <w:bCs/>
                <w:kern w:val="0"/>
                <w:sz w:val="18"/>
                <w:szCs w:val="18"/>
                <w:highlight w:val="none"/>
              </w:rPr>
              <w:t>建筑业</w:t>
            </w:r>
          </w:p>
        </w:tc>
        <w:tc>
          <w:tcPr>
            <w:tcW w:w="1559" w:type="dxa"/>
            <w:tcBorders>
              <w:top w:val="nil"/>
              <w:left w:val="nil"/>
              <w:bottom w:val="single" w:color="auto" w:sz="4" w:space="0"/>
              <w:right w:val="single" w:color="auto" w:sz="4" w:space="0"/>
            </w:tcBorders>
            <w:vAlign w:val="center"/>
          </w:tcPr>
          <w:p w14:paraId="33878821">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营业收入（Y）</w:t>
            </w:r>
          </w:p>
        </w:tc>
        <w:tc>
          <w:tcPr>
            <w:tcW w:w="1276" w:type="dxa"/>
            <w:tcBorders>
              <w:top w:val="nil"/>
              <w:left w:val="nil"/>
              <w:bottom w:val="single" w:color="auto" w:sz="4" w:space="0"/>
              <w:right w:val="single" w:color="auto" w:sz="4" w:space="0"/>
            </w:tcBorders>
            <w:vAlign w:val="center"/>
          </w:tcPr>
          <w:p w14:paraId="45E5D2F2">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6C68EDE2">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6000≤Y＜80000</w:t>
            </w:r>
          </w:p>
        </w:tc>
        <w:tc>
          <w:tcPr>
            <w:tcW w:w="1701" w:type="dxa"/>
            <w:tcBorders>
              <w:top w:val="nil"/>
              <w:left w:val="nil"/>
              <w:bottom w:val="single" w:color="auto" w:sz="4" w:space="0"/>
              <w:right w:val="single" w:color="auto" w:sz="4" w:space="0"/>
            </w:tcBorders>
            <w:vAlign w:val="center"/>
          </w:tcPr>
          <w:p w14:paraId="7814108E">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300≤Y＜6000</w:t>
            </w:r>
          </w:p>
        </w:tc>
        <w:tc>
          <w:tcPr>
            <w:tcW w:w="1134" w:type="dxa"/>
            <w:tcBorders>
              <w:top w:val="nil"/>
              <w:left w:val="nil"/>
              <w:bottom w:val="single" w:color="auto" w:sz="4" w:space="0"/>
              <w:right w:val="single" w:color="auto" w:sz="4" w:space="0"/>
            </w:tcBorders>
            <w:vAlign w:val="center"/>
          </w:tcPr>
          <w:p w14:paraId="7BBACA9D">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Y＜300</w:t>
            </w:r>
          </w:p>
        </w:tc>
      </w:tr>
      <w:tr w14:paraId="468D4A37">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28CAF815">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6D2552F5">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资产总额（Z）</w:t>
            </w:r>
          </w:p>
        </w:tc>
        <w:tc>
          <w:tcPr>
            <w:tcW w:w="1276" w:type="dxa"/>
            <w:tcBorders>
              <w:top w:val="nil"/>
              <w:left w:val="nil"/>
              <w:bottom w:val="single" w:color="auto" w:sz="4" w:space="0"/>
              <w:right w:val="single" w:color="auto" w:sz="4" w:space="0"/>
            </w:tcBorders>
            <w:vAlign w:val="center"/>
          </w:tcPr>
          <w:p w14:paraId="6258B683">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79303BFC">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5000≤Z＜80000</w:t>
            </w:r>
          </w:p>
        </w:tc>
        <w:tc>
          <w:tcPr>
            <w:tcW w:w="1701" w:type="dxa"/>
            <w:tcBorders>
              <w:top w:val="nil"/>
              <w:left w:val="nil"/>
              <w:bottom w:val="single" w:color="auto" w:sz="4" w:space="0"/>
              <w:right w:val="single" w:color="auto" w:sz="4" w:space="0"/>
            </w:tcBorders>
            <w:vAlign w:val="center"/>
          </w:tcPr>
          <w:p w14:paraId="11A3709E">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300≤Z＜5000</w:t>
            </w:r>
          </w:p>
        </w:tc>
        <w:tc>
          <w:tcPr>
            <w:tcW w:w="1134" w:type="dxa"/>
            <w:tcBorders>
              <w:top w:val="nil"/>
              <w:left w:val="nil"/>
              <w:bottom w:val="single" w:color="auto" w:sz="4" w:space="0"/>
              <w:right w:val="single" w:color="auto" w:sz="4" w:space="0"/>
            </w:tcBorders>
            <w:vAlign w:val="center"/>
          </w:tcPr>
          <w:p w14:paraId="306A0BFE">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Z＜300</w:t>
            </w:r>
          </w:p>
        </w:tc>
      </w:tr>
      <w:tr w14:paraId="3E97DF5E">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center"/>
          </w:tcPr>
          <w:p w14:paraId="65EEAD49">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r>
              <w:rPr>
                <w:rFonts w:hint="eastAsia" w:ascii="仿宋" w:hAnsi="仿宋" w:eastAsia="仿宋" w:cs="仿宋"/>
                <w:b/>
                <w:bCs/>
                <w:kern w:val="0"/>
                <w:sz w:val="18"/>
                <w:szCs w:val="18"/>
                <w:highlight w:val="none"/>
              </w:rPr>
              <w:t>批发业</w:t>
            </w:r>
          </w:p>
        </w:tc>
        <w:tc>
          <w:tcPr>
            <w:tcW w:w="1559" w:type="dxa"/>
            <w:tcBorders>
              <w:top w:val="nil"/>
              <w:left w:val="nil"/>
              <w:bottom w:val="single" w:color="auto" w:sz="4" w:space="0"/>
              <w:right w:val="single" w:color="auto" w:sz="4" w:space="0"/>
            </w:tcBorders>
            <w:vAlign w:val="center"/>
          </w:tcPr>
          <w:p w14:paraId="5473C912">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从业人员（X）</w:t>
            </w:r>
          </w:p>
        </w:tc>
        <w:tc>
          <w:tcPr>
            <w:tcW w:w="1276" w:type="dxa"/>
            <w:tcBorders>
              <w:top w:val="nil"/>
              <w:left w:val="nil"/>
              <w:bottom w:val="single" w:color="auto" w:sz="4" w:space="0"/>
              <w:right w:val="single" w:color="auto" w:sz="4" w:space="0"/>
            </w:tcBorders>
            <w:vAlign w:val="center"/>
          </w:tcPr>
          <w:p w14:paraId="59D01524">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50FCC31F">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20≤X＜200</w:t>
            </w:r>
          </w:p>
        </w:tc>
        <w:tc>
          <w:tcPr>
            <w:tcW w:w="1701" w:type="dxa"/>
            <w:tcBorders>
              <w:top w:val="nil"/>
              <w:left w:val="nil"/>
              <w:bottom w:val="single" w:color="auto" w:sz="4" w:space="0"/>
              <w:right w:val="single" w:color="auto" w:sz="4" w:space="0"/>
            </w:tcBorders>
            <w:vAlign w:val="center"/>
          </w:tcPr>
          <w:p w14:paraId="4ADA93BE">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5≤X＜20</w:t>
            </w:r>
          </w:p>
        </w:tc>
        <w:tc>
          <w:tcPr>
            <w:tcW w:w="1134" w:type="dxa"/>
            <w:tcBorders>
              <w:top w:val="nil"/>
              <w:left w:val="nil"/>
              <w:bottom w:val="single" w:color="auto" w:sz="4" w:space="0"/>
              <w:right w:val="single" w:color="auto" w:sz="4" w:space="0"/>
            </w:tcBorders>
            <w:vAlign w:val="center"/>
          </w:tcPr>
          <w:p w14:paraId="12E6AAEA">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X＜5</w:t>
            </w:r>
          </w:p>
        </w:tc>
      </w:tr>
      <w:tr w14:paraId="2047E6E8">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0F0E31D9">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0301022C">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营业收入（Y）</w:t>
            </w:r>
          </w:p>
        </w:tc>
        <w:tc>
          <w:tcPr>
            <w:tcW w:w="1276" w:type="dxa"/>
            <w:tcBorders>
              <w:top w:val="nil"/>
              <w:left w:val="nil"/>
              <w:bottom w:val="single" w:color="auto" w:sz="4" w:space="0"/>
              <w:right w:val="single" w:color="auto" w:sz="4" w:space="0"/>
            </w:tcBorders>
            <w:vAlign w:val="center"/>
          </w:tcPr>
          <w:p w14:paraId="6767CC16">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5503B00D">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5000≤Y＜40000</w:t>
            </w:r>
          </w:p>
        </w:tc>
        <w:tc>
          <w:tcPr>
            <w:tcW w:w="1701" w:type="dxa"/>
            <w:tcBorders>
              <w:top w:val="nil"/>
              <w:left w:val="nil"/>
              <w:bottom w:val="single" w:color="auto" w:sz="4" w:space="0"/>
              <w:right w:val="single" w:color="auto" w:sz="4" w:space="0"/>
            </w:tcBorders>
            <w:vAlign w:val="center"/>
          </w:tcPr>
          <w:p w14:paraId="57C88ED8">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1000≤Y＜5000</w:t>
            </w:r>
          </w:p>
        </w:tc>
        <w:tc>
          <w:tcPr>
            <w:tcW w:w="1134" w:type="dxa"/>
            <w:tcBorders>
              <w:top w:val="nil"/>
              <w:left w:val="nil"/>
              <w:bottom w:val="single" w:color="auto" w:sz="4" w:space="0"/>
              <w:right w:val="single" w:color="auto" w:sz="4" w:space="0"/>
            </w:tcBorders>
            <w:vAlign w:val="center"/>
          </w:tcPr>
          <w:p w14:paraId="73ED9826">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Y＜1000</w:t>
            </w:r>
          </w:p>
        </w:tc>
      </w:tr>
      <w:tr w14:paraId="46CE4A98">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center"/>
          </w:tcPr>
          <w:p w14:paraId="03B6BA30">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r>
              <w:rPr>
                <w:rFonts w:hint="eastAsia" w:ascii="仿宋" w:hAnsi="仿宋" w:eastAsia="仿宋" w:cs="仿宋"/>
                <w:b/>
                <w:bCs/>
                <w:kern w:val="0"/>
                <w:sz w:val="18"/>
                <w:szCs w:val="18"/>
                <w:highlight w:val="none"/>
              </w:rPr>
              <w:t>零售业</w:t>
            </w:r>
          </w:p>
        </w:tc>
        <w:tc>
          <w:tcPr>
            <w:tcW w:w="1559" w:type="dxa"/>
            <w:tcBorders>
              <w:top w:val="nil"/>
              <w:left w:val="nil"/>
              <w:bottom w:val="single" w:color="auto" w:sz="4" w:space="0"/>
              <w:right w:val="single" w:color="auto" w:sz="4" w:space="0"/>
            </w:tcBorders>
            <w:vAlign w:val="center"/>
          </w:tcPr>
          <w:p w14:paraId="4FF6A8DF">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从业人员（X）</w:t>
            </w:r>
          </w:p>
        </w:tc>
        <w:tc>
          <w:tcPr>
            <w:tcW w:w="1276" w:type="dxa"/>
            <w:tcBorders>
              <w:top w:val="nil"/>
              <w:left w:val="nil"/>
              <w:bottom w:val="single" w:color="auto" w:sz="4" w:space="0"/>
              <w:right w:val="single" w:color="auto" w:sz="4" w:space="0"/>
            </w:tcBorders>
            <w:vAlign w:val="center"/>
          </w:tcPr>
          <w:p w14:paraId="3EBBB68B">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19B2C2D8">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50≤X＜300</w:t>
            </w:r>
          </w:p>
        </w:tc>
        <w:tc>
          <w:tcPr>
            <w:tcW w:w="1701" w:type="dxa"/>
            <w:tcBorders>
              <w:top w:val="nil"/>
              <w:left w:val="nil"/>
              <w:bottom w:val="single" w:color="auto" w:sz="4" w:space="0"/>
              <w:right w:val="single" w:color="auto" w:sz="4" w:space="0"/>
            </w:tcBorders>
            <w:vAlign w:val="center"/>
          </w:tcPr>
          <w:p w14:paraId="3FE1C32C">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10≤X＜50</w:t>
            </w:r>
          </w:p>
        </w:tc>
        <w:tc>
          <w:tcPr>
            <w:tcW w:w="1134" w:type="dxa"/>
            <w:tcBorders>
              <w:top w:val="nil"/>
              <w:left w:val="nil"/>
              <w:bottom w:val="single" w:color="auto" w:sz="4" w:space="0"/>
              <w:right w:val="single" w:color="auto" w:sz="4" w:space="0"/>
            </w:tcBorders>
            <w:vAlign w:val="center"/>
          </w:tcPr>
          <w:p w14:paraId="03925C69">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X＜10</w:t>
            </w:r>
          </w:p>
        </w:tc>
      </w:tr>
      <w:tr w14:paraId="1A50450A">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51FE8CB0">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35583437">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营业收入（Y）</w:t>
            </w:r>
          </w:p>
        </w:tc>
        <w:tc>
          <w:tcPr>
            <w:tcW w:w="1276" w:type="dxa"/>
            <w:tcBorders>
              <w:top w:val="nil"/>
              <w:left w:val="nil"/>
              <w:bottom w:val="single" w:color="auto" w:sz="4" w:space="0"/>
              <w:right w:val="single" w:color="auto" w:sz="4" w:space="0"/>
            </w:tcBorders>
            <w:vAlign w:val="center"/>
          </w:tcPr>
          <w:p w14:paraId="048E108F">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5D09A200">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500≤Y＜20000</w:t>
            </w:r>
          </w:p>
        </w:tc>
        <w:tc>
          <w:tcPr>
            <w:tcW w:w="1701" w:type="dxa"/>
            <w:tcBorders>
              <w:top w:val="nil"/>
              <w:left w:val="nil"/>
              <w:bottom w:val="single" w:color="auto" w:sz="4" w:space="0"/>
              <w:right w:val="single" w:color="auto" w:sz="4" w:space="0"/>
            </w:tcBorders>
            <w:vAlign w:val="center"/>
          </w:tcPr>
          <w:p w14:paraId="10C9ABD3">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100≤Y＜500</w:t>
            </w:r>
          </w:p>
        </w:tc>
        <w:tc>
          <w:tcPr>
            <w:tcW w:w="1134" w:type="dxa"/>
            <w:tcBorders>
              <w:top w:val="nil"/>
              <w:left w:val="nil"/>
              <w:bottom w:val="single" w:color="auto" w:sz="4" w:space="0"/>
              <w:right w:val="single" w:color="auto" w:sz="4" w:space="0"/>
            </w:tcBorders>
            <w:vAlign w:val="center"/>
          </w:tcPr>
          <w:p w14:paraId="0B1DFAEC">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Y＜100</w:t>
            </w:r>
          </w:p>
        </w:tc>
      </w:tr>
      <w:tr w14:paraId="0CB85D97">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center"/>
          </w:tcPr>
          <w:p w14:paraId="165565F4">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r>
              <w:rPr>
                <w:rFonts w:hint="eastAsia" w:ascii="仿宋" w:hAnsi="仿宋" w:eastAsia="仿宋" w:cs="仿宋"/>
                <w:b/>
                <w:bCs/>
                <w:kern w:val="0"/>
                <w:sz w:val="18"/>
                <w:szCs w:val="18"/>
                <w:highlight w:val="none"/>
              </w:rPr>
              <w:t>交通运输业</w:t>
            </w:r>
          </w:p>
        </w:tc>
        <w:tc>
          <w:tcPr>
            <w:tcW w:w="1559" w:type="dxa"/>
            <w:tcBorders>
              <w:top w:val="nil"/>
              <w:left w:val="nil"/>
              <w:bottom w:val="single" w:color="auto" w:sz="4" w:space="0"/>
              <w:right w:val="single" w:color="auto" w:sz="4" w:space="0"/>
            </w:tcBorders>
            <w:vAlign w:val="center"/>
          </w:tcPr>
          <w:p w14:paraId="4BB6224A">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从业人员（X）</w:t>
            </w:r>
          </w:p>
        </w:tc>
        <w:tc>
          <w:tcPr>
            <w:tcW w:w="1276" w:type="dxa"/>
            <w:tcBorders>
              <w:top w:val="nil"/>
              <w:left w:val="nil"/>
              <w:bottom w:val="single" w:color="auto" w:sz="4" w:space="0"/>
              <w:right w:val="single" w:color="auto" w:sz="4" w:space="0"/>
            </w:tcBorders>
            <w:vAlign w:val="center"/>
          </w:tcPr>
          <w:p w14:paraId="11E7706A">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55D613E2">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300≤X＜1000</w:t>
            </w:r>
          </w:p>
        </w:tc>
        <w:tc>
          <w:tcPr>
            <w:tcW w:w="1701" w:type="dxa"/>
            <w:tcBorders>
              <w:top w:val="nil"/>
              <w:left w:val="nil"/>
              <w:bottom w:val="single" w:color="auto" w:sz="4" w:space="0"/>
              <w:right w:val="single" w:color="auto" w:sz="4" w:space="0"/>
            </w:tcBorders>
            <w:vAlign w:val="center"/>
          </w:tcPr>
          <w:p w14:paraId="6E83AF69">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20≤X＜300</w:t>
            </w:r>
          </w:p>
        </w:tc>
        <w:tc>
          <w:tcPr>
            <w:tcW w:w="1134" w:type="dxa"/>
            <w:tcBorders>
              <w:top w:val="nil"/>
              <w:left w:val="nil"/>
              <w:bottom w:val="single" w:color="auto" w:sz="4" w:space="0"/>
              <w:right w:val="single" w:color="auto" w:sz="4" w:space="0"/>
            </w:tcBorders>
            <w:vAlign w:val="center"/>
          </w:tcPr>
          <w:p w14:paraId="7A203B6C">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X＜20</w:t>
            </w:r>
          </w:p>
        </w:tc>
      </w:tr>
      <w:tr w14:paraId="64466137">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361F056A">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18ACF50E">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营业收入（Y）</w:t>
            </w:r>
          </w:p>
        </w:tc>
        <w:tc>
          <w:tcPr>
            <w:tcW w:w="1276" w:type="dxa"/>
            <w:tcBorders>
              <w:top w:val="nil"/>
              <w:left w:val="nil"/>
              <w:bottom w:val="single" w:color="auto" w:sz="4" w:space="0"/>
              <w:right w:val="single" w:color="auto" w:sz="4" w:space="0"/>
            </w:tcBorders>
            <w:vAlign w:val="center"/>
          </w:tcPr>
          <w:p w14:paraId="71DE8592">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634CC8CF">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3000≤Y＜30000</w:t>
            </w:r>
          </w:p>
        </w:tc>
        <w:tc>
          <w:tcPr>
            <w:tcW w:w="1701" w:type="dxa"/>
            <w:tcBorders>
              <w:top w:val="nil"/>
              <w:left w:val="nil"/>
              <w:bottom w:val="single" w:color="auto" w:sz="4" w:space="0"/>
              <w:right w:val="single" w:color="auto" w:sz="4" w:space="0"/>
            </w:tcBorders>
            <w:vAlign w:val="center"/>
          </w:tcPr>
          <w:p w14:paraId="38BB365D">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200≤Y＜3000</w:t>
            </w:r>
          </w:p>
        </w:tc>
        <w:tc>
          <w:tcPr>
            <w:tcW w:w="1134" w:type="dxa"/>
            <w:tcBorders>
              <w:top w:val="nil"/>
              <w:left w:val="nil"/>
              <w:bottom w:val="single" w:color="auto" w:sz="4" w:space="0"/>
              <w:right w:val="single" w:color="auto" w:sz="4" w:space="0"/>
            </w:tcBorders>
            <w:vAlign w:val="center"/>
          </w:tcPr>
          <w:p w14:paraId="6C16EED0">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Y＜200</w:t>
            </w:r>
          </w:p>
        </w:tc>
      </w:tr>
      <w:tr w14:paraId="62BAA359">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center"/>
          </w:tcPr>
          <w:p w14:paraId="464887A9">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r>
              <w:rPr>
                <w:rFonts w:hint="eastAsia" w:ascii="仿宋" w:hAnsi="仿宋" w:eastAsia="仿宋" w:cs="仿宋"/>
                <w:b/>
                <w:bCs/>
                <w:kern w:val="0"/>
                <w:sz w:val="18"/>
                <w:szCs w:val="18"/>
                <w:highlight w:val="none"/>
              </w:rPr>
              <w:t>仓储业</w:t>
            </w:r>
          </w:p>
        </w:tc>
        <w:tc>
          <w:tcPr>
            <w:tcW w:w="1559" w:type="dxa"/>
            <w:tcBorders>
              <w:top w:val="nil"/>
              <w:left w:val="nil"/>
              <w:bottom w:val="single" w:color="auto" w:sz="4" w:space="0"/>
              <w:right w:val="single" w:color="auto" w:sz="4" w:space="0"/>
            </w:tcBorders>
            <w:vAlign w:val="center"/>
          </w:tcPr>
          <w:p w14:paraId="1C3A111A">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从业人员（X）</w:t>
            </w:r>
          </w:p>
        </w:tc>
        <w:tc>
          <w:tcPr>
            <w:tcW w:w="1276" w:type="dxa"/>
            <w:tcBorders>
              <w:top w:val="nil"/>
              <w:left w:val="nil"/>
              <w:bottom w:val="single" w:color="auto" w:sz="4" w:space="0"/>
              <w:right w:val="single" w:color="auto" w:sz="4" w:space="0"/>
            </w:tcBorders>
            <w:vAlign w:val="center"/>
          </w:tcPr>
          <w:p w14:paraId="263DEB95">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15B97E63">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100≤X＜200</w:t>
            </w:r>
          </w:p>
        </w:tc>
        <w:tc>
          <w:tcPr>
            <w:tcW w:w="1701" w:type="dxa"/>
            <w:tcBorders>
              <w:top w:val="nil"/>
              <w:left w:val="nil"/>
              <w:bottom w:val="single" w:color="auto" w:sz="4" w:space="0"/>
              <w:right w:val="single" w:color="auto" w:sz="4" w:space="0"/>
            </w:tcBorders>
            <w:vAlign w:val="center"/>
          </w:tcPr>
          <w:p w14:paraId="5AE0557B">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20≤X＜100</w:t>
            </w:r>
          </w:p>
        </w:tc>
        <w:tc>
          <w:tcPr>
            <w:tcW w:w="1134" w:type="dxa"/>
            <w:tcBorders>
              <w:top w:val="nil"/>
              <w:left w:val="nil"/>
              <w:bottom w:val="single" w:color="auto" w:sz="4" w:space="0"/>
              <w:right w:val="single" w:color="auto" w:sz="4" w:space="0"/>
            </w:tcBorders>
            <w:vAlign w:val="center"/>
          </w:tcPr>
          <w:p w14:paraId="4F538BD5">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X＜20</w:t>
            </w:r>
          </w:p>
        </w:tc>
      </w:tr>
      <w:tr w14:paraId="5A969007">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0746C443">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089F8084">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营业收入（Y）</w:t>
            </w:r>
          </w:p>
        </w:tc>
        <w:tc>
          <w:tcPr>
            <w:tcW w:w="1276" w:type="dxa"/>
            <w:tcBorders>
              <w:top w:val="nil"/>
              <w:left w:val="nil"/>
              <w:bottom w:val="single" w:color="auto" w:sz="4" w:space="0"/>
              <w:right w:val="single" w:color="auto" w:sz="4" w:space="0"/>
            </w:tcBorders>
            <w:vAlign w:val="center"/>
          </w:tcPr>
          <w:p w14:paraId="5CB0183F">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7CB179ED">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1000≤Y＜30000</w:t>
            </w:r>
          </w:p>
        </w:tc>
        <w:tc>
          <w:tcPr>
            <w:tcW w:w="1701" w:type="dxa"/>
            <w:tcBorders>
              <w:top w:val="nil"/>
              <w:left w:val="nil"/>
              <w:bottom w:val="single" w:color="auto" w:sz="4" w:space="0"/>
              <w:right w:val="single" w:color="auto" w:sz="4" w:space="0"/>
            </w:tcBorders>
            <w:vAlign w:val="center"/>
          </w:tcPr>
          <w:p w14:paraId="2D6DA549">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100≤Y＜1000</w:t>
            </w:r>
          </w:p>
        </w:tc>
        <w:tc>
          <w:tcPr>
            <w:tcW w:w="1134" w:type="dxa"/>
            <w:tcBorders>
              <w:top w:val="nil"/>
              <w:left w:val="nil"/>
              <w:bottom w:val="single" w:color="auto" w:sz="4" w:space="0"/>
              <w:right w:val="single" w:color="auto" w:sz="4" w:space="0"/>
            </w:tcBorders>
            <w:vAlign w:val="center"/>
          </w:tcPr>
          <w:p w14:paraId="159D4D12">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Y＜100</w:t>
            </w:r>
          </w:p>
        </w:tc>
      </w:tr>
      <w:tr w14:paraId="41033767">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center"/>
          </w:tcPr>
          <w:p w14:paraId="077524FC">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r>
              <w:rPr>
                <w:rFonts w:hint="eastAsia" w:ascii="仿宋" w:hAnsi="仿宋" w:eastAsia="仿宋" w:cs="仿宋"/>
                <w:b/>
                <w:bCs/>
                <w:kern w:val="0"/>
                <w:sz w:val="18"/>
                <w:szCs w:val="18"/>
                <w:highlight w:val="none"/>
              </w:rPr>
              <w:t>邮政业</w:t>
            </w:r>
          </w:p>
        </w:tc>
        <w:tc>
          <w:tcPr>
            <w:tcW w:w="1559" w:type="dxa"/>
            <w:tcBorders>
              <w:top w:val="nil"/>
              <w:left w:val="nil"/>
              <w:bottom w:val="single" w:color="auto" w:sz="4" w:space="0"/>
              <w:right w:val="single" w:color="auto" w:sz="4" w:space="0"/>
            </w:tcBorders>
            <w:vAlign w:val="center"/>
          </w:tcPr>
          <w:p w14:paraId="31BFE8DB">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从业人员（X）</w:t>
            </w:r>
          </w:p>
        </w:tc>
        <w:tc>
          <w:tcPr>
            <w:tcW w:w="1276" w:type="dxa"/>
            <w:tcBorders>
              <w:top w:val="nil"/>
              <w:left w:val="nil"/>
              <w:bottom w:val="single" w:color="auto" w:sz="4" w:space="0"/>
              <w:right w:val="single" w:color="auto" w:sz="4" w:space="0"/>
            </w:tcBorders>
            <w:vAlign w:val="center"/>
          </w:tcPr>
          <w:p w14:paraId="564B3033">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5C3613FD">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300≤X＜1000</w:t>
            </w:r>
          </w:p>
        </w:tc>
        <w:tc>
          <w:tcPr>
            <w:tcW w:w="1701" w:type="dxa"/>
            <w:tcBorders>
              <w:top w:val="nil"/>
              <w:left w:val="nil"/>
              <w:bottom w:val="single" w:color="auto" w:sz="4" w:space="0"/>
              <w:right w:val="single" w:color="auto" w:sz="4" w:space="0"/>
            </w:tcBorders>
            <w:vAlign w:val="center"/>
          </w:tcPr>
          <w:p w14:paraId="46809CCF">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20≤X＜300</w:t>
            </w:r>
          </w:p>
        </w:tc>
        <w:tc>
          <w:tcPr>
            <w:tcW w:w="1134" w:type="dxa"/>
            <w:tcBorders>
              <w:top w:val="nil"/>
              <w:left w:val="nil"/>
              <w:bottom w:val="single" w:color="auto" w:sz="4" w:space="0"/>
              <w:right w:val="single" w:color="auto" w:sz="4" w:space="0"/>
            </w:tcBorders>
            <w:vAlign w:val="center"/>
          </w:tcPr>
          <w:p w14:paraId="7FBEC343">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X＜20</w:t>
            </w:r>
          </w:p>
        </w:tc>
      </w:tr>
      <w:tr w14:paraId="623B9895">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646CFE69">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3D263460">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营业收入（Y）</w:t>
            </w:r>
          </w:p>
        </w:tc>
        <w:tc>
          <w:tcPr>
            <w:tcW w:w="1276" w:type="dxa"/>
            <w:tcBorders>
              <w:top w:val="nil"/>
              <w:left w:val="nil"/>
              <w:bottom w:val="single" w:color="auto" w:sz="4" w:space="0"/>
              <w:right w:val="single" w:color="auto" w:sz="4" w:space="0"/>
            </w:tcBorders>
            <w:vAlign w:val="center"/>
          </w:tcPr>
          <w:p w14:paraId="23A73945">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3AA86F97">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2000≤Y＜30000</w:t>
            </w:r>
          </w:p>
        </w:tc>
        <w:tc>
          <w:tcPr>
            <w:tcW w:w="1701" w:type="dxa"/>
            <w:tcBorders>
              <w:top w:val="nil"/>
              <w:left w:val="nil"/>
              <w:bottom w:val="single" w:color="auto" w:sz="4" w:space="0"/>
              <w:right w:val="single" w:color="auto" w:sz="4" w:space="0"/>
            </w:tcBorders>
            <w:vAlign w:val="center"/>
          </w:tcPr>
          <w:p w14:paraId="63AF646E">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100≤Y＜2000</w:t>
            </w:r>
          </w:p>
        </w:tc>
        <w:tc>
          <w:tcPr>
            <w:tcW w:w="1134" w:type="dxa"/>
            <w:tcBorders>
              <w:top w:val="nil"/>
              <w:left w:val="nil"/>
              <w:bottom w:val="single" w:color="auto" w:sz="4" w:space="0"/>
              <w:right w:val="single" w:color="auto" w:sz="4" w:space="0"/>
            </w:tcBorders>
            <w:vAlign w:val="center"/>
          </w:tcPr>
          <w:p w14:paraId="06633463">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Y＜100</w:t>
            </w:r>
          </w:p>
        </w:tc>
      </w:tr>
      <w:tr w14:paraId="14CE7532">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center"/>
          </w:tcPr>
          <w:p w14:paraId="008A9369">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r>
              <w:rPr>
                <w:rFonts w:hint="eastAsia" w:ascii="仿宋" w:hAnsi="仿宋" w:eastAsia="仿宋" w:cs="仿宋"/>
                <w:b/>
                <w:bCs/>
                <w:kern w:val="0"/>
                <w:sz w:val="18"/>
                <w:szCs w:val="18"/>
                <w:highlight w:val="none"/>
              </w:rPr>
              <w:t>住宿业</w:t>
            </w:r>
          </w:p>
        </w:tc>
        <w:tc>
          <w:tcPr>
            <w:tcW w:w="1559" w:type="dxa"/>
            <w:tcBorders>
              <w:top w:val="nil"/>
              <w:left w:val="nil"/>
              <w:bottom w:val="single" w:color="auto" w:sz="4" w:space="0"/>
              <w:right w:val="single" w:color="auto" w:sz="4" w:space="0"/>
            </w:tcBorders>
            <w:vAlign w:val="center"/>
          </w:tcPr>
          <w:p w14:paraId="2E05D88B">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从业人员（X）</w:t>
            </w:r>
          </w:p>
        </w:tc>
        <w:tc>
          <w:tcPr>
            <w:tcW w:w="1276" w:type="dxa"/>
            <w:tcBorders>
              <w:top w:val="nil"/>
              <w:left w:val="nil"/>
              <w:bottom w:val="single" w:color="auto" w:sz="4" w:space="0"/>
              <w:right w:val="single" w:color="auto" w:sz="4" w:space="0"/>
            </w:tcBorders>
            <w:vAlign w:val="center"/>
          </w:tcPr>
          <w:p w14:paraId="6B44D7F7">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013461C1">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100≤X＜300</w:t>
            </w:r>
          </w:p>
        </w:tc>
        <w:tc>
          <w:tcPr>
            <w:tcW w:w="1701" w:type="dxa"/>
            <w:tcBorders>
              <w:top w:val="nil"/>
              <w:left w:val="nil"/>
              <w:bottom w:val="single" w:color="auto" w:sz="4" w:space="0"/>
              <w:right w:val="single" w:color="auto" w:sz="4" w:space="0"/>
            </w:tcBorders>
            <w:vAlign w:val="center"/>
          </w:tcPr>
          <w:p w14:paraId="0AB73CE7">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5B8272A7">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X＜10</w:t>
            </w:r>
          </w:p>
        </w:tc>
      </w:tr>
      <w:tr w14:paraId="10149369">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336517B9">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3000516D">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营业收入（Y）</w:t>
            </w:r>
          </w:p>
        </w:tc>
        <w:tc>
          <w:tcPr>
            <w:tcW w:w="1276" w:type="dxa"/>
            <w:tcBorders>
              <w:top w:val="nil"/>
              <w:left w:val="nil"/>
              <w:bottom w:val="single" w:color="auto" w:sz="4" w:space="0"/>
              <w:right w:val="single" w:color="auto" w:sz="4" w:space="0"/>
            </w:tcBorders>
            <w:vAlign w:val="center"/>
          </w:tcPr>
          <w:p w14:paraId="5E9D254A">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527096A7">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2000≤Y＜10000</w:t>
            </w:r>
          </w:p>
        </w:tc>
        <w:tc>
          <w:tcPr>
            <w:tcW w:w="1701" w:type="dxa"/>
            <w:tcBorders>
              <w:top w:val="nil"/>
              <w:left w:val="nil"/>
              <w:bottom w:val="single" w:color="auto" w:sz="4" w:space="0"/>
              <w:right w:val="single" w:color="auto" w:sz="4" w:space="0"/>
            </w:tcBorders>
            <w:vAlign w:val="center"/>
          </w:tcPr>
          <w:p w14:paraId="02558BB0">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100≤Y＜2000</w:t>
            </w:r>
          </w:p>
        </w:tc>
        <w:tc>
          <w:tcPr>
            <w:tcW w:w="1134" w:type="dxa"/>
            <w:tcBorders>
              <w:top w:val="nil"/>
              <w:left w:val="nil"/>
              <w:bottom w:val="single" w:color="auto" w:sz="4" w:space="0"/>
              <w:right w:val="single" w:color="auto" w:sz="4" w:space="0"/>
            </w:tcBorders>
            <w:vAlign w:val="center"/>
          </w:tcPr>
          <w:p w14:paraId="02B81118">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Y＜100</w:t>
            </w:r>
          </w:p>
        </w:tc>
      </w:tr>
      <w:tr w14:paraId="4099718E">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center"/>
          </w:tcPr>
          <w:p w14:paraId="0893B6E9">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r>
              <w:rPr>
                <w:rFonts w:hint="eastAsia" w:ascii="仿宋" w:hAnsi="仿宋" w:eastAsia="仿宋" w:cs="仿宋"/>
                <w:b/>
                <w:bCs/>
                <w:kern w:val="0"/>
                <w:sz w:val="18"/>
                <w:szCs w:val="18"/>
                <w:highlight w:val="none"/>
              </w:rPr>
              <w:t>餐饮业</w:t>
            </w:r>
          </w:p>
        </w:tc>
        <w:tc>
          <w:tcPr>
            <w:tcW w:w="1559" w:type="dxa"/>
            <w:tcBorders>
              <w:top w:val="nil"/>
              <w:left w:val="nil"/>
              <w:bottom w:val="single" w:color="auto" w:sz="4" w:space="0"/>
              <w:right w:val="single" w:color="auto" w:sz="4" w:space="0"/>
            </w:tcBorders>
            <w:vAlign w:val="center"/>
          </w:tcPr>
          <w:p w14:paraId="0C9EBFCD">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从业人员（X）</w:t>
            </w:r>
          </w:p>
        </w:tc>
        <w:tc>
          <w:tcPr>
            <w:tcW w:w="1276" w:type="dxa"/>
            <w:tcBorders>
              <w:top w:val="nil"/>
              <w:left w:val="nil"/>
              <w:bottom w:val="single" w:color="auto" w:sz="4" w:space="0"/>
              <w:right w:val="single" w:color="auto" w:sz="4" w:space="0"/>
            </w:tcBorders>
            <w:vAlign w:val="center"/>
          </w:tcPr>
          <w:p w14:paraId="7A7763D9">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09526904">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100≤X＜300</w:t>
            </w:r>
          </w:p>
        </w:tc>
        <w:tc>
          <w:tcPr>
            <w:tcW w:w="1701" w:type="dxa"/>
            <w:tcBorders>
              <w:top w:val="nil"/>
              <w:left w:val="nil"/>
              <w:bottom w:val="single" w:color="auto" w:sz="4" w:space="0"/>
              <w:right w:val="single" w:color="auto" w:sz="4" w:space="0"/>
            </w:tcBorders>
            <w:vAlign w:val="center"/>
          </w:tcPr>
          <w:p w14:paraId="1F26F988">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5911F506">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X＜10</w:t>
            </w:r>
          </w:p>
        </w:tc>
      </w:tr>
      <w:tr w14:paraId="2CBF233D">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7B44CD45">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0EC1E97D">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营业收入（Y）</w:t>
            </w:r>
          </w:p>
        </w:tc>
        <w:tc>
          <w:tcPr>
            <w:tcW w:w="1276" w:type="dxa"/>
            <w:tcBorders>
              <w:top w:val="nil"/>
              <w:left w:val="nil"/>
              <w:bottom w:val="single" w:color="auto" w:sz="4" w:space="0"/>
              <w:right w:val="single" w:color="auto" w:sz="4" w:space="0"/>
            </w:tcBorders>
            <w:vAlign w:val="center"/>
          </w:tcPr>
          <w:p w14:paraId="59BA0990">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66E7391E">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2000≤Y＜10000</w:t>
            </w:r>
          </w:p>
        </w:tc>
        <w:tc>
          <w:tcPr>
            <w:tcW w:w="1701" w:type="dxa"/>
            <w:tcBorders>
              <w:top w:val="nil"/>
              <w:left w:val="nil"/>
              <w:bottom w:val="single" w:color="auto" w:sz="4" w:space="0"/>
              <w:right w:val="single" w:color="auto" w:sz="4" w:space="0"/>
            </w:tcBorders>
            <w:vAlign w:val="center"/>
          </w:tcPr>
          <w:p w14:paraId="761DA0D5">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100≤Y＜2000</w:t>
            </w:r>
          </w:p>
        </w:tc>
        <w:tc>
          <w:tcPr>
            <w:tcW w:w="1134" w:type="dxa"/>
            <w:tcBorders>
              <w:top w:val="nil"/>
              <w:left w:val="nil"/>
              <w:bottom w:val="single" w:color="auto" w:sz="4" w:space="0"/>
              <w:right w:val="single" w:color="auto" w:sz="4" w:space="0"/>
            </w:tcBorders>
            <w:vAlign w:val="center"/>
          </w:tcPr>
          <w:p w14:paraId="3E03D5C8">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Y＜100</w:t>
            </w:r>
          </w:p>
        </w:tc>
      </w:tr>
      <w:tr w14:paraId="3155BE1B">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center"/>
          </w:tcPr>
          <w:p w14:paraId="06EDC6DB">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r>
              <w:rPr>
                <w:rFonts w:hint="eastAsia" w:ascii="仿宋" w:hAnsi="仿宋" w:eastAsia="仿宋" w:cs="仿宋"/>
                <w:b/>
                <w:bCs/>
                <w:kern w:val="0"/>
                <w:sz w:val="18"/>
                <w:szCs w:val="18"/>
                <w:highlight w:val="none"/>
              </w:rPr>
              <w:t>信息传输业</w:t>
            </w:r>
          </w:p>
        </w:tc>
        <w:tc>
          <w:tcPr>
            <w:tcW w:w="1559" w:type="dxa"/>
            <w:tcBorders>
              <w:top w:val="nil"/>
              <w:left w:val="nil"/>
              <w:bottom w:val="single" w:color="auto" w:sz="4" w:space="0"/>
              <w:right w:val="single" w:color="auto" w:sz="4" w:space="0"/>
            </w:tcBorders>
            <w:vAlign w:val="center"/>
          </w:tcPr>
          <w:p w14:paraId="00184C21">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从业人员（X）</w:t>
            </w:r>
          </w:p>
        </w:tc>
        <w:tc>
          <w:tcPr>
            <w:tcW w:w="1276" w:type="dxa"/>
            <w:tcBorders>
              <w:top w:val="nil"/>
              <w:left w:val="nil"/>
              <w:bottom w:val="single" w:color="auto" w:sz="4" w:space="0"/>
              <w:right w:val="single" w:color="auto" w:sz="4" w:space="0"/>
            </w:tcBorders>
            <w:vAlign w:val="center"/>
          </w:tcPr>
          <w:p w14:paraId="75EC4873">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7774CC90">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100≤X＜2000</w:t>
            </w:r>
          </w:p>
        </w:tc>
        <w:tc>
          <w:tcPr>
            <w:tcW w:w="1701" w:type="dxa"/>
            <w:tcBorders>
              <w:top w:val="nil"/>
              <w:left w:val="nil"/>
              <w:bottom w:val="single" w:color="auto" w:sz="4" w:space="0"/>
              <w:right w:val="single" w:color="auto" w:sz="4" w:space="0"/>
            </w:tcBorders>
            <w:vAlign w:val="center"/>
          </w:tcPr>
          <w:p w14:paraId="51049004">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21954532">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X＜10</w:t>
            </w:r>
          </w:p>
        </w:tc>
      </w:tr>
      <w:tr w14:paraId="3F85AE06">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38CA2773">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1277DC57">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营业收入（Y）</w:t>
            </w:r>
          </w:p>
        </w:tc>
        <w:tc>
          <w:tcPr>
            <w:tcW w:w="1276" w:type="dxa"/>
            <w:tcBorders>
              <w:top w:val="nil"/>
              <w:left w:val="nil"/>
              <w:bottom w:val="single" w:color="auto" w:sz="4" w:space="0"/>
              <w:right w:val="single" w:color="auto" w:sz="4" w:space="0"/>
            </w:tcBorders>
            <w:vAlign w:val="center"/>
          </w:tcPr>
          <w:p w14:paraId="2A993746">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29D52F10">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1000≤Y＜100000</w:t>
            </w:r>
          </w:p>
        </w:tc>
        <w:tc>
          <w:tcPr>
            <w:tcW w:w="1701" w:type="dxa"/>
            <w:tcBorders>
              <w:top w:val="nil"/>
              <w:left w:val="nil"/>
              <w:bottom w:val="single" w:color="auto" w:sz="4" w:space="0"/>
              <w:right w:val="single" w:color="auto" w:sz="4" w:space="0"/>
            </w:tcBorders>
            <w:vAlign w:val="center"/>
          </w:tcPr>
          <w:p w14:paraId="48E5C243">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100≤Y＜1000</w:t>
            </w:r>
          </w:p>
        </w:tc>
        <w:tc>
          <w:tcPr>
            <w:tcW w:w="1134" w:type="dxa"/>
            <w:tcBorders>
              <w:top w:val="nil"/>
              <w:left w:val="nil"/>
              <w:bottom w:val="single" w:color="auto" w:sz="4" w:space="0"/>
              <w:right w:val="single" w:color="auto" w:sz="4" w:space="0"/>
            </w:tcBorders>
            <w:vAlign w:val="center"/>
          </w:tcPr>
          <w:p w14:paraId="70F5EDD5">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Y＜100</w:t>
            </w:r>
          </w:p>
        </w:tc>
      </w:tr>
      <w:tr w14:paraId="3075E1F0">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center"/>
          </w:tcPr>
          <w:p w14:paraId="37204A50">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r>
              <w:rPr>
                <w:rFonts w:hint="eastAsia" w:ascii="仿宋" w:hAnsi="仿宋" w:eastAsia="仿宋" w:cs="仿宋"/>
                <w:b/>
                <w:bCs/>
                <w:kern w:val="0"/>
                <w:sz w:val="18"/>
                <w:szCs w:val="18"/>
                <w:highlight w:val="none"/>
              </w:rPr>
              <w:t>软件和信息技术服务业</w:t>
            </w:r>
          </w:p>
        </w:tc>
        <w:tc>
          <w:tcPr>
            <w:tcW w:w="1559" w:type="dxa"/>
            <w:tcBorders>
              <w:top w:val="nil"/>
              <w:left w:val="nil"/>
              <w:bottom w:val="single" w:color="auto" w:sz="4" w:space="0"/>
              <w:right w:val="single" w:color="auto" w:sz="4" w:space="0"/>
            </w:tcBorders>
            <w:vAlign w:val="center"/>
          </w:tcPr>
          <w:p w14:paraId="48156DF6">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从业人员（X）</w:t>
            </w:r>
          </w:p>
        </w:tc>
        <w:tc>
          <w:tcPr>
            <w:tcW w:w="1276" w:type="dxa"/>
            <w:tcBorders>
              <w:top w:val="nil"/>
              <w:left w:val="nil"/>
              <w:bottom w:val="single" w:color="auto" w:sz="4" w:space="0"/>
              <w:right w:val="single" w:color="auto" w:sz="4" w:space="0"/>
            </w:tcBorders>
            <w:vAlign w:val="center"/>
          </w:tcPr>
          <w:p w14:paraId="599DC339">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4CB83A7B">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100≤X＜300</w:t>
            </w:r>
          </w:p>
        </w:tc>
        <w:tc>
          <w:tcPr>
            <w:tcW w:w="1701" w:type="dxa"/>
            <w:tcBorders>
              <w:top w:val="nil"/>
              <w:left w:val="nil"/>
              <w:bottom w:val="single" w:color="auto" w:sz="4" w:space="0"/>
              <w:right w:val="single" w:color="auto" w:sz="4" w:space="0"/>
            </w:tcBorders>
            <w:vAlign w:val="center"/>
          </w:tcPr>
          <w:p w14:paraId="7BBAA65C">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7949F433">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X＜10</w:t>
            </w:r>
          </w:p>
        </w:tc>
      </w:tr>
      <w:tr w14:paraId="6D4D2645">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5B43464E">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2F46C004">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营业收入（Y）</w:t>
            </w:r>
          </w:p>
        </w:tc>
        <w:tc>
          <w:tcPr>
            <w:tcW w:w="1276" w:type="dxa"/>
            <w:tcBorders>
              <w:top w:val="nil"/>
              <w:left w:val="nil"/>
              <w:bottom w:val="single" w:color="auto" w:sz="4" w:space="0"/>
              <w:right w:val="single" w:color="auto" w:sz="4" w:space="0"/>
            </w:tcBorders>
            <w:vAlign w:val="center"/>
          </w:tcPr>
          <w:p w14:paraId="3F56F019">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090F971B">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1000≤Y＜10000</w:t>
            </w:r>
          </w:p>
        </w:tc>
        <w:tc>
          <w:tcPr>
            <w:tcW w:w="1701" w:type="dxa"/>
            <w:tcBorders>
              <w:top w:val="nil"/>
              <w:left w:val="nil"/>
              <w:bottom w:val="single" w:color="auto" w:sz="4" w:space="0"/>
              <w:right w:val="single" w:color="auto" w:sz="4" w:space="0"/>
            </w:tcBorders>
            <w:vAlign w:val="center"/>
          </w:tcPr>
          <w:p w14:paraId="5B291F6E">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50≤Y＜1000</w:t>
            </w:r>
          </w:p>
        </w:tc>
        <w:tc>
          <w:tcPr>
            <w:tcW w:w="1134" w:type="dxa"/>
            <w:tcBorders>
              <w:top w:val="nil"/>
              <w:left w:val="nil"/>
              <w:bottom w:val="single" w:color="auto" w:sz="4" w:space="0"/>
              <w:right w:val="single" w:color="auto" w:sz="4" w:space="0"/>
            </w:tcBorders>
            <w:vAlign w:val="center"/>
          </w:tcPr>
          <w:p w14:paraId="5C2073F2">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Y＜50</w:t>
            </w:r>
          </w:p>
        </w:tc>
      </w:tr>
      <w:tr w14:paraId="312D04DC">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center"/>
          </w:tcPr>
          <w:p w14:paraId="0C72BC18">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r>
              <w:rPr>
                <w:rFonts w:hint="eastAsia" w:ascii="仿宋" w:hAnsi="仿宋" w:eastAsia="仿宋" w:cs="仿宋"/>
                <w:b/>
                <w:bCs/>
                <w:kern w:val="0"/>
                <w:sz w:val="18"/>
                <w:szCs w:val="18"/>
                <w:highlight w:val="none"/>
              </w:rPr>
              <w:t>房地产开发经营</w:t>
            </w:r>
          </w:p>
        </w:tc>
        <w:tc>
          <w:tcPr>
            <w:tcW w:w="1559" w:type="dxa"/>
            <w:tcBorders>
              <w:top w:val="nil"/>
              <w:left w:val="nil"/>
              <w:bottom w:val="single" w:color="auto" w:sz="4" w:space="0"/>
              <w:right w:val="single" w:color="auto" w:sz="4" w:space="0"/>
            </w:tcBorders>
            <w:vAlign w:val="center"/>
          </w:tcPr>
          <w:p w14:paraId="20824CF9">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营业收入（Y）</w:t>
            </w:r>
          </w:p>
        </w:tc>
        <w:tc>
          <w:tcPr>
            <w:tcW w:w="1276" w:type="dxa"/>
            <w:tcBorders>
              <w:top w:val="nil"/>
              <w:left w:val="nil"/>
              <w:bottom w:val="single" w:color="auto" w:sz="4" w:space="0"/>
              <w:right w:val="single" w:color="auto" w:sz="4" w:space="0"/>
            </w:tcBorders>
            <w:vAlign w:val="center"/>
          </w:tcPr>
          <w:p w14:paraId="5A7F0D67">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74C967EA">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1000≤Y＜200000</w:t>
            </w:r>
          </w:p>
        </w:tc>
        <w:tc>
          <w:tcPr>
            <w:tcW w:w="1701" w:type="dxa"/>
            <w:tcBorders>
              <w:top w:val="nil"/>
              <w:left w:val="nil"/>
              <w:bottom w:val="single" w:color="auto" w:sz="4" w:space="0"/>
              <w:right w:val="single" w:color="auto" w:sz="4" w:space="0"/>
            </w:tcBorders>
            <w:vAlign w:val="center"/>
          </w:tcPr>
          <w:p w14:paraId="2753694A">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100≤X＜1000</w:t>
            </w:r>
          </w:p>
        </w:tc>
        <w:tc>
          <w:tcPr>
            <w:tcW w:w="1134" w:type="dxa"/>
            <w:tcBorders>
              <w:top w:val="nil"/>
              <w:left w:val="nil"/>
              <w:bottom w:val="single" w:color="auto" w:sz="4" w:space="0"/>
              <w:right w:val="single" w:color="auto" w:sz="4" w:space="0"/>
            </w:tcBorders>
            <w:vAlign w:val="center"/>
          </w:tcPr>
          <w:p w14:paraId="4105E4C0">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X＜100</w:t>
            </w:r>
          </w:p>
        </w:tc>
      </w:tr>
      <w:tr w14:paraId="02BC7656">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68965704">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75593660">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资产总额（Z）</w:t>
            </w:r>
          </w:p>
        </w:tc>
        <w:tc>
          <w:tcPr>
            <w:tcW w:w="1276" w:type="dxa"/>
            <w:tcBorders>
              <w:top w:val="nil"/>
              <w:left w:val="nil"/>
              <w:bottom w:val="single" w:color="auto" w:sz="4" w:space="0"/>
              <w:right w:val="single" w:color="auto" w:sz="4" w:space="0"/>
            </w:tcBorders>
            <w:vAlign w:val="center"/>
          </w:tcPr>
          <w:p w14:paraId="6146CB0C">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0ADB1317">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5000≤Z＜10000</w:t>
            </w:r>
          </w:p>
        </w:tc>
        <w:tc>
          <w:tcPr>
            <w:tcW w:w="1701" w:type="dxa"/>
            <w:tcBorders>
              <w:top w:val="nil"/>
              <w:left w:val="nil"/>
              <w:bottom w:val="single" w:color="auto" w:sz="4" w:space="0"/>
              <w:right w:val="single" w:color="auto" w:sz="4" w:space="0"/>
            </w:tcBorders>
            <w:vAlign w:val="center"/>
          </w:tcPr>
          <w:p w14:paraId="68F1054C">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2000≤Y＜5000</w:t>
            </w:r>
          </w:p>
        </w:tc>
        <w:tc>
          <w:tcPr>
            <w:tcW w:w="1134" w:type="dxa"/>
            <w:tcBorders>
              <w:top w:val="nil"/>
              <w:left w:val="nil"/>
              <w:bottom w:val="single" w:color="auto" w:sz="4" w:space="0"/>
              <w:right w:val="single" w:color="auto" w:sz="4" w:space="0"/>
            </w:tcBorders>
            <w:vAlign w:val="center"/>
          </w:tcPr>
          <w:p w14:paraId="7DDF9847">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Y＜2000</w:t>
            </w:r>
          </w:p>
        </w:tc>
      </w:tr>
      <w:tr w14:paraId="4421BEE2">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center"/>
          </w:tcPr>
          <w:p w14:paraId="30F91E15">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r>
              <w:rPr>
                <w:rFonts w:hint="eastAsia" w:ascii="仿宋" w:hAnsi="仿宋" w:eastAsia="仿宋" w:cs="仿宋"/>
                <w:b/>
                <w:bCs/>
                <w:kern w:val="0"/>
                <w:sz w:val="18"/>
                <w:szCs w:val="18"/>
                <w:highlight w:val="none"/>
              </w:rPr>
              <w:t>物业管理</w:t>
            </w:r>
          </w:p>
        </w:tc>
        <w:tc>
          <w:tcPr>
            <w:tcW w:w="1559" w:type="dxa"/>
            <w:tcBorders>
              <w:top w:val="nil"/>
              <w:left w:val="nil"/>
              <w:bottom w:val="single" w:color="auto" w:sz="4" w:space="0"/>
              <w:right w:val="single" w:color="auto" w:sz="4" w:space="0"/>
            </w:tcBorders>
            <w:vAlign w:val="center"/>
          </w:tcPr>
          <w:p w14:paraId="6A2D5C4E">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从业人员（X）</w:t>
            </w:r>
          </w:p>
        </w:tc>
        <w:tc>
          <w:tcPr>
            <w:tcW w:w="1276" w:type="dxa"/>
            <w:tcBorders>
              <w:top w:val="nil"/>
              <w:left w:val="nil"/>
              <w:bottom w:val="single" w:color="auto" w:sz="4" w:space="0"/>
              <w:right w:val="single" w:color="auto" w:sz="4" w:space="0"/>
            </w:tcBorders>
            <w:vAlign w:val="center"/>
          </w:tcPr>
          <w:p w14:paraId="2FDEB0BD">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4BD30913">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300≤X＜1000</w:t>
            </w:r>
          </w:p>
        </w:tc>
        <w:tc>
          <w:tcPr>
            <w:tcW w:w="1701" w:type="dxa"/>
            <w:tcBorders>
              <w:top w:val="nil"/>
              <w:left w:val="nil"/>
              <w:bottom w:val="single" w:color="auto" w:sz="4" w:space="0"/>
              <w:right w:val="single" w:color="auto" w:sz="4" w:space="0"/>
            </w:tcBorders>
            <w:vAlign w:val="center"/>
          </w:tcPr>
          <w:p w14:paraId="36D286A2">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100≤X＜300</w:t>
            </w:r>
          </w:p>
        </w:tc>
        <w:tc>
          <w:tcPr>
            <w:tcW w:w="1134" w:type="dxa"/>
            <w:tcBorders>
              <w:top w:val="nil"/>
              <w:left w:val="nil"/>
              <w:bottom w:val="single" w:color="auto" w:sz="4" w:space="0"/>
              <w:right w:val="single" w:color="auto" w:sz="4" w:space="0"/>
            </w:tcBorders>
            <w:vAlign w:val="center"/>
          </w:tcPr>
          <w:p w14:paraId="0CB28234">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X＜100</w:t>
            </w:r>
          </w:p>
        </w:tc>
      </w:tr>
      <w:tr w14:paraId="1CE9F6CB">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38244A14">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487F5A03">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营业收入（Y）</w:t>
            </w:r>
          </w:p>
        </w:tc>
        <w:tc>
          <w:tcPr>
            <w:tcW w:w="1276" w:type="dxa"/>
            <w:tcBorders>
              <w:top w:val="nil"/>
              <w:left w:val="nil"/>
              <w:bottom w:val="single" w:color="auto" w:sz="4" w:space="0"/>
              <w:right w:val="single" w:color="auto" w:sz="4" w:space="0"/>
            </w:tcBorders>
            <w:vAlign w:val="center"/>
          </w:tcPr>
          <w:p w14:paraId="0B2AB489">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61EE08FA">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1000≤Y＜5000</w:t>
            </w:r>
          </w:p>
        </w:tc>
        <w:tc>
          <w:tcPr>
            <w:tcW w:w="1701" w:type="dxa"/>
            <w:tcBorders>
              <w:top w:val="nil"/>
              <w:left w:val="nil"/>
              <w:bottom w:val="single" w:color="auto" w:sz="4" w:space="0"/>
              <w:right w:val="single" w:color="auto" w:sz="4" w:space="0"/>
            </w:tcBorders>
            <w:vAlign w:val="center"/>
          </w:tcPr>
          <w:p w14:paraId="657B0326">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500≤Y＜1000</w:t>
            </w:r>
          </w:p>
        </w:tc>
        <w:tc>
          <w:tcPr>
            <w:tcW w:w="1134" w:type="dxa"/>
            <w:tcBorders>
              <w:top w:val="nil"/>
              <w:left w:val="nil"/>
              <w:bottom w:val="single" w:color="auto" w:sz="4" w:space="0"/>
              <w:right w:val="single" w:color="auto" w:sz="4" w:space="0"/>
            </w:tcBorders>
            <w:vAlign w:val="center"/>
          </w:tcPr>
          <w:p w14:paraId="3B8F6670">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Y＜500</w:t>
            </w:r>
          </w:p>
        </w:tc>
      </w:tr>
      <w:tr w14:paraId="33C663A1">
        <w:tblPrEx>
          <w:tblCellMar>
            <w:top w:w="0" w:type="dxa"/>
            <w:left w:w="108" w:type="dxa"/>
            <w:bottom w:w="0" w:type="dxa"/>
            <w:right w:w="108" w:type="dxa"/>
          </w:tblCellMar>
        </w:tblPrEx>
        <w:trPr>
          <w:trHeight w:val="225" w:hRule="atLeast"/>
          <w:jc w:val="center"/>
        </w:trPr>
        <w:tc>
          <w:tcPr>
            <w:tcW w:w="1985" w:type="dxa"/>
            <w:vMerge w:val="restart"/>
            <w:tcBorders>
              <w:top w:val="nil"/>
              <w:left w:val="single" w:color="auto" w:sz="4" w:space="0"/>
              <w:bottom w:val="single" w:color="auto" w:sz="4" w:space="0"/>
              <w:right w:val="single" w:color="auto" w:sz="4" w:space="0"/>
            </w:tcBorders>
            <w:vAlign w:val="center"/>
          </w:tcPr>
          <w:p w14:paraId="19728223">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r>
              <w:rPr>
                <w:rFonts w:hint="eastAsia" w:ascii="仿宋" w:hAnsi="仿宋" w:eastAsia="仿宋" w:cs="仿宋"/>
                <w:b/>
                <w:bCs/>
                <w:kern w:val="0"/>
                <w:sz w:val="18"/>
                <w:szCs w:val="18"/>
                <w:highlight w:val="none"/>
              </w:rPr>
              <w:t>租赁和商务服务业</w:t>
            </w:r>
          </w:p>
        </w:tc>
        <w:tc>
          <w:tcPr>
            <w:tcW w:w="1559" w:type="dxa"/>
            <w:tcBorders>
              <w:top w:val="nil"/>
              <w:left w:val="nil"/>
              <w:bottom w:val="single" w:color="auto" w:sz="4" w:space="0"/>
              <w:right w:val="single" w:color="auto" w:sz="4" w:space="0"/>
            </w:tcBorders>
            <w:vAlign w:val="center"/>
          </w:tcPr>
          <w:p w14:paraId="334CEA1A">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从业人员（X）</w:t>
            </w:r>
          </w:p>
        </w:tc>
        <w:tc>
          <w:tcPr>
            <w:tcW w:w="1276" w:type="dxa"/>
            <w:tcBorders>
              <w:top w:val="nil"/>
              <w:left w:val="nil"/>
              <w:bottom w:val="single" w:color="auto" w:sz="4" w:space="0"/>
              <w:right w:val="single" w:color="auto" w:sz="4" w:space="0"/>
            </w:tcBorders>
            <w:vAlign w:val="center"/>
          </w:tcPr>
          <w:p w14:paraId="0BB15E12">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1A613E21">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100≤X＜300</w:t>
            </w:r>
          </w:p>
        </w:tc>
        <w:tc>
          <w:tcPr>
            <w:tcW w:w="1701" w:type="dxa"/>
            <w:tcBorders>
              <w:top w:val="nil"/>
              <w:left w:val="nil"/>
              <w:bottom w:val="single" w:color="auto" w:sz="4" w:space="0"/>
              <w:right w:val="single" w:color="auto" w:sz="4" w:space="0"/>
            </w:tcBorders>
            <w:vAlign w:val="center"/>
          </w:tcPr>
          <w:p w14:paraId="5CAC7205">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12206F9C">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X＜10</w:t>
            </w:r>
          </w:p>
        </w:tc>
      </w:tr>
      <w:tr w14:paraId="7E6DEAE8">
        <w:tblPrEx>
          <w:tblCellMar>
            <w:top w:w="0" w:type="dxa"/>
            <w:left w:w="108" w:type="dxa"/>
            <w:bottom w:w="0" w:type="dxa"/>
            <w:right w:w="108" w:type="dxa"/>
          </w:tblCellMar>
        </w:tblPrEx>
        <w:trPr>
          <w:trHeight w:val="225" w:hRule="atLeast"/>
          <w:jc w:val="center"/>
        </w:trPr>
        <w:tc>
          <w:tcPr>
            <w:tcW w:w="1985" w:type="dxa"/>
            <w:vMerge w:val="continue"/>
            <w:tcBorders>
              <w:top w:val="nil"/>
              <w:left w:val="single" w:color="auto" w:sz="4" w:space="0"/>
              <w:bottom w:val="single" w:color="auto" w:sz="4" w:space="0"/>
              <w:right w:val="single" w:color="auto" w:sz="4" w:space="0"/>
            </w:tcBorders>
            <w:vAlign w:val="center"/>
          </w:tcPr>
          <w:p w14:paraId="52FC3094">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p>
        </w:tc>
        <w:tc>
          <w:tcPr>
            <w:tcW w:w="1559" w:type="dxa"/>
            <w:tcBorders>
              <w:top w:val="nil"/>
              <w:left w:val="nil"/>
              <w:bottom w:val="single" w:color="auto" w:sz="4" w:space="0"/>
              <w:right w:val="single" w:color="auto" w:sz="4" w:space="0"/>
            </w:tcBorders>
            <w:vAlign w:val="center"/>
          </w:tcPr>
          <w:p w14:paraId="721A08E8">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资产总额（Z）</w:t>
            </w:r>
          </w:p>
        </w:tc>
        <w:tc>
          <w:tcPr>
            <w:tcW w:w="1276" w:type="dxa"/>
            <w:tcBorders>
              <w:top w:val="nil"/>
              <w:left w:val="nil"/>
              <w:bottom w:val="single" w:color="auto" w:sz="4" w:space="0"/>
              <w:right w:val="single" w:color="auto" w:sz="4" w:space="0"/>
            </w:tcBorders>
            <w:vAlign w:val="center"/>
          </w:tcPr>
          <w:p w14:paraId="63D7564A">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万元</w:t>
            </w:r>
          </w:p>
        </w:tc>
        <w:tc>
          <w:tcPr>
            <w:tcW w:w="1842" w:type="dxa"/>
            <w:tcBorders>
              <w:top w:val="nil"/>
              <w:left w:val="nil"/>
              <w:bottom w:val="single" w:color="auto" w:sz="4" w:space="0"/>
              <w:right w:val="single" w:color="auto" w:sz="4" w:space="0"/>
            </w:tcBorders>
            <w:vAlign w:val="center"/>
          </w:tcPr>
          <w:p w14:paraId="47ED2511">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8000≤Z＜120000</w:t>
            </w:r>
          </w:p>
        </w:tc>
        <w:tc>
          <w:tcPr>
            <w:tcW w:w="1701" w:type="dxa"/>
            <w:tcBorders>
              <w:top w:val="nil"/>
              <w:left w:val="nil"/>
              <w:bottom w:val="single" w:color="auto" w:sz="4" w:space="0"/>
              <w:right w:val="single" w:color="auto" w:sz="4" w:space="0"/>
            </w:tcBorders>
            <w:vAlign w:val="center"/>
          </w:tcPr>
          <w:p w14:paraId="0D097C4E">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100≤Z＜8000</w:t>
            </w:r>
          </w:p>
        </w:tc>
        <w:tc>
          <w:tcPr>
            <w:tcW w:w="1134" w:type="dxa"/>
            <w:tcBorders>
              <w:top w:val="nil"/>
              <w:left w:val="nil"/>
              <w:bottom w:val="single" w:color="auto" w:sz="4" w:space="0"/>
              <w:right w:val="single" w:color="auto" w:sz="4" w:space="0"/>
            </w:tcBorders>
            <w:vAlign w:val="center"/>
          </w:tcPr>
          <w:p w14:paraId="2EBE1F35">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Y＜100</w:t>
            </w:r>
          </w:p>
        </w:tc>
      </w:tr>
      <w:tr w14:paraId="45E369F5">
        <w:tblPrEx>
          <w:tblCellMar>
            <w:top w:w="0" w:type="dxa"/>
            <w:left w:w="108" w:type="dxa"/>
            <w:bottom w:w="0" w:type="dxa"/>
            <w:right w:w="108" w:type="dxa"/>
          </w:tblCellMar>
        </w:tblPrEx>
        <w:trPr>
          <w:trHeight w:val="225" w:hRule="atLeast"/>
          <w:jc w:val="center"/>
        </w:trPr>
        <w:tc>
          <w:tcPr>
            <w:tcW w:w="1985" w:type="dxa"/>
            <w:tcBorders>
              <w:top w:val="nil"/>
              <w:left w:val="single" w:color="auto" w:sz="4" w:space="0"/>
              <w:bottom w:val="single" w:color="auto" w:sz="4" w:space="0"/>
              <w:right w:val="single" w:color="auto" w:sz="4" w:space="0"/>
            </w:tcBorders>
            <w:vAlign w:val="center"/>
          </w:tcPr>
          <w:p w14:paraId="5B1AB542">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18"/>
                <w:szCs w:val="18"/>
                <w:highlight w:val="none"/>
              </w:rPr>
            </w:pPr>
            <w:r>
              <w:rPr>
                <w:rFonts w:hint="eastAsia" w:ascii="仿宋" w:hAnsi="仿宋" w:eastAsia="仿宋" w:cs="仿宋"/>
                <w:b/>
                <w:bCs/>
                <w:kern w:val="0"/>
                <w:sz w:val="18"/>
                <w:szCs w:val="18"/>
                <w:highlight w:val="none"/>
              </w:rPr>
              <w:t>其他未列明行业</w:t>
            </w:r>
          </w:p>
        </w:tc>
        <w:tc>
          <w:tcPr>
            <w:tcW w:w="1559" w:type="dxa"/>
            <w:tcBorders>
              <w:top w:val="nil"/>
              <w:left w:val="nil"/>
              <w:bottom w:val="single" w:color="auto" w:sz="4" w:space="0"/>
              <w:right w:val="single" w:color="auto" w:sz="4" w:space="0"/>
            </w:tcBorders>
            <w:vAlign w:val="center"/>
          </w:tcPr>
          <w:p w14:paraId="458A43CB">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从业人员（X）</w:t>
            </w:r>
          </w:p>
        </w:tc>
        <w:tc>
          <w:tcPr>
            <w:tcW w:w="1276" w:type="dxa"/>
            <w:tcBorders>
              <w:top w:val="nil"/>
              <w:left w:val="nil"/>
              <w:bottom w:val="single" w:color="auto" w:sz="4" w:space="0"/>
              <w:right w:val="single" w:color="auto" w:sz="4" w:space="0"/>
            </w:tcBorders>
            <w:vAlign w:val="center"/>
          </w:tcPr>
          <w:p w14:paraId="46EF5CCA">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人</w:t>
            </w:r>
          </w:p>
        </w:tc>
        <w:tc>
          <w:tcPr>
            <w:tcW w:w="1842" w:type="dxa"/>
            <w:tcBorders>
              <w:top w:val="nil"/>
              <w:left w:val="nil"/>
              <w:bottom w:val="single" w:color="auto" w:sz="4" w:space="0"/>
              <w:right w:val="single" w:color="auto" w:sz="4" w:space="0"/>
            </w:tcBorders>
            <w:vAlign w:val="center"/>
          </w:tcPr>
          <w:p w14:paraId="3F1542C3">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100≤X＜300</w:t>
            </w:r>
          </w:p>
        </w:tc>
        <w:tc>
          <w:tcPr>
            <w:tcW w:w="1701" w:type="dxa"/>
            <w:tcBorders>
              <w:top w:val="nil"/>
              <w:left w:val="nil"/>
              <w:bottom w:val="single" w:color="auto" w:sz="4" w:space="0"/>
              <w:right w:val="single" w:color="auto" w:sz="4" w:space="0"/>
            </w:tcBorders>
            <w:vAlign w:val="center"/>
          </w:tcPr>
          <w:p w14:paraId="260E9BE0">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10≤X＜100</w:t>
            </w:r>
          </w:p>
        </w:tc>
        <w:tc>
          <w:tcPr>
            <w:tcW w:w="1134" w:type="dxa"/>
            <w:tcBorders>
              <w:top w:val="nil"/>
              <w:left w:val="nil"/>
              <w:bottom w:val="single" w:color="auto" w:sz="4" w:space="0"/>
              <w:right w:val="single" w:color="auto" w:sz="4" w:space="0"/>
            </w:tcBorders>
            <w:vAlign w:val="center"/>
          </w:tcPr>
          <w:p w14:paraId="77A51FF6">
            <w:pPr>
              <w:keepNext w:val="0"/>
              <w:keepLines w:val="0"/>
              <w:widowControl/>
              <w:suppressLineNumbers w:val="0"/>
              <w:spacing w:before="0" w:beforeAutospacing="0" w:after="0" w:afterAutospacing="0"/>
              <w:ind w:left="0" w:right="0"/>
              <w:jc w:val="left"/>
              <w:rPr>
                <w:rFonts w:hint="eastAsia" w:ascii="仿宋" w:hAnsi="仿宋" w:eastAsia="仿宋" w:cs="仿宋"/>
                <w:kern w:val="0"/>
                <w:sz w:val="18"/>
                <w:szCs w:val="18"/>
                <w:highlight w:val="none"/>
              </w:rPr>
            </w:pPr>
            <w:r>
              <w:rPr>
                <w:rFonts w:hint="eastAsia" w:ascii="仿宋" w:hAnsi="仿宋" w:eastAsia="仿宋" w:cs="仿宋"/>
                <w:kern w:val="0"/>
                <w:sz w:val="18"/>
                <w:szCs w:val="18"/>
                <w:highlight w:val="none"/>
              </w:rPr>
              <w:t>X＜10</w:t>
            </w:r>
          </w:p>
        </w:tc>
      </w:tr>
    </w:tbl>
    <w:p w14:paraId="69EAD0A4">
      <w:pPr>
        <w:spacing w:line="560" w:lineRule="exact"/>
        <w:ind w:firstLine="525" w:firstLineChars="250"/>
        <w:rPr>
          <w:rFonts w:hint="eastAsia" w:ascii="仿宋" w:hAnsi="仿宋" w:eastAsia="仿宋" w:cs="仿宋"/>
          <w:szCs w:val="21"/>
          <w:highlight w:val="none"/>
        </w:rPr>
      </w:pPr>
      <w:r>
        <w:rPr>
          <w:rFonts w:hint="eastAsia" w:ascii="仿宋" w:hAnsi="仿宋" w:eastAsia="仿宋" w:cs="仿宋"/>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065D4CFE">
      <w:pPr>
        <w:jc w:val="center"/>
        <w:rPr>
          <w:rFonts w:hint="eastAsia" w:ascii="仿宋" w:hAnsi="仿宋" w:eastAsia="仿宋" w:cs="仿宋"/>
          <w:kern w:val="0"/>
          <w:sz w:val="20"/>
          <w:szCs w:val="21"/>
          <w:highlight w:val="none"/>
        </w:rPr>
        <w:sectPr>
          <w:pgSz w:w="11905" w:h="16838"/>
          <w:pgMar w:top="1304" w:right="1304" w:bottom="1304" w:left="1304" w:header="720" w:footer="720" w:gutter="0"/>
          <w:pgNumType w:fmt="decimal"/>
          <w:cols w:space="720" w:num="1"/>
          <w:docGrid w:type="lines" w:linePitch="339" w:charSpace="0"/>
        </w:sectPr>
      </w:pPr>
    </w:p>
    <w:p w14:paraId="55526DA6">
      <w:pPr>
        <w:keepNext/>
        <w:keepLines/>
        <w:spacing w:before="340" w:after="330"/>
        <w:jc w:val="center"/>
        <w:outlineLvl w:val="0"/>
        <w:rPr>
          <w:rFonts w:hint="eastAsia" w:ascii="仿宋" w:hAnsi="仿宋" w:eastAsia="仿宋" w:cs="仿宋"/>
          <w:b/>
          <w:bCs/>
          <w:kern w:val="44"/>
          <w:sz w:val="32"/>
          <w:szCs w:val="32"/>
          <w:highlight w:val="none"/>
        </w:rPr>
      </w:pPr>
      <w:bookmarkStart w:id="66" w:name="_Toc127516320"/>
      <w:bookmarkStart w:id="67" w:name="_Toc27264"/>
      <w:r>
        <w:rPr>
          <w:rFonts w:hint="eastAsia" w:ascii="仿宋" w:hAnsi="仿宋" w:eastAsia="仿宋" w:cs="仿宋"/>
          <w:b/>
          <w:kern w:val="44"/>
          <w:sz w:val="32"/>
          <w:szCs w:val="32"/>
          <w:highlight w:val="none"/>
        </w:rPr>
        <w:t>第三章 供应商须知</w:t>
      </w:r>
      <w:bookmarkEnd w:id="66"/>
      <w:bookmarkEnd w:id="67"/>
    </w:p>
    <w:p w14:paraId="4D7642EE">
      <w:pPr>
        <w:keepNext/>
        <w:keepLines/>
        <w:spacing w:before="260" w:after="260"/>
        <w:jc w:val="center"/>
        <w:outlineLvl w:val="1"/>
        <w:rPr>
          <w:rFonts w:hint="eastAsia" w:ascii="仿宋" w:hAnsi="仿宋" w:eastAsia="仿宋" w:cs="仿宋"/>
          <w:bCs/>
          <w:sz w:val="32"/>
          <w:szCs w:val="32"/>
          <w:highlight w:val="none"/>
        </w:rPr>
      </w:pPr>
      <w:bookmarkStart w:id="68" w:name="_Toc30429"/>
      <w:bookmarkStart w:id="69" w:name="_Toc127516321"/>
      <w:r>
        <w:rPr>
          <w:rFonts w:hint="eastAsia" w:ascii="仿宋" w:hAnsi="仿宋" w:eastAsia="仿宋" w:cs="仿宋"/>
          <w:bCs/>
          <w:sz w:val="32"/>
          <w:szCs w:val="32"/>
          <w:highlight w:val="none"/>
        </w:rPr>
        <w:t>第一节 供应商须知前附表</w:t>
      </w:r>
      <w:bookmarkEnd w:id="68"/>
      <w:bookmarkEnd w:id="69"/>
    </w:p>
    <w:tbl>
      <w:tblPr>
        <w:tblStyle w:val="31"/>
        <w:tblW w:w="942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20"/>
        <w:gridCol w:w="2385"/>
        <w:gridCol w:w="6019"/>
      </w:tblGrid>
      <w:tr w14:paraId="72B273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1020" w:type="dxa"/>
          </w:tcPr>
          <w:p w14:paraId="3F5E16AC">
            <w:pPr>
              <w:keepNext w:val="0"/>
              <w:keepLines w:val="0"/>
              <w:suppressLineNumbers w:val="0"/>
              <w:spacing w:before="0" w:beforeAutospacing="0" w:after="0" w:afterAutospacing="0" w:line="400" w:lineRule="exact"/>
              <w:ind w:left="0" w:right="0"/>
              <w:jc w:val="center"/>
              <w:rPr>
                <w:rFonts w:hint="eastAsia" w:ascii="仿宋" w:hAnsi="仿宋" w:eastAsia="仿宋" w:cs="仿宋"/>
                <w:b/>
                <w:szCs w:val="21"/>
                <w:highlight w:val="none"/>
              </w:rPr>
            </w:pPr>
            <w:r>
              <w:rPr>
                <w:rFonts w:hint="eastAsia" w:ascii="仿宋" w:hAnsi="仿宋" w:eastAsia="仿宋" w:cs="仿宋"/>
                <w:b/>
                <w:szCs w:val="21"/>
                <w:highlight w:val="none"/>
              </w:rPr>
              <w:t>条款号</w:t>
            </w:r>
          </w:p>
        </w:tc>
        <w:tc>
          <w:tcPr>
            <w:tcW w:w="2385" w:type="dxa"/>
            <w:vAlign w:val="center"/>
          </w:tcPr>
          <w:p w14:paraId="5A1C2033">
            <w:pPr>
              <w:keepNext w:val="0"/>
              <w:keepLines w:val="0"/>
              <w:suppressLineNumbers w:val="0"/>
              <w:spacing w:before="0" w:beforeAutospacing="0" w:after="0" w:afterAutospacing="0" w:line="400" w:lineRule="exact"/>
              <w:ind w:left="0" w:right="0"/>
              <w:jc w:val="center"/>
              <w:rPr>
                <w:rFonts w:hint="eastAsia" w:ascii="仿宋" w:hAnsi="仿宋" w:eastAsia="仿宋" w:cs="仿宋"/>
                <w:b/>
                <w:szCs w:val="21"/>
                <w:highlight w:val="none"/>
              </w:rPr>
            </w:pPr>
            <w:r>
              <w:rPr>
                <w:rFonts w:hint="eastAsia" w:ascii="仿宋" w:hAnsi="仿宋" w:eastAsia="仿宋" w:cs="仿宋"/>
                <w:b/>
                <w:szCs w:val="21"/>
                <w:highlight w:val="none"/>
              </w:rPr>
              <w:t>条款内容</w:t>
            </w:r>
          </w:p>
        </w:tc>
        <w:tc>
          <w:tcPr>
            <w:tcW w:w="6019" w:type="dxa"/>
          </w:tcPr>
          <w:p w14:paraId="0F6C67F2">
            <w:pPr>
              <w:keepNext w:val="0"/>
              <w:keepLines w:val="0"/>
              <w:suppressLineNumbers w:val="0"/>
              <w:spacing w:before="0" w:beforeAutospacing="0" w:after="0" w:afterAutospacing="0" w:line="400" w:lineRule="exact"/>
              <w:ind w:left="0" w:right="0"/>
              <w:jc w:val="center"/>
              <w:rPr>
                <w:rFonts w:hint="eastAsia" w:ascii="仿宋" w:hAnsi="仿宋" w:eastAsia="仿宋" w:cs="仿宋"/>
                <w:b/>
                <w:szCs w:val="21"/>
                <w:highlight w:val="none"/>
              </w:rPr>
            </w:pPr>
            <w:r>
              <w:rPr>
                <w:rFonts w:hint="eastAsia" w:ascii="仿宋" w:hAnsi="仿宋" w:eastAsia="仿宋" w:cs="仿宋"/>
                <w:b/>
                <w:szCs w:val="21"/>
                <w:highlight w:val="none"/>
              </w:rPr>
              <w:t>具体要求</w:t>
            </w:r>
          </w:p>
        </w:tc>
      </w:tr>
      <w:tr w14:paraId="5016D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Align w:val="center"/>
          </w:tcPr>
          <w:p w14:paraId="2501F946">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3.1</w:t>
            </w:r>
          </w:p>
        </w:tc>
        <w:tc>
          <w:tcPr>
            <w:tcW w:w="2385" w:type="dxa"/>
            <w:vAlign w:val="center"/>
          </w:tcPr>
          <w:p w14:paraId="45E1E500">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供应商资格条件</w:t>
            </w:r>
          </w:p>
        </w:tc>
        <w:tc>
          <w:tcPr>
            <w:tcW w:w="6019" w:type="dxa"/>
          </w:tcPr>
          <w:p w14:paraId="475D34FA">
            <w:pPr>
              <w:keepNext w:val="0"/>
              <w:keepLines w:val="0"/>
              <w:suppressLineNumbers w:val="0"/>
              <w:spacing w:before="0" w:beforeAutospacing="0" w:after="0" w:afterAutospacing="0" w:line="400" w:lineRule="exact"/>
              <w:ind w:left="0" w:right="0"/>
              <w:rPr>
                <w:rFonts w:hint="eastAsia" w:ascii="仿宋" w:hAnsi="仿宋" w:eastAsia="仿宋" w:cs="仿宋"/>
                <w:color w:val="auto"/>
                <w:szCs w:val="21"/>
                <w:highlight w:val="none"/>
              </w:rPr>
            </w:pPr>
            <w:r>
              <w:rPr>
                <w:rFonts w:hint="eastAsia" w:ascii="仿宋" w:hAnsi="仿宋" w:eastAsia="仿宋" w:cs="仿宋"/>
                <w:color w:val="auto"/>
                <w:szCs w:val="21"/>
                <w:highlight w:val="none"/>
              </w:rPr>
              <w:t>供应商资格条件要求详见公告。</w:t>
            </w:r>
          </w:p>
        </w:tc>
      </w:tr>
      <w:tr w14:paraId="78E24A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Align w:val="center"/>
          </w:tcPr>
          <w:p w14:paraId="48E5029A">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5.1</w:t>
            </w:r>
          </w:p>
        </w:tc>
        <w:tc>
          <w:tcPr>
            <w:tcW w:w="2385" w:type="dxa"/>
            <w:vAlign w:val="center"/>
          </w:tcPr>
          <w:p w14:paraId="21A09C18">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是否接受联合体竞标</w:t>
            </w:r>
          </w:p>
        </w:tc>
        <w:tc>
          <w:tcPr>
            <w:tcW w:w="6019" w:type="dxa"/>
            <w:vAlign w:val="center"/>
          </w:tcPr>
          <w:p w14:paraId="2764A53E">
            <w:pPr>
              <w:keepNext w:val="0"/>
              <w:keepLines w:val="0"/>
              <w:suppressLineNumbers w:val="0"/>
              <w:spacing w:before="0" w:beforeAutospacing="0" w:after="0" w:afterAutospacing="0" w:line="400" w:lineRule="exact"/>
              <w:ind w:left="0" w:right="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详见公告</w:t>
            </w:r>
            <w:r>
              <w:rPr>
                <w:rFonts w:hint="eastAsia" w:ascii="仿宋" w:hAnsi="仿宋" w:eastAsia="仿宋" w:cs="仿宋"/>
                <w:color w:val="auto"/>
                <w:szCs w:val="21"/>
                <w:highlight w:val="none"/>
                <w:lang w:eastAsia="zh-CN"/>
              </w:rPr>
              <w:t>。</w:t>
            </w:r>
          </w:p>
        </w:tc>
      </w:tr>
      <w:tr w14:paraId="03488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Align w:val="center"/>
          </w:tcPr>
          <w:p w14:paraId="7445FC45">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5.2</w:t>
            </w:r>
          </w:p>
        </w:tc>
        <w:tc>
          <w:tcPr>
            <w:tcW w:w="2385" w:type="dxa"/>
            <w:vAlign w:val="center"/>
          </w:tcPr>
          <w:p w14:paraId="05978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仿宋" w:hAnsi="仿宋" w:eastAsia="仿宋" w:cs="仿宋"/>
                <w:szCs w:val="21"/>
                <w:highlight w:val="none"/>
              </w:rPr>
            </w:pPr>
            <w:r>
              <w:rPr>
                <w:rFonts w:hint="eastAsia" w:ascii="仿宋" w:hAnsi="仿宋" w:eastAsia="仿宋" w:cs="仿宋"/>
                <w:szCs w:val="21"/>
                <w:highlight w:val="none"/>
              </w:rPr>
              <w:t>联合体竞标要求</w:t>
            </w:r>
          </w:p>
        </w:tc>
        <w:tc>
          <w:tcPr>
            <w:tcW w:w="6019" w:type="dxa"/>
            <w:vAlign w:val="center"/>
          </w:tcPr>
          <w:p w14:paraId="056F65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如接受联合体竞标的，要求如下：</w:t>
            </w:r>
          </w:p>
          <w:p w14:paraId="325767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1.两个以上供应商可以组成一个竞标联合体，以一个竞标供应商的身份共同参加竞标，联合体竞标供应商的名称应统一按“XXX公司与XXX公司的联合体”的规则填写。</w:t>
            </w:r>
          </w:p>
          <w:p w14:paraId="50FF00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2.以联合体形式参加竞标的，联合体各方均必须具备《中华人民共和国政府采购法》第二十二条第一款规定的基本条件（涉及行政许可范围的内容，联合体各方均应具备相应资质）。本项目有特殊要求规定竞标人特定条件的，联合体各方中至少有一方必须符合采购文件“本项目的特定条件”。</w:t>
            </w:r>
          </w:p>
          <w:p w14:paraId="506ABE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3.联合体竞标的，须提供《联合体竞标协议书》（格式后附），协议书必须明确主体方（或者牵头方）并明确约定联合体各方承担的工作和相应的责任（各方承担责任与义务的分工必须符合采购需求，否则，联合体竞标无效），并将联合竞标协议放入响应文件。</w:t>
            </w:r>
            <w:r>
              <w:rPr>
                <w:rFonts w:hint="eastAsia" w:ascii="仿宋" w:hAnsi="仿宋" w:eastAsia="仿宋" w:cs="仿宋"/>
                <w:color w:val="auto"/>
                <w:highlight w:val="none"/>
                <w:lang w:val="zh-CN"/>
              </w:rPr>
              <w:t>其中联合体牵头人代表联合体各方成员负责</w:t>
            </w:r>
            <w:r>
              <w:rPr>
                <w:rFonts w:hint="eastAsia" w:ascii="仿宋" w:hAnsi="仿宋" w:eastAsia="仿宋" w:cs="仿宋"/>
                <w:color w:val="auto"/>
                <w:highlight w:val="none"/>
              </w:rPr>
              <w:t>竞</w:t>
            </w:r>
            <w:r>
              <w:rPr>
                <w:rFonts w:hint="eastAsia" w:ascii="仿宋" w:hAnsi="仿宋" w:eastAsia="仿宋" w:cs="仿宋"/>
                <w:color w:val="auto"/>
                <w:highlight w:val="none"/>
                <w:lang w:val="zh-CN"/>
              </w:rPr>
              <w:t>标和合同实施阶段的主办、协调工作，但联合体其他成员在</w:t>
            </w:r>
            <w:r>
              <w:rPr>
                <w:rFonts w:hint="eastAsia" w:ascii="仿宋" w:hAnsi="仿宋" w:eastAsia="仿宋" w:cs="仿宋"/>
                <w:color w:val="auto"/>
                <w:highlight w:val="none"/>
              </w:rPr>
              <w:t>竞</w:t>
            </w:r>
            <w:r>
              <w:rPr>
                <w:rFonts w:hint="eastAsia" w:ascii="仿宋" w:hAnsi="仿宋" w:eastAsia="仿宋" w:cs="仿宋"/>
                <w:color w:val="auto"/>
                <w:highlight w:val="none"/>
                <w:lang w:val="zh-CN"/>
              </w:rPr>
              <w:t>标、签约与履行合同过程中，负有连带的和各自的法律责任</w:t>
            </w:r>
            <w:r>
              <w:rPr>
                <w:rFonts w:hint="eastAsia" w:ascii="仿宋" w:hAnsi="仿宋" w:eastAsia="仿宋" w:cs="仿宋"/>
                <w:color w:val="auto"/>
                <w:szCs w:val="21"/>
                <w:highlight w:val="none"/>
              </w:rPr>
              <w:t>。</w:t>
            </w:r>
          </w:p>
          <w:p w14:paraId="1290C3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4.以联合体形式参加政府采购活动的，联合体各方不得再单独参加或者与其他竞标人另外组成联合体参加同一合同项下的政府采购活动，否则与之相关的响应文件作废。</w:t>
            </w:r>
          </w:p>
          <w:p w14:paraId="5FE845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5.联合体中有同类资质的竞标人按照联合体分工承担相同工作的，应当按照资质等级较低的竞标人确定资质等级。</w:t>
            </w:r>
          </w:p>
          <w:p w14:paraId="574E1A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6.联合体竞标业绩、履约能力按照联合体各方其中较高的一方认定并计算（采购文件另有规定的除外）。</w:t>
            </w:r>
          </w:p>
          <w:p w14:paraId="4CFE76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7.联合体各方均应按照采购文件的规定提交资格证明文件。</w:t>
            </w:r>
          </w:p>
          <w:p w14:paraId="7386B4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8.</w:t>
            </w:r>
            <w:r>
              <w:rPr>
                <w:rFonts w:hint="eastAsia" w:ascii="仿宋" w:hAnsi="仿宋" w:eastAsia="仿宋" w:cs="仿宋"/>
                <w:color w:val="auto"/>
                <w:highlight w:val="none"/>
              </w:rPr>
              <w:t>联合体竞标的，除联合体协议书及特定备注要求需要双方盖法人单位章（可采用纸质版盖联合体各方法人单位章后扫描上传），其他只需盖联合体任一单位的电子印章。</w:t>
            </w:r>
          </w:p>
        </w:tc>
      </w:tr>
      <w:tr w14:paraId="7B7AAC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Align w:val="center"/>
          </w:tcPr>
          <w:p w14:paraId="60A4D89C">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6.1</w:t>
            </w:r>
          </w:p>
        </w:tc>
        <w:tc>
          <w:tcPr>
            <w:tcW w:w="2385" w:type="dxa"/>
            <w:vAlign w:val="center"/>
          </w:tcPr>
          <w:p w14:paraId="6F571B32">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是否允许分包</w:t>
            </w:r>
          </w:p>
        </w:tc>
        <w:tc>
          <w:tcPr>
            <w:tcW w:w="6019" w:type="dxa"/>
            <w:vAlign w:val="center"/>
          </w:tcPr>
          <w:p w14:paraId="6DFDC43A">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jc w:val="both"/>
              <w:rPr>
                <w:rFonts w:hint="eastAsia" w:ascii="仿宋" w:hAnsi="仿宋" w:eastAsia="仿宋" w:cs="仿宋"/>
                <w:szCs w:val="21"/>
                <w:highlight w:val="none"/>
              </w:rPr>
            </w:pPr>
            <w:bookmarkStart w:id="70" w:name="PO_3000001868_PM044"/>
            <w:r>
              <w:rPr>
                <w:rFonts w:hint="eastAsia" w:ascii="仿宋" w:hAnsi="仿宋" w:eastAsia="仿宋" w:cs="仿宋"/>
                <w:szCs w:val="21"/>
                <w:highlight w:val="none"/>
              </w:rPr>
              <w:sym w:font="Wingdings" w:char="00FE"/>
            </w:r>
            <w:r>
              <w:rPr>
                <w:rFonts w:hint="eastAsia" w:ascii="仿宋" w:hAnsi="仿宋" w:eastAsia="仿宋" w:cs="仿宋"/>
                <w:szCs w:val="21"/>
                <w:highlight w:val="none"/>
              </w:rPr>
              <w:t>不允许分包</w:t>
            </w:r>
            <w:bookmarkEnd w:id="70"/>
          </w:p>
          <w:p w14:paraId="4617A6F9">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jc w:val="both"/>
              <w:rPr>
                <w:rFonts w:hint="eastAsia" w:ascii="仿宋" w:hAnsi="仿宋" w:eastAsia="仿宋" w:cs="仿宋"/>
                <w:szCs w:val="21"/>
                <w:highlight w:val="none"/>
                <w:u w:val="single"/>
              </w:rPr>
            </w:pPr>
            <w:r>
              <w:rPr>
                <w:rFonts w:hint="eastAsia" w:ascii="仿宋" w:hAnsi="仿宋" w:eastAsia="仿宋" w:cs="仿宋"/>
                <w:szCs w:val="21"/>
                <w:highlight w:val="none"/>
              </w:rPr>
              <w:sym w:font="Wingdings" w:char="00A8"/>
            </w:r>
            <w:r>
              <w:rPr>
                <w:rFonts w:hint="eastAsia" w:ascii="仿宋" w:hAnsi="仿宋" w:eastAsia="仿宋" w:cs="仿宋"/>
                <w:szCs w:val="21"/>
                <w:highlight w:val="none"/>
              </w:rPr>
              <w:t>分包内容：</w:t>
            </w:r>
            <w:r>
              <w:rPr>
                <w:rFonts w:hint="eastAsia" w:ascii="仿宋" w:hAnsi="仿宋" w:eastAsia="仿宋" w:cs="仿宋"/>
                <w:szCs w:val="21"/>
                <w:highlight w:val="none"/>
                <w:u w:val="single"/>
              </w:rPr>
              <w:t xml:space="preserve">   /  。</w:t>
            </w:r>
          </w:p>
          <w:p w14:paraId="7A0CA587">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分包金额或者比例：</w:t>
            </w:r>
            <w:r>
              <w:rPr>
                <w:rFonts w:hint="eastAsia" w:ascii="仿宋" w:hAnsi="仿宋" w:eastAsia="仿宋" w:cs="仿宋"/>
                <w:szCs w:val="21"/>
                <w:highlight w:val="none"/>
                <w:u w:val="single"/>
              </w:rPr>
              <w:t xml:space="preserve">   /  。</w:t>
            </w:r>
          </w:p>
        </w:tc>
      </w:tr>
      <w:tr w14:paraId="41D79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Align w:val="center"/>
          </w:tcPr>
          <w:p w14:paraId="74E21730">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12.1.1</w:t>
            </w:r>
          </w:p>
        </w:tc>
        <w:tc>
          <w:tcPr>
            <w:tcW w:w="2385" w:type="dxa"/>
            <w:vAlign w:val="center"/>
          </w:tcPr>
          <w:p w14:paraId="36251DFA">
            <w:pPr>
              <w:keepNext w:val="0"/>
              <w:keepLines w:val="0"/>
              <w:suppressLineNumbers w:val="0"/>
              <w:snapToGrid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b/>
                <w:szCs w:val="21"/>
                <w:highlight w:val="none"/>
              </w:rPr>
              <w:t>资格证明文件组成</w:t>
            </w:r>
          </w:p>
        </w:tc>
        <w:tc>
          <w:tcPr>
            <w:tcW w:w="6019" w:type="dxa"/>
            <w:vAlign w:val="center"/>
          </w:tcPr>
          <w:p w14:paraId="00022607">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1.供应商为法人或者其他组织的提供其营业执照等证明文件（如营业执照或者事业单位法人证书或者执业许可证或社会团体法人登记证书等），供应商为自然人的提供其身份证复印件；（</w:t>
            </w:r>
            <w:r>
              <w:rPr>
                <w:rFonts w:hint="eastAsia" w:ascii="仿宋" w:hAnsi="仿宋" w:eastAsia="仿宋" w:cs="仿宋"/>
                <w:b/>
                <w:szCs w:val="21"/>
                <w:highlight w:val="none"/>
              </w:rPr>
              <w:t>必须提供，否则响应文件按无效响应处理</w:t>
            </w:r>
            <w:r>
              <w:rPr>
                <w:rFonts w:hint="eastAsia" w:ascii="仿宋" w:hAnsi="仿宋" w:eastAsia="仿宋" w:cs="仿宋"/>
                <w:szCs w:val="21"/>
                <w:highlight w:val="none"/>
              </w:rPr>
              <w:t>）</w:t>
            </w:r>
          </w:p>
          <w:p w14:paraId="59B63978">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2.供应商依法缴纳税收的相关材料：</w:t>
            </w:r>
            <w:r>
              <w:rPr>
                <w:rFonts w:hint="eastAsia" w:ascii="仿宋" w:hAnsi="仿宋" w:eastAsia="仿宋" w:cs="仿宋"/>
                <w:szCs w:val="21"/>
                <w:highlight w:val="none"/>
                <w:lang w:val="en-US" w:eastAsia="zh-CN"/>
              </w:rPr>
              <w:t>竞标截止前半年内任意连续三个月的依法缴纳税收的凭据复印件；</w:t>
            </w:r>
            <w:r>
              <w:rPr>
                <w:rFonts w:hint="eastAsia" w:ascii="仿宋" w:hAnsi="仿宋" w:eastAsia="仿宋" w:cs="仿宋"/>
                <w:szCs w:val="21"/>
                <w:highlight w:val="none"/>
              </w:rPr>
              <w:t>依法免税的供应商，必须提供相应文件证明其依法免税（或国家税务机关部门出具采购公告发布之日至竞标截止时间止无欠缴税费的证明）。从取得营业执照时间起到响应文件提交截止时间为止不足要求月数的，只需提供从取得营业执照起的依法缴纳税收相应证明文件）；（</w:t>
            </w:r>
            <w:r>
              <w:rPr>
                <w:rFonts w:hint="eastAsia" w:ascii="仿宋" w:hAnsi="仿宋" w:eastAsia="仿宋" w:cs="仿宋"/>
                <w:b/>
                <w:szCs w:val="21"/>
                <w:highlight w:val="none"/>
              </w:rPr>
              <w:t>必须提供，否则作无效竞标处理</w:t>
            </w:r>
            <w:r>
              <w:rPr>
                <w:rFonts w:hint="eastAsia" w:ascii="仿宋" w:hAnsi="仿宋" w:eastAsia="仿宋" w:cs="仿宋"/>
                <w:szCs w:val="21"/>
                <w:highlight w:val="none"/>
              </w:rPr>
              <w:t>）</w:t>
            </w:r>
          </w:p>
          <w:p w14:paraId="277C5232">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3.供应商依法缴纳社会保障资金的相关材料：</w:t>
            </w:r>
            <w:r>
              <w:rPr>
                <w:rFonts w:hint="eastAsia" w:ascii="仿宋" w:hAnsi="仿宋" w:eastAsia="仿宋" w:cs="仿宋"/>
                <w:szCs w:val="21"/>
                <w:highlight w:val="none"/>
                <w:lang w:val="en-US" w:eastAsia="zh-CN"/>
              </w:rPr>
              <w:t>（</w:t>
            </w:r>
            <w:bookmarkStart w:id="71" w:name="_Hlk151585370"/>
            <w:r>
              <w:rPr>
                <w:rFonts w:hint="eastAsia" w:ascii="仿宋" w:hAnsi="仿宋" w:eastAsia="仿宋" w:cs="仿宋"/>
                <w:szCs w:val="21"/>
                <w:highlight w:val="none"/>
                <w:lang w:val="en-US" w:eastAsia="zh-CN"/>
              </w:rPr>
              <w:t>竞标截止前半年内任</w:t>
            </w:r>
            <w:bookmarkEnd w:id="71"/>
            <w:r>
              <w:rPr>
                <w:rFonts w:hint="eastAsia" w:ascii="仿宋" w:hAnsi="仿宋" w:eastAsia="仿宋" w:cs="仿宋"/>
                <w:szCs w:val="21"/>
                <w:highlight w:val="none"/>
                <w:lang w:val="en-US" w:eastAsia="zh-CN"/>
              </w:rPr>
              <w:t>意连续三个月的依法缴纳社会保障资金的缴费凭证复印件；</w:t>
            </w:r>
          </w:p>
          <w:p w14:paraId="080825CF">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仿宋" w:hAnsi="仿宋" w:eastAsia="仿宋" w:cs="仿宋"/>
                <w:b/>
                <w:szCs w:val="21"/>
                <w:highlight w:val="none"/>
              </w:rPr>
              <w:t>必须提供，否则作无效竞标处理</w:t>
            </w:r>
            <w:r>
              <w:rPr>
                <w:rFonts w:hint="eastAsia" w:ascii="仿宋" w:hAnsi="仿宋" w:eastAsia="仿宋" w:cs="仿宋"/>
                <w:szCs w:val="21"/>
                <w:highlight w:val="none"/>
              </w:rPr>
              <w:t>）</w:t>
            </w:r>
          </w:p>
          <w:p w14:paraId="4C703D2D">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4.供应商财务状况报告：供应商</w:t>
            </w:r>
            <w:r>
              <w:rPr>
                <w:rFonts w:hint="eastAsia" w:ascii="仿宋" w:hAnsi="仿宋" w:eastAsia="仿宋" w:cs="仿宋"/>
                <w:szCs w:val="21"/>
                <w:highlight w:val="none"/>
                <w:lang w:val="en-US" w:eastAsia="zh-CN"/>
              </w:rPr>
              <w:t>[2025年度]</w:t>
            </w:r>
            <w:r>
              <w:rPr>
                <w:rFonts w:hint="eastAsia" w:ascii="仿宋" w:hAnsi="仿宋" w:eastAsia="仿宋" w:cs="仿宋"/>
                <w:szCs w:val="21"/>
                <w:highlight w:val="none"/>
                <w:lang w:eastAsia="zh-CN"/>
              </w:rPr>
              <w:t>财务状况报告或者经审计的财务报告或者银行出具的资信证明</w:t>
            </w:r>
            <w:r>
              <w:rPr>
                <w:rFonts w:hint="eastAsia" w:ascii="仿宋" w:hAnsi="仿宋" w:eastAsia="仿宋" w:cs="仿宋"/>
                <w:szCs w:val="21"/>
                <w:highlight w:val="none"/>
              </w:rPr>
              <w:t>，成立不满一年的应按提交响应文件截止时间上一个月的财务状况报告</w:t>
            </w:r>
            <w:r>
              <w:rPr>
                <w:rFonts w:hint="eastAsia" w:ascii="仿宋" w:hAnsi="仿宋" w:eastAsia="仿宋" w:cs="仿宋"/>
                <w:szCs w:val="21"/>
                <w:highlight w:val="none"/>
                <w:lang w:eastAsia="zh-CN"/>
              </w:rPr>
              <w:t>或者银行出具的资信证明</w:t>
            </w:r>
            <w:r>
              <w:rPr>
                <w:rFonts w:hint="eastAsia" w:ascii="仿宋" w:hAnsi="仿宋" w:eastAsia="仿宋" w:cs="仿宋"/>
                <w:szCs w:val="21"/>
                <w:highlight w:val="none"/>
              </w:rPr>
              <w:t>扫描件。供应商是法人的【上述财务状况报告包括：①供应商执行《企业会计准则》的，提供资产负债表、利润表、现金流量表、所有者权益变动表（如有）及其附注，以下称“四表一注”；②供应商执行《小企业会计准则》的，提供资产负债表、利润表、现金流量表及其附注，以下称“三表一注”；③供应商执行《政府会计制度》的，提供资产负债表、收入费用表和净资产变动表及其附注】；供应商是其他组织或者自然人的，应提供经审计的财务报告（含第三方审计机构评估的财务报告）（包括“四表一注”、“三表一注”)或者银行出具的资信证明</w:t>
            </w:r>
            <w:r>
              <w:rPr>
                <w:rFonts w:hint="eastAsia" w:ascii="仿宋" w:hAnsi="仿宋" w:eastAsia="仿宋" w:cs="仿宋"/>
                <w:szCs w:val="21"/>
                <w:highlight w:val="none"/>
                <w:lang w:eastAsia="zh-CN"/>
              </w:rPr>
              <w:t>（资信证明应在有效期内，未注明有效期的，银行出具时间至响应文件提交截止时间不超过一年）</w:t>
            </w:r>
            <w:r>
              <w:rPr>
                <w:rFonts w:hint="eastAsia" w:ascii="仿宋" w:hAnsi="仿宋" w:eastAsia="仿宋" w:cs="仿宋"/>
                <w:szCs w:val="21"/>
                <w:highlight w:val="none"/>
              </w:rPr>
              <w:t>]（必须提供，否则响应文件按无效响应处理）（</w:t>
            </w:r>
            <w:r>
              <w:rPr>
                <w:rFonts w:hint="eastAsia" w:ascii="仿宋" w:hAnsi="仿宋" w:eastAsia="仿宋" w:cs="仿宋"/>
                <w:b/>
                <w:szCs w:val="21"/>
                <w:highlight w:val="none"/>
              </w:rPr>
              <w:t>必须提供，否则作无效竞标处理</w:t>
            </w:r>
            <w:r>
              <w:rPr>
                <w:rFonts w:hint="eastAsia" w:ascii="仿宋" w:hAnsi="仿宋" w:eastAsia="仿宋" w:cs="仿宋"/>
                <w:szCs w:val="21"/>
                <w:highlight w:val="none"/>
              </w:rPr>
              <w:t>）</w:t>
            </w:r>
          </w:p>
          <w:p w14:paraId="0ABBA078">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5.供应商直接控股、管理关系信息表；（</w:t>
            </w:r>
            <w:r>
              <w:rPr>
                <w:rFonts w:hint="eastAsia" w:ascii="仿宋" w:hAnsi="仿宋" w:eastAsia="仿宋" w:cs="仿宋"/>
                <w:b/>
                <w:szCs w:val="21"/>
                <w:highlight w:val="none"/>
              </w:rPr>
              <w:t>必须提供，否则响应文件按无效响应处理</w:t>
            </w:r>
            <w:r>
              <w:rPr>
                <w:rFonts w:hint="eastAsia" w:ascii="仿宋" w:hAnsi="仿宋" w:eastAsia="仿宋" w:cs="仿宋"/>
                <w:szCs w:val="21"/>
                <w:highlight w:val="none"/>
              </w:rPr>
              <w:t>）</w:t>
            </w:r>
          </w:p>
          <w:p w14:paraId="5FEBECC6">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6.资格声明函；（</w:t>
            </w:r>
            <w:r>
              <w:rPr>
                <w:rFonts w:hint="eastAsia" w:ascii="仿宋" w:hAnsi="仿宋" w:eastAsia="仿宋" w:cs="仿宋"/>
                <w:b/>
                <w:szCs w:val="21"/>
                <w:highlight w:val="none"/>
              </w:rPr>
              <w:t>必须提供，否则响应文件按无效响应处理</w:t>
            </w:r>
            <w:r>
              <w:rPr>
                <w:rFonts w:hint="eastAsia" w:ascii="仿宋" w:hAnsi="仿宋" w:eastAsia="仿宋" w:cs="仿宋"/>
                <w:szCs w:val="21"/>
                <w:highlight w:val="none"/>
              </w:rPr>
              <w:t>）</w:t>
            </w:r>
          </w:p>
          <w:p w14:paraId="687DC618">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7.</w:t>
            </w:r>
            <w:r>
              <w:rPr>
                <w:rFonts w:hint="eastAsia" w:ascii="仿宋" w:hAnsi="仿宋" w:eastAsia="仿宋" w:cs="仿宋"/>
                <w:highlight w:val="none"/>
              </w:rPr>
              <w:t>联合体协议书；（</w:t>
            </w:r>
            <w:r>
              <w:rPr>
                <w:rFonts w:hint="eastAsia" w:ascii="仿宋" w:hAnsi="仿宋" w:eastAsia="仿宋" w:cs="仿宋"/>
                <w:b/>
                <w:highlight w:val="none"/>
              </w:rPr>
              <w:t>联合体竞标时必须提供，否则响应文件按无效响应处理</w:t>
            </w:r>
            <w:r>
              <w:rPr>
                <w:rFonts w:hint="eastAsia" w:ascii="仿宋" w:hAnsi="仿宋" w:eastAsia="仿宋" w:cs="仿宋"/>
                <w:highlight w:val="none"/>
              </w:rPr>
              <w:t>）</w:t>
            </w:r>
          </w:p>
          <w:p w14:paraId="1762E060">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8.</w:t>
            </w:r>
            <w:r>
              <w:rPr>
                <w:rFonts w:hint="eastAsia" w:ascii="仿宋" w:hAnsi="仿宋" w:eastAsia="仿宋" w:cs="仿宋"/>
                <w:highlight w:val="none"/>
              </w:rPr>
              <w:t>落实政府采购政策需满足的资格要求的证明文件</w:t>
            </w:r>
            <w:r>
              <w:rPr>
                <w:rFonts w:hint="eastAsia" w:ascii="仿宋" w:hAnsi="仿宋" w:eastAsia="仿宋" w:cs="仿宋"/>
                <w:b/>
                <w:bCs/>
                <w:szCs w:val="21"/>
                <w:highlight w:val="none"/>
              </w:rPr>
              <w:t>(如有</w:t>
            </w:r>
            <w:r>
              <w:rPr>
                <w:rFonts w:hint="eastAsia" w:ascii="仿宋" w:hAnsi="仿宋" w:eastAsia="仿宋" w:cs="仿宋"/>
                <w:b/>
                <w:bCs/>
                <w:szCs w:val="21"/>
                <w:highlight w:val="none"/>
                <w:lang w:val="en-US" w:eastAsia="zh-CN"/>
              </w:rPr>
              <w:t>要求必须提供，根据要求上传《中小企业声明函》或监狱企业的证明文件或《残疾人福利性单位声明函》，否则响应文件按无效响应处理。</w:t>
            </w:r>
            <w:r>
              <w:rPr>
                <w:rFonts w:hint="eastAsia" w:ascii="仿宋" w:hAnsi="仿宋" w:eastAsia="仿宋" w:cs="仿宋"/>
                <w:b/>
                <w:bCs/>
                <w:szCs w:val="21"/>
                <w:highlight w:val="none"/>
              </w:rPr>
              <w:t>)；</w:t>
            </w:r>
          </w:p>
          <w:p w14:paraId="3E0F496C">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9.根据竞争性磋商公告对应的特定资格要求及特定条件的资格证明材料；（</w:t>
            </w:r>
            <w:r>
              <w:rPr>
                <w:rFonts w:hint="eastAsia" w:ascii="仿宋" w:hAnsi="仿宋" w:eastAsia="仿宋" w:cs="仿宋"/>
                <w:b/>
                <w:szCs w:val="21"/>
                <w:highlight w:val="none"/>
              </w:rPr>
              <w:t>如有要求则需提供，否则响应文件按无效响应处理</w:t>
            </w:r>
            <w:r>
              <w:rPr>
                <w:rFonts w:hint="eastAsia" w:ascii="仿宋" w:hAnsi="仿宋" w:eastAsia="仿宋" w:cs="仿宋"/>
                <w:szCs w:val="21"/>
                <w:highlight w:val="none"/>
              </w:rPr>
              <w:t>）</w:t>
            </w:r>
          </w:p>
          <w:p w14:paraId="64F18A6C">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10</w:t>
            </w:r>
            <w:r>
              <w:rPr>
                <w:rFonts w:hint="eastAsia" w:ascii="仿宋" w:hAnsi="仿宋" w:eastAsia="仿宋" w:cs="仿宋"/>
                <w:szCs w:val="21"/>
                <w:highlight w:val="none"/>
                <w:lang w:val="en-US" w:eastAsia="zh-CN"/>
              </w:rPr>
              <w:t>.</w:t>
            </w:r>
            <w:r>
              <w:rPr>
                <w:rFonts w:hint="eastAsia" w:ascii="仿宋" w:hAnsi="仿宋" w:eastAsia="仿宋" w:cs="仿宋"/>
                <w:szCs w:val="21"/>
                <w:highlight w:val="none"/>
              </w:rPr>
              <w:t>除磋商文件规定必须提供以外，供应商认为需要提供的其他证明材料。</w:t>
            </w:r>
          </w:p>
          <w:p w14:paraId="63F471B9">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b/>
                <w:szCs w:val="21"/>
                <w:highlight w:val="none"/>
              </w:rPr>
            </w:pPr>
            <w:r>
              <w:rPr>
                <w:rFonts w:hint="eastAsia" w:ascii="仿宋" w:hAnsi="仿宋" w:eastAsia="仿宋" w:cs="仿宋"/>
                <w:b/>
                <w:szCs w:val="21"/>
                <w:highlight w:val="none"/>
              </w:rPr>
              <w:t>注：</w:t>
            </w:r>
          </w:p>
          <w:p w14:paraId="5D490275">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firstLine="413" w:firstLineChars="196"/>
              <w:jc w:val="both"/>
              <w:rPr>
                <w:rFonts w:hint="eastAsia" w:ascii="仿宋" w:hAnsi="仿宋" w:eastAsia="仿宋" w:cs="仿宋"/>
                <w:b/>
                <w:szCs w:val="21"/>
                <w:highlight w:val="none"/>
              </w:rPr>
            </w:pPr>
            <w:r>
              <w:rPr>
                <w:rFonts w:hint="eastAsia" w:ascii="仿宋" w:hAnsi="仿宋" w:eastAsia="仿宋" w:cs="仿宋"/>
                <w:b/>
                <w:szCs w:val="21"/>
                <w:highlight w:val="none"/>
              </w:rPr>
              <w:t>1.以上标明“必须提供”的材料属于复印件的扫描件的，必须加盖供应商电子公章，否则响应文件按无效响应处理。</w:t>
            </w:r>
          </w:p>
          <w:p w14:paraId="2CA9C8C2">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firstLine="413" w:firstLineChars="196"/>
              <w:jc w:val="both"/>
              <w:rPr>
                <w:rFonts w:hint="eastAsia" w:ascii="仿宋" w:hAnsi="仿宋" w:eastAsia="仿宋" w:cs="仿宋"/>
                <w:b/>
                <w:szCs w:val="21"/>
                <w:highlight w:val="none"/>
              </w:rPr>
            </w:pPr>
            <w:r>
              <w:rPr>
                <w:rFonts w:hint="eastAsia" w:ascii="仿宋" w:hAnsi="仿宋" w:eastAsia="仿宋" w:cs="仿宋"/>
                <w:b/>
                <w:szCs w:val="21"/>
                <w:highlight w:val="none"/>
              </w:rPr>
              <w:t>2.</w:t>
            </w:r>
            <w:r>
              <w:rPr>
                <w:rFonts w:hint="eastAsia" w:ascii="仿宋" w:hAnsi="仿宋" w:eastAsia="仿宋" w:cs="仿宋"/>
                <w:b/>
                <w:szCs w:val="21"/>
                <w:highlight w:val="none"/>
                <w:lang w:val="en-US" w:eastAsia="zh-CN"/>
              </w:rPr>
              <w:t>联合体竞标时，第1-5项资格证明文件联合体各方均必须分别提供，联合体各方分别盖章和签字，否则响应文件按无效响应处理</w:t>
            </w:r>
            <w:r>
              <w:rPr>
                <w:rFonts w:hint="eastAsia" w:ascii="仿宋" w:hAnsi="仿宋" w:eastAsia="仿宋" w:cs="仿宋"/>
                <w:b/>
                <w:szCs w:val="21"/>
                <w:highlight w:val="none"/>
              </w:rPr>
              <w:t>。</w:t>
            </w:r>
          </w:p>
        </w:tc>
      </w:tr>
      <w:tr w14:paraId="7E974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Merge w:val="restart"/>
            <w:vAlign w:val="center"/>
          </w:tcPr>
          <w:p w14:paraId="4B2A4D6B">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12.1.2</w:t>
            </w:r>
          </w:p>
        </w:tc>
        <w:tc>
          <w:tcPr>
            <w:tcW w:w="2385" w:type="dxa"/>
            <w:vAlign w:val="center"/>
          </w:tcPr>
          <w:p w14:paraId="0963B902">
            <w:pPr>
              <w:keepNext w:val="0"/>
              <w:keepLines w:val="0"/>
              <w:suppressLineNumbers w:val="0"/>
              <w:spacing w:before="0" w:beforeAutospacing="0" w:after="0" w:afterAutospacing="0" w:line="400" w:lineRule="exact"/>
              <w:ind w:left="0" w:right="0"/>
              <w:jc w:val="center"/>
              <w:rPr>
                <w:rFonts w:hint="eastAsia" w:ascii="仿宋" w:hAnsi="仿宋" w:eastAsia="仿宋" w:cs="仿宋"/>
                <w:b/>
                <w:bCs/>
                <w:szCs w:val="21"/>
                <w:highlight w:val="none"/>
              </w:rPr>
            </w:pPr>
            <w:r>
              <w:rPr>
                <w:rFonts w:hint="eastAsia" w:ascii="仿宋" w:hAnsi="仿宋" w:eastAsia="仿宋" w:cs="仿宋"/>
                <w:b/>
                <w:bCs/>
                <w:szCs w:val="21"/>
                <w:highlight w:val="none"/>
              </w:rPr>
              <w:t>商务文件组成</w:t>
            </w:r>
          </w:p>
        </w:tc>
        <w:tc>
          <w:tcPr>
            <w:tcW w:w="6019" w:type="dxa"/>
            <w:vAlign w:val="center"/>
          </w:tcPr>
          <w:p w14:paraId="4FA2D98F">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1.无串通竞标行为的承诺函；（</w:t>
            </w:r>
            <w:r>
              <w:rPr>
                <w:rFonts w:hint="eastAsia" w:ascii="仿宋" w:hAnsi="仿宋" w:eastAsia="仿宋" w:cs="仿宋"/>
                <w:b/>
                <w:szCs w:val="21"/>
                <w:highlight w:val="none"/>
              </w:rPr>
              <w:t>必须提供，否则响应文件按无效响应处理</w:t>
            </w:r>
            <w:r>
              <w:rPr>
                <w:rFonts w:hint="eastAsia" w:ascii="仿宋" w:hAnsi="仿宋" w:eastAsia="仿宋" w:cs="仿宋"/>
                <w:szCs w:val="21"/>
                <w:highlight w:val="none"/>
              </w:rPr>
              <w:t>）</w:t>
            </w:r>
          </w:p>
          <w:p w14:paraId="6C79ED54">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2.法定代表人身份证明书及法定代表人有效身份证正反面复印件；（</w:t>
            </w:r>
            <w:r>
              <w:rPr>
                <w:rFonts w:hint="eastAsia" w:ascii="仿宋" w:hAnsi="仿宋" w:eastAsia="仿宋" w:cs="仿宋"/>
                <w:b/>
                <w:bCs/>
                <w:szCs w:val="21"/>
                <w:highlight w:val="none"/>
              </w:rPr>
              <w:t>除自然人竞标外</w:t>
            </w:r>
            <w:r>
              <w:rPr>
                <w:rFonts w:hint="eastAsia" w:ascii="仿宋" w:hAnsi="仿宋" w:eastAsia="仿宋" w:cs="仿宋"/>
                <w:b/>
                <w:szCs w:val="21"/>
                <w:highlight w:val="none"/>
              </w:rPr>
              <w:t>必须提供，否则响应文件按无效响应处理</w:t>
            </w:r>
            <w:r>
              <w:rPr>
                <w:rFonts w:hint="eastAsia" w:ascii="仿宋" w:hAnsi="仿宋" w:eastAsia="仿宋" w:cs="仿宋"/>
                <w:szCs w:val="21"/>
                <w:highlight w:val="none"/>
              </w:rPr>
              <w:t>）</w:t>
            </w:r>
          </w:p>
          <w:p w14:paraId="42766C69">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jc w:val="both"/>
              <w:rPr>
                <w:rFonts w:hint="eastAsia" w:ascii="仿宋" w:hAnsi="仿宋" w:eastAsia="仿宋" w:cs="仿宋"/>
                <w:b/>
                <w:szCs w:val="21"/>
                <w:highlight w:val="none"/>
              </w:rPr>
            </w:pPr>
            <w:r>
              <w:rPr>
                <w:rFonts w:hint="eastAsia" w:ascii="仿宋" w:hAnsi="仿宋" w:eastAsia="仿宋" w:cs="仿宋"/>
                <w:szCs w:val="21"/>
                <w:highlight w:val="none"/>
              </w:rPr>
              <w:t>3.法定代表人授权委托书及委托代理人有效身份证正反面复印件；（</w:t>
            </w:r>
            <w:r>
              <w:rPr>
                <w:rFonts w:hint="eastAsia" w:ascii="仿宋" w:hAnsi="仿宋" w:eastAsia="仿宋" w:cs="仿宋"/>
                <w:b/>
                <w:szCs w:val="21"/>
                <w:highlight w:val="none"/>
              </w:rPr>
              <w:t>委托时必须提供，否则响应文件按无效响应处理</w:t>
            </w:r>
            <w:r>
              <w:rPr>
                <w:rFonts w:hint="eastAsia" w:ascii="仿宋" w:hAnsi="仿宋" w:eastAsia="仿宋" w:cs="仿宋"/>
                <w:szCs w:val="21"/>
                <w:highlight w:val="none"/>
              </w:rPr>
              <w:t>）</w:t>
            </w:r>
          </w:p>
          <w:p w14:paraId="547B3E5A">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4.商务条款偏离表；（</w:t>
            </w:r>
            <w:r>
              <w:rPr>
                <w:rFonts w:hint="eastAsia" w:ascii="仿宋" w:hAnsi="仿宋" w:eastAsia="仿宋" w:cs="仿宋"/>
                <w:b/>
                <w:szCs w:val="21"/>
                <w:highlight w:val="none"/>
              </w:rPr>
              <w:t>必须提供，否则响应文件按无效响应处理</w:t>
            </w:r>
            <w:r>
              <w:rPr>
                <w:rFonts w:hint="eastAsia" w:ascii="仿宋" w:hAnsi="仿宋" w:eastAsia="仿宋" w:cs="仿宋"/>
                <w:szCs w:val="21"/>
                <w:highlight w:val="none"/>
              </w:rPr>
              <w:t>）</w:t>
            </w:r>
          </w:p>
          <w:p w14:paraId="00886BC7">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5.竞标供应商情况介绍；</w:t>
            </w:r>
          </w:p>
          <w:p w14:paraId="52BA368D">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jc w:val="both"/>
              <w:rPr>
                <w:rFonts w:hint="eastAsia" w:ascii="仿宋" w:hAnsi="仿宋" w:eastAsia="仿宋" w:cs="仿宋"/>
                <w:bCs/>
                <w:szCs w:val="21"/>
                <w:highlight w:val="none"/>
              </w:rPr>
            </w:pPr>
            <w:r>
              <w:rPr>
                <w:rFonts w:hint="eastAsia" w:ascii="仿宋" w:hAnsi="仿宋" w:eastAsia="仿宋" w:cs="仿宋"/>
                <w:szCs w:val="21"/>
                <w:highlight w:val="none"/>
              </w:rPr>
              <w:t>6.</w:t>
            </w:r>
            <w:r>
              <w:rPr>
                <w:rFonts w:hint="eastAsia" w:ascii="仿宋" w:hAnsi="仿宋" w:eastAsia="仿宋" w:cs="仿宋"/>
                <w:bCs/>
                <w:szCs w:val="21"/>
                <w:highlight w:val="none"/>
              </w:rPr>
              <w:t>竞标供应商类似的业绩证明文件</w:t>
            </w:r>
            <w:r>
              <w:rPr>
                <w:rFonts w:hint="eastAsia" w:ascii="仿宋" w:hAnsi="仿宋" w:eastAsia="仿宋" w:cs="仿宋"/>
                <w:szCs w:val="21"/>
                <w:highlight w:val="none"/>
              </w:rPr>
              <w:t>；</w:t>
            </w:r>
          </w:p>
          <w:p w14:paraId="6A29E1AD">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7.项目实施人员一览表；</w:t>
            </w:r>
          </w:p>
          <w:p w14:paraId="1010B047">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8.供应商认为需要提供的其他有关资料。</w:t>
            </w:r>
          </w:p>
          <w:p w14:paraId="0677BCEC">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b/>
                <w:szCs w:val="21"/>
                <w:highlight w:val="none"/>
              </w:rPr>
            </w:pPr>
            <w:r>
              <w:rPr>
                <w:rFonts w:hint="eastAsia" w:ascii="仿宋" w:hAnsi="仿宋" w:eastAsia="仿宋" w:cs="仿宋"/>
                <w:b/>
                <w:szCs w:val="21"/>
                <w:highlight w:val="none"/>
              </w:rPr>
              <w:t xml:space="preserve">注： </w:t>
            </w:r>
          </w:p>
          <w:p w14:paraId="2A32E8EB">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firstLine="413" w:firstLineChars="196"/>
              <w:jc w:val="both"/>
              <w:rPr>
                <w:rFonts w:hint="eastAsia" w:ascii="仿宋" w:hAnsi="仿宋" w:eastAsia="仿宋" w:cs="仿宋"/>
                <w:b/>
                <w:szCs w:val="21"/>
                <w:highlight w:val="none"/>
              </w:rPr>
            </w:pPr>
            <w:r>
              <w:rPr>
                <w:rFonts w:hint="eastAsia" w:ascii="仿宋" w:hAnsi="仿宋" w:eastAsia="仿宋" w:cs="仿宋"/>
                <w:b/>
                <w:szCs w:val="21"/>
                <w:highlight w:val="none"/>
              </w:rPr>
              <w:t>1.法定代表人授权委托书必须由法定代表人签字或盖章或电子签名，委托代理人签字或者电子签名，并加盖供应商公章，否则响应文件按无效响应处理。</w:t>
            </w:r>
          </w:p>
          <w:p w14:paraId="665689D0">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firstLine="413" w:firstLineChars="196"/>
              <w:jc w:val="both"/>
              <w:rPr>
                <w:rFonts w:hint="eastAsia" w:ascii="仿宋" w:hAnsi="仿宋" w:eastAsia="仿宋" w:cs="仿宋"/>
                <w:b/>
                <w:szCs w:val="21"/>
                <w:highlight w:val="none"/>
              </w:rPr>
            </w:pPr>
            <w:r>
              <w:rPr>
                <w:rFonts w:hint="eastAsia" w:ascii="仿宋" w:hAnsi="仿宋" w:eastAsia="仿宋" w:cs="仿宋"/>
                <w:b/>
                <w:szCs w:val="21"/>
                <w:highlight w:val="none"/>
              </w:rPr>
              <w:t>2.以上标明“必须提供”的材料属于复印件的扫描件的，必须加盖供应商电子公章，否则响应文件按无效响应处理。</w:t>
            </w:r>
          </w:p>
        </w:tc>
      </w:tr>
      <w:tr w14:paraId="54C7F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Merge w:val="continue"/>
            <w:vAlign w:val="center"/>
          </w:tcPr>
          <w:p w14:paraId="6AA39664">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p>
        </w:tc>
        <w:tc>
          <w:tcPr>
            <w:tcW w:w="2385" w:type="dxa"/>
            <w:vAlign w:val="center"/>
          </w:tcPr>
          <w:p w14:paraId="0879C6D2">
            <w:pPr>
              <w:keepNext w:val="0"/>
              <w:keepLines w:val="0"/>
              <w:suppressLineNumbers w:val="0"/>
              <w:spacing w:before="0" w:beforeAutospacing="0" w:after="0" w:afterAutospacing="0" w:line="400" w:lineRule="exact"/>
              <w:ind w:left="0" w:right="0"/>
              <w:jc w:val="center"/>
              <w:rPr>
                <w:rFonts w:hint="eastAsia" w:ascii="仿宋" w:hAnsi="仿宋" w:eastAsia="仿宋" w:cs="仿宋"/>
                <w:b/>
                <w:bCs/>
                <w:szCs w:val="21"/>
                <w:highlight w:val="none"/>
              </w:rPr>
            </w:pPr>
            <w:r>
              <w:rPr>
                <w:rFonts w:hint="eastAsia" w:ascii="仿宋" w:hAnsi="仿宋" w:eastAsia="仿宋" w:cs="仿宋"/>
                <w:b/>
                <w:bCs/>
                <w:szCs w:val="21"/>
                <w:highlight w:val="none"/>
              </w:rPr>
              <w:t>技术文件组成</w:t>
            </w:r>
          </w:p>
        </w:tc>
        <w:tc>
          <w:tcPr>
            <w:tcW w:w="6019" w:type="dxa"/>
            <w:vAlign w:val="center"/>
          </w:tcPr>
          <w:p w14:paraId="1F0CCDF6">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1.服务需求偏离表；（</w:t>
            </w:r>
            <w:r>
              <w:rPr>
                <w:rFonts w:hint="eastAsia" w:ascii="仿宋" w:hAnsi="仿宋" w:eastAsia="仿宋" w:cs="仿宋"/>
                <w:b/>
                <w:szCs w:val="21"/>
                <w:highlight w:val="none"/>
              </w:rPr>
              <w:t>必须提供，否则响应文件按无效响应处理</w:t>
            </w:r>
            <w:r>
              <w:rPr>
                <w:rFonts w:hint="eastAsia" w:ascii="仿宋" w:hAnsi="仿宋" w:eastAsia="仿宋" w:cs="仿宋"/>
                <w:szCs w:val="21"/>
                <w:highlight w:val="none"/>
              </w:rPr>
              <w:t>）</w:t>
            </w:r>
          </w:p>
          <w:p w14:paraId="2FB04BCC">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2.服务方案；（</w:t>
            </w:r>
            <w:r>
              <w:rPr>
                <w:rFonts w:hint="eastAsia" w:ascii="仿宋" w:hAnsi="仿宋" w:eastAsia="仿宋" w:cs="仿宋"/>
                <w:b/>
                <w:szCs w:val="21"/>
                <w:highlight w:val="none"/>
              </w:rPr>
              <w:t>必须提供，否则响应文件按无效响应处理</w:t>
            </w:r>
            <w:r>
              <w:rPr>
                <w:rFonts w:hint="eastAsia" w:ascii="仿宋" w:hAnsi="仿宋" w:eastAsia="仿宋" w:cs="仿宋"/>
                <w:szCs w:val="21"/>
                <w:highlight w:val="none"/>
              </w:rPr>
              <w:t>）</w:t>
            </w:r>
          </w:p>
          <w:p w14:paraId="1CDEF2D9">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3.售后服务承诺；（</w:t>
            </w:r>
            <w:r>
              <w:rPr>
                <w:rFonts w:hint="eastAsia" w:ascii="仿宋" w:hAnsi="仿宋" w:eastAsia="仿宋" w:cs="仿宋"/>
                <w:b/>
                <w:szCs w:val="21"/>
                <w:highlight w:val="none"/>
              </w:rPr>
              <w:t>必须提供，否则响应文件按无效响应处理</w:t>
            </w:r>
            <w:r>
              <w:rPr>
                <w:rFonts w:hint="eastAsia" w:ascii="仿宋" w:hAnsi="仿宋" w:eastAsia="仿宋" w:cs="仿宋"/>
                <w:szCs w:val="21"/>
                <w:highlight w:val="none"/>
              </w:rPr>
              <w:t>）</w:t>
            </w:r>
          </w:p>
          <w:p w14:paraId="7F39C96F">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4.对应采购需求的服务需求、商务条款提供的其他文件资料；</w:t>
            </w:r>
          </w:p>
          <w:p w14:paraId="2ABDF1C5">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5.供应商认为需要提供的其他有关资料。</w:t>
            </w:r>
          </w:p>
          <w:p w14:paraId="228A4161">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b/>
                <w:szCs w:val="21"/>
                <w:highlight w:val="none"/>
              </w:rPr>
              <w:t>注：1.以上标明“必须提供”的材料属于复印件的扫描件的，必须加盖供应商电子公章，否则响应文件按无效响应处理。</w:t>
            </w:r>
          </w:p>
        </w:tc>
      </w:tr>
      <w:tr w14:paraId="3CFCC2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Align w:val="center"/>
          </w:tcPr>
          <w:p w14:paraId="7DA16F05">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12.1.2</w:t>
            </w:r>
          </w:p>
        </w:tc>
        <w:tc>
          <w:tcPr>
            <w:tcW w:w="2385" w:type="dxa"/>
            <w:vAlign w:val="center"/>
          </w:tcPr>
          <w:p w14:paraId="7A8C72E3">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b/>
                <w:bCs/>
                <w:szCs w:val="21"/>
                <w:highlight w:val="none"/>
              </w:rPr>
              <w:t>报价文件组成</w:t>
            </w:r>
          </w:p>
        </w:tc>
        <w:tc>
          <w:tcPr>
            <w:tcW w:w="6019" w:type="dxa"/>
            <w:vAlign w:val="center"/>
          </w:tcPr>
          <w:p w14:paraId="13E0FFD3">
            <w:pPr>
              <w:keepNext w:val="0"/>
              <w:keepLines w:val="0"/>
              <w:pageBreakBefore w:val="0"/>
              <w:widowControl w:val="0"/>
              <w:suppressLineNumbers w:val="0"/>
              <w:tabs>
                <w:tab w:val="left" w:pos="459"/>
              </w:tabs>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1.响应函；</w:t>
            </w:r>
            <w:r>
              <w:rPr>
                <w:rFonts w:hint="eastAsia" w:ascii="仿宋" w:hAnsi="仿宋" w:eastAsia="仿宋" w:cs="仿宋"/>
                <w:b/>
                <w:szCs w:val="21"/>
                <w:highlight w:val="none"/>
              </w:rPr>
              <w:t>（必须提供，否则作无效响应处理）</w:t>
            </w:r>
          </w:p>
          <w:p w14:paraId="382AF5EF">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2.响应报价表；（</w:t>
            </w:r>
            <w:r>
              <w:rPr>
                <w:rFonts w:hint="eastAsia" w:ascii="仿宋" w:hAnsi="仿宋" w:eastAsia="仿宋" w:cs="仿宋"/>
                <w:b/>
                <w:szCs w:val="21"/>
                <w:highlight w:val="none"/>
              </w:rPr>
              <w:t>必须提供，否则响应文件按无效响应处理</w:t>
            </w:r>
            <w:r>
              <w:rPr>
                <w:rFonts w:hint="eastAsia" w:ascii="仿宋" w:hAnsi="仿宋" w:eastAsia="仿宋" w:cs="仿宋"/>
                <w:szCs w:val="21"/>
                <w:highlight w:val="none"/>
              </w:rPr>
              <w:t>）</w:t>
            </w:r>
          </w:p>
          <w:p w14:paraId="54AA47CE">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b w:val="0"/>
                <w:bCs w:val="0"/>
                <w:szCs w:val="21"/>
                <w:highlight w:val="none"/>
              </w:rPr>
              <w:t>3.</w:t>
            </w:r>
            <w:r>
              <w:rPr>
                <w:rFonts w:hint="eastAsia" w:ascii="仿宋" w:hAnsi="仿宋" w:eastAsia="仿宋" w:cs="仿宋"/>
                <w:b w:val="0"/>
                <w:bCs w:val="0"/>
                <w:szCs w:val="21"/>
                <w:highlight w:val="none"/>
                <w:lang w:val="en-US" w:eastAsia="zh-CN"/>
              </w:rPr>
              <w:t>《中小企业声明函》或监狱企业的证明文件或《残疾人福利性单位声明函》。</w:t>
            </w:r>
          </w:p>
        </w:tc>
      </w:tr>
      <w:tr w14:paraId="2585E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Align w:val="center"/>
          </w:tcPr>
          <w:p w14:paraId="6FCD3597">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12.2</w:t>
            </w:r>
          </w:p>
        </w:tc>
        <w:tc>
          <w:tcPr>
            <w:tcW w:w="2385" w:type="dxa"/>
            <w:vAlign w:val="center"/>
          </w:tcPr>
          <w:p w14:paraId="255BE6E5">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响应文件电子版要求</w:t>
            </w:r>
          </w:p>
        </w:tc>
        <w:tc>
          <w:tcPr>
            <w:tcW w:w="6019" w:type="dxa"/>
            <w:vAlign w:val="center"/>
          </w:tcPr>
          <w:p w14:paraId="5644D46F">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1.响应文件电子版要求：按照本采购文件“第五章 响应文件格式”编写（第五章未附格式的，由供应商自行拟定），不可涂改，并在规定加盖公章处加盖电子公章，</w:t>
            </w:r>
            <w:r>
              <w:rPr>
                <w:rFonts w:hint="eastAsia" w:ascii="仿宋" w:hAnsi="仿宋" w:eastAsia="仿宋" w:cs="仿宋"/>
                <w:b/>
                <w:szCs w:val="21"/>
                <w:highlight w:val="none"/>
              </w:rPr>
              <w:t>否则响应文件按无效响应处理</w:t>
            </w:r>
            <w:r>
              <w:rPr>
                <w:rFonts w:hint="eastAsia" w:ascii="仿宋" w:hAnsi="仿宋" w:eastAsia="仿宋" w:cs="仿宋"/>
                <w:szCs w:val="21"/>
                <w:highlight w:val="none"/>
              </w:rPr>
              <w:t>。</w:t>
            </w:r>
          </w:p>
          <w:p w14:paraId="5D2391E3">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2.响应文件电子版密封方式：电子响应文件通过平台有效CA加密后在“广西政府采购云平台”平台投送。（操作方式见公告附件“电子响应文件制作与投送教程”）</w:t>
            </w:r>
          </w:p>
        </w:tc>
      </w:tr>
      <w:tr w14:paraId="0D7FD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Align w:val="center"/>
          </w:tcPr>
          <w:p w14:paraId="4E8D813B">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15.2</w:t>
            </w:r>
          </w:p>
        </w:tc>
        <w:tc>
          <w:tcPr>
            <w:tcW w:w="2385" w:type="dxa"/>
            <w:vAlign w:val="center"/>
          </w:tcPr>
          <w:p w14:paraId="7DFC5D3C">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响应报价要求</w:t>
            </w:r>
          </w:p>
        </w:tc>
        <w:tc>
          <w:tcPr>
            <w:tcW w:w="6019" w:type="dxa"/>
            <w:vAlign w:val="center"/>
          </w:tcPr>
          <w:p w14:paraId="0D5AEAEA">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响应报价必须包含满足本次竞标全部采购需求所应提供的服务，以及伴随的货物和工程（如有）的价格；包含竞标服务、货物、工程的成本、运输（含保险）、安装（如有）、调试、检验、技术服务、培训、税费等所有费用。</w:t>
            </w:r>
            <w:r>
              <w:rPr>
                <w:rFonts w:hint="eastAsia" w:ascii="仿宋" w:hAnsi="仿宋" w:eastAsia="仿宋" w:cs="仿宋"/>
                <w:b/>
                <w:szCs w:val="21"/>
                <w:highlight w:val="none"/>
              </w:rPr>
              <w:t>（采购需求另有约定的，从其约定。）</w:t>
            </w:r>
          </w:p>
        </w:tc>
      </w:tr>
      <w:tr w14:paraId="401E53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Align w:val="center"/>
          </w:tcPr>
          <w:p w14:paraId="47FE9C34">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16.2</w:t>
            </w:r>
          </w:p>
        </w:tc>
        <w:tc>
          <w:tcPr>
            <w:tcW w:w="2385" w:type="dxa"/>
            <w:vAlign w:val="center"/>
          </w:tcPr>
          <w:p w14:paraId="44B328E0">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竞标有效期</w:t>
            </w:r>
          </w:p>
        </w:tc>
        <w:tc>
          <w:tcPr>
            <w:tcW w:w="6019" w:type="dxa"/>
            <w:vAlign w:val="center"/>
          </w:tcPr>
          <w:p w14:paraId="626823A4">
            <w:pPr>
              <w:keepNext w:val="0"/>
              <w:keepLines w:val="0"/>
              <w:pageBreakBefore w:val="0"/>
              <w:widowControl w:val="0"/>
              <w:suppressLineNumbers w:val="0"/>
              <w:tabs>
                <w:tab w:val="left" w:pos="360"/>
                <w:tab w:val="left" w:pos="720"/>
                <w:tab w:val="left" w:pos="840"/>
              </w:tabs>
              <w:kinsoku/>
              <w:wordWrap/>
              <w:overflowPunct/>
              <w:topLinePunct w:val="0"/>
              <w:bidi w:val="0"/>
              <w:adjustRightInd/>
              <w:snapToGrid w:val="0"/>
              <w:spacing w:before="0" w:beforeAutospacing="0" w:after="0" w:afterAutospacing="0" w:line="400" w:lineRule="exact"/>
              <w:ind w:left="283" w:right="0" w:hanging="283" w:hangingChars="135"/>
              <w:jc w:val="both"/>
              <w:rPr>
                <w:rFonts w:hint="eastAsia" w:ascii="仿宋" w:hAnsi="仿宋" w:eastAsia="仿宋" w:cs="仿宋"/>
                <w:szCs w:val="21"/>
                <w:highlight w:val="none"/>
              </w:rPr>
            </w:pPr>
            <w:r>
              <w:rPr>
                <w:rFonts w:hint="eastAsia" w:ascii="仿宋" w:hAnsi="仿宋" w:eastAsia="仿宋" w:cs="仿宋"/>
                <w:szCs w:val="21"/>
                <w:highlight w:val="none"/>
              </w:rPr>
              <w:t>自首次响应文件提交截止之日起</w:t>
            </w:r>
            <w:bookmarkStart w:id="72" w:name="PO_3000001868_PM046"/>
            <w:r>
              <w:rPr>
                <w:rFonts w:hint="eastAsia" w:ascii="仿宋" w:hAnsi="仿宋" w:eastAsia="仿宋" w:cs="仿宋"/>
                <w:szCs w:val="21"/>
                <w:highlight w:val="none"/>
                <w:u w:val="single"/>
              </w:rPr>
              <w:t>90</w:t>
            </w:r>
            <w:r>
              <w:rPr>
                <w:rFonts w:hint="eastAsia" w:ascii="仿宋" w:hAnsi="仿宋" w:eastAsia="仿宋" w:cs="仿宋"/>
                <w:szCs w:val="21"/>
                <w:highlight w:val="none"/>
              </w:rPr>
              <w:t>日历天</w:t>
            </w:r>
            <w:bookmarkEnd w:id="72"/>
            <w:r>
              <w:rPr>
                <w:rFonts w:hint="eastAsia" w:ascii="仿宋" w:hAnsi="仿宋" w:eastAsia="仿宋" w:cs="仿宋"/>
                <w:szCs w:val="21"/>
                <w:highlight w:val="none"/>
              </w:rPr>
              <w:t>。</w:t>
            </w:r>
          </w:p>
        </w:tc>
      </w:tr>
      <w:tr w14:paraId="4FF91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Align w:val="center"/>
          </w:tcPr>
          <w:p w14:paraId="31422AC2">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17.1</w:t>
            </w:r>
          </w:p>
        </w:tc>
        <w:tc>
          <w:tcPr>
            <w:tcW w:w="2385" w:type="dxa"/>
            <w:vAlign w:val="center"/>
          </w:tcPr>
          <w:p w14:paraId="19B269C2">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磋商保证金</w:t>
            </w:r>
          </w:p>
        </w:tc>
        <w:tc>
          <w:tcPr>
            <w:tcW w:w="6019" w:type="dxa"/>
            <w:vAlign w:val="center"/>
          </w:tcPr>
          <w:p w14:paraId="3CDA23A8">
            <w:pPr>
              <w:keepNext w:val="0"/>
              <w:keepLines w:val="0"/>
              <w:pageBreakBefore w:val="0"/>
              <w:widowControl w:val="0"/>
              <w:suppressLineNumbers w:val="0"/>
              <w:kinsoku/>
              <w:wordWrap/>
              <w:overflowPunct/>
              <w:topLinePunct w:val="0"/>
              <w:autoSpaceDE w:val="0"/>
              <w:autoSpaceDN w:val="0"/>
              <w:bidi w:val="0"/>
              <w:adjustRightInd/>
              <w:snapToGrid w:val="0"/>
              <w:spacing w:before="0" w:beforeAutospacing="0" w:after="0" w:afterAutospacing="0" w:line="400" w:lineRule="exact"/>
              <w:ind w:left="0" w:right="0"/>
              <w:jc w:val="both"/>
              <w:textAlignment w:val="bottom"/>
              <w:rPr>
                <w:rFonts w:hint="eastAsia" w:ascii="仿宋" w:hAnsi="仿宋" w:eastAsia="仿宋" w:cs="仿宋"/>
                <w:szCs w:val="21"/>
                <w:highlight w:val="none"/>
              </w:rPr>
            </w:pPr>
            <w:r>
              <w:rPr>
                <w:rFonts w:hint="eastAsia" w:ascii="仿宋" w:hAnsi="仿宋" w:eastAsia="仿宋" w:cs="仿宋"/>
                <w:szCs w:val="21"/>
                <w:highlight w:val="none"/>
              </w:rPr>
              <w:t>本项目不收取磋商保证金。</w:t>
            </w:r>
          </w:p>
        </w:tc>
      </w:tr>
      <w:tr w14:paraId="2F822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1020" w:type="dxa"/>
            <w:vMerge w:val="restart"/>
            <w:vAlign w:val="center"/>
          </w:tcPr>
          <w:p w14:paraId="6BCD6BDE">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20.1</w:t>
            </w:r>
          </w:p>
        </w:tc>
        <w:tc>
          <w:tcPr>
            <w:tcW w:w="2385" w:type="dxa"/>
            <w:vAlign w:val="center"/>
          </w:tcPr>
          <w:p w14:paraId="62B26DF9">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首次响应文件提交起止时间</w:t>
            </w:r>
          </w:p>
        </w:tc>
        <w:tc>
          <w:tcPr>
            <w:tcW w:w="6019" w:type="dxa"/>
            <w:vAlign w:val="center"/>
          </w:tcPr>
          <w:p w14:paraId="49A9E8DB">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u w:val="single"/>
              </w:rPr>
            </w:pPr>
            <w:r>
              <w:rPr>
                <w:rFonts w:hint="eastAsia" w:ascii="仿宋" w:hAnsi="仿宋" w:eastAsia="仿宋" w:cs="仿宋"/>
                <w:szCs w:val="21"/>
                <w:highlight w:val="none"/>
              </w:rPr>
              <w:t>详见竞争性磋商公告。</w:t>
            </w:r>
          </w:p>
        </w:tc>
      </w:tr>
      <w:tr w14:paraId="54ADE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1020" w:type="dxa"/>
            <w:vMerge w:val="continue"/>
            <w:vAlign w:val="center"/>
          </w:tcPr>
          <w:p w14:paraId="37F95E6D">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p>
        </w:tc>
        <w:tc>
          <w:tcPr>
            <w:tcW w:w="2385" w:type="dxa"/>
            <w:vAlign w:val="center"/>
          </w:tcPr>
          <w:p w14:paraId="1F90A000">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首次响应文件提交地点</w:t>
            </w:r>
          </w:p>
        </w:tc>
        <w:tc>
          <w:tcPr>
            <w:tcW w:w="6019" w:type="dxa"/>
            <w:vAlign w:val="center"/>
          </w:tcPr>
          <w:p w14:paraId="42776B99">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u w:val="single"/>
              </w:rPr>
            </w:pPr>
            <w:r>
              <w:rPr>
                <w:rFonts w:hint="eastAsia" w:ascii="仿宋" w:hAnsi="仿宋" w:eastAsia="仿宋" w:cs="仿宋"/>
                <w:szCs w:val="21"/>
                <w:highlight w:val="none"/>
              </w:rPr>
              <w:t>详见竞争性磋商公告。</w:t>
            </w:r>
          </w:p>
        </w:tc>
      </w:tr>
      <w:tr w14:paraId="01AB5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1020" w:type="dxa"/>
            <w:vAlign w:val="center"/>
          </w:tcPr>
          <w:p w14:paraId="58830349">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20.6</w:t>
            </w:r>
          </w:p>
        </w:tc>
        <w:tc>
          <w:tcPr>
            <w:tcW w:w="2385" w:type="dxa"/>
            <w:vAlign w:val="center"/>
          </w:tcPr>
          <w:p w14:paraId="5ED76810">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备份响应文件</w:t>
            </w:r>
          </w:p>
        </w:tc>
        <w:tc>
          <w:tcPr>
            <w:tcW w:w="6019" w:type="dxa"/>
            <w:vAlign w:val="center"/>
          </w:tcPr>
          <w:p w14:paraId="65379BB2">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本项目不接受备份响应文件。</w:t>
            </w:r>
          </w:p>
        </w:tc>
      </w:tr>
      <w:tr w14:paraId="0EE12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1020" w:type="dxa"/>
            <w:vAlign w:val="center"/>
          </w:tcPr>
          <w:p w14:paraId="009244A2">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21</w:t>
            </w:r>
          </w:p>
        </w:tc>
        <w:tc>
          <w:tcPr>
            <w:tcW w:w="2385" w:type="dxa"/>
            <w:vAlign w:val="center"/>
          </w:tcPr>
          <w:p w14:paraId="3F28A30F">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首次响应文件的退回</w:t>
            </w:r>
          </w:p>
        </w:tc>
        <w:tc>
          <w:tcPr>
            <w:tcW w:w="6019" w:type="dxa"/>
            <w:vAlign w:val="center"/>
          </w:tcPr>
          <w:p w14:paraId="16410104">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详见竞争性磋商公告。</w:t>
            </w:r>
          </w:p>
        </w:tc>
      </w:tr>
      <w:tr w14:paraId="7CF74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1020" w:type="dxa"/>
            <w:vMerge w:val="restart"/>
            <w:vAlign w:val="center"/>
          </w:tcPr>
          <w:p w14:paraId="5AFAA4AF">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26.2</w:t>
            </w:r>
          </w:p>
        </w:tc>
        <w:tc>
          <w:tcPr>
            <w:tcW w:w="2385" w:type="dxa"/>
            <w:vAlign w:val="center"/>
          </w:tcPr>
          <w:p w14:paraId="244B8178">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负偏离要求</w:t>
            </w:r>
          </w:p>
        </w:tc>
        <w:tc>
          <w:tcPr>
            <w:tcW w:w="6019" w:type="dxa"/>
            <w:vAlign w:val="center"/>
          </w:tcPr>
          <w:p w14:paraId="7E96C4DD">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商务条款评审中允许负偏离的条款数为</w:t>
            </w:r>
            <w:r>
              <w:rPr>
                <w:rFonts w:hint="eastAsia" w:ascii="仿宋" w:hAnsi="仿宋" w:eastAsia="仿宋" w:cs="仿宋"/>
                <w:szCs w:val="21"/>
                <w:highlight w:val="none"/>
                <w:u w:val="single"/>
              </w:rPr>
              <w:t>0</w:t>
            </w:r>
            <w:r>
              <w:rPr>
                <w:rFonts w:hint="eastAsia" w:ascii="仿宋" w:hAnsi="仿宋" w:eastAsia="仿宋" w:cs="仿宋"/>
                <w:szCs w:val="21"/>
                <w:highlight w:val="none"/>
              </w:rPr>
              <w:t>项。</w:t>
            </w:r>
          </w:p>
          <w:p w14:paraId="5631E233">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服务需求评审中允许负偏离的条款数为</w:t>
            </w:r>
            <w:r>
              <w:rPr>
                <w:rFonts w:hint="eastAsia" w:ascii="仿宋" w:hAnsi="仿宋" w:eastAsia="仿宋" w:cs="仿宋"/>
                <w:szCs w:val="21"/>
                <w:highlight w:val="none"/>
                <w:u w:val="single"/>
              </w:rPr>
              <w:t>0</w:t>
            </w:r>
            <w:r>
              <w:rPr>
                <w:rFonts w:hint="eastAsia" w:ascii="仿宋" w:hAnsi="仿宋" w:eastAsia="仿宋" w:cs="仿宋"/>
                <w:szCs w:val="21"/>
                <w:highlight w:val="none"/>
              </w:rPr>
              <w:t>项。</w:t>
            </w:r>
          </w:p>
        </w:tc>
      </w:tr>
      <w:tr w14:paraId="6940F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Merge w:val="continue"/>
            <w:vAlign w:val="center"/>
          </w:tcPr>
          <w:p w14:paraId="4EE5EBAF">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p>
        </w:tc>
        <w:tc>
          <w:tcPr>
            <w:tcW w:w="2385" w:type="dxa"/>
            <w:vAlign w:val="center"/>
          </w:tcPr>
          <w:p w14:paraId="79BB1C8A">
            <w:pPr>
              <w:keepNext w:val="0"/>
              <w:keepLines w:val="0"/>
              <w:suppressLineNumbers w:val="0"/>
              <w:snapToGrid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磋商的顺序</w:t>
            </w:r>
          </w:p>
          <w:p w14:paraId="2A1F145F">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p>
        </w:tc>
        <w:tc>
          <w:tcPr>
            <w:tcW w:w="6019" w:type="dxa"/>
            <w:vAlign w:val="center"/>
          </w:tcPr>
          <w:p w14:paraId="5020CBBD">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□按照提交首次响应文件的顺序，通知磋商时，若某供应商不在通知现场时，该供应商排序到最后磋商，按照签到的顺序由其下一位供应商先参与磋商。</w:t>
            </w:r>
          </w:p>
          <w:p w14:paraId="1247C76E">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b/>
                <w:szCs w:val="21"/>
                <w:highlight w:val="none"/>
              </w:rPr>
            </w:pPr>
            <w:r>
              <w:rPr>
                <w:rFonts w:hint="eastAsia" w:ascii="仿宋" w:hAnsi="仿宋" w:eastAsia="仿宋" w:cs="仿宋"/>
                <w:szCs w:val="21"/>
                <w:highlight w:val="none"/>
              </w:rPr>
              <w:t>☑随机排序。</w:t>
            </w:r>
          </w:p>
        </w:tc>
      </w:tr>
      <w:tr w14:paraId="46E3B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Align w:val="center"/>
          </w:tcPr>
          <w:p w14:paraId="4BB5571E">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28</w:t>
            </w:r>
          </w:p>
        </w:tc>
        <w:tc>
          <w:tcPr>
            <w:tcW w:w="2385" w:type="dxa"/>
            <w:vAlign w:val="center"/>
          </w:tcPr>
          <w:p w14:paraId="7B1FEB4A">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履约保证金</w:t>
            </w:r>
          </w:p>
        </w:tc>
        <w:tc>
          <w:tcPr>
            <w:tcW w:w="6019" w:type="dxa"/>
            <w:vAlign w:val="center"/>
          </w:tcPr>
          <w:p w14:paraId="1E391DFE">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 xml:space="preserve">本项目不收取履约保证金 </w:t>
            </w:r>
          </w:p>
        </w:tc>
      </w:tr>
      <w:tr w14:paraId="055F3E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Align w:val="center"/>
          </w:tcPr>
          <w:p w14:paraId="6461158E">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29.5</w:t>
            </w:r>
          </w:p>
        </w:tc>
        <w:tc>
          <w:tcPr>
            <w:tcW w:w="2385" w:type="dxa"/>
            <w:vAlign w:val="center"/>
          </w:tcPr>
          <w:p w14:paraId="3F1E4DE4">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签订合同携带的材料</w:t>
            </w:r>
          </w:p>
        </w:tc>
        <w:tc>
          <w:tcPr>
            <w:tcW w:w="6019" w:type="dxa"/>
            <w:vAlign w:val="center"/>
          </w:tcPr>
          <w:p w14:paraId="5C6007EC">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使用的有效CA证书加盖单位电子公章</w:t>
            </w:r>
          </w:p>
        </w:tc>
      </w:tr>
      <w:tr w14:paraId="2DA64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Merge w:val="restart"/>
            <w:vAlign w:val="center"/>
          </w:tcPr>
          <w:p w14:paraId="7F188ECE">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31.2</w:t>
            </w:r>
          </w:p>
        </w:tc>
        <w:tc>
          <w:tcPr>
            <w:tcW w:w="2385" w:type="dxa"/>
            <w:vAlign w:val="center"/>
          </w:tcPr>
          <w:p w14:paraId="7A75A01E">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接收质疑函方式</w:t>
            </w:r>
          </w:p>
        </w:tc>
        <w:tc>
          <w:tcPr>
            <w:tcW w:w="6019" w:type="dxa"/>
            <w:vAlign w:val="center"/>
          </w:tcPr>
          <w:p w14:paraId="15914BDD">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以书面形式</w:t>
            </w:r>
          </w:p>
        </w:tc>
      </w:tr>
      <w:tr w14:paraId="6AE8A0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Merge w:val="continue"/>
            <w:vAlign w:val="center"/>
          </w:tcPr>
          <w:p w14:paraId="7ED37038">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p>
        </w:tc>
        <w:tc>
          <w:tcPr>
            <w:tcW w:w="2385" w:type="dxa"/>
            <w:vAlign w:val="center"/>
          </w:tcPr>
          <w:p w14:paraId="0B7DEB07">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质疑联系部门及联系方式</w:t>
            </w:r>
          </w:p>
        </w:tc>
        <w:tc>
          <w:tcPr>
            <w:tcW w:w="6019" w:type="dxa"/>
            <w:vAlign w:val="center"/>
          </w:tcPr>
          <w:p w14:paraId="53556E46">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（1）广西中信恒泰工程顾问有限公司；</w:t>
            </w:r>
          </w:p>
          <w:p w14:paraId="1D9DF3AB">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联系电话：0771-2215359</w:t>
            </w:r>
          </w:p>
          <w:p w14:paraId="66013CDC">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通讯地址：</w:t>
            </w:r>
            <w:r>
              <w:rPr>
                <w:rFonts w:hint="eastAsia" w:ascii="仿宋" w:hAnsi="仿宋" w:eastAsia="仿宋" w:cs="仿宋"/>
                <w:kern w:val="0"/>
                <w:szCs w:val="21"/>
                <w:highlight w:val="none"/>
              </w:rPr>
              <w:t>南宁市青秀区云景路69号南宁市轨道交通运营控制中心B楼8层</w:t>
            </w:r>
          </w:p>
          <w:p w14:paraId="7B5BB1C7">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（2）</w:t>
            </w:r>
            <w:r>
              <w:rPr>
                <w:rFonts w:hint="eastAsia" w:ascii="仿宋" w:hAnsi="仿宋" w:eastAsia="仿宋" w:cs="仿宋"/>
                <w:kern w:val="0"/>
                <w:szCs w:val="21"/>
                <w:highlight w:val="none"/>
              </w:rPr>
              <w:t>南宁市交通运输局</w:t>
            </w:r>
            <w:r>
              <w:rPr>
                <w:rFonts w:hint="eastAsia" w:ascii="仿宋" w:hAnsi="仿宋" w:eastAsia="仿宋" w:cs="仿宋"/>
                <w:szCs w:val="21"/>
                <w:highlight w:val="none"/>
              </w:rPr>
              <w:t>；</w:t>
            </w:r>
          </w:p>
          <w:p w14:paraId="760CE6C9">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联系电话：</w:t>
            </w:r>
            <w:r>
              <w:rPr>
                <w:rFonts w:hint="eastAsia" w:ascii="仿宋" w:hAnsi="仿宋" w:eastAsia="仿宋" w:cs="仿宋"/>
                <w:szCs w:val="21"/>
                <w:highlight w:val="none"/>
                <w:lang w:eastAsia="zh-CN"/>
              </w:rPr>
              <w:t>0771-5857665</w:t>
            </w:r>
          </w:p>
          <w:p w14:paraId="04A36C54">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lang w:eastAsia="zh-CN"/>
              </w:rPr>
            </w:pPr>
            <w:r>
              <w:rPr>
                <w:rFonts w:hint="eastAsia" w:ascii="仿宋" w:hAnsi="仿宋" w:eastAsia="仿宋" w:cs="仿宋"/>
                <w:szCs w:val="21"/>
                <w:highlight w:val="none"/>
              </w:rPr>
              <w:t>通讯地址：</w:t>
            </w:r>
            <w:r>
              <w:rPr>
                <w:rFonts w:hint="eastAsia" w:ascii="仿宋" w:hAnsi="仿宋" w:eastAsia="仿宋" w:cs="仿宋"/>
                <w:kern w:val="0"/>
                <w:szCs w:val="21"/>
                <w:highlight w:val="none"/>
                <w:lang w:eastAsia="zh-CN"/>
              </w:rPr>
              <w:t>南宁市青秀区滨湖路80号</w:t>
            </w:r>
          </w:p>
        </w:tc>
      </w:tr>
      <w:tr w14:paraId="22754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Merge w:val="continue"/>
            <w:vAlign w:val="center"/>
          </w:tcPr>
          <w:p w14:paraId="437835D1">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p>
        </w:tc>
        <w:tc>
          <w:tcPr>
            <w:tcW w:w="2385" w:type="dxa"/>
            <w:vAlign w:val="center"/>
          </w:tcPr>
          <w:p w14:paraId="17D106C0">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现场提交质疑办理业务时间</w:t>
            </w:r>
          </w:p>
        </w:tc>
        <w:tc>
          <w:tcPr>
            <w:tcW w:w="6019" w:type="dxa"/>
            <w:vAlign w:val="center"/>
          </w:tcPr>
          <w:p w14:paraId="223A03AA">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质疑期内每个工作日</w:t>
            </w:r>
            <w:r>
              <w:rPr>
                <w:rFonts w:hint="eastAsia" w:ascii="仿宋" w:hAnsi="仿宋" w:eastAsia="仿宋" w:cs="仿宋"/>
                <w:szCs w:val="21"/>
                <w:highlight w:val="none"/>
                <w:u w:val="single"/>
              </w:rPr>
              <w:t>8</w:t>
            </w:r>
            <w:r>
              <w:rPr>
                <w:rFonts w:hint="eastAsia" w:ascii="仿宋" w:hAnsi="仿宋" w:eastAsia="仿宋" w:cs="仿宋"/>
                <w:szCs w:val="21"/>
                <w:highlight w:val="none"/>
              </w:rPr>
              <w:t>时</w:t>
            </w:r>
            <w:r>
              <w:rPr>
                <w:rFonts w:hint="eastAsia" w:ascii="仿宋" w:hAnsi="仿宋" w:eastAsia="仿宋" w:cs="仿宋"/>
                <w:szCs w:val="21"/>
                <w:highlight w:val="none"/>
                <w:u w:val="single"/>
              </w:rPr>
              <w:t>30</w:t>
            </w:r>
            <w:r>
              <w:rPr>
                <w:rFonts w:hint="eastAsia" w:ascii="仿宋" w:hAnsi="仿宋" w:eastAsia="仿宋" w:cs="仿宋"/>
                <w:szCs w:val="21"/>
                <w:highlight w:val="none"/>
              </w:rPr>
              <w:t>分到</w:t>
            </w:r>
            <w:r>
              <w:rPr>
                <w:rFonts w:hint="eastAsia" w:ascii="仿宋" w:hAnsi="仿宋" w:eastAsia="仿宋" w:cs="仿宋"/>
                <w:szCs w:val="21"/>
                <w:highlight w:val="none"/>
                <w:u w:val="single"/>
              </w:rPr>
              <w:t>12</w:t>
            </w:r>
            <w:r>
              <w:rPr>
                <w:rFonts w:hint="eastAsia" w:ascii="仿宋" w:hAnsi="仿宋" w:eastAsia="仿宋" w:cs="仿宋"/>
                <w:szCs w:val="21"/>
                <w:highlight w:val="none"/>
              </w:rPr>
              <w:t>时</w:t>
            </w:r>
            <w:r>
              <w:rPr>
                <w:rFonts w:hint="eastAsia" w:ascii="仿宋" w:hAnsi="仿宋" w:eastAsia="仿宋" w:cs="仿宋"/>
                <w:szCs w:val="21"/>
                <w:highlight w:val="none"/>
                <w:u w:val="single"/>
              </w:rPr>
              <w:t xml:space="preserve">00 </w:t>
            </w:r>
            <w:r>
              <w:rPr>
                <w:rFonts w:hint="eastAsia" w:ascii="仿宋" w:hAnsi="仿宋" w:eastAsia="仿宋" w:cs="仿宋"/>
                <w:szCs w:val="21"/>
                <w:highlight w:val="none"/>
              </w:rPr>
              <w:t>分，</w:t>
            </w:r>
            <w:r>
              <w:rPr>
                <w:rFonts w:hint="eastAsia" w:ascii="仿宋" w:hAnsi="仿宋" w:eastAsia="仿宋" w:cs="仿宋"/>
                <w:szCs w:val="21"/>
                <w:highlight w:val="none"/>
                <w:u w:val="single"/>
              </w:rPr>
              <w:t>1</w:t>
            </w:r>
            <w:r>
              <w:rPr>
                <w:rFonts w:hint="eastAsia" w:ascii="仿宋" w:hAnsi="仿宋" w:eastAsia="仿宋" w:cs="仿宋"/>
                <w:szCs w:val="21"/>
                <w:highlight w:val="none"/>
                <w:u w:val="single"/>
                <w:lang w:val="en-US" w:eastAsia="zh-CN"/>
              </w:rPr>
              <w:t>4</w:t>
            </w:r>
            <w:r>
              <w:rPr>
                <w:rFonts w:hint="eastAsia" w:ascii="仿宋" w:hAnsi="仿宋" w:eastAsia="仿宋" w:cs="仿宋"/>
                <w:szCs w:val="21"/>
                <w:highlight w:val="none"/>
              </w:rPr>
              <w:t>时</w:t>
            </w:r>
            <w:r>
              <w:rPr>
                <w:rFonts w:hint="eastAsia" w:ascii="仿宋" w:hAnsi="仿宋" w:eastAsia="仿宋" w:cs="仿宋"/>
                <w:szCs w:val="21"/>
                <w:highlight w:val="none"/>
                <w:u w:val="single"/>
                <w:lang w:val="en-US" w:eastAsia="zh-CN"/>
              </w:rPr>
              <w:t>3</w:t>
            </w:r>
            <w:r>
              <w:rPr>
                <w:rFonts w:hint="eastAsia" w:ascii="仿宋" w:hAnsi="仿宋" w:eastAsia="仿宋" w:cs="仿宋"/>
                <w:szCs w:val="21"/>
                <w:highlight w:val="none"/>
                <w:u w:val="single"/>
              </w:rPr>
              <w:t>0</w:t>
            </w:r>
            <w:r>
              <w:rPr>
                <w:rFonts w:hint="eastAsia" w:ascii="仿宋" w:hAnsi="仿宋" w:eastAsia="仿宋" w:cs="仿宋"/>
                <w:szCs w:val="21"/>
                <w:highlight w:val="none"/>
              </w:rPr>
              <w:t>分到</w:t>
            </w:r>
            <w:r>
              <w:rPr>
                <w:rFonts w:hint="eastAsia" w:ascii="仿宋" w:hAnsi="仿宋" w:eastAsia="仿宋" w:cs="仿宋"/>
                <w:szCs w:val="21"/>
                <w:highlight w:val="none"/>
                <w:u w:val="single"/>
              </w:rPr>
              <w:t>17</w:t>
            </w:r>
            <w:r>
              <w:rPr>
                <w:rFonts w:hint="eastAsia" w:ascii="仿宋" w:hAnsi="仿宋" w:eastAsia="仿宋" w:cs="仿宋"/>
                <w:szCs w:val="21"/>
                <w:highlight w:val="none"/>
              </w:rPr>
              <w:t>时</w:t>
            </w:r>
            <w:r>
              <w:rPr>
                <w:rFonts w:hint="eastAsia" w:ascii="仿宋" w:hAnsi="仿宋" w:eastAsia="仿宋" w:cs="仿宋"/>
                <w:szCs w:val="21"/>
                <w:highlight w:val="none"/>
                <w:u w:val="single"/>
              </w:rPr>
              <w:t>30</w:t>
            </w:r>
            <w:r>
              <w:rPr>
                <w:rFonts w:hint="eastAsia" w:ascii="仿宋" w:hAnsi="仿宋" w:eastAsia="仿宋" w:cs="仿宋"/>
                <w:szCs w:val="21"/>
                <w:highlight w:val="none"/>
              </w:rPr>
              <w:t>分</w:t>
            </w:r>
          </w:p>
        </w:tc>
      </w:tr>
      <w:tr w14:paraId="62513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Align w:val="center"/>
          </w:tcPr>
          <w:p w14:paraId="01774E67">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31.6</w:t>
            </w:r>
          </w:p>
        </w:tc>
        <w:tc>
          <w:tcPr>
            <w:tcW w:w="2385" w:type="dxa"/>
            <w:vAlign w:val="center"/>
          </w:tcPr>
          <w:p w14:paraId="75B33054">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受理投诉方式</w:t>
            </w:r>
          </w:p>
        </w:tc>
        <w:tc>
          <w:tcPr>
            <w:tcW w:w="6019" w:type="dxa"/>
            <w:vAlign w:val="center"/>
          </w:tcPr>
          <w:p w14:paraId="5B0A018D">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1、受理方式：纸质方式受理，投诉书正、副本（经过质疑的事项才可投诉）。</w:t>
            </w:r>
          </w:p>
          <w:p w14:paraId="3864BFF5">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2、邮寄地址：</w:t>
            </w:r>
          </w:p>
          <w:p w14:paraId="75135EBE">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名称：</w:t>
            </w:r>
            <w:bookmarkStart w:id="73" w:name="PO_3000001867_PM036"/>
            <w:r>
              <w:rPr>
                <w:rFonts w:hint="eastAsia" w:ascii="仿宋" w:hAnsi="仿宋" w:eastAsia="仿宋" w:cs="仿宋"/>
                <w:szCs w:val="21"/>
                <w:highlight w:val="none"/>
              </w:rPr>
              <w:t>南宁市财政局政府采购监督管理科</w:t>
            </w:r>
            <w:bookmarkEnd w:id="73"/>
          </w:p>
          <w:p w14:paraId="3B3CD812">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地址：</w:t>
            </w:r>
            <w:bookmarkStart w:id="74" w:name="PO_3000001867_PM039"/>
            <w:r>
              <w:rPr>
                <w:rFonts w:hint="eastAsia" w:ascii="仿宋" w:hAnsi="仿宋" w:eastAsia="仿宋" w:cs="仿宋"/>
                <w:szCs w:val="21"/>
                <w:highlight w:val="none"/>
              </w:rPr>
              <w:t xml:space="preserve">广西南宁市青秀区东葛路129号 </w:t>
            </w:r>
            <w:bookmarkEnd w:id="74"/>
          </w:p>
          <w:p w14:paraId="673DBA74">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szCs w:val="21"/>
                <w:highlight w:val="none"/>
              </w:rPr>
              <w:t>联系电话：</w:t>
            </w:r>
            <w:bookmarkStart w:id="75" w:name="PO_3000001867_PM038"/>
            <w:r>
              <w:rPr>
                <w:rFonts w:hint="eastAsia" w:ascii="仿宋" w:hAnsi="仿宋" w:eastAsia="仿宋" w:cs="仿宋"/>
                <w:szCs w:val="21"/>
                <w:highlight w:val="none"/>
              </w:rPr>
              <w:t>0771-2189091</w:t>
            </w:r>
            <w:bookmarkEnd w:id="75"/>
          </w:p>
        </w:tc>
      </w:tr>
      <w:tr w14:paraId="2F3CB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Align w:val="center"/>
          </w:tcPr>
          <w:p w14:paraId="2C8A6CA4">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33</w:t>
            </w:r>
          </w:p>
        </w:tc>
        <w:tc>
          <w:tcPr>
            <w:tcW w:w="2385" w:type="dxa"/>
            <w:vAlign w:val="center"/>
          </w:tcPr>
          <w:p w14:paraId="717A381F">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采购代理费</w:t>
            </w:r>
          </w:p>
        </w:tc>
        <w:tc>
          <w:tcPr>
            <w:tcW w:w="6019" w:type="dxa"/>
            <w:vAlign w:val="center"/>
          </w:tcPr>
          <w:p w14:paraId="53802F51">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kern w:val="0"/>
                <w:szCs w:val="21"/>
                <w:highlight w:val="none"/>
              </w:rPr>
            </w:pPr>
            <w:r>
              <w:rPr>
                <w:rFonts w:hint="eastAsia" w:ascii="仿宋" w:hAnsi="仿宋" w:eastAsia="仿宋" w:cs="仿宋"/>
                <w:kern w:val="0"/>
                <w:szCs w:val="21"/>
                <w:highlight w:val="none"/>
              </w:rPr>
              <w:t>1.是否收取采购代理费：</w:t>
            </w:r>
          </w:p>
          <w:p w14:paraId="095C807A">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kern w:val="0"/>
                <w:szCs w:val="21"/>
                <w:highlight w:val="none"/>
              </w:rPr>
            </w:pPr>
            <w:r>
              <w:rPr>
                <w:rFonts w:hint="eastAsia" w:ascii="仿宋" w:hAnsi="仿宋" w:eastAsia="仿宋" w:cs="仿宋"/>
                <w:szCs w:val="21"/>
                <w:highlight w:val="none"/>
              </w:rPr>
              <w:t>☑</w:t>
            </w:r>
            <w:r>
              <w:rPr>
                <w:rFonts w:hint="eastAsia" w:ascii="仿宋" w:hAnsi="仿宋" w:eastAsia="仿宋" w:cs="仿宋"/>
                <w:kern w:val="0"/>
                <w:szCs w:val="21"/>
                <w:highlight w:val="none"/>
              </w:rPr>
              <w:t xml:space="preserve">是   </w:t>
            </w:r>
            <w:r>
              <w:rPr>
                <w:rFonts w:hint="eastAsia" w:ascii="仿宋" w:hAnsi="仿宋" w:eastAsia="仿宋" w:cs="仿宋"/>
                <w:highlight w:val="none"/>
              </w:rPr>
              <w:t>□ 否</w:t>
            </w:r>
          </w:p>
          <w:p w14:paraId="513CEDFF">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kern w:val="0"/>
                <w:szCs w:val="21"/>
                <w:highlight w:val="none"/>
              </w:rPr>
            </w:pPr>
            <w:r>
              <w:rPr>
                <w:rFonts w:hint="eastAsia" w:ascii="仿宋" w:hAnsi="仿宋" w:eastAsia="仿宋" w:cs="仿宋"/>
                <w:kern w:val="0"/>
                <w:szCs w:val="21"/>
                <w:highlight w:val="none"/>
              </w:rPr>
              <w:t>2.采购代理费支付方式：</w:t>
            </w:r>
          </w:p>
          <w:p w14:paraId="5F781E29">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kern w:val="0"/>
                <w:szCs w:val="21"/>
                <w:highlight w:val="none"/>
              </w:rPr>
            </w:pPr>
            <w:r>
              <w:rPr>
                <w:rFonts w:hint="eastAsia" w:ascii="仿宋" w:hAnsi="仿宋" w:eastAsia="仿宋" w:cs="仿宋"/>
                <w:szCs w:val="21"/>
                <w:highlight w:val="none"/>
              </w:rPr>
              <w:t>☑</w:t>
            </w:r>
            <w:r>
              <w:rPr>
                <w:rFonts w:hint="eastAsia" w:ascii="仿宋" w:hAnsi="仿宋" w:eastAsia="仿宋" w:cs="仿宋"/>
                <w:kern w:val="0"/>
                <w:szCs w:val="21"/>
                <w:highlight w:val="none"/>
              </w:rPr>
              <w:t>本项目代理服务费由</w:t>
            </w:r>
            <w:r>
              <w:rPr>
                <w:rFonts w:hint="eastAsia" w:ascii="仿宋" w:hAnsi="仿宋" w:eastAsia="仿宋" w:cs="仿宋"/>
                <w:kern w:val="0"/>
                <w:szCs w:val="21"/>
                <w:highlight w:val="none"/>
                <w:u w:val="single"/>
              </w:rPr>
              <w:t>成交供应商</w:t>
            </w:r>
            <w:r>
              <w:rPr>
                <w:rFonts w:hint="eastAsia" w:ascii="仿宋" w:hAnsi="仿宋" w:eastAsia="仿宋" w:cs="仿宋"/>
                <w:kern w:val="0"/>
                <w:szCs w:val="21"/>
                <w:highlight w:val="none"/>
              </w:rPr>
              <w:t>领取成交通知书前，一次性向采购代理机构支付。</w:t>
            </w:r>
          </w:p>
          <w:p w14:paraId="0FBF8FC3">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kern w:val="0"/>
                <w:szCs w:val="21"/>
                <w:highlight w:val="none"/>
              </w:rPr>
            </w:pPr>
            <w:r>
              <w:rPr>
                <w:rFonts w:hint="eastAsia" w:ascii="仿宋" w:hAnsi="仿宋" w:eastAsia="仿宋" w:cs="仿宋"/>
                <w:kern w:val="0"/>
                <w:szCs w:val="21"/>
                <w:highlight w:val="none"/>
              </w:rPr>
              <w:t>□采购人支付。</w:t>
            </w:r>
          </w:p>
          <w:p w14:paraId="25A8F344">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kern w:val="0"/>
                <w:szCs w:val="21"/>
                <w:highlight w:val="none"/>
              </w:rPr>
            </w:pPr>
            <w:r>
              <w:rPr>
                <w:rFonts w:hint="eastAsia" w:ascii="仿宋" w:hAnsi="仿宋" w:eastAsia="仿宋" w:cs="仿宋"/>
                <w:kern w:val="0"/>
                <w:szCs w:val="21"/>
                <w:highlight w:val="none"/>
              </w:rPr>
              <w:t>3.采购代理费收取标准：</w:t>
            </w:r>
            <w:bookmarkStart w:id="76" w:name="PO_3000001868_PM025"/>
            <w:r>
              <w:rPr>
                <w:rFonts w:hint="eastAsia" w:ascii="仿宋" w:hAnsi="仿宋" w:eastAsia="仿宋" w:cs="仿宋"/>
                <w:kern w:val="0"/>
                <w:szCs w:val="21"/>
                <w:highlight w:val="none"/>
              </w:rPr>
              <w:t>以成交金额为计费额，</w:t>
            </w:r>
            <w:r>
              <w:rPr>
                <w:rFonts w:hint="eastAsia" w:ascii="仿宋" w:hAnsi="仿宋" w:eastAsia="仿宋" w:cs="仿宋"/>
                <w:kern w:val="0"/>
                <w:szCs w:val="21"/>
                <w:highlight w:val="none"/>
                <w:lang w:val="en-US" w:eastAsia="zh-CN"/>
              </w:rPr>
              <w:t>参照</w:t>
            </w:r>
            <w:r>
              <w:rPr>
                <w:rFonts w:hint="eastAsia" w:ascii="仿宋" w:hAnsi="仿宋" w:eastAsia="仿宋" w:cs="仿宋"/>
                <w:kern w:val="0"/>
                <w:szCs w:val="21"/>
                <w:highlight w:val="none"/>
              </w:rPr>
              <w:t>《招标代理服务收费管理暂行办法》（计价格〔2002〕1980号）及国家发展改革委办公厅《关于招标代理服务收费有关问题的通知》（发改办价格〔2003〕857号）规定的【□货物类；□工程类；☑服务类】收费标准计取，</w:t>
            </w:r>
            <w:r>
              <w:rPr>
                <w:rFonts w:hint="eastAsia" w:ascii="仿宋" w:hAnsi="仿宋" w:eastAsia="仿宋" w:cs="仿宋"/>
                <w:kern w:val="0"/>
                <w:szCs w:val="21"/>
                <w:highlight w:val="none"/>
                <w:lang w:eastAsia="zh-CN"/>
              </w:rPr>
              <w:t>不足八千按八千收取</w:t>
            </w:r>
            <w:r>
              <w:rPr>
                <w:rFonts w:hint="eastAsia" w:ascii="仿宋" w:hAnsi="仿宋" w:eastAsia="仿宋" w:cs="仿宋"/>
                <w:kern w:val="0"/>
                <w:szCs w:val="21"/>
                <w:highlight w:val="none"/>
              </w:rPr>
              <w:t>。</w:t>
            </w:r>
          </w:p>
          <w:bookmarkEnd w:id="76"/>
          <w:p w14:paraId="25D53ED6">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kern w:val="0"/>
                <w:szCs w:val="21"/>
                <w:highlight w:val="none"/>
              </w:rPr>
            </w:pPr>
            <w:r>
              <w:rPr>
                <w:rFonts w:hint="eastAsia" w:ascii="仿宋" w:hAnsi="仿宋" w:eastAsia="仿宋" w:cs="仿宋"/>
                <w:kern w:val="0"/>
                <w:szCs w:val="21"/>
                <w:highlight w:val="none"/>
              </w:rPr>
              <w:t>4. 采购代理费收取银行账户</w:t>
            </w:r>
          </w:p>
          <w:p w14:paraId="5490477C">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kern w:val="0"/>
                <w:szCs w:val="21"/>
                <w:highlight w:val="none"/>
              </w:rPr>
            </w:pPr>
            <w:r>
              <w:rPr>
                <w:rFonts w:hint="eastAsia" w:ascii="仿宋" w:hAnsi="仿宋" w:eastAsia="仿宋" w:cs="仿宋"/>
                <w:kern w:val="0"/>
                <w:szCs w:val="21"/>
                <w:highlight w:val="none"/>
              </w:rPr>
              <w:t>账户名称：广西中信恒泰工程顾问有限公司</w:t>
            </w:r>
          </w:p>
          <w:p w14:paraId="7385B03A">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kern w:val="0"/>
                <w:szCs w:val="21"/>
                <w:highlight w:val="none"/>
              </w:rPr>
            </w:pPr>
            <w:r>
              <w:rPr>
                <w:rFonts w:hint="eastAsia" w:ascii="仿宋" w:hAnsi="仿宋" w:eastAsia="仿宋" w:cs="仿宋"/>
                <w:kern w:val="0"/>
                <w:szCs w:val="21"/>
                <w:highlight w:val="none"/>
              </w:rPr>
              <w:t>开户银行：建行南宁市金湖广场支行</w:t>
            </w:r>
          </w:p>
          <w:p w14:paraId="4DCC3F75">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kern w:val="0"/>
                <w:szCs w:val="21"/>
                <w:highlight w:val="none"/>
              </w:rPr>
            </w:pPr>
            <w:r>
              <w:rPr>
                <w:rFonts w:hint="eastAsia" w:ascii="仿宋" w:hAnsi="仿宋" w:eastAsia="仿宋" w:cs="仿宋"/>
                <w:kern w:val="0"/>
                <w:szCs w:val="21"/>
                <w:highlight w:val="none"/>
              </w:rPr>
              <w:t>银行账号：4500 1604 2660 5250 2851</w:t>
            </w:r>
          </w:p>
          <w:p w14:paraId="4883323D">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kern w:val="0"/>
                <w:szCs w:val="21"/>
                <w:highlight w:val="none"/>
              </w:rPr>
            </w:pPr>
            <w:r>
              <w:rPr>
                <w:rFonts w:hint="eastAsia" w:ascii="仿宋" w:hAnsi="仿宋" w:eastAsia="仿宋" w:cs="仿宋"/>
                <w:kern w:val="0"/>
                <w:szCs w:val="21"/>
                <w:highlight w:val="none"/>
              </w:rPr>
              <w:t>开户行行号：105611042538</w:t>
            </w:r>
          </w:p>
        </w:tc>
      </w:tr>
      <w:tr w14:paraId="5950E1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Align w:val="center"/>
          </w:tcPr>
          <w:p w14:paraId="673199DA">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34.1</w:t>
            </w:r>
          </w:p>
        </w:tc>
        <w:tc>
          <w:tcPr>
            <w:tcW w:w="2385" w:type="dxa"/>
            <w:vAlign w:val="center"/>
          </w:tcPr>
          <w:p w14:paraId="50661265">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解释</w:t>
            </w:r>
          </w:p>
        </w:tc>
        <w:tc>
          <w:tcPr>
            <w:tcW w:w="6019" w:type="dxa"/>
            <w:vAlign w:val="center"/>
          </w:tcPr>
          <w:p w14:paraId="15826174">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b/>
                <w:kern w:val="0"/>
                <w:szCs w:val="21"/>
                <w:highlight w:val="none"/>
              </w:rPr>
            </w:pPr>
            <w:r>
              <w:rPr>
                <w:rFonts w:hint="eastAsia" w:ascii="仿宋" w:hAnsi="仿宋" w:eastAsia="仿宋" w:cs="仿宋"/>
                <w:b/>
                <w:kern w:val="0"/>
                <w:szCs w:val="21"/>
                <w:highlight w:val="none"/>
              </w:rPr>
              <w:t>解释权：</w:t>
            </w:r>
            <w:r>
              <w:rPr>
                <w:rFonts w:hint="eastAsia" w:ascii="仿宋" w:hAnsi="仿宋" w:eastAsia="仿宋" w:cs="仿宋"/>
                <w:kern w:val="0"/>
                <w:szCs w:val="21"/>
                <w:highlight w:val="none"/>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ascii="仿宋" w:hAnsi="仿宋" w:eastAsia="仿宋" w:cs="仿宋"/>
                <w:b/>
                <w:kern w:val="0"/>
                <w:szCs w:val="21"/>
                <w:highlight w:val="none"/>
              </w:rPr>
              <w:t>由采购人或者采购代理机构负责解释。</w:t>
            </w:r>
          </w:p>
          <w:p w14:paraId="0F4486C6">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b/>
                <w:kern w:val="0"/>
                <w:szCs w:val="21"/>
                <w:highlight w:val="none"/>
              </w:rPr>
            </w:pPr>
            <w:r>
              <w:rPr>
                <w:rFonts w:hint="eastAsia" w:ascii="仿宋" w:hAnsi="仿宋" w:eastAsia="仿宋" w:cs="仿宋"/>
                <w:b/>
                <w:kern w:val="0"/>
                <w:szCs w:val="21"/>
                <w:highlight w:val="none"/>
              </w:rPr>
              <w:t>法律责任：</w:t>
            </w:r>
          </w:p>
          <w:p w14:paraId="4816C371">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kern w:val="0"/>
                <w:szCs w:val="21"/>
                <w:highlight w:val="none"/>
              </w:rPr>
            </w:pPr>
            <w:r>
              <w:rPr>
                <w:rFonts w:hint="eastAsia" w:ascii="仿宋" w:hAnsi="仿宋" w:eastAsia="仿宋" w:cs="仿宋"/>
                <w:b/>
                <w:kern w:val="0"/>
                <w:szCs w:val="21"/>
                <w:highlight w:val="none"/>
              </w:rPr>
              <w:t>1.</w:t>
            </w:r>
            <w:r>
              <w:rPr>
                <w:rFonts w:hint="eastAsia" w:ascii="仿宋" w:hAnsi="仿宋" w:eastAsia="仿宋" w:cs="仿宋"/>
                <w:kern w:val="0"/>
                <w:szCs w:val="21"/>
                <w:highlight w:val="none"/>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4EF7FCEB">
            <w:pPr>
              <w:keepNext w:val="0"/>
              <w:keepLines w:val="0"/>
              <w:pageBreakBefore w:val="0"/>
              <w:widowControl w:val="0"/>
              <w:suppressLineNumbers w:val="0"/>
              <w:kinsoku/>
              <w:wordWrap/>
              <w:overflowPunct/>
              <w:topLinePunct w:val="0"/>
              <w:bidi w:val="0"/>
              <w:adjustRightInd/>
              <w:spacing w:before="0" w:beforeAutospacing="0" w:after="0" w:afterAutospacing="0" w:line="400" w:lineRule="exact"/>
              <w:ind w:left="0" w:right="0"/>
              <w:jc w:val="both"/>
              <w:rPr>
                <w:rFonts w:hint="eastAsia" w:ascii="仿宋" w:hAnsi="仿宋" w:eastAsia="仿宋" w:cs="仿宋"/>
                <w:szCs w:val="21"/>
                <w:highlight w:val="none"/>
              </w:rPr>
            </w:pPr>
            <w:r>
              <w:rPr>
                <w:rFonts w:hint="eastAsia" w:ascii="仿宋" w:hAnsi="仿宋" w:eastAsia="仿宋" w:cs="仿宋"/>
                <w:b/>
                <w:szCs w:val="21"/>
                <w:highlight w:val="none"/>
              </w:rPr>
              <w:t>2. 本项目采购代理机构应严格按照“广西政府采购云平台”平台项目采购全流程电子化电子开评标规程执行项目采购活动，代理机构在“广西政府采购云平台”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35EA7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20" w:type="dxa"/>
            <w:vAlign w:val="center"/>
          </w:tcPr>
          <w:p w14:paraId="7D54FC4B">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34.2</w:t>
            </w:r>
          </w:p>
        </w:tc>
        <w:tc>
          <w:tcPr>
            <w:tcW w:w="2385" w:type="dxa"/>
            <w:vAlign w:val="center"/>
          </w:tcPr>
          <w:p w14:paraId="01425A3F">
            <w:pPr>
              <w:keepNext w:val="0"/>
              <w:keepLines w:val="0"/>
              <w:suppressLineNumbers w:val="0"/>
              <w:spacing w:before="0" w:beforeAutospacing="0" w:after="0" w:afterAutospacing="0" w:line="40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其他</w:t>
            </w:r>
          </w:p>
        </w:tc>
        <w:tc>
          <w:tcPr>
            <w:tcW w:w="6019" w:type="dxa"/>
            <w:vAlign w:val="center"/>
          </w:tcPr>
          <w:p w14:paraId="7589CC19">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kern w:val="0"/>
                <w:szCs w:val="21"/>
                <w:highlight w:val="none"/>
              </w:rPr>
            </w:pPr>
            <w:r>
              <w:rPr>
                <w:rFonts w:hint="eastAsia" w:ascii="仿宋" w:hAnsi="仿宋" w:eastAsia="仿宋" w:cs="仿宋"/>
                <w:kern w:val="0"/>
                <w:szCs w:val="21"/>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71CC99E8">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kern w:val="0"/>
                <w:szCs w:val="21"/>
                <w:highlight w:val="none"/>
              </w:rPr>
            </w:pPr>
            <w:r>
              <w:rPr>
                <w:rFonts w:hint="eastAsia" w:ascii="仿宋" w:hAnsi="仿宋" w:eastAsia="仿宋" w:cs="仿宋"/>
                <w:kern w:val="0"/>
                <w:szCs w:val="21"/>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3B33216F">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kern w:val="0"/>
                <w:szCs w:val="21"/>
                <w:highlight w:val="none"/>
              </w:rPr>
            </w:pPr>
            <w:r>
              <w:rPr>
                <w:rFonts w:hint="eastAsia" w:ascii="仿宋" w:hAnsi="仿宋" w:eastAsia="仿宋" w:cs="仿宋"/>
                <w:kern w:val="0"/>
                <w:szCs w:val="21"/>
                <w:highlight w:val="none"/>
              </w:rPr>
              <w:t>3.本磋商文件中描述供应商的“签字”是指供应商的法定代表人或者委托代理人亲自在文件规定签署处亲笔写上个人的名字的行为，私章、签字章、印鉴、影印等其他形式均不能代替亲笔签字。</w:t>
            </w:r>
          </w:p>
          <w:p w14:paraId="7E6AC0BF">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kern w:val="0"/>
                <w:szCs w:val="21"/>
                <w:highlight w:val="none"/>
              </w:rPr>
            </w:pPr>
            <w:r>
              <w:rPr>
                <w:rFonts w:hint="eastAsia" w:ascii="仿宋" w:hAnsi="仿宋" w:eastAsia="仿宋" w:cs="仿宋"/>
                <w:kern w:val="0"/>
                <w:szCs w:val="21"/>
                <w:highlight w:val="none"/>
              </w:rPr>
              <w:t>4.自然人竞标的，磋商文件规定盖公章处由自然人摁手指指印。</w:t>
            </w:r>
          </w:p>
          <w:p w14:paraId="7B16B11A">
            <w:pPr>
              <w:keepNext w:val="0"/>
              <w:keepLines w:val="0"/>
              <w:pageBreakBefore w:val="0"/>
              <w:widowControl w:val="0"/>
              <w:suppressLineNumbers w:val="0"/>
              <w:kinsoku/>
              <w:wordWrap/>
              <w:overflowPunct/>
              <w:topLinePunct w:val="0"/>
              <w:bidi w:val="0"/>
              <w:adjustRightInd/>
              <w:snapToGrid w:val="0"/>
              <w:spacing w:before="0" w:beforeAutospacing="0" w:after="0" w:afterAutospacing="0" w:line="400" w:lineRule="exact"/>
              <w:ind w:left="0" w:right="0"/>
              <w:jc w:val="both"/>
              <w:rPr>
                <w:rFonts w:hint="eastAsia" w:ascii="仿宋" w:hAnsi="仿宋" w:eastAsia="仿宋" w:cs="仿宋"/>
                <w:kern w:val="0"/>
                <w:szCs w:val="21"/>
                <w:highlight w:val="none"/>
              </w:rPr>
            </w:pPr>
            <w:r>
              <w:rPr>
                <w:rFonts w:hint="eastAsia" w:ascii="仿宋" w:hAnsi="仿宋" w:eastAsia="仿宋" w:cs="仿宋"/>
                <w:kern w:val="0"/>
                <w:szCs w:val="21"/>
                <w:highlight w:val="none"/>
              </w:rPr>
              <w:t>5.本磋商文件所称的“以上”“以下”“以内”“届满”，包括本数；所称的“不满”“超过”“以外”，不包括本数。</w:t>
            </w:r>
          </w:p>
        </w:tc>
      </w:tr>
    </w:tbl>
    <w:p w14:paraId="6D7A7C11">
      <w:pPr>
        <w:keepNext/>
        <w:keepLines/>
        <w:spacing w:before="260" w:after="260" w:line="420" w:lineRule="exact"/>
        <w:jc w:val="center"/>
        <w:outlineLvl w:val="1"/>
        <w:rPr>
          <w:rFonts w:hint="eastAsia" w:ascii="仿宋" w:hAnsi="仿宋" w:eastAsia="仿宋" w:cs="仿宋"/>
          <w:bCs/>
          <w:sz w:val="32"/>
          <w:szCs w:val="32"/>
          <w:highlight w:val="none"/>
        </w:rPr>
      </w:pPr>
      <w:r>
        <w:rPr>
          <w:rFonts w:hint="eastAsia" w:ascii="仿宋" w:hAnsi="仿宋" w:eastAsia="仿宋" w:cs="仿宋"/>
          <w:bCs/>
          <w:sz w:val="32"/>
          <w:szCs w:val="32"/>
          <w:highlight w:val="none"/>
        </w:rPr>
        <w:br w:type="page"/>
      </w:r>
      <w:bookmarkStart w:id="77" w:name="_Toc127516322"/>
      <w:bookmarkStart w:id="78" w:name="_Toc25854"/>
      <w:r>
        <w:rPr>
          <w:rFonts w:hint="eastAsia" w:ascii="仿宋" w:hAnsi="仿宋" w:eastAsia="仿宋" w:cs="仿宋"/>
          <w:b/>
          <w:sz w:val="32"/>
          <w:szCs w:val="32"/>
          <w:highlight w:val="none"/>
        </w:rPr>
        <w:t>第二节 供应商须知正文</w:t>
      </w:r>
      <w:bookmarkEnd w:id="77"/>
      <w:bookmarkEnd w:id="78"/>
    </w:p>
    <w:p w14:paraId="6FA28101">
      <w:pPr>
        <w:keepNext/>
        <w:keepLines/>
        <w:spacing w:line="440" w:lineRule="exact"/>
        <w:ind w:firstLine="422" w:firstLineChars="200"/>
        <w:outlineLvl w:val="2"/>
        <w:rPr>
          <w:rFonts w:hint="eastAsia" w:ascii="仿宋" w:hAnsi="仿宋" w:eastAsia="仿宋" w:cs="仿宋"/>
          <w:b/>
          <w:szCs w:val="21"/>
          <w:highlight w:val="none"/>
        </w:rPr>
      </w:pPr>
      <w:bookmarkStart w:id="79" w:name="_Toc127516323"/>
      <w:r>
        <w:rPr>
          <w:rFonts w:hint="eastAsia" w:ascii="仿宋" w:hAnsi="仿宋" w:eastAsia="仿宋" w:cs="仿宋"/>
          <w:b/>
          <w:szCs w:val="21"/>
          <w:highlight w:val="none"/>
        </w:rPr>
        <w:t>一、总则</w:t>
      </w:r>
      <w:bookmarkEnd w:id="79"/>
    </w:p>
    <w:p w14:paraId="00829C5C">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1.适用范围</w:t>
      </w:r>
    </w:p>
    <w:p w14:paraId="5952C694">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6FF9D1AF">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1.2</w:t>
      </w:r>
      <w:r>
        <w:rPr>
          <w:rFonts w:hint="eastAsia" w:ascii="仿宋" w:hAnsi="仿宋" w:eastAsia="仿宋" w:cs="仿宋"/>
          <w:spacing w:val="-6"/>
          <w:szCs w:val="21"/>
          <w:highlight w:val="none"/>
        </w:rPr>
        <w:t>本竞争性磋商文件（以下简称磋商文件）适用于本项目的所有采购程序和环节（法律、法规另有规定的，从其规定）。</w:t>
      </w:r>
    </w:p>
    <w:p w14:paraId="20249B12">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2.定义</w:t>
      </w:r>
    </w:p>
    <w:p w14:paraId="4D1F0991">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2.1“采购人”是指依法进行政府采购的国家机关、事业单位、团体组织。</w:t>
      </w:r>
    </w:p>
    <w:p w14:paraId="35FEE6CC">
      <w:pPr>
        <w:spacing w:line="440" w:lineRule="exact"/>
        <w:ind w:firstLine="420" w:firstLineChars="200"/>
        <w:rPr>
          <w:rFonts w:hint="eastAsia" w:ascii="仿宋" w:hAnsi="仿宋" w:eastAsia="仿宋" w:cs="仿宋"/>
          <w:szCs w:val="21"/>
          <w:highlight w:val="none"/>
          <w:u w:val="single"/>
        </w:rPr>
      </w:pPr>
      <w:r>
        <w:rPr>
          <w:rFonts w:hint="eastAsia" w:ascii="仿宋" w:hAnsi="仿宋" w:eastAsia="仿宋" w:cs="仿宋"/>
          <w:szCs w:val="21"/>
          <w:highlight w:val="none"/>
        </w:rPr>
        <w:t>2.2“采购代理机构”是指政府采购集中采购机构和集中采购机构以外的采购代理机构。</w:t>
      </w:r>
    </w:p>
    <w:p w14:paraId="64CCCDA8">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2.3“供应商”是指向采购人提供货物、工程或者服务的法人、其他组织或者自然人。</w:t>
      </w:r>
    </w:p>
    <w:p w14:paraId="6EFDB084">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2.4“服务”是指除货物和工程以外的其他政府采购对象。</w:t>
      </w:r>
    </w:p>
    <w:p w14:paraId="1780D9C0">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2.5“竞标”是指供应商按照本项目竞争性磋商公告或者邀请函规定的方式获取磋商文件、提交响应文件并希望获得标的的行为。</w:t>
      </w:r>
    </w:p>
    <w:p w14:paraId="56D91048">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2.6“响应文件”</w:t>
      </w:r>
      <w:r>
        <w:rPr>
          <w:rFonts w:hint="eastAsia" w:ascii="仿宋" w:hAnsi="仿宋" w:eastAsia="仿宋" w:cs="仿宋"/>
          <w:spacing w:val="-6"/>
          <w:szCs w:val="21"/>
          <w:highlight w:val="none"/>
        </w:rPr>
        <w:t>是指：供应商根据本磋商文件要求，编制包含资格证明、报价商务技术等所有内容的文件。</w:t>
      </w:r>
    </w:p>
    <w:p w14:paraId="48A3B635">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2.7“实质性要求”是指磋商文件中已经指明不满足则响应文件按无效响应处理的条款，或者不能负偏离的条款，或者采购需求中带“▲”的条款。</w:t>
      </w:r>
    </w:p>
    <w:p w14:paraId="04CEA71F">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2.8“正偏离”，是指响应文件对磋商文件“采购需求”中有关条款作出的响应优于条款要求并有利于采购人的情形。</w:t>
      </w:r>
    </w:p>
    <w:p w14:paraId="0CB46E24">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2.9“负偏离”，是指响应文件对磋商文件“采购需求”中有关条款作出的响应不满足条款要求，导致采购人要求不能得到满足的情形。</w:t>
      </w:r>
    </w:p>
    <w:p w14:paraId="62C712DE">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2.10“允许负偏离的条款”是指采购需求中的不属于“实质性要求”的条款。</w:t>
      </w:r>
    </w:p>
    <w:p w14:paraId="137F6C76">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2.11“书面形式”是指合同书、信件和数据电文（包括电报、电传、传真、电子数据交换和电子邮件）等可以有形地表现所载内容的形式。</w:t>
      </w:r>
    </w:p>
    <w:p w14:paraId="221AC96C">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2.12“首次报价”是指供应商提交的首次响应文件中的报价。</w:t>
      </w:r>
    </w:p>
    <w:p w14:paraId="3C6433B3">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2.13“评审报价”是指供应商提交的最后报价并经修正（如有）和政策功能价格扣除（如有）后的价格。</w:t>
      </w:r>
    </w:p>
    <w:p w14:paraId="7CFC0AFA">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3.供应商的资格条件</w:t>
      </w:r>
    </w:p>
    <w:p w14:paraId="0DA4F036">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供应商的资格条件详见“供应商须知前附表”。</w:t>
      </w:r>
    </w:p>
    <w:p w14:paraId="5AEE39C7">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4.磋商费用</w:t>
      </w:r>
    </w:p>
    <w:p w14:paraId="401F3A04">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供应商应承担参与本次采购活动有关的所有费用，包括但不限于、勘查现场、编制和提交响应文件、参加磋商与应答、签订合同等，不论竞标结果如何，均应自行承担。</w:t>
      </w:r>
    </w:p>
    <w:p w14:paraId="47161E04">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5.联合体竞标</w:t>
      </w:r>
    </w:p>
    <w:p w14:paraId="7F6A3810">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5.1本项目是否接受联合体竞标，详见“供应商须知前附表”。</w:t>
      </w:r>
    </w:p>
    <w:p w14:paraId="2C9F9805">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5.2如接受联合体竞标，联合体竞标要求详见“供应商须知前附表”。</w:t>
      </w:r>
    </w:p>
    <w:p w14:paraId="6C2D7D1A">
      <w:pPr>
        <w:spacing w:line="440" w:lineRule="exact"/>
        <w:ind w:firstLine="420" w:firstLineChars="200"/>
        <w:rPr>
          <w:rFonts w:hint="eastAsia" w:ascii="仿宋" w:hAnsi="仿宋" w:eastAsia="仿宋" w:cs="仿宋"/>
          <w:bCs/>
          <w:szCs w:val="21"/>
          <w:highlight w:val="none"/>
        </w:rPr>
      </w:pPr>
      <w:r>
        <w:rPr>
          <w:rFonts w:hint="eastAsia" w:ascii="仿宋" w:hAnsi="仿宋" w:eastAsia="仿宋" w:cs="仿宋"/>
          <w:szCs w:val="21"/>
          <w:highlight w:val="none"/>
        </w:rPr>
        <w:t>5.3</w:t>
      </w:r>
      <w:r>
        <w:rPr>
          <w:rFonts w:hint="eastAsia" w:ascii="仿宋" w:hAnsi="仿宋" w:eastAsia="仿宋" w:cs="仿宋"/>
          <w:bCs/>
          <w:szCs w:val="21"/>
          <w:highlight w:val="none"/>
        </w:rPr>
        <w:t>根据《政府采购促进中小企业发展暂行办法》（财库〔2020〕46号）第九条规定，接受大中型企业与小微企业组成联合体的采购项目，对于联合协议约定小微企业的合同份额占到合同总金额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6B69284A">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 xml:space="preserve">6.转包与分包             </w:t>
      </w:r>
    </w:p>
    <w:p w14:paraId="159FCAFD">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6.1本项目是否允许分包详见“供应商须知前附表”，本项目不允许违法分包。</w:t>
      </w:r>
    </w:p>
    <w:p w14:paraId="10B9F957">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6.2</w:t>
      </w:r>
      <w:r>
        <w:rPr>
          <w:rFonts w:hint="eastAsia" w:ascii="仿宋" w:hAnsi="仿宋" w:eastAsia="仿宋" w:cs="仿宋"/>
          <w:bCs/>
          <w:szCs w:val="21"/>
          <w:highlight w:val="none"/>
        </w:rPr>
        <w:t>根据《政府采购促进中小企业发展暂行办法》（财库〔2020〕46号）第九条规定，允许大中型企业向一家或者多家小微企业分包的采购项目，对于分包意向协议约定小微企业的合同份额占到合同总金额30%以上的，采购人、采购代理机构应当对大中型企业的报价给予4%-6%的扣除，用扣除后的价格参加评审。接受分包的小微企业与分包企业之间存在直接控股、管理关系的，不享受价格扣除优惠政策。</w:t>
      </w:r>
    </w:p>
    <w:p w14:paraId="44558121">
      <w:pPr>
        <w:spacing w:line="440" w:lineRule="exact"/>
        <w:ind w:firstLine="422" w:firstLineChars="200"/>
        <w:rPr>
          <w:rFonts w:hint="eastAsia" w:ascii="仿宋" w:hAnsi="仿宋" w:eastAsia="仿宋" w:cs="仿宋"/>
          <w:b/>
          <w:bCs/>
          <w:szCs w:val="21"/>
          <w:highlight w:val="none"/>
        </w:rPr>
      </w:pPr>
      <w:bookmarkStart w:id="80" w:name="_Toc254970532"/>
      <w:bookmarkStart w:id="81" w:name="_Toc254970673"/>
      <w:r>
        <w:rPr>
          <w:rFonts w:hint="eastAsia" w:ascii="仿宋" w:hAnsi="仿宋" w:eastAsia="仿宋" w:cs="仿宋"/>
          <w:b/>
          <w:bCs/>
          <w:szCs w:val="21"/>
          <w:highlight w:val="none"/>
        </w:rPr>
        <w:t>7.特别说明</w:t>
      </w:r>
      <w:bookmarkEnd w:id="80"/>
      <w:bookmarkEnd w:id="81"/>
    </w:p>
    <w:p w14:paraId="2E936C0A">
      <w:pPr>
        <w:spacing w:line="440" w:lineRule="exact"/>
        <w:ind w:firstLine="420" w:firstLineChars="200"/>
        <w:rPr>
          <w:rFonts w:hint="eastAsia" w:ascii="仿宋" w:hAnsi="仿宋" w:eastAsia="仿宋" w:cs="仿宋"/>
          <w:szCs w:val="21"/>
          <w:highlight w:val="none"/>
        </w:rPr>
      </w:pPr>
      <w:bookmarkStart w:id="82" w:name="_8.1提供相同品牌产品且通过资格审查、符合性审查的不同投标人参加同一合"/>
      <w:bookmarkEnd w:id="82"/>
      <w:r>
        <w:rPr>
          <w:rFonts w:hint="eastAsia" w:ascii="仿宋" w:hAnsi="仿宋" w:eastAsia="仿宋" w:cs="仿宋"/>
          <w:szCs w:val="21"/>
          <w:highlight w:val="none"/>
        </w:rPr>
        <w:t>7.1</w:t>
      </w:r>
      <w:bookmarkStart w:id="83" w:name="_Hlk65832145"/>
      <w:r>
        <w:rPr>
          <w:rFonts w:hint="eastAsia" w:ascii="仿宋" w:hAnsi="仿宋" w:eastAsia="仿宋" w:cs="仿宋"/>
          <w:szCs w:val="21"/>
          <w:highlight w:val="none"/>
        </w:rPr>
        <w:t>如果本磋商文件要求提供供应商或制造商的资格、信誉、荣誉、业绩与企业认证等材料的，资格、信誉、荣誉、业绩与企业认证等必须为供应商或者制造商所拥有或自身获得 。</w:t>
      </w:r>
    </w:p>
    <w:bookmarkEnd w:id="83"/>
    <w:p w14:paraId="627D8EB5">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7.2供应商应仔细阅读磋商文件的所有内容，按照磋商文件的要求提交响应文件，并对所提供的全部资料的真实性承担法律责任。</w:t>
      </w:r>
    </w:p>
    <w:p w14:paraId="4BA0DAC9">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19BC27C0">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7.4在政府采购活动中，采购人员及相关人员与供应商有下列利害关系之一的，应当回避：</w:t>
      </w:r>
    </w:p>
    <w:p w14:paraId="2B9C5850">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（1）参加采购活动前3年内与供应商存在劳动关系；</w:t>
      </w:r>
    </w:p>
    <w:p w14:paraId="219D41C3">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（2）参加采购活动前3年内担任供应商的董事、监事；</w:t>
      </w:r>
    </w:p>
    <w:p w14:paraId="280A2906">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（3）参加采购活动前3年内是供应商的控股股东或者实际控制人；</w:t>
      </w:r>
    </w:p>
    <w:p w14:paraId="19A19913">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（4）与供应商的法定代表人或者负责人有夫妻、直系血亲、三代以内旁系血亲或者近姻亲关系；</w:t>
      </w:r>
    </w:p>
    <w:p w14:paraId="58591B20">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（5）与供应商有其他可能影响政府采购活动公平、公正进行的关系。</w:t>
      </w:r>
    </w:p>
    <w:p w14:paraId="44457E87">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0D9C4C95">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7.5有下列情形之一的视为供应商相互串通竞标，响应文件将被视为无效：</w:t>
      </w:r>
    </w:p>
    <w:p w14:paraId="6A654E97">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 xml:space="preserve">（1）不同供应商的响应文件由同一单位或者个人编制； </w:t>
      </w:r>
    </w:p>
    <w:p w14:paraId="14B7D06D">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（2）不同供应商委托同一单位或者个人办理竞标事宜；</w:t>
      </w:r>
    </w:p>
    <w:p w14:paraId="50299C4D">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（3）不同的供应商的响应文件载明的项目管理员为同一个人；</w:t>
      </w:r>
    </w:p>
    <w:p w14:paraId="15A40B0F">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（4）不同供应商的响应文件异常一致或者报价呈规律性差异；</w:t>
      </w:r>
    </w:p>
    <w:p w14:paraId="5BC4B5F6">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（5）不同供应商的响应文件相互混装；</w:t>
      </w:r>
    </w:p>
    <w:p w14:paraId="0C9B1F46">
      <w:pPr>
        <w:tabs>
          <w:tab w:val="left" w:pos="6931"/>
        </w:tabs>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（6）不同供应商的磋商保证金从同一单位或者个人账户转出。</w:t>
      </w:r>
      <w:r>
        <w:rPr>
          <w:rFonts w:hint="eastAsia" w:ascii="仿宋" w:hAnsi="仿宋" w:eastAsia="仿宋" w:cs="仿宋"/>
          <w:szCs w:val="21"/>
          <w:highlight w:val="none"/>
        </w:rPr>
        <w:tab/>
      </w:r>
    </w:p>
    <w:p w14:paraId="4D35084A">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7.6供应商有下列情形之一的，属于恶意串通行为，将报同级监督管理部门：</w:t>
      </w:r>
    </w:p>
    <w:p w14:paraId="10A7321E">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（1）供应商直接或者间接从采购人或者采购代理机构处获得其他供应商的相关信息并修改其响应文件；</w:t>
      </w:r>
    </w:p>
    <w:p w14:paraId="7DC496E0">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（2）供应商按照采购人或者采购代理机构的授意撤换、修改响应文件；</w:t>
      </w:r>
    </w:p>
    <w:p w14:paraId="283FFEEF">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（3）供应商之间协商报价、技术方案等响应文件或者响应文件的实质性内容；</w:t>
      </w:r>
    </w:p>
    <w:p w14:paraId="586094C3">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（4）属于同一集团、协会、商会等组织成员的供应商按照该组织要求协同参加政府采购活动；</w:t>
      </w:r>
    </w:p>
    <w:p w14:paraId="70515586">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（5）供应商之间事先约定一致抬高或者压低报价，或者在政府采购活动中事先约定轮流以高价位或者低价位成交，或者事先约定由某一特定供应商成交，然后再参加竞标；</w:t>
      </w:r>
    </w:p>
    <w:p w14:paraId="1BE38482">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（6）供应商之间商定部分供应商放弃参加政府采购活动或者放弃成交；</w:t>
      </w:r>
    </w:p>
    <w:p w14:paraId="28228220">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（7）供应商与采购人或者采购代理机构之间、供应商相互之间，为谋求特定供应商成交或者排斥其他供应商的其他串通行为。</w:t>
      </w:r>
    </w:p>
    <w:p w14:paraId="1E16944A">
      <w:pPr>
        <w:keepNext/>
        <w:keepLines/>
        <w:spacing w:line="440" w:lineRule="exact"/>
        <w:ind w:firstLine="422" w:firstLineChars="200"/>
        <w:outlineLvl w:val="2"/>
        <w:rPr>
          <w:rFonts w:hint="eastAsia" w:ascii="仿宋" w:hAnsi="仿宋" w:eastAsia="仿宋" w:cs="仿宋"/>
          <w:b/>
          <w:bCs/>
          <w:szCs w:val="21"/>
          <w:highlight w:val="none"/>
        </w:rPr>
      </w:pPr>
      <w:bookmarkStart w:id="84" w:name="_Toc254970534"/>
      <w:bookmarkStart w:id="85" w:name="_Toc254970675"/>
      <w:bookmarkStart w:id="86" w:name="_Toc127516324"/>
      <w:r>
        <w:rPr>
          <w:rFonts w:hint="eastAsia" w:ascii="仿宋" w:hAnsi="仿宋" w:eastAsia="仿宋" w:cs="仿宋"/>
          <w:b/>
          <w:bCs/>
          <w:szCs w:val="21"/>
          <w:highlight w:val="none"/>
        </w:rPr>
        <w:t>二、磋商文件</w:t>
      </w:r>
      <w:bookmarkEnd w:id="84"/>
      <w:bookmarkEnd w:id="85"/>
      <w:bookmarkEnd w:id="86"/>
    </w:p>
    <w:p w14:paraId="391D29D9">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8.磋商文件的构成</w:t>
      </w:r>
    </w:p>
    <w:p w14:paraId="31460CBC">
      <w:pPr>
        <w:spacing w:line="440" w:lineRule="exact"/>
        <w:ind w:firstLine="420" w:firstLineChars="200"/>
        <w:jc w:val="left"/>
        <w:rPr>
          <w:rFonts w:hint="eastAsia" w:ascii="仿宋" w:hAnsi="仿宋" w:eastAsia="仿宋" w:cs="仿宋"/>
          <w:szCs w:val="21"/>
          <w:highlight w:val="none"/>
        </w:rPr>
      </w:pPr>
      <w:r>
        <w:rPr>
          <w:rFonts w:hint="eastAsia" w:ascii="仿宋" w:hAnsi="仿宋" w:eastAsia="仿宋" w:cs="仿宋"/>
          <w:szCs w:val="21"/>
          <w:highlight w:val="none"/>
        </w:rPr>
        <w:t>第一章 竞争性磋商公告；</w:t>
      </w:r>
    </w:p>
    <w:p w14:paraId="601172BF">
      <w:pPr>
        <w:spacing w:line="440" w:lineRule="exact"/>
        <w:ind w:firstLine="420" w:firstLineChars="200"/>
        <w:jc w:val="left"/>
        <w:rPr>
          <w:rFonts w:hint="eastAsia" w:ascii="仿宋" w:hAnsi="仿宋" w:eastAsia="仿宋" w:cs="仿宋"/>
          <w:szCs w:val="21"/>
          <w:highlight w:val="none"/>
        </w:rPr>
      </w:pPr>
      <w:r>
        <w:rPr>
          <w:rFonts w:hint="eastAsia" w:ascii="仿宋" w:hAnsi="仿宋" w:eastAsia="仿宋" w:cs="仿宋"/>
          <w:szCs w:val="21"/>
          <w:highlight w:val="none"/>
        </w:rPr>
        <w:t>第二章 采购需求；</w:t>
      </w:r>
    </w:p>
    <w:p w14:paraId="607B6FA9">
      <w:pPr>
        <w:spacing w:line="440" w:lineRule="exact"/>
        <w:ind w:firstLine="420" w:firstLineChars="200"/>
        <w:jc w:val="left"/>
        <w:rPr>
          <w:rFonts w:hint="eastAsia" w:ascii="仿宋" w:hAnsi="仿宋" w:eastAsia="仿宋" w:cs="仿宋"/>
          <w:szCs w:val="21"/>
          <w:highlight w:val="none"/>
        </w:rPr>
      </w:pPr>
      <w:r>
        <w:rPr>
          <w:rFonts w:hint="eastAsia" w:ascii="仿宋" w:hAnsi="仿宋" w:eastAsia="仿宋" w:cs="仿宋"/>
          <w:szCs w:val="21"/>
          <w:highlight w:val="none"/>
        </w:rPr>
        <w:t xml:space="preserve">第三章 供应商须知； </w:t>
      </w:r>
    </w:p>
    <w:p w14:paraId="11EC8EB2">
      <w:pPr>
        <w:spacing w:line="440" w:lineRule="exact"/>
        <w:ind w:firstLine="420" w:firstLineChars="200"/>
        <w:jc w:val="left"/>
        <w:rPr>
          <w:rFonts w:hint="eastAsia" w:ascii="仿宋" w:hAnsi="仿宋" w:eastAsia="仿宋" w:cs="仿宋"/>
          <w:szCs w:val="21"/>
          <w:highlight w:val="none"/>
        </w:rPr>
      </w:pPr>
      <w:r>
        <w:rPr>
          <w:rFonts w:hint="eastAsia" w:ascii="仿宋" w:hAnsi="仿宋" w:eastAsia="仿宋" w:cs="仿宋"/>
          <w:szCs w:val="21"/>
          <w:highlight w:val="none"/>
        </w:rPr>
        <w:t>第四章 评审程序、评审方法和评审标准；</w:t>
      </w:r>
    </w:p>
    <w:p w14:paraId="65716864">
      <w:pPr>
        <w:spacing w:line="440" w:lineRule="exact"/>
        <w:ind w:firstLine="420" w:firstLineChars="200"/>
        <w:jc w:val="left"/>
        <w:rPr>
          <w:rFonts w:hint="eastAsia" w:ascii="仿宋" w:hAnsi="仿宋" w:eastAsia="仿宋" w:cs="仿宋"/>
          <w:szCs w:val="21"/>
          <w:highlight w:val="none"/>
        </w:rPr>
      </w:pPr>
      <w:r>
        <w:rPr>
          <w:rFonts w:hint="eastAsia" w:ascii="仿宋" w:hAnsi="仿宋" w:eastAsia="仿宋" w:cs="仿宋"/>
          <w:szCs w:val="21"/>
          <w:highlight w:val="none"/>
        </w:rPr>
        <w:t>第五章 响应文件格式；</w:t>
      </w:r>
    </w:p>
    <w:p w14:paraId="00642D07">
      <w:pPr>
        <w:spacing w:line="440" w:lineRule="exact"/>
        <w:ind w:firstLine="420" w:firstLineChars="200"/>
        <w:jc w:val="left"/>
        <w:rPr>
          <w:rFonts w:hint="eastAsia" w:ascii="仿宋" w:hAnsi="仿宋" w:eastAsia="仿宋" w:cs="仿宋"/>
          <w:szCs w:val="21"/>
          <w:highlight w:val="none"/>
        </w:rPr>
      </w:pPr>
      <w:r>
        <w:rPr>
          <w:rFonts w:hint="eastAsia" w:ascii="仿宋" w:hAnsi="仿宋" w:eastAsia="仿宋" w:cs="仿宋"/>
          <w:szCs w:val="21"/>
          <w:highlight w:val="none"/>
        </w:rPr>
        <w:t>第六章 合同文本；</w:t>
      </w:r>
    </w:p>
    <w:p w14:paraId="38A86F8F">
      <w:pPr>
        <w:spacing w:line="440" w:lineRule="exact"/>
        <w:ind w:firstLine="420" w:firstLineChars="200"/>
        <w:jc w:val="left"/>
        <w:rPr>
          <w:rFonts w:hint="eastAsia" w:ascii="仿宋" w:hAnsi="仿宋" w:eastAsia="仿宋" w:cs="仿宋"/>
          <w:szCs w:val="21"/>
          <w:highlight w:val="none"/>
        </w:rPr>
      </w:pPr>
      <w:r>
        <w:rPr>
          <w:rFonts w:hint="eastAsia" w:ascii="仿宋" w:hAnsi="仿宋" w:eastAsia="仿宋" w:cs="仿宋"/>
          <w:szCs w:val="21"/>
          <w:highlight w:val="none"/>
        </w:rPr>
        <w:t>第七章 质疑、投诉材料格式。</w:t>
      </w:r>
    </w:p>
    <w:p w14:paraId="405EF766">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9.供应商的询问</w:t>
      </w:r>
    </w:p>
    <w:p w14:paraId="3A93FB6F">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供应商应认真阅读磋商文件的采购需求，如供应商对磋商文件有疑问的，如要求采购人作出澄清或者修改的，供应商尽应在提交首次响应文件截止之日前，以书面形式向采购人、采购代理机构提出。</w:t>
      </w:r>
    </w:p>
    <w:p w14:paraId="4E8CFAA2">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10.磋商文件的澄清和修改</w:t>
      </w:r>
    </w:p>
    <w:p w14:paraId="2355A4A3">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73C55F2B">
      <w:pPr>
        <w:spacing w:line="440" w:lineRule="exact"/>
        <w:ind w:firstLine="422" w:firstLineChars="200"/>
        <w:rPr>
          <w:rFonts w:hint="eastAsia" w:ascii="仿宋" w:hAnsi="仿宋" w:eastAsia="仿宋" w:cs="仿宋"/>
          <w:b/>
          <w:szCs w:val="21"/>
          <w:highlight w:val="none"/>
        </w:rPr>
      </w:pPr>
      <w:r>
        <w:rPr>
          <w:rFonts w:hint="eastAsia" w:ascii="仿宋" w:hAnsi="仿宋" w:eastAsia="仿宋" w:cs="仿宋"/>
          <w:b/>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49A4CACB">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5日前，以书面形式（目前为网上公告和系统短信等形式）通知所有获取磋商文件的供应商，不足5日的，应当顺延提交首次响应文件截止之日。</w:t>
      </w:r>
    </w:p>
    <w:p w14:paraId="76010682">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10.4</w:t>
      </w:r>
      <w:r>
        <w:rPr>
          <w:rFonts w:hint="eastAsia" w:ascii="仿宋" w:hAnsi="仿宋" w:eastAsia="仿宋" w:cs="仿宋"/>
          <w:szCs w:val="21"/>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7531229A">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10.5  采购人和采购代理机构可以视采购具体情况，变更提交首次响应文件截止时间和竞谈时间，将变更时间将在“采购文件公告”中“七、其他补充事宜3.网上查询地址”规定的政府采购信息发布媒体上发布更正公告。</w:t>
      </w:r>
    </w:p>
    <w:p w14:paraId="1BED9B3C">
      <w:pPr>
        <w:spacing w:line="440" w:lineRule="exact"/>
        <w:ind w:firstLine="420" w:firstLineChars="200"/>
        <w:rPr>
          <w:rFonts w:hint="eastAsia" w:ascii="仿宋" w:hAnsi="仿宋" w:eastAsia="仿宋" w:cs="仿宋"/>
          <w:kern w:val="0"/>
          <w:szCs w:val="21"/>
          <w:highlight w:val="none"/>
        </w:rPr>
      </w:pPr>
      <w:r>
        <w:rPr>
          <w:rFonts w:hint="eastAsia" w:ascii="仿宋" w:hAnsi="仿宋" w:eastAsia="仿宋" w:cs="仿宋"/>
          <w:kern w:val="0"/>
          <w:szCs w:val="21"/>
          <w:highlight w:val="none"/>
        </w:rPr>
        <w:t>▲</w:t>
      </w:r>
      <w:r>
        <w:rPr>
          <w:rFonts w:hint="eastAsia" w:ascii="仿宋" w:hAnsi="仿宋" w:eastAsia="仿宋" w:cs="仿宋"/>
          <w:b/>
          <w:kern w:val="0"/>
          <w:szCs w:val="21"/>
          <w:highlight w:val="none"/>
        </w:rPr>
        <w:t>响应文件未按磋商文件的澄清、修改的内容编制，又不符合实质性要求的，其响应文件作无效处理。</w:t>
      </w:r>
    </w:p>
    <w:p w14:paraId="6ACAE1F6">
      <w:pPr>
        <w:keepNext/>
        <w:keepLines/>
        <w:spacing w:line="440" w:lineRule="exact"/>
        <w:ind w:firstLine="422" w:firstLineChars="200"/>
        <w:outlineLvl w:val="2"/>
        <w:rPr>
          <w:rFonts w:hint="eastAsia" w:ascii="仿宋" w:hAnsi="仿宋" w:eastAsia="仿宋" w:cs="仿宋"/>
          <w:szCs w:val="21"/>
          <w:highlight w:val="none"/>
        </w:rPr>
      </w:pPr>
      <w:bookmarkStart w:id="87" w:name="_Toc127516325"/>
      <w:r>
        <w:rPr>
          <w:rFonts w:hint="eastAsia" w:ascii="仿宋" w:hAnsi="仿宋" w:eastAsia="仿宋" w:cs="仿宋"/>
          <w:b/>
          <w:bCs/>
          <w:szCs w:val="21"/>
          <w:highlight w:val="none"/>
        </w:rPr>
        <w:t>三、响应文件的编制</w:t>
      </w:r>
      <w:bookmarkEnd w:id="87"/>
    </w:p>
    <w:p w14:paraId="7B2DA201">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11.响应文件的编制原则</w:t>
      </w:r>
    </w:p>
    <w:p w14:paraId="0A13A75B">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供应商必须按照磋商文件的要求编制响应文件，并对其提交的响应文件的真实性、合法性承担法律责任。响应文件必须对磋商文件作出实质性响应。</w:t>
      </w:r>
    </w:p>
    <w:p w14:paraId="41E2B94D">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12.响应文件的组成</w:t>
      </w:r>
    </w:p>
    <w:p w14:paraId="2CA74AD8">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12.1响应文件由资格证明文件、报价文件、商务和技术文件三部分组成。</w:t>
      </w:r>
    </w:p>
    <w:p w14:paraId="2C7B8BF5">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12.1.1资格证明文件：详见须知前附表</w:t>
      </w:r>
    </w:p>
    <w:p w14:paraId="641BBDAF">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12.1.2商务技术文件：详见须知前附表</w:t>
      </w:r>
    </w:p>
    <w:p w14:paraId="363BBDA6">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12.1.3报价文件：详见须知前附表</w:t>
      </w:r>
    </w:p>
    <w:p w14:paraId="49F331E0">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12.2响应文件电子版：详见须知前附表</w:t>
      </w:r>
    </w:p>
    <w:p w14:paraId="11A8C135">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13.计量单位</w:t>
      </w:r>
    </w:p>
    <w:p w14:paraId="44A5BC26">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磋商文件已有明确规定的，使用磋商文件规定的计量单位；磋商文件没有规定的，应采用中华人民共和国法定计量单位，货币种类为人民币，否则视同未响应。</w:t>
      </w:r>
    </w:p>
    <w:p w14:paraId="42C88C20">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14.竞标的风险</w:t>
      </w:r>
    </w:p>
    <w:p w14:paraId="25F6A80A">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供应商没有按照磋商文件要求提供全部资料，或者供应商没有对磋商文件在各方面作出实质性响应可能导致其响应无效，是供应商应当考虑的风险。</w:t>
      </w:r>
    </w:p>
    <w:p w14:paraId="6DE8945B">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15.响应报价要求和构成</w:t>
      </w:r>
    </w:p>
    <w:p w14:paraId="2282CB9E">
      <w:pPr>
        <w:tabs>
          <w:tab w:val="left" w:pos="2492"/>
        </w:tabs>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15.1响应报价应按“第五章 响应文件格式”中“响应报价表”格式填写。</w:t>
      </w:r>
    </w:p>
    <w:p w14:paraId="44E54C30">
      <w:pPr>
        <w:tabs>
          <w:tab w:val="left" w:pos="2492"/>
        </w:tabs>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15.2响应报价的价格构成见“供应商须知前附表”。</w:t>
      </w:r>
    </w:p>
    <w:p w14:paraId="3A62ABDE">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15.3响应报价要求</w:t>
      </w:r>
    </w:p>
    <w:p w14:paraId="7F14D9E3">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15.3.1供应商的响应报价应符合以下要求，否则响应文件按无效响应处理：</w:t>
      </w:r>
    </w:p>
    <w:p w14:paraId="5A0A32A3">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（1）供应商必须就“采购需求”中所竞标的每个分标的全部内容分别作完整唯一总价报价，不得存在漏项报价；</w:t>
      </w:r>
    </w:p>
    <w:p w14:paraId="5AAB28FF">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（2）供应商必须就所竞标的分标的单项内容作唯一报价。</w:t>
      </w:r>
    </w:p>
    <w:p w14:paraId="11C31139">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15.3.2响应报价（包含首次报价、最后报价）超过所竞标分标规定的采购预算金额或者最高限价的，其响应文件将作无效处理。</w:t>
      </w:r>
    </w:p>
    <w:p w14:paraId="5FD4DC06">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15.3.3</w:t>
      </w:r>
      <w:bookmarkStart w:id="88" w:name="_Hlk42592874"/>
      <w:r>
        <w:rPr>
          <w:rFonts w:hint="eastAsia" w:ascii="仿宋" w:hAnsi="仿宋" w:eastAsia="仿宋" w:cs="仿宋"/>
          <w:szCs w:val="21"/>
          <w:highlight w:val="none"/>
        </w:rPr>
        <w:t>响应报价（包含首次报价、最后报价）超过分项采购预算金额或者最高限价的，其响应文件将作无效处理。</w:t>
      </w:r>
    </w:p>
    <w:bookmarkEnd w:id="88"/>
    <w:p w14:paraId="34606A45">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16.竞标有效期</w:t>
      </w:r>
    </w:p>
    <w:p w14:paraId="3C173BBB">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16.1竞标有效期是指为保证采购人有足够的时间在提交响应文件后完成评审、确定成交供应商、合同签订等工作而要求供应商提交的响应文件在一定时间内保持有效的期限。</w:t>
      </w:r>
    </w:p>
    <w:p w14:paraId="552DACE0">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16.2 竞标有效期应由供应商按“供应商须知前附表”规定的期限作出响应。</w:t>
      </w:r>
    </w:p>
    <w:p w14:paraId="4858AFE7">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16.3供应商的响应文件在竞标有效期内均保持有效。</w:t>
      </w:r>
    </w:p>
    <w:p w14:paraId="084FD5B2">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17.磋商保证金</w:t>
      </w:r>
    </w:p>
    <w:p w14:paraId="6FF91047">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详见“供应商须知前附表”。</w:t>
      </w:r>
    </w:p>
    <w:p w14:paraId="091D584C">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18.响应文件编制的要求</w:t>
      </w:r>
    </w:p>
    <w:p w14:paraId="0AF852A0">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由此引发的后果由供应商承担。</w:t>
      </w:r>
    </w:p>
    <w:p w14:paraId="3BA924AD">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18.2响应文件应按资格证明、报价分别编制，商务技术文件合并编制，本磋商只接受电子版响应文件，要求见本章“12.2响应文件电子版要求”。</w:t>
      </w:r>
    </w:p>
    <w:p w14:paraId="38CBC6F7">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18.</w:t>
      </w:r>
      <w:bookmarkStart w:id="89" w:name="_Hlk65832699"/>
      <w:r>
        <w:rPr>
          <w:rFonts w:hint="eastAsia" w:ascii="仿宋" w:hAnsi="仿宋" w:eastAsia="仿宋" w:cs="仿宋"/>
          <w:szCs w:val="21"/>
          <w:highlight w:val="none"/>
        </w:rPr>
        <w:t>3响应文件须由供应商在</w:t>
      </w:r>
      <w:r>
        <w:rPr>
          <w:rFonts w:hint="eastAsia" w:ascii="仿宋" w:hAnsi="仿宋" w:eastAsia="仿宋" w:cs="仿宋"/>
          <w:kern w:val="0"/>
          <w:szCs w:val="21"/>
          <w:highlight w:val="none"/>
          <w:lang w:val="zh-CN"/>
        </w:rPr>
        <w:t>“</w:t>
      </w:r>
      <w:r>
        <w:rPr>
          <w:rFonts w:hint="eastAsia" w:ascii="仿宋" w:hAnsi="仿宋" w:eastAsia="仿宋" w:cs="仿宋"/>
          <w:szCs w:val="21"/>
          <w:highlight w:val="none"/>
        </w:rPr>
        <w:t>第五章 响应文件格式</w:t>
      </w:r>
      <w:r>
        <w:rPr>
          <w:rFonts w:hint="eastAsia" w:ascii="仿宋" w:hAnsi="仿宋" w:eastAsia="仿宋" w:cs="仿宋"/>
          <w:kern w:val="0"/>
          <w:szCs w:val="21"/>
          <w:highlight w:val="none"/>
          <w:lang w:val="zh-CN"/>
        </w:rPr>
        <w:t>”</w:t>
      </w:r>
      <w:r>
        <w:rPr>
          <w:rFonts w:hint="eastAsia" w:ascii="仿宋" w:hAnsi="仿宋" w:eastAsia="仿宋" w:cs="仿宋"/>
          <w:szCs w:val="21"/>
          <w:highlight w:val="none"/>
        </w:rPr>
        <w:t>规定位置进行签署、盖章</w:t>
      </w:r>
      <w:bookmarkEnd w:id="89"/>
      <w:r>
        <w:rPr>
          <w:rFonts w:hint="eastAsia" w:ascii="仿宋" w:hAnsi="仿宋" w:eastAsia="仿宋" w:cs="仿宋"/>
          <w:szCs w:val="21"/>
          <w:highlight w:val="none"/>
        </w:rPr>
        <w:t>，否则其响应文件按无效响应处理。骑缝盖公章不视为在规定位置盖章。</w:t>
      </w:r>
    </w:p>
    <w:p w14:paraId="77FA163C">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18.4响应文件中标注的供应商名称应与营业执照（事业单位法人证书、执业许可证、自然人身份证）及电子公章一致，否则其响应文件按无效响应处理。</w:t>
      </w:r>
    </w:p>
    <w:p w14:paraId="508F2955">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18.5响应文件应避免涂改、行间插字或者删除，否则其响应文件按无效响应处理。</w:t>
      </w:r>
    </w:p>
    <w:p w14:paraId="668CE6B5">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19.响应文件的密封和标记</w:t>
      </w:r>
    </w:p>
    <w:p w14:paraId="08AAD322">
      <w:pPr>
        <w:spacing w:line="440" w:lineRule="exact"/>
        <w:ind w:firstLine="420" w:firstLineChars="200"/>
        <w:rPr>
          <w:rFonts w:hint="eastAsia" w:ascii="仿宋" w:hAnsi="仿宋" w:eastAsia="仿宋" w:cs="仿宋"/>
          <w:kern w:val="0"/>
          <w:szCs w:val="21"/>
          <w:highlight w:val="none"/>
          <w:lang w:val="zh-CN"/>
        </w:rPr>
      </w:pPr>
      <w:r>
        <w:rPr>
          <w:rFonts w:hint="eastAsia" w:ascii="仿宋" w:hAnsi="仿宋" w:eastAsia="仿宋" w:cs="仿宋"/>
          <w:kern w:val="0"/>
          <w:szCs w:val="21"/>
          <w:highlight w:val="none"/>
          <w:lang w:val="zh-CN"/>
        </w:rPr>
        <w:t>19.1供应商进行电子交易应安装客户端软件—“广西政府采购云平台电子交易客户端”，并按照磋商文件和电子交易平台的要求编制并加密响应文件。供应商未按规定加密的响应文件，电子交易平台将拒收并提示。</w:t>
      </w:r>
    </w:p>
    <w:p w14:paraId="142211DF">
      <w:pPr>
        <w:spacing w:line="440" w:lineRule="exact"/>
        <w:ind w:firstLine="420" w:firstLineChars="200"/>
        <w:rPr>
          <w:rFonts w:hint="eastAsia" w:ascii="仿宋" w:hAnsi="仿宋" w:eastAsia="仿宋" w:cs="仿宋"/>
          <w:kern w:val="0"/>
          <w:szCs w:val="21"/>
          <w:highlight w:val="none"/>
          <w:lang w:val="zh-CN"/>
        </w:rPr>
      </w:pPr>
      <w:r>
        <w:rPr>
          <w:rFonts w:hint="eastAsia" w:ascii="仿宋" w:hAnsi="仿宋" w:eastAsia="仿宋" w:cs="仿宋"/>
          <w:kern w:val="0"/>
          <w:szCs w:val="21"/>
          <w:highlight w:val="none"/>
          <w:lang w:val="zh-CN"/>
        </w:rPr>
        <w:t>19.2使用“广西政府采购云平台电子交易客户端”需要提前申领CA数字证书，申领流程见该项目采购公告附件。</w:t>
      </w:r>
    </w:p>
    <w:p w14:paraId="498EE698">
      <w:pPr>
        <w:spacing w:line="440" w:lineRule="exact"/>
        <w:ind w:firstLine="420" w:firstLineChars="200"/>
        <w:rPr>
          <w:rFonts w:hint="eastAsia" w:ascii="仿宋" w:hAnsi="仿宋" w:eastAsia="仿宋" w:cs="仿宋"/>
          <w:kern w:val="0"/>
          <w:szCs w:val="21"/>
          <w:highlight w:val="none"/>
        </w:rPr>
      </w:pPr>
      <w:r>
        <w:rPr>
          <w:rFonts w:hint="eastAsia" w:ascii="仿宋" w:hAnsi="仿宋" w:eastAsia="仿宋" w:cs="仿宋"/>
          <w:kern w:val="0"/>
          <w:szCs w:val="21"/>
          <w:highlight w:val="none"/>
        </w:rPr>
        <w:t>19.3为确保网上操作合法、有效和安全，供应商应当在响应文件提交截止时间前完成在“政府采购云平台”的身份认证，确保在电子交易过程中能够对相关数据电文进行加密和使用电子签名。</w:t>
      </w:r>
    </w:p>
    <w:p w14:paraId="515A0EF5">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20.响应文件的提交</w:t>
      </w:r>
    </w:p>
    <w:p w14:paraId="052F4C3A">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20.1供应商必须在“供应商须知前附表”规定的时间和地点提交响应文件。</w:t>
      </w:r>
    </w:p>
    <w:p w14:paraId="691E0EC1">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20.2 在响应文件提交截止时间以后，不能补充、修改响应文件。</w:t>
      </w:r>
    </w:p>
    <w:p w14:paraId="05216C12">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20.3 在提交“最后报价”后，供应商不能退出谈判。</w:t>
      </w:r>
    </w:p>
    <w:p w14:paraId="196AF03F">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74B6CED5">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20.5 采购机构不可视情况延长提交响应文件的截止时间。</w:t>
      </w:r>
    </w:p>
    <w:p w14:paraId="7EF5B35B">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20.6备份响应文件。</w:t>
      </w:r>
      <w:r>
        <w:rPr>
          <w:rFonts w:hint="eastAsia" w:ascii="仿宋" w:hAnsi="仿宋" w:eastAsia="仿宋" w:cs="仿宋"/>
          <w:bCs/>
          <w:szCs w:val="21"/>
          <w:highlight w:val="none"/>
        </w:rPr>
        <w:t>详见在“供应商须知前附表”。</w:t>
      </w:r>
    </w:p>
    <w:p w14:paraId="51B5BC39">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21.首次响应文件的补充、修改与撤回</w:t>
      </w:r>
    </w:p>
    <w:p w14:paraId="7067666B">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详见“供应商须知前附表”。</w:t>
      </w:r>
    </w:p>
    <w:p w14:paraId="6350F571">
      <w:pPr>
        <w:spacing w:line="440" w:lineRule="exact"/>
        <w:ind w:firstLine="422" w:firstLineChars="200"/>
        <w:rPr>
          <w:rFonts w:hint="eastAsia" w:ascii="仿宋" w:hAnsi="仿宋" w:eastAsia="仿宋" w:cs="仿宋"/>
          <w:b/>
          <w:bCs/>
          <w:szCs w:val="21"/>
          <w:highlight w:val="none"/>
        </w:rPr>
      </w:pPr>
      <w:bookmarkStart w:id="90" w:name="_Hlk45702405"/>
      <w:r>
        <w:rPr>
          <w:rFonts w:hint="eastAsia" w:ascii="仿宋" w:hAnsi="仿宋" w:eastAsia="仿宋" w:cs="仿宋"/>
          <w:b/>
          <w:bCs/>
          <w:szCs w:val="21"/>
          <w:highlight w:val="none"/>
        </w:rPr>
        <w:t>22. 首次响应文件的退回</w:t>
      </w:r>
    </w:p>
    <w:p w14:paraId="2C5ACDD0">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在首次响应文件提交截止时间止提交响应文件的供应商不足3家时电子响应文件由代理机构在“广西政府采购云平台”平台操作退回，除此之外采购人和采购代理机构对已提交的电子响应文件概不退回。</w:t>
      </w:r>
    </w:p>
    <w:p w14:paraId="722A7F91">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23. 截止时间后的撤回</w:t>
      </w:r>
    </w:p>
    <w:p w14:paraId="52E4C51B">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本项目不收取磋商保证金，供应商在首次响应文件提交截止时间后可向采购人、采购代理机构书面申请撤回电子响应文件。</w:t>
      </w:r>
      <w:bookmarkEnd w:id="90"/>
    </w:p>
    <w:p w14:paraId="230409DC">
      <w:pPr>
        <w:keepNext/>
        <w:keepLines/>
        <w:spacing w:line="440" w:lineRule="exact"/>
        <w:ind w:firstLine="422" w:firstLineChars="200"/>
        <w:outlineLvl w:val="2"/>
        <w:rPr>
          <w:rFonts w:hint="eastAsia" w:ascii="仿宋" w:hAnsi="仿宋" w:eastAsia="仿宋" w:cs="仿宋"/>
          <w:szCs w:val="21"/>
          <w:highlight w:val="none"/>
        </w:rPr>
      </w:pPr>
      <w:bookmarkStart w:id="91" w:name="_Toc127516326"/>
      <w:r>
        <w:rPr>
          <w:rFonts w:hint="eastAsia" w:ascii="仿宋" w:hAnsi="仿宋" w:eastAsia="仿宋" w:cs="仿宋"/>
          <w:b/>
          <w:bCs/>
          <w:szCs w:val="21"/>
          <w:highlight w:val="none"/>
        </w:rPr>
        <w:t>四、评审及磋商</w:t>
      </w:r>
      <w:bookmarkEnd w:id="91"/>
    </w:p>
    <w:p w14:paraId="72CFDC82">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24.磋商小组成立</w:t>
      </w:r>
    </w:p>
    <w:p w14:paraId="430F3AC1">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6757281F">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57235AAB">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25.首次响应文件的开启</w:t>
      </w:r>
    </w:p>
    <w:p w14:paraId="0300E9E7">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25.1首次响应文件由磋商小组或者采购代理机构在“供应商须知前附表”规定的时间开启。</w:t>
      </w:r>
    </w:p>
    <w:p w14:paraId="3842EA09">
      <w:pPr>
        <w:spacing w:line="440" w:lineRule="exact"/>
        <w:ind w:firstLine="420" w:firstLineChars="200"/>
        <w:rPr>
          <w:rFonts w:hint="eastAsia" w:ascii="仿宋" w:hAnsi="仿宋" w:eastAsia="仿宋" w:cs="仿宋"/>
          <w:bCs/>
          <w:kern w:val="0"/>
          <w:szCs w:val="21"/>
          <w:highlight w:val="none"/>
        </w:rPr>
      </w:pPr>
      <w:r>
        <w:rPr>
          <w:rFonts w:hint="eastAsia" w:ascii="仿宋" w:hAnsi="仿宋" w:eastAsia="仿宋" w:cs="仿宋"/>
          <w:kern w:val="0"/>
          <w:szCs w:val="21"/>
          <w:highlight w:val="none"/>
        </w:rPr>
        <w:t xml:space="preserve">25.2 </w:t>
      </w:r>
      <w:r>
        <w:rPr>
          <w:rFonts w:hint="eastAsia" w:ascii="仿宋" w:hAnsi="仿宋" w:eastAsia="仿宋" w:cs="仿宋"/>
          <w:bCs/>
          <w:kern w:val="0"/>
          <w:szCs w:val="21"/>
          <w:highlight w:val="none"/>
        </w:rPr>
        <w:t>响应文件解密</w:t>
      </w:r>
    </w:p>
    <w:p w14:paraId="7D69BDEB">
      <w:pPr>
        <w:snapToGrid w:val="0"/>
        <w:spacing w:line="440" w:lineRule="exact"/>
        <w:ind w:firstLine="420" w:firstLineChars="200"/>
        <w:rPr>
          <w:rFonts w:hint="eastAsia" w:ascii="仿宋" w:hAnsi="仿宋" w:eastAsia="仿宋" w:cs="仿宋"/>
          <w:kern w:val="0"/>
          <w:szCs w:val="21"/>
          <w:highlight w:val="none"/>
        </w:rPr>
      </w:pPr>
      <w:r>
        <w:rPr>
          <w:rFonts w:hint="eastAsia" w:ascii="仿宋" w:hAnsi="仿宋" w:eastAsia="仿宋" w:cs="仿宋"/>
          <w:bCs/>
          <w:kern w:val="0"/>
          <w:szCs w:val="21"/>
          <w:highlight w:val="none"/>
        </w:rPr>
        <w:t>采购代理机构将在“供应商须知前附表”规定的时</w:t>
      </w:r>
      <w:r>
        <w:rPr>
          <w:rFonts w:hint="eastAsia" w:ascii="仿宋" w:hAnsi="仿宋" w:eastAsia="仿宋" w:cs="仿宋"/>
          <w:kern w:val="0"/>
          <w:szCs w:val="21"/>
          <w:highlight w:val="none"/>
        </w:rPr>
        <w:t>间通过电子交易平台组织响应文件开启，采购机构依托电子交易平台发起开始解密指令，供应商的法定代表人或其委托代理人</w:t>
      </w:r>
      <w:r>
        <w:rPr>
          <w:rFonts w:hint="eastAsia" w:ascii="仿宋" w:hAnsi="仿宋" w:eastAsia="仿宋" w:cs="仿宋"/>
          <w:b/>
          <w:kern w:val="0"/>
          <w:szCs w:val="21"/>
          <w:highlight w:val="none"/>
        </w:rPr>
        <w:t>须携带加密时所用的CA锁按平台提示和采购文件的规定登录到“广西政府采购云平台”平台电子开标大厅签到并在发起解密指令之时起30分钟内完成对电子响应文件在线解密</w:t>
      </w:r>
      <w:r>
        <w:rPr>
          <w:rFonts w:hint="eastAsia" w:ascii="仿宋" w:hAnsi="仿宋" w:eastAsia="仿宋" w:cs="仿宋"/>
          <w:kern w:val="0"/>
          <w:szCs w:val="21"/>
          <w:highlight w:val="none"/>
        </w:rPr>
        <w:t>。发起解密指令之时起5分钟内供应商还未进行解密的，代理机构要通知供应商，供应商没预留联系方式或预留联系方式无效，导致代理机构无法联系到供应商进行解密的，</w:t>
      </w:r>
      <w:r>
        <w:rPr>
          <w:rFonts w:hint="eastAsia" w:ascii="仿宋" w:hAnsi="仿宋" w:eastAsia="仿宋" w:cs="仿宋"/>
          <w:b/>
          <w:kern w:val="0"/>
          <w:szCs w:val="21"/>
          <w:highlight w:val="none"/>
        </w:rPr>
        <w:t>视为响应文件无效。</w:t>
      </w:r>
      <w:r>
        <w:rPr>
          <w:rFonts w:hint="eastAsia" w:ascii="仿宋" w:hAnsi="仿宋" w:eastAsia="仿宋" w:cs="仿宋"/>
          <w:kern w:val="0"/>
          <w:szCs w:val="21"/>
          <w:highlight w:val="none"/>
        </w:rPr>
        <w:t>（解密</w:t>
      </w:r>
      <w:r>
        <w:rPr>
          <w:rFonts w:hint="eastAsia" w:ascii="仿宋" w:hAnsi="仿宋" w:eastAsia="仿宋" w:cs="仿宋"/>
          <w:bCs/>
          <w:kern w:val="0"/>
          <w:szCs w:val="21"/>
          <w:highlight w:val="none"/>
        </w:rPr>
        <w:t>异常情况处理：详见本章</w:t>
      </w:r>
      <w:r>
        <w:rPr>
          <w:rFonts w:hint="eastAsia" w:ascii="仿宋" w:hAnsi="仿宋" w:eastAsia="仿宋" w:cs="仿宋"/>
          <w:kern w:val="0"/>
          <w:szCs w:val="21"/>
          <w:highlight w:val="none"/>
        </w:rPr>
        <w:t>26.3电子交易活动的中止。）</w:t>
      </w:r>
    </w:p>
    <w:p w14:paraId="5ABED4BF">
      <w:pPr>
        <w:spacing w:line="440" w:lineRule="exact"/>
        <w:ind w:firstLine="420" w:firstLineChars="200"/>
        <w:rPr>
          <w:rFonts w:hint="eastAsia" w:ascii="仿宋" w:hAnsi="仿宋" w:eastAsia="仿宋" w:cs="仿宋"/>
          <w:kern w:val="0"/>
          <w:szCs w:val="21"/>
          <w:highlight w:val="none"/>
        </w:rPr>
      </w:pPr>
      <w:r>
        <w:rPr>
          <w:rFonts w:hint="eastAsia" w:ascii="仿宋" w:hAnsi="仿宋" w:eastAsia="仿宋" w:cs="仿宋"/>
          <w:kern w:val="0"/>
          <w:szCs w:val="21"/>
          <w:highlight w:val="none"/>
        </w:rPr>
        <w:t>如</w:t>
      </w:r>
      <w:r>
        <w:rPr>
          <w:rFonts w:hint="eastAsia" w:ascii="仿宋" w:hAnsi="仿宋" w:eastAsia="仿宋" w:cs="仿宋"/>
          <w:bCs/>
          <w:kern w:val="0"/>
          <w:szCs w:val="21"/>
          <w:highlight w:val="none"/>
        </w:rPr>
        <w:t>供应商成功解密响应文件，但未在“广西政府采购云平台”电子开标大厅参加谈判的，视同认可谈判过程和结果，</w:t>
      </w:r>
      <w:r>
        <w:rPr>
          <w:rFonts w:hint="eastAsia" w:ascii="仿宋" w:hAnsi="仿宋" w:eastAsia="仿宋" w:cs="仿宋"/>
          <w:kern w:val="0"/>
          <w:szCs w:val="21"/>
          <w:highlight w:val="none"/>
        </w:rPr>
        <w:t>由此产生的后果由供应商自行负责。 参与谈判的供应商不足3家的，不得谈判。</w:t>
      </w:r>
    </w:p>
    <w:p w14:paraId="3D97C4BA">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26.评审程序、评审方法和评审标准</w:t>
      </w:r>
    </w:p>
    <w:p w14:paraId="5EDD8891">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26.1磋商小组按照“第四章 评审程序、评审方法和评审标准”规定的方法、评审因素、标准和程序对响应文件进行评审。</w:t>
      </w:r>
    </w:p>
    <w:p w14:paraId="4DA5CB16">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26.2 采购需求负偏离要求及磋商顺序详见 “ 供应商须知前附表”。</w:t>
      </w:r>
    </w:p>
    <w:p w14:paraId="6E2CC9C4">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26.3电子交易活动的中止。采购过程中出现以下情形，导致电子交易平台无法正常运行，或者无法保证电子交易的公平、公正和安全时，采购机构可中止电子交易活动：</w:t>
      </w:r>
    </w:p>
    <w:p w14:paraId="2DC8F040">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 xml:space="preserve">（1）电子交易平台发生故障而无法登录访问的； </w:t>
      </w:r>
    </w:p>
    <w:p w14:paraId="2B4BC9EB">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（2）电子交易平台应用或数据库出现错误，不能进行正常操作的；</w:t>
      </w:r>
    </w:p>
    <w:p w14:paraId="281BF392">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（3）电子交易平台发现严重安全漏洞，有潜在泄密危险的；</w:t>
      </w:r>
    </w:p>
    <w:p w14:paraId="7B455784">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 xml:space="preserve">（4）病毒发作导致不能进行正常操作的； </w:t>
      </w:r>
    </w:p>
    <w:p w14:paraId="405D9A42">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（4）其他无法保证电子交易的公平、公正和安全的情况。</w:t>
      </w:r>
    </w:p>
    <w:p w14:paraId="23FCEC1A">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1E30668A">
      <w:pPr>
        <w:keepNext/>
        <w:keepLines/>
        <w:spacing w:line="440" w:lineRule="exact"/>
        <w:ind w:firstLine="422" w:firstLineChars="200"/>
        <w:outlineLvl w:val="2"/>
        <w:rPr>
          <w:rFonts w:hint="eastAsia" w:ascii="仿宋" w:hAnsi="仿宋" w:eastAsia="仿宋" w:cs="仿宋"/>
          <w:b/>
          <w:bCs/>
          <w:szCs w:val="21"/>
          <w:highlight w:val="none"/>
        </w:rPr>
      </w:pPr>
      <w:bookmarkStart w:id="92" w:name="_Toc127516327"/>
      <w:r>
        <w:rPr>
          <w:rFonts w:hint="eastAsia" w:ascii="仿宋" w:hAnsi="仿宋" w:eastAsia="仿宋" w:cs="仿宋"/>
          <w:b/>
          <w:bCs/>
          <w:szCs w:val="21"/>
          <w:highlight w:val="none"/>
        </w:rPr>
        <w:t>五、成交及合同</w:t>
      </w:r>
      <w:bookmarkEnd w:id="92"/>
    </w:p>
    <w:p w14:paraId="2B370338">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27.确定成交供应商及结果公告</w:t>
      </w:r>
    </w:p>
    <w:p w14:paraId="1F7EBC6B">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27.1确定成交供应商。</w:t>
      </w:r>
      <w:r>
        <w:rPr>
          <w:rFonts w:hint="eastAsia" w:ascii="仿宋" w:hAnsi="仿宋" w:eastAsia="仿宋" w:cs="仿宋"/>
          <w:kern w:val="0"/>
          <w:szCs w:val="21"/>
          <w:highlight w:val="none"/>
          <w:u w:val="single"/>
        </w:rPr>
        <w:t xml:space="preserve"> 由采购人直接委托评审专家确定</w:t>
      </w:r>
      <w:r>
        <w:rPr>
          <w:rFonts w:hint="eastAsia" w:ascii="仿宋" w:hAnsi="仿宋" w:eastAsia="仿宋" w:cs="仿宋"/>
          <w:szCs w:val="21"/>
          <w:highlight w:val="none"/>
          <w:u w:val="single"/>
        </w:rPr>
        <w:t>，评审报告提出的排序第一的供应商为成交供应商。</w:t>
      </w:r>
    </w:p>
    <w:p w14:paraId="7F1ABEC1">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27.2成交通知及成交结果公告。</w:t>
      </w:r>
      <w:r>
        <w:rPr>
          <w:rFonts w:hint="eastAsia" w:ascii="仿宋" w:hAnsi="仿宋" w:eastAsia="仿宋" w:cs="仿宋"/>
          <w:kern w:val="0"/>
          <w:szCs w:val="21"/>
          <w:highlight w:val="none"/>
        </w:rPr>
        <w:t>成交</w:t>
      </w:r>
      <w:r>
        <w:rPr>
          <w:rFonts w:hint="eastAsia" w:ascii="仿宋" w:hAnsi="仿宋" w:eastAsia="仿宋" w:cs="仿宋"/>
          <w:szCs w:val="21"/>
          <w:highlight w:val="none"/>
        </w:rPr>
        <w:t>供应商确定后2个工作日内，在省级以上财政部门指定的媒体上公</w:t>
      </w:r>
      <w:r>
        <w:rPr>
          <w:rFonts w:hint="eastAsia" w:ascii="仿宋" w:hAnsi="仿宋" w:eastAsia="仿宋" w:cs="仿宋"/>
          <w:kern w:val="0"/>
          <w:szCs w:val="21"/>
          <w:highlight w:val="none"/>
        </w:rPr>
        <w:t>告成交结果（成交通知及成交结果公告应使用南宁市模板进行公告，公告内容除包含《政府采购公告和公示信息格式规范（2020年版）》要求内容外，还应包含采购人专门面向中小企业预留份额情况及成交供应商评审价格、优惠率等内容），</w:t>
      </w:r>
      <w:r>
        <w:rPr>
          <w:rFonts w:hint="eastAsia" w:ascii="仿宋" w:hAnsi="仿宋" w:eastAsia="仿宋" w:cs="仿宋"/>
          <w:szCs w:val="21"/>
          <w:highlight w:val="none"/>
        </w:rPr>
        <w:t>同时向成交供应商发出成交通知书，成交通知书规定签订合同的时间不得超过25日。</w:t>
      </w:r>
    </w:p>
    <w:p w14:paraId="220D285D">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27.3采购人或者采购代理机构发出成交通知书前，应当对成交供应商信用进行查询核实，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4EDBD23B">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1ABAC4D6">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bCs/>
          <w:szCs w:val="21"/>
          <w:highlight w:val="none"/>
        </w:rPr>
        <w:t>27.5</w:t>
      </w:r>
      <w:r>
        <w:rPr>
          <w:rFonts w:hint="eastAsia" w:ascii="仿宋" w:hAnsi="仿宋" w:eastAsia="仿宋" w:cs="仿宋"/>
          <w:szCs w:val="21"/>
          <w:highlight w:val="none"/>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14:paraId="57D01CBC">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28.履约保证金</w:t>
      </w:r>
    </w:p>
    <w:p w14:paraId="70C08B23">
      <w:pPr>
        <w:spacing w:line="440" w:lineRule="exact"/>
        <w:ind w:firstLine="420" w:firstLineChars="200"/>
        <w:rPr>
          <w:rFonts w:hint="eastAsia" w:ascii="仿宋" w:hAnsi="仿宋" w:eastAsia="仿宋" w:cs="仿宋"/>
          <w:b/>
          <w:bCs/>
          <w:szCs w:val="21"/>
          <w:highlight w:val="none"/>
        </w:rPr>
      </w:pPr>
      <w:r>
        <w:rPr>
          <w:rFonts w:hint="eastAsia" w:ascii="仿宋" w:hAnsi="仿宋" w:eastAsia="仿宋" w:cs="仿宋"/>
          <w:szCs w:val="21"/>
          <w:highlight w:val="none"/>
        </w:rPr>
        <w:t>详见 “供应商须知前附表”</w:t>
      </w:r>
    </w:p>
    <w:p w14:paraId="62E5161A">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29.签订合同</w:t>
      </w:r>
    </w:p>
    <w:p w14:paraId="7035DA7D">
      <w:pPr>
        <w:adjustRightInd w:val="0"/>
        <w:snapToGrid w:val="0"/>
        <w:spacing w:line="440" w:lineRule="exact"/>
        <w:ind w:firstLine="420" w:firstLineChars="200"/>
        <w:rPr>
          <w:rFonts w:hint="eastAsia" w:ascii="仿宋" w:hAnsi="仿宋" w:eastAsia="仿宋" w:cs="仿宋"/>
          <w:kern w:val="0"/>
          <w:szCs w:val="21"/>
          <w:highlight w:val="none"/>
          <w:lang w:val="zh-CN"/>
        </w:rPr>
      </w:pPr>
      <w:r>
        <w:rPr>
          <w:rFonts w:hint="eastAsia" w:ascii="仿宋" w:hAnsi="仿宋" w:eastAsia="仿宋" w:cs="仿宋"/>
          <w:kern w:val="0"/>
          <w:szCs w:val="21"/>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仿宋" w:hAnsi="仿宋" w:eastAsia="仿宋" w:cs="仿宋"/>
          <w:kern w:val="0"/>
          <w:szCs w:val="21"/>
          <w:highlight w:val="none"/>
          <w:lang w:val="zh-CN"/>
        </w:rPr>
        <w:t>如成交供应商为联合体的，由联合体成员各方法定代表人或其授权代表与采购人代表签订合同。</w:t>
      </w:r>
    </w:p>
    <w:p w14:paraId="39795E61">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534540DE">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41E7ABEB">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29.4如签订合同并生效后，供应商无故拒绝或延期，除按照合同条款处理外，列入不良行为记录，并给予通报。</w:t>
      </w:r>
    </w:p>
    <w:p w14:paraId="7DFF46F4">
      <w:pPr>
        <w:adjustRightInd w:val="0"/>
        <w:spacing w:line="440" w:lineRule="exact"/>
        <w:ind w:firstLine="420" w:firstLineChars="200"/>
        <w:rPr>
          <w:rFonts w:hint="eastAsia" w:ascii="仿宋" w:hAnsi="仿宋" w:eastAsia="仿宋" w:cs="仿宋"/>
          <w:kern w:val="0"/>
          <w:szCs w:val="21"/>
          <w:highlight w:val="none"/>
        </w:rPr>
      </w:pPr>
      <w:r>
        <w:rPr>
          <w:rFonts w:hint="eastAsia" w:ascii="仿宋" w:hAnsi="仿宋" w:eastAsia="仿宋" w:cs="仿宋"/>
          <w:kern w:val="0"/>
          <w:szCs w:val="21"/>
          <w:highlight w:val="none"/>
        </w:rPr>
        <w:t>29.5采购合同由采购人与成交供应商根据磋商文件、响应文件等内容通过政府采购电子交易平台在线签订，自动备案，在线签订须携带的材料见“ 供应商须知前附表”。</w:t>
      </w:r>
    </w:p>
    <w:p w14:paraId="07D345D0">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30.政府采购合同公告</w:t>
      </w:r>
    </w:p>
    <w:p w14:paraId="5F689A64">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采购人或者受托采购代理机构应当自政府采购合同签订之日起2个工作日内，将政府采购合同</w:t>
      </w:r>
      <w:r>
        <w:rPr>
          <w:rFonts w:hint="eastAsia" w:ascii="仿宋" w:hAnsi="仿宋" w:eastAsia="仿宋" w:cs="仿宋"/>
          <w:bCs/>
          <w:szCs w:val="21"/>
          <w:highlight w:val="none"/>
        </w:rPr>
        <w:t>在以下媒体上发布</w:t>
      </w:r>
      <w:r>
        <w:rPr>
          <w:rFonts w:hint="eastAsia" w:ascii="仿宋" w:hAnsi="仿宋" w:eastAsia="仿宋" w:cs="仿宋"/>
          <w:kern w:val="0"/>
          <w:szCs w:val="21"/>
          <w:highlight w:val="none"/>
        </w:rPr>
        <w:t xml:space="preserve"> “广西政府采购网”（http://zfcg.gxzf.gov.cn）</w:t>
      </w:r>
      <w:r>
        <w:rPr>
          <w:rFonts w:hint="eastAsia" w:ascii="仿宋" w:hAnsi="仿宋" w:eastAsia="仿宋" w:cs="仿宋"/>
          <w:szCs w:val="21"/>
          <w:highlight w:val="none"/>
        </w:rPr>
        <w:t>上公告，但政府采购合同中涉及国家秘密、商业秘密的内容除外。</w:t>
      </w:r>
    </w:p>
    <w:p w14:paraId="67CCDEF9">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31. 询问、质疑和投诉</w:t>
      </w:r>
    </w:p>
    <w:p w14:paraId="03702D68">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31.1供应商对政府采购活动事项有疑问的，可以向采购人、采购代理机构提出询问，采购人或者采购代理机构应当在3个工作日内对供应商依法提出的询问作出答复。</w:t>
      </w:r>
    </w:p>
    <w:p w14:paraId="0251330C">
      <w:pPr>
        <w:spacing w:line="440" w:lineRule="exact"/>
        <w:ind w:firstLine="420" w:firstLineChars="200"/>
        <w:rPr>
          <w:rFonts w:hint="eastAsia" w:ascii="仿宋" w:hAnsi="仿宋" w:eastAsia="仿宋" w:cs="仿宋"/>
          <w:b/>
          <w:szCs w:val="21"/>
          <w:highlight w:val="none"/>
        </w:rPr>
      </w:pPr>
      <w:r>
        <w:rPr>
          <w:rFonts w:hint="eastAsia" w:ascii="仿宋" w:hAnsi="仿宋" w:eastAsia="仿宋" w:cs="仿宋"/>
          <w:szCs w:val="21"/>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仿宋" w:hAnsi="仿宋" w:eastAsia="仿宋" w:cs="仿宋"/>
          <w:szCs w:val="21"/>
          <w:highlight w:val="none"/>
          <w:shd w:val="clear" w:color="auto" w:fill="FFFFFF"/>
        </w:rPr>
        <w:t>接收质疑函的方式、联系部门、联系电话和通讯地址等信息详见</w:t>
      </w:r>
      <w:r>
        <w:rPr>
          <w:rFonts w:hint="eastAsia" w:ascii="仿宋" w:hAnsi="仿宋" w:eastAsia="仿宋" w:cs="仿宋"/>
          <w:szCs w:val="21"/>
          <w:highlight w:val="none"/>
        </w:rPr>
        <w:t>“供应商须知前附表”。</w:t>
      </w:r>
      <w:r>
        <w:rPr>
          <w:rFonts w:hint="eastAsia" w:ascii="仿宋" w:hAnsi="仿宋" w:eastAsia="仿宋" w:cs="仿宋"/>
          <w:b/>
          <w:szCs w:val="21"/>
          <w:highlight w:val="none"/>
        </w:rPr>
        <w:t xml:space="preserve">具体质疑起算时间及处理方式如下： </w:t>
      </w:r>
    </w:p>
    <w:p w14:paraId="6F06A038">
      <w:pPr>
        <w:spacing w:line="440" w:lineRule="exact"/>
        <w:ind w:firstLine="420" w:firstLineChars="200"/>
        <w:rPr>
          <w:rFonts w:hint="eastAsia" w:ascii="仿宋" w:hAnsi="仿宋" w:eastAsia="仿宋" w:cs="仿宋"/>
          <w:bCs/>
          <w:szCs w:val="21"/>
          <w:highlight w:val="none"/>
        </w:rPr>
      </w:pPr>
      <w:r>
        <w:rPr>
          <w:rFonts w:hint="eastAsia" w:ascii="仿宋" w:hAnsi="仿宋" w:eastAsia="仿宋" w:cs="仿宋"/>
          <w:bCs/>
          <w:szCs w:val="21"/>
          <w:highlight w:val="none"/>
        </w:rPr>
        <w:t>（1）潜在供应商依法获取采购文件后，认为采购文件使自己的权益受到损害的，应当在竞争性磋商采购文件公告期限届满之日起7个工作日内提出质疑。</w:t>
      </w:r>
      <w:r>
        <w:rPr>
          <w:rFonts w:hint="eastAsia" w:ascii="仿宋" w:hAnsi="仿宋" w:eastAsia="仿宋" w:cs="仿宋"/>
          <w:szCs w:val="21"/>
          <w:highlight w:val="none"/>
        </w:rPr>
        <w:t>委托代理协议无特殊约定的，</w:t>
      </w:r>
      <w:r>
        <w:rPr>
          <w:rFonts w:hint="eastAsia" w:ascii="仿宋" w:hAnsi="仿宋" w:eastAsia="仿宋" w:cs="仿宋"/>
          <w:bCs/>
          <w:szCs w:val="21"/>
          <w:highlight w:val="none"/>
        </w:rPr>
        <w:t>对竞争性磋商文件中采购需求（含资格要求、采购预算和评分办法）的质疑由采购人受理并负责答复；对竞争性磋商文件中的采购执行程序的质疑由采购代理机构受理并负责答复。</w:t>
      </w:r>
    </w:p>
    <w:p w14:paraId="4CDDF932">
      <w:pPr>
        <w:spacing w:line="440" w:lineRule="exact"/>
        <w:ind w:firstLine="420" w:firstLineChars="200"/>
        <w:rPr>
          <w:rFonts w:hint="eastAsia" w:ascii="仿宋" w:hAnsi="仿宋" w:eastAsia="仿宋" w:cs="仿宋"/>
          <w:bCs/>
          <w:szCs w:val="21"/>
          <w:highlight w:val="none"/>
        </w:rPr>
      </w:pPr>
      <w:r>
        <w:rPr>
          <w:rFonts w:hint="eastAsia" w:ascii="仿宋" w:hAnsi="仿宋" w:eastAsia="仿宋" w:cs="仿宋"/>
          <w:bCs/>
          <w:szCs w:val="21"/>
          <w:highlight w:val="none"/>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66A87ABD">
      <w:pPr>
        <w:spacing w:line="440" w:lineRule="exact"/>
        <w:ind w:firstLine="420" w:firstLineChars="200"/>
        <w:rPr>
          <w:rFonts w:hint="eastAsia" w:ascii="仿宋" w:hAnsi="仿宋" w:eastAsia="仿宋" w:cs="仿宋"/>
          <w:bCs/>
          <w:szCs w:val="21"/>
          <w:highlight w:val="none"/>
        </w:rPr>
      </w:pPr>
      <w:r>
        <w:rPr>
          <w:rFonts w:hint="eastAsia" w:ascii="仿宋" w:hAnsi="仿宋" w:eastAsia="仿宋" w:cs="仿宋"/>
          <w:bCs/>
          <w:szCs w:val="21"/>
          <w:highlight w:val="none"/>
        </w:rPr>
        <w:t>（3）供应商认为成交结果使自己的权益受到损害的，应当在成交结果公告期限届满之日起7个工作日内提出质疑，由采购人受理并负责答复。</w:t>
      </w:r>
    </w:p>
    <w:p w14:paraId="201188DE">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25383B86">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31.4 供应商提出质疑应当提交质疑函和必要的证明材料，针对同一采购程序环节的质疑必须在法定质疑期内一次性提出。质疑函应当包括下列内容</w:t>
      </w:r>
      <w:r>
        <w:rPr>
          <w:rFonts w:hint="eastAsia" w:ascii="仿宋" w:hAnsi="仿宋" w:eastAsia="仿宋" w:cs="仿宋"/>
          <w:bCs/>
          <w:szCs w:val="21"/>
          <w:highlight w:val="none"/>
        </w:rPr>
        <w:t>（质疑函格式后附）</w:t>
      </w:r>
      <w:r>
        <w:rPr>
          <w:rFonts w:hint="eastAsia" w:ascii="仿宋" w:hAnsi="仿宋" w:eastAsia="仿宋" w:cs="仿宋"/>
          <w:szCs w:val="21"/>
          <w:highlight w:val="none"/>
        </w:rPr>
        <w:t>：</w:t>
      </w:r>
    </w:p>
    <w:p w14:paraId="23B1009A">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（1）供应商的姓名或者名称、地址、邮编、联系人及联系电话；</w:t>
      </w:r>
    </w:p>
    <w:p w14:paraId="7C84F7A4">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（2）质疑项目的名称、编号；</w:t>
      </w:r>
    </w:p>
    <w:p w14:paraId="5F274980">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（3）具体、明确的质疑事项和与质疑事项相关的请求；</w:t>
      </w:r>
    </w:p>
    <w:p w14:paraId="165EA3C5">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（4）事实依据；</w:t>
      </w:r>
    </w:p>
    <w:p w14:paraId="380170C0">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（5）必要的法律依据；</w:t>
      </w:r>
    </w:p>
    <w:p w14:paraId="0D3E9EAB">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（6）提出质疑的日期。</w:t>
      </w:r>
    </w:p>
    <w:p w14:paraId="19C5F834">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供应商为自然人的，应当由本人签字；供应商为法人或者其他组织的，应当由法定代表人、主要负责人，或者其委托代理人签字或者盖章，并加盖公章。</w:t>
      </w:r>
    </w:p>
    <w:p w14:paraId="2B619AD3">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31.5采购人、采购代理机构认为供应商质疑不成立，或者成立但未对成交结果构成影响的，继续开展采购活动；认为供应商质疑成立且影响或者可能影响成交结果的，按照下列情况处理：</w:t>
      </w:r>
    </w:p>
    <w:p w14:paraId="50A9AEA5">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（一）对采购文件提出的质疑，依法通过澄清或者修改可以继续开展采购活动的，澄清或者修改采购文件后继续开展采购活动；否则应当修改采购文件后重新开展采购活动。</w:t>
      </w:r>
    </w:p>
    <w:p w14:paraId="5EC96D91">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（二）对采购过程或者成交结果提出的质疑，合格供应商符合法定数量时，可以从合格的成交候选人中另行确定成交供应商的，应当依法另行确定成交供应商；否则应当重新开展采购活动。</w:t>
      </w:r>
    </w:p>
    <w:p w14:paraId="1232528E">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质疑答复导致成交结果改变的，采购人或者采购代理机构应当将有关情况书面报告本级财政部门。</w:t>
      </w:r>
    </w:p>
    <w:p w14:paraId="4DAC3921">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93" w:name="_Toc80205930"/>
    </w:p>
    <w:p w14:paraId="3D54D6BB">
      <w:pPr>
        <w:keepNext/>
        <w:keepLines/>
        <w:spacing w:line="440" w:lineRule="exact"/>
        <w:ind w:firstLine="422" w:firstLineChars="200"/>
        <w:outlineLvl w:val="2"/>
        <w:rPr>
          <w:rFonts w:hint="eastAsia" w:ascii="仿宋" w:hAnsi="仿宋" w:eastAsia="仿宋" w:cs="仿宋"/>
          <w:b/>
          <w:bCs/>
          <w:szCs w:val="21"/>
          <w:highlight w:val="none"/>
        </w:rPr>
      </w:pPr>
      <w:bookmarkStart w:id="94" w:name="_Toc127516328"/>
      <w:r>
        <w:rPr>
          <w:rFonts w:hint="eastAsia" w:ascii="仿宋" w:hAnsi="仿宋" w:eastAsia="仿宋" w:cs="仿宋"/>
          <w:b/>
          <w:bCs/>
          <w:szCs w:val="21"/>
          <w:highlight w:val="none"/>
        </w:rPr>
        <w:t>六、验收</w:t>
      </w:r>
      <w:bookmarkEnd w:id="93"/>
      <w:bookmarkEnd w:id="94"/>
    </w:p>
    <w:p w14:paraId="2B74A243">
      <w:pPr>
        <w:tabs>
          <w:tab w:val="left" w:pos="0"/>
        </w:tabs>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32.验收</w:t>
      </w:r>
    </w:p>
    <w:p w14:paraId="358685D0">
      <w:pPr>
        <w:tabs>
          <w:tab w:val="left" w:pos="0"/>
        </w:tabs>
        <w:spacing w:line="440" w:lineRule="exact"/>
        <w:ind w:firstLine="420" w:firstLineChars="200"/>
        <w:rPr>
          <w:rFonts w:hint="eastAsia" w:ascii="仿宋" w:hAnsi="仿宋" w:eastAsia="仿宋" w:cs="仿宋"/>
          <w:kern w:val="0"/>
          <w:szCs w:val="21"/>
          <w:highlight w:val="none"/>
        </w:rPr>
      </w:pPr>
      <w:r>
        <w:rPr>
          <w:rFonts w:hint="eastAsia" w:ascii="仿宋" w:hAnsi="仿宋" w:eastAsia="仿宋" w:cs="仿宋"/>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4C24E82B">
      <w:pPr>
        <w:tabs>
          <w:tab w:val="left" w:pos="0"/>
        </w:tabs>
        <w:spacing w:line="440" w:lineRule="exact"/>
        <w:ind w:firstLine="420" w:firstLineChars="200"/>
        <w:rPr>
          <w:rFonts w:hint="eastAsia" w:ascii="仿宋" w:hAnsi="仿宋" w:eastAsia="仿宋" w:cs="仿宋"/>
          <w:kern w:val="0"/>
          <w:szCs w:val="21"/>
          <w:highlight w:val="none"/>
        </w:rPr>
      </w:pPr>
      <w:r>
        <w:rPr>
          <w:rFonts w:hint="eastAsia" w:ascii="仿宋" w:hAnsi="仿宋" w:eastAsia="仿宋" w:cs="仿宋"/>
          <w:kern w:val="0"/>
          <w:szCs w:val="21"/>
          <w:highlight w:val="none"/>
        </w:rPr>
        <w:t>32.2采购人可以邀请参加本项目的其他供应商或者第三方机构参与验收。参与验收的供应商或者第三方机构的意见作为验收书的参考资料一并存档。</w:t>
      </w:r>
    </w:p>
    <w:p w14:paraId="60B17DFA">
      <w:pPr>
        <w:tabs>
          <w:tab w:val="left" w:pos="0"/>
        </w:tabs>
        <w:spacing w:line="440" w:lineRule="exact"/>
        <w:ind w:firstLine="420" w:firstLineChars="200"/>
        <w:rPr>
          <w:rFonts w:hint="eastAsia" w:ascii="仿宋" w:hAnsi="仿宋" w:eastAsia="仿宋" w:cs="仿宋"/>
          <w:kern w:val="0"/>
          <w:szCs w:val="21"/>
          <w:highlight w:val="none"/>
        </w:rPr>
      </w:pPr>
      <w:r>
        <w:rPr>
          <w:rFonts w:hint="eastAsia" w:ascii="仿宋" w:hAnsi="仿宋" w:eastAsia="仿宋" w:cs="仿宋"/>
          <w:kern w:val="0"/>
          <w:szCs w:val="21"/>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2EC74E95">
      <w:pPr>
        <w:tabs>
          <w:tab w:val="left" w:pos="0"/>
        </w:tabs>
        <w:spacing w:line="440" w:lineRule="exact"/>
        <w:ind w:firstLine="420" w:firstLineChars="200"/>
        <w:rPr>
          <w:rFonts w:hint="eastAsia" w:ascii="仿宋" w:hAnsi="仿宋" w:eastAsia="仿宋" w:cs="仿宋"/>
          <w:szCs w:val="21"/>
          <w:highlight w:val="none"/>
        </w:rPr>
      </w:pPr>
      <w:r>
        <w:rPr>
          <w:rFonts w:hint="eastAsia" w:ascii="仿宋" w:hAnsi="仿宋" w:eastAsia="仿宋" w:cs="仿宋"/>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2D51E355">
      <w:pPr>
        <w:keepNext/>
        <w:keepLines/>
        <w:spacing w:line="440" w:lineRule="exact"/>
        <w:ind w:firstLine="422" w:firstLineChars="200"/>
        <w:outlineLvl w:val="2"/>
        <w:rPr>
          <w:rFonts w:hint="eastAsia" w:ascii="仿宋" w:hAnsi="仿宋" w:eastAsia="仿宋" w:cs="仿宋"/>
          <w:b/>
          <w:bCs/>
          <w:szCs w:val="21"/>
          <w:highlight w:val="none"/>
        </w:rPr>
      </w:pPr>
      <w:bookmarkStart w:id="95" w:name="_Toc127516329"/>
      <w:r>
        <w:rPr>
          <w:rFonts w:hint="eastAsia" w:ascii="仿宋" w:hAnsi="仿宋" w:eastAsia="仿宋" w:cs="仿宋"/>
          <w:b/>
          <w:bCs/>
          <w:szCs w:val="21"/>
          <w:highlight w:val="none"/>
        </w:rPr>
        <w:t>七、其他事项</w:t>
      </w:r>
      <w:bookmarkEnd w:id="95"/>
    </w:p>
    <w:p w14:paraId="0C22DDA5">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33.代理服务费</w:t>
      </w:r>
    </w:p>
    <w:p w14:paraId="36F4445A">
      <w:pPr>
        <w:tabs>
          <w:tab w:val="left" w:pos="2835"/>
        </w:tabs>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代理服务收费标准及缴费账户详见“供应商须知前附表”，供应商为联合体的，可以由联合体中的一方或者多方共同交纳代理服务费。</w:t>
      </w:r>
    </w:p>
    <w:p w14:paraId="0B991B69">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34.需要补充的其他内容</w:t>
      </w:r>
    </w:p>
    <w:p w14:paraId="519F911A">
      <w:pPr>
        <w:spacing w:line="440" w:lineRule="exact"/>
        <w:ind w:firstLine="420" w:firstLineChars="200"/>
        <w:textAlignment w:val="center"/>
        <w:rPr>
          <w:rFonts w:hint="eastAsia" w:ascii="仿宋" w:hAnsi="仿宋" w:eastAsia="仿宋" w:cs="仿宋"/>
          <w:szCs w:val="21"/>
          <w:highlight w:val="none"/>
        </w:rPr>
      </w:pPr>
      <w:r>
        <w:rPr>
          <w:rFonts w:hint="eastAsia" w:ascii="仿宋" w:hAnsi="仿宋" w:eastAsia="仿宋" w:cs="仿宋"/>
          <w:szCs w:val="21"/>
          <w:highlight w:val="none"/>
        </w:rPr>
        <w:t>34.1本磋商文件解释规则详见“供应商须知前附表”。</w:t>
      </w:r>
    </w:p>
    <w:p w14:paraId="05D66BF5">
      <w:pPr>
        <w:spacing w:line="440" w:lineRule="exact"/>
        <w:ind w:firstLine="420" w:firstLineChars="200"/>
        <w:textAlignment w:val="center"/>
        <w:rPr>
          <w:rFonts w:hint="eastAsia" w:ascii="仿宋" w:hAnsi="仿宋" w:eastAsia="仿宋" w:cs="仿宋"/>
          <w:szCs w:val="21"/>
          <w:highlight w:val="none"/>
        </w:rPr>
      </w:pPr>
      <w:r>
        <w:rPr>
          <w:rFonts w:hint="eastAsia" w:ascii="仿宋" w:hAnsi="仿宋" w:eastAsia="仿宋" w:cs="仿宋"/>
          <w:szCs w:val="21"/>
          <w:highlight w:val="none"/>
        </w:rPr>
        <w:t>34.2 其他事项详见“供应商须知前附表”。</w:t>
      </w:r>
    </w:p>
    <w:p w14:paraId="79EA3F63">
      <w:pPr>
        <w:spacing w:line="440" w:lineRule="exact"/>
        <w:ind w:firstLine="420" w:firstLineChars="200"/>
        <w:textAlignment w:val="center"/>
        <w:rPr>
          <w:rFonts w:hint="eastAsia" w:ascii="仿宋" w:hAnsi="仿宋" w:eastAsia="仿宋" w:cs="仿宋"/>
          <w:szCs w:val="21"/>
          <w:highlight w:val="none"/>
        </w:rPr>
      </w:pPr>
      <w:r>
        <w:rPr>
          <w:rFonts w:hint="eastAsia" w:ascii="仿宋" w:hAnsi="仿宋" w:eastAsia="仿宋" w:cs="仿宋"/>
          <w:szCs w:val="21"/>
          <w:highlight w:val="none"/>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仿宋" w:hAnsi="仿宋" w:eastAsia="仿宋" w:cs="仿宋"/>
          <w:kern w:val="0"/>
          <w:szCs w:val="21"/>
          <w:highlight w:val="none"/>
        </w:rPr>
        <w:t>服务由中小企业承接，即提供服务的人员为中小企业依照《中华人民共和国劳动合同法》订立劳动合同的从业人员，不对其中涉及的货物的制造商和工程承建商作出要求的</w:t>
      </w:r>
      <w:r>
        <w:rPr>
          <w:rFonts w:hint="eastAsia" w:ascii="仿宋" w:hAnsi="仿宋" w:eastAsia="仿宋" w:cs="仿宋"/>
          <w:szCs w:val="21"/>
          <w:highlight w:val="none"/>
        </w:rPr>
        <w:t>，享受本文件规定的中小企业扶持政策。</w:t>
      </w:r>
    </w:p>
    <w:p w14:paraId="642AE1A0">
      <w:pPr>
        <w:spacing w:line="440" w:lineRule="exact"/>
        <w:ind w:firstLine="420" w:firstLineChars="200"/>
        <w:textAlignment w:val="center"/>
        <w:rPr>
          <w:rFonts w:hint="eastAsia" w:ascii="仿宋" w:hAnsi="仿宋" w:eastAsia="仿宋" w:cs="仿宋"/>
          <w:szCs w:val="21"/>
          <w:highlight w:val="none"/>
        </w:rPr>
      </w:pPr>
      <w:r>
        <w:rPr>
          <w:rFonts w:hint="eastAsia" w:ascii="仿宋" w:hAnsi="仿宋" w:eastAsia="仿宋" w:cs="仿宋"/>
          <w:szCs w:val="21"/>
          <w:highlight w:val="none"/>
        </w:rPr>
        <w:t>以联合体形式参加政府采购活动，联合体各方均为中小企业的，联合体视同中小企业。其中，联合体各方均为小微企业的，联合体视同小微企业。</w:t>
      </w:r>
    </w:p>
    <w:p w14:paraId="6F40C875">
      <w:pPr>
        <w:spacing w:line="440" w:lineRule="exact"/>
        <w:ind w:firstLine="420" w:firstLineChars="200"/>
        <w:textAlignment w:val="center"/>
        <w:rPr>
          <w:rFonts w:hint="eastAsia" w:ascii="仿宋" w:hAnsi="仿宋" w:eastAsia="仿宋" w:cs="仿宋"/>
          <w:szCs w:val="21"/>
          <w:highlight w:val="none"/>
        </w:rPr>
      </w:pPr>
      <w:r>
        <w:rPr>
          <w:rFonts w:hint="eastAsia" w:ascii="仿宋" w:hAnsi="仿宋" w:eastAsia="仿宋" w:cs="仿宋"/>
          <w:szCs w:val="21"/>
          <w:highlight w:val="none"/>
        </w:rPr>
        <w:t>依据本文件规定享受扶持政策获得政府采购合同的，小微企业不得将合同分包给大中型企业，中型企业不得将合同分包给大型企业。</w:t>
      </w:r>
    </w:p>
    <w:p w14:paraId="1EC19567">
      <w:pPr>
        <w:spacing w:line="440" w:lineRule="exact"/>
        <w:ind w:firstLine="420" w:firstLineChars="200"/>
        <w:textAlignment w:val="center"/>
        <w:rPr>
          <w:rFonts w:hint="eastAsia" w:ascii="仿宋" w:hAnsi="仿宋" w:eastAsia="仿宋" w:cs="仿宋"/>
          <w:szCs w:val="21"/>
          <w:highlight w:val="none"/>
        </w:rPr>
      </w:pPr>
      <w:r>
        <w:rPr>
          <w:rFonts w:hint="eastAsia" w:ascii="仿宋" w:hAnsi="仿宋" w:eastAsia="仿宋" w:cs="仿宋"/>
          <w:szCs w:val="21"/>
          <w:highlight w:val="none"/>
        </w:rPr>
        <w:t>35. 政采贷相关说明</w:t>
      </w:r>
    </w:p>
    <w:p w14:paraId="174E0715">
      <w:pPr>
        <w:spacing w:line="440" w:lineRule="exact"/>
        <w:ind w:firstLine="420" w:firstLineChars="200"/>
        <w:textAlignment w:val="center"/>
        <w:rPr>
          <w:rFonts w:hint="eastAsia" w:ascii="仿宋" w:hAnsi="仿宋" w:eastAsia="仿宋" w:cs="仿宋"/>
          <w:highlight w:val="none"/>
        </w:rPr>
      </w:pPr>
      <w:r>
        <w:rPr>
          <w:rFonts w:hint="eastAsia" w:ascii="仿宋" w:hAnsi="仿宋" w:eastAsia="仿宋" w:cs="仿宋"/>
          <w:kern w:val="0"/>
          <w:szCs w:val="21"/>
          <w:highlight w:val="none"/>
        </w:rPr>
        <w:t>为</w:t>
      </w:r>
      <w:r>
        <w:rPr>
          <w:rFonts w:hint="eastAsia" w:ascii="仿宋" w:hAnsi="仿宋" w:eastAsia="仿宋" w:cs="仿宋"/>
          <w:szCs w:val="21"/>
          <w:highlight w:val="none"/>
        </w:rPr>
        <w:t>优化</w:t>
      </w:r>
      <w:r>
        <w:rPr>
          <w:rFonts w:hint="eastAsia" w:ascii="仿宋" w:hAnsi="仿宋" w:eastAsia="仿宋" w:cs="仿宋"/>
          <w:kern w:val="0"/>
          <w:szCs w:val="21"/>
          <w:highlight w:val="none"/>
        </w:rPr>
        <w:t>政府采购营商环境，缓解供应商资金难题，南宁市政府采购试行政府采购信用融资制度，中标供应商如有融资需求，可凭政府采购合同在“南宁市公共资源交易中心”官网（网址：http://www.nnggzy.org.cn）“交易信息-政府采购-政府采购信用融资”中融资银行和南宁市企业融资服务中心专栏信息申请政府采购信用融资。</w:t>
      </w:r>
      <w:r>
        <w:rPr>
          <w:rFonts w:hint="eastAsia" w:ascii="仿宋" w:hAnsi="仿宋" w:eastAsia="仿宋" w:cs="仿宋"/>
          <w:b/>
          <w:kern w:val="0"/>
          <w:sz w:val="24"/>
          <w:highlight w:val="none"/>
        </w:rPr>
        <w:br w:type="page"/>
      </w:r>
    </w:p>
    <w:p w14:paraId="291D217D">
      <w:pPr>
        <w:spacing w:line="400" w:lineRule="exact"/>
        <w:ind w:firstLine="643" w:firstLineChars="200"/>
        <w:jc w:val="center"/>
        <w:textAlignment w:val="center"/>
        <w:outlineLvl w:val="0"/>
        <w:rPr>
          <w:rFonts w:hint="eastAsia" w:ascii="仿宋" w:hAnsi="仿宋" w:eastAsia="仿宋" w:cs="仿宋"/>
          <w:b/>
          <w:bCs/>
          <w:kern w:val="0"/>
          <w:sz w:val="32"/>
          <w:szCs w:val="32"/>
          <w:highlight w:val="none"/>
        </w:rPr>
      </w:pPr>
      <w:bookmarkStart w:id="96" w:name="_Toc5279"/>
      <w:bookmarkStart w:id="97" w:name="_Toc127516330"/>
      <w:r>
        <w:rPr>
          <w:rFonts w:hint="eastAsia" w:ascii="仿宋" w:hAnsi="仿宋" w:eastAsia="仿宋" w:cs="仿宋"/>
          <w:b/>
          <w:bCs/>
          <w:kern w:val="0"/>
          <w:sz w:val="32"/>
          <w:szCs w:val="32"/>
          <w:highlight w:val="none"/>
        </w:rPr>
        <w:t>第四章  评审程序、评审方法和评审标准</w:t>
      </w:r>
      <w:bookmarkEnd w:id="96"/>
      <w:bookmarkEnd w:id="97"/>
    </w:p>
    <w:p w14:paraId="1EB25391">
      <w:pPr>
        <w:keepNext/>
        <w:keepLines/>
        <w:spacing w:before="260" w:after="260" w:line="416" w:lineRule="auto"/>
        <w:jc w:val="center"/>
        <w:outlineLvl w:val="1"/>
        <w:rPr>
          <w:rFonts w:hint="eastAsia" w:ascii="仿宋" w:hAnsi="仿宋" w:eastAsia="仿宋" w:cs="仿宋"/>
          <w:b/>
          <w:bCs/>
          <w:sz w:val="32"/>
          <w:szCs w:val="32"/>
          <w:highlight w:val="none"/>
        </w:rPr>
      </w:pPr>
      <w:bookmarkStart w:id="98" w:name="_Toc127516331"/>
      <w:bookmarkStart w:id="99" w:name="_Toc15520"/>
      <w:r>
        <w:rPr>
          <w:rFonts w:hint="eastAsia" w:ascii="仿宋" w:hAnsi="仿宋" w:eastAsia="仿宋" w:cs="仿宋"/>
          <w:b/>
          <w:bCs/>
          <w:sz w:val="32"/>
          <w:szCs w:val="32"/>
          <w:highlight w:val="none"/>
        </w:rPr>
        <w:t>第一节 评审程序和评审方法</w:t>
      </w:r>
      <w:bookmarkEnd w:id="98"/>
      <w:bookmarkEnd w:id="99"/>
    </w:p>
    <w:p w14:paraId="56E1EFDD">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1.确认磋商文件</w:t>
      </w:r>
    </w:p>
    <w:p w14:paraId="0CA36EC4">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由磋商小组确认磋商文件。</w:t>
      </w:r>
    </w:p>
    <w:p w14:paraId="4AD2EEFC">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2.资格审查</w:t>
      </w:r>
    </w:p>
    <w:p w14:paraId="7BDA000A">
      <w:pPr>
        <w:snapToGrid w:val="0"/>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2.1响应文件开启后，磋商小组依法对供应商的资格证明文件进行审查。</w:t>
      </w:r>
    </w:p>
    <w:p w14:paraId="05F7BCD7">
      <w:pPr>
        <w:snapToGrid w:val="0"/>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注：采购人代表或者采购代理机构在资格审查结束前，对供应商进行信用查询。</w:t>
      </w:r>
    </w:p>
    <w:p w14:paraId="592C6DD4">
      <w:pPr>
        <w:snapToGrid w:val="0"/>
        <w:spacing w:line="440" w:lineRule="exact"/>
        <w:ind w:firstLine="420" w:firstLineChars="200"/>
        <w:jc w:val="left"/>
        <w:rPr>
          <w:rFonts w:hint="eastAsia" w:ascii="仿宋" w:hAnsi="仿宋" w:eastAsia="仿宋" w:cs="仿宋"/>
          <w:szCs w:val="21"/>
          <w:highlight w:val="none"/>
        </w:rPr>
      </w:pPr>
      <w:r>
        <w:rPr>
          <w:rFonts w:hint="eastAsia" w:ascii="仿宋" w:hAnsi="仿宋" w:eastAsia="仿宋" w:cs="仿宋"/>
          <w:szCs w:val="21"/>
          <w:highlight w:val="none"/>
        </w:rPr>
        <w:t>（1）查询渠道：</w:t>
      </w:r>
      <w:r>
        <w:rPr>
          <w:rFonts w:hint="eastAsia" w:ascii="仿宋" w:hAnsi="仿宋" w:eastAsia="仿宋" w:cs="仿宋"/>
          <w:szCs w:val="21"/>
          <w:highlight w:val="none"/>
          <w:lang w:eastAsia="zh-CN"/>
        </w:rPr>
        <w:t>“信用中国”网站（www.creditchina.gov.cn） 、“中国执行信息公开网”网站（https://zxgk.court.gov.cn/zhixing/）、中国政府采购网（www.ccgp.gov.cn）</w:t>
      </w:r>
      <w:r>
        <w:rPr>
          <w:rFonts w:hint="eastAsia" w:ascii="仿宋" w:hAnsi="仿宋" w:eastAsia="仿宋" w:cs="仿宋"/>
          <w:szCs w:val="21"/>
          <w:highlight w:val="none"/>
        </w:rPr>
        <w:t>链接入口。</w:t>
      </w:r>
    </w:p>
    <w:p w14:paraId="5263A177">
      <w:pPr>
        <w:snapToGrid w:val="0"/>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（2）信用查询截止时点：资格审查结束前。</w:t>
      </w:r>
    </w:p>
    <w:p w14:paraId="53D7C78E">
      <w:pPr>
        <w:snapToGrid w:val="0"/>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查询记录和证据留存方式：在查询网站中直接打印查询记录，截图另存为电子文档作为评审资料保存。</w:t>
      </w:r>
    </w:p>
    <w:p w14:paraId="46AF6D14">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（3）信用信息使用规则：</w:t>
      </w:r>
      <w:r>
        <w:rPr>
          <w:rFonts w:hint="eastAsia" w:ascii="仿宋" w:hAnsi="仿宋" w:eastAsia="仿宋" w:cs="仿宋"/>
          <w:szCs w:val="21"/>
          <w:highlight w:val="none"/>
          <w:lang w:eastAsia="zh-CN"/>
        </w:rPr>
        <w:t>对在“信用中国”网站（www.creditchina.gov.cn） 被列入重大税收违法失信主体或在“中国执行信息公开网”网站（https://zxgk.court.gov.cn/zhixing/）被列入失信被执行人或在中国政府采购网（www.ccgp.gov.cn）被列入政府采购严重违法失信行为记录名单及其他不符合《中华人民共和国政府采购法》第二十二条规定条件的供应商，</w:t>
      </w:r>
      <w:r>
        <w:rPr>
          <w:rFonts w:hint="eastAsia" w:ascii="仿宋" w:hAnsi="仿宋" w:eastAsia="仿宋" w:cs="仿宋"/>
          <w:szCs w:val="21"/>
          <w:highlight w:val="none"/>
        </w:rPr>
        <w:t>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C90A8D5">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2.2资格审查标准为本磋商文件中载明对供应商资格要求的条件。资格审查采用合格制，凡符合磋商文件规定的供应商资格要求的响应文件均通过资格审查。</w:t>
      </w:r>
    </w:p>
    <w:p w14:paraId="6275E201">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2.3供应商有下列情形之一的，资格审查不通过，其响应文件按无效响应处理：</w:t>
      </w:r>
    </w:p>
    <w:p w14:paraId="7C38073C">
      <w:pPr>
        <w:snapToGrid w:val="0"/>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（1）不具备磋商文件中规定的资格要求的；</w:t>
      </w:r>
    </w:p>
    <w:p w14:paraId="0051F1F9">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（2）响应文件未提供任一项“供应商须知前附表”资格证明文件规定的“必须提供”的文件资料的；</w:t>
      </w:r>
    </w:p>
    <w:p w14:paraId="62E811EA">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（3）响应文件提供的资格证明文件出现任一项不符合“供应商须知前附表”资格证明文件规定的“必须提供”的文件资料要求或者无效的；</w:t>
      </w:r>
    </w:p>
    <w:p w14:paraId="5FB64B7E">
      <w:pPr>
        <w:spacing w:line="440" w:lineRule="exact"/>
        <w:ind w:firstLine="420" w:firstLineChars="200"/>
        <w:rPr>
          <w:rFonts w:hint="eastAsia" w:ascii="仿宋" w:hAnsi="仿宋" w:eastAsia="仿宋" w:cs="仿宋"/>
          <w:szCs w:val="21"/>
          <w:highlight w:val="none"/>
        </w:rPr>
      </w:pPr>
      <w:bookmarkStart w:id="100" w:name="_Hlk68601553"/>
      <w:r>
        <w:rPr>
          <w:rFonts w:hint="eastAsia" w:ascii="仿宋" w:hAnsi="仿宋" w:eastAsia="仿宋" w:cs="仿宋"/>
          <w:szCs w:val="21"/>
          <w:highlight w:val="none"/>
        </w:rPr>
        <w:t>（4）同一合同项下的不同供应商，单位负责人为同一人或者存在直接控股、管理关系的；为本项目提供过整体设计、规范编制或者项目管理、监理、检测等服务的。</w:t>
      </w:r>
      <w:bookmarkEnd w:id="100"/>
    </w:p>
    <w:p w14:paraId="097CDE9C">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2.4通过资格审查的合格供应商不足3家的，不得进入符合性审查环节，采购人或者采购代理机构应当重新开展采购活动。</w:t>
      </w:r>
    </w:p>
    <w:p w14:paraId="76AF0582">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3.符合性审查</w:t>
      </w:r>
    </w:p>
    <w:p w14:paraId="60528E27">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3.1由磋商小组对通过资格审查的合格供应商的响应文件的响应报价、商务、技术等实质性要求进行符合性审查，以确定其是否满足磋商文件的实质性要求。</w:t>
      </w:r>
    </w:p>
    <w:p w14:paraId="1CB2827F">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F742526">
      <w:pPr>
        <w:spacing w:line="440" w:lineRule="exact"/>
        <w:ind w:firstLine="420" w:firstLineChars="200"/>
        <w:rPr>
          <w:rFonts w:hint="eastAsia" w:ascii="仿宋" w:hAnsi="仿宋" w:eastAsia="仿宋" w:cs="仿宋"/>
          <w:spacing w:val="-6"/>
          <w:szCs w:val="21"/>
          <w:highlight w:val="none"/>
        </w:rPr>
      </w:pPr>
      <w:r>
        <w:rPr>
          <w:rFonts w:hint="eastAsia" w:ascii="仿宋" w:hAnsi="仿宋" w:eastAsia="仿宋" w:cs="仿宋"/>
          <w:szCs w:val="21"/>
          <w:highlight w:val="none"/>
        </w:rPr>
        <w:t>3.3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仿宋" w:hAnsi="仿宋" w:eastAsia="仿宋" w:cs="仿宋"/>
          <w:spacing w:val="-6"/>
          <w:szCs w:val="21"/>
          <w:highlight w:val="none"/>
        </w:rPr>
        <w:t>。供应商为自然人的，必须由本人签字并附身份证明。</w:t>
      </w:r>
    </w:p>
    <w:p w14:paraId="01AC0601">
      <w:pPr>
        <w:spacing w:line="440" w:lineRule="exact"/>
        <w:ind w:firstLine="396" w:firstLineChars="200"/>
        <w:rPr>
          <w:rFonts w:hint="eastAsia" w:ascii="仿宋" w:hAnsi="仿宋" w:eastAsia="仿宋" w:cs="仿宋"/>
          <w:szCs w:val="21"/>
          <w:highlight w:val="none"/>
        </w:rPr>
      </w:pPr>
      <w:r>
        <w:rPr>
          <w:rFonts w:hint="eastAsia" w:ascii="仿宋" w:hAnsi="仿宋" w:eastAsia="仿宋" w:cs="仿宋"/>
          <w:spacing w:val="-6"/>
          <w:szCs w:val="21"/>
          <w:highlight w:val="none"/>
        </w:rPr>
        <w:t>3.4</w:t>
      </w:r>
      <w:r>
        <w:rPr>
          <w:rFonts w:hint="eastAsia" w:ascii="仿宋" w:hAnsi="仿宋" w:eastAsia="仿宋" w:cs="仿宋"/>
          <w:szCs w:val="21"/>
          <w:highlight w:val="none"/>
        </w:rPr>
        <w:t xml:space="preserve">首次响应文件报价出现前后不一致的，按照下列规定修正： </w:t>
      </w:r>
    </w:p>
    <w:p w14:paraId="585FF4C7">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（1）响应文件中报价表内容与响应文件中相应内容不一致的，以报价表为准；</w:t>
      </w:r>
    </w:p>
    <w:p w14:paraId="0FE919AF">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（2）大写金额和小写金额不一致的，以大写金额为准；</w:t>
      </w:r>
    </w:p>
    <w:p w14:paraId="54A71864">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（3）单价金额小数点或者百分比有明显错位的，以报价表的总价为准，并修改单价；</w:t>
      </w:r>
    </w:p>
    <w:p w14:paraId="33258708">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（4）总价金额与按单价汇总金额不一致的，以单价金额计算结果为准。</w:t>
      </w:r>
    </w:p>
    <w:p w14:paraId="0694D6E1">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同时出现两种以上不一致的，按照以上（1）-（4）规定的顺序逐条进行修正。修正后的报价经供应商确认后产生约束力，供应商不确认的，其响应文件按无效响应处理。</w:t>
      </w:r>
    </w:p>
    <w:p w14:paraId="1D15A105">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3.5商务技术、报价评审</w:t>
      </w:r>
    </w:p>
    <w:p w14:paraId="75A2C680">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在评审时，如发现下列情形之一的，将被视为响应文件无效处理：</w:t>
      </w:r>
    </w:p>
    <w:p w14:paraId="009608E1">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（1）商务技术评审</w:t>
      </w:r>
    </w:p>
    <w:p w14:paraId="3FB84D89">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1）响应文件未按磋商文件要求签署、盖章；</w:t>
      </w:r>
    </w:p>
    <w:p w14:paraId="1626E339">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 xml:space="preserve">2）委托代理人未能出具有效身份证明或者出具的身份证明与授权委托书中的信息不符； </w:t>
      </w:r>
    </w:p>
    <w:p w14:paraId="7C047E64">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56A2E9B5">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4）商务条款中标“▲”的条款发生负偏离的或者允许负偏离的条款数超过“供应商须知前附表”规定项数的或者标明实质性的要求发生负偏离；</w:t>
      </w:r>
    </w:p>
    <w:p w14:paraId="37F5A516">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5）未对竞标有效期作出响应或者响应文件承诺的竞标有效期不满足磋商文件要求；</w:t>
      </w:r>
    </w:p>
    <w:p w14:paraId="1B0650A9">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6）响应文件的实质性内容未使用中文表述、使用计量单位不符合磋商文件要求；</w:t>
      </w:r>
    </w:p>
    <w:p w14:paraId="47854D85">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7）响应文件中的文件资料因填写不齐全或者内容虚假或者出现其他情形而导致被磋商小组认定无效；</w:t>
      </w:r>
    </w:p>
    <w:p w14:paraId="4D37ECA1">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8）响应文件含有采购人不能接受的附加条件；</w:t>
      </w:r>
    </w:p>
    <w:p w14:paraId="5AEBDF36">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9）属于“供应商须知正文”第7.5条情形；</w:t>
      </w:r>
    </w:p>
    <w:p w14:paraId="22933F6F">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10）技术需求允许负偏离的条款数超过“供应商须知前附表”规定项数；</w:t>
      </w:r>
    </w:p>
    <w:p w14:paraId="51AA7162">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11）虚假竞标，或者出现其他情形而导致被磋商小组认定无效；</w:t>
      </w:r>
    </w:p>
    <w:p w14:paraId="63E55318">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12）竞标技术方案不明确，磋商文件未允许但响应文件中存在一个或者一个以上备选（替代）竞标方案；</w:t>
      </w:r>
    </w:p>
    <w:p w14:paraId="6DFBF962">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13）响应文件标注的项目名称或者项目编号与竞争性磋商文件标注的项目名称或者项目编号不一致的；</w:t>
      </w:r>
    </w:p>
    <w:p w14:paraId="7AF97521">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14）未响应磋商文件实质性要求；</w:t>
      </w:r>
    </w:p>
    <w:p w14:paraId="48E9E79E">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15）法律、法规和磋商文件规定的其他无效情形。</w:t>
      </w:r>
    </w:p>
    <w:p w14:paraId="5ACDED31">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（2）报价评审</w:t>
      </w:r>
    </w:p>
    <w:p w14:paraId="6FA21F47">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 响应文件未提供“供应商须知前附表” 报价文件中规定的“响应报价表”；</w:t>
      </w:r>
    </w:p>
    <w:p w14:paraId="2B8A9895">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2）未采用人民币报价或者未按照磋商文件标明的币种报价；</w:t>
      </w:r>
    </w:p>
    <w:p w14:paraId="495605F4">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5C773DC3">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5AA619BC">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2972ED57">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6）响应文件响应的标的数量及单位与竞争性磋商采购文件要求实质性不一致的。</w:t>
      </w:r>
    </w:p>
    <w:p w14:paraId="35EAEB7D">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6B93BC00">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5F5D46EB">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4.磋商程序</w:t>
      </w:r>
    </w:p>
    <w:p w14:paraId="3FFF108C">
      <w:pPr>
        <w:spacing w:line="440" w:lineRule="exact"/>
        <w:ind w:firstLine="420" w:firstLineChars="200"/>
        <w:rPr>
          <w:rFonts w:hint="eastAsia" w:ascii="仿宋" w:hAnsi="仿宋" w:eastAsia="仿宋" w:cs="仿宋"/>
          <w:kern w:val="0"/>
          <w:szCs w:val="21"/>
          <w:highlight w:val="none"/>
        </w:rPr>
      </w:pPr>
      <w:r>
        <w:rPr>
          <w:rFonts w:hint="eastAsia" w:ascii="仿宋" w:hAnsi="仿宋" w:eastAsia="仿宋" w:cs="仿宋"/>
          <w:kern w:val="0"/>
          <w:szCs w:val="21"/>
          <w:highlight w:val="none"/>
        </w:rPr>
        <w:t>4.1磋商小组按照“供应商须知前附表”确定的</w:t>
      </w:r>
      <w:r>
        <w:rPr>
          <w:rFonts w:hint="eastAsia" w:ascii="仿宋" w:hAnsi="仿宋" w:eastAsia="仿宋" w:cs="仿宋"/>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2A6E4F8B">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1C3CC74E">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4.3对磋商文件作出的实质性变动是磋商文件的有效组成部分，由磋商小组及时以电子澄清函形式同时通知所有参加磋商的供应商。</w:t>
      </w:r>
    </w:p>
    <w:p w14:paraId="73A5876D">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6BC1AE0A">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4.5磋商中，</w:t>
      </w:r>
      <w:r>
        <w:rPr>
          <w:rFonts w:hint="eastAsia" w:ascii="仿宋" w:hAnsi="仿宋" w:eastAsia="仿宋" w:cs="仿宋"/>
          <w:spacing w:val="-6"/>
          <w:szCs w:val="21"/>
          <w:highlight w:val="none"/>
        </w:rPr>
        <w:t>磋商的任何一方不得透露与磋商有关的其他供应商的技术资料、价格和其他信息。</w:t>
      </w:r>
    </w:p>
    <w:p w14:paraId="66533E4A">
      <w:pPr>
        <w:widowControl/>
        <w:tabs>
          <w:tab w:val="left" w:pos="540"/>
        </w:tabs>
        <w:spacing w:line="440" w:lineRule="exact"/>
        <w:ind w:firstLine="420" w:firstLineChars="200"/>
        <w:jc w:val="left"/>
        <w:rPr>
          <w:rFonts w:hint="eastAsia" w:ascii="仿宋" w:hAnsi="仿宋" w:eastAsia="仿宋" w:cs="仿宋"/>
          <w:b/>
          <w:szCs w:val="21"/>
          <w:highlight w:val="none"/>
        </w:rPr>
      </w:pPr>
      <w:r>
        <w:rPr>
          <w:rFonts w:hint="eastAsia" w:ascii="仿宋" w:hAnsi="仿宋" w:eastAsia="仿宋" w:cs="仿宋"/>
          <w:szCs w:val="21"/>
          <w:highlight w:val="none"/>
        </w:rPr>
        <w:t>4.6磋商小组应对磋商过程和重要磋商内容进行记录，作为评标报告一部分，磋商小组在记录上签字确认。</w:t>
      </w:r>
      <w:r>
        <w:rPr>
          <w:rFonts w:hint="eastAsia" w:ascii="仿宋" w:hAnsi="仿宋" w:eastAsia="仿宋" w:cs="仿宋"/>
          <w:b/>
          <w:szCs w:val="21"/>
          <w:highlight w:val="none"/>
        </w:rPr>
        <w:t>主要内容包括：</w:t>
      </w:r>
    </w:p>
    <w:p w14:paraId="270E4CB1">
      <w:pPr>
        <w:adjustRightInd w:val="0"/>
        <w:spacing w:line="440" w:lineRule="exact"/>
        <w:ind w:firstLine="396" w:firstLineChars="200"/>
        <w:rPr>
          <w:rFonts w:hint="eastAsia" w:ascii="仿宋" w:hAnsi="仿宋" w:eastAsia="仿宋" w:cs="仿宋"/>
          <w:spacing w:val="-6"/>
          <w:szCs w:val="21"/>
          <w:highlight w:val="none"/>
        </w:rPr>
      </w:pPr>
      <w:r>
        <w:rPr>
          <w:rFonts w:hint="eastAsia" w:ascii="仿宋" w:hAnsi="仿宋" w:eastAsia="仿宋" w:cs="仿宋"/>
          <w:spacing w:val="-6"/>
          <w:szCs w:val="21"/>
          <w:highlight w:val="none"/>
        </w:rPr>
        <w:t>（1）按照相关规定进行公示的，公示情况说明；</w:t>
      </w:r>
    </w:p>
    <w:p w14:paraId="1C1B0C82">
      <w:pPr>
        <w:adjustRightInd w:val="0"/>
        <w:spacing w:line="440" w:lineRule="exact"/>
        <w:ind w:firstLine="396" w:firstLineChars="200"/>
        <w:rPr>
          <w:rFonts w:hint="eastAsia" w:ascii="仿宋" w:hAnsi="仿宋" w:eastAsia="仿宋" w:cs="仿宋"/>
          <w:spacing w:val="-6"/>
          <w:szCs w:val="21"/>
          <w:highlight w:val="none"/>
        </w:rPr>
      </w:pPr>
      <w:r>
        <w:rPr>
          <w:rFonts w:hint="eastAsia" w:ascii="仿宋" w:hAnsi="仿宋" w:eastAsia="仿宋" w:cs="仿宋"/>
          <w:spacing w:val="-6"/>
          <w:szCs w:val="21"/>
          <w:highlight w:val="none"/>
        </w:rPr>
        <w:t>（2）磋商日期和地点，磋商人员名单；</w:t>
      </w:r>
    </w:p>
    <w:p w14:paraId="5154A440">
      <w:pPr>
        <w:adjustRightInd w:val="0"/>
        <w:spacing w:line="440" w:lineRule="exact"/>
        <w:ind w:firstLine="396" w:firstLineChars="200"/>
        <w:rPr>
          <w:rFonts w:hint="eastAsia" w:ascii="仿宋" w:hAnsi="仿宋" w:eastAsia="仿宋" w:cs="仿宋"/>
          <w:spacing w:val="-6"/>
          <w:szCs w:val="21"/>
          <w:highlight w:val="none"/>
        </w:rPr>
      </w:pPr>
      <w:r>
        <w:rPr>
          <w:rFonts w:hint="eastAsia" w:ascii="仿宋" w:hAnsi="仿宋" w:eastAsia="仿宋" w:cs="仿宋"/>
          <w:spacing w:val="-6"/>
          <w:szCs w:val="21"/>
          <w:highlight w:val="none"/>
        </w:rPr>
        <w:t>（3）合同主要条款及价格商定情况。</w:t>
      </w:r>
    </w:p>
    <w:p w14:paraId="64A0814D">
      <w:pPr>
        <w:widowControl/>
        <w:tabs>
          <w:tab w:val="left" w:pos="540"/>
        </w:tabs>
        <w:spacing w:line="440" w:lineRule="exact"/>
        <w:ind w:firstLine="420" w:firstLineChars="200"/>
        <w:jc w:val="left"/>
        <w:rPr>
          <w:rFonts w:hint="eastAsia" w:ascii="仿宋" w:hAnsi="仿宋" w:eastAsia="仿宋" w:cs="仿宋"/>
          <w:szCs w:val="21"/>
          <w:highlight w:val="none"/>
        </w:rPr>
      </w:pPr>
      <w:r>
        <w:rPr>
          <w:rFonts w:hint="eastAsia" w:ascii="仿宋" w:hAnsi="仿宋" w:eastAsia="仿宋" w:cs="仿宋"/>
          <w:szCs w:val="21"/>
          <w:highlight w:val="none"/>
        </w:rPr>
        <w:t>4.7磋商过程中重新提交的响应文件，供应商可以在开启前补充、修改。</w:t>
      </w:r>
    </w:p>
    <w:p w14:paraId="1EBA5B12">
      <w:pPr>
        <w:tabs>
          <w:tab w:val="left" w:pos="2835"/>
        </w:tabs>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4.8对磋商过程提交的响应文件进行有效性、完整性和响应程度审查，通过审查的合格供应商不足3家的，采购人或者采购代理机构应当重新开展采购活动。</w:t>
      </w:r>
    </w:p>
    <w:p w14:paraId="07549390">
      <w:pPr>
        <w:spacing w:line="440" w:lineRule="exact"/>
        <w:ind w:firstLine="422" w:firstLineChars="200"/>
        <w:rPr>
          <w:rFonts w:hint="eastAsia" w:ascii="仿宋" w:hAnsi="仿宋" w:eastAsia="仿宋" w:cs="仿宋"/>
          <w:szCs w:val="21"/>
          <w:highlight w:val="none"/>
        </w:rPr>
      </w:pPr>
      <w:r>
        <w:rPr>
          <w:rFonts w:hint="eastAsia" w:ascii="仿宋" w:hAnsi="仿宋" w:eastAsia="仿宋" w:cs="仿宋"/>
          <w:b/>
          <w:bCs/>
          <w:szCs w:val="21"/>
          <w:highlight w:val="none"/>
        </w:rPr>
        <w:t>5. 最后报价</w:t>
      </w:r>
    </w:p>
    <w:p w14:paraId="5094E2FD">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5A843A9F">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36811E16">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737F8AD9">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5.4已经提交响应文件的供应商，在提交最后报价之前，可以根据磋商情况退出磋商，退出磋商的供应商的响应文件按无效响应处理。</w:t>
      </w:r>
    </w:p>
    <w:p w14:paraId="56115D28">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5.5供应商未在规定时间内提交最后报价的，视同退出磋商。</w:t>
      </w:r>
    </w:p>
    <w:p w14:paraId="5D9AC3BA">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5.6磋商小组收齐某一分标最后报价后统一开启，磋商小组对最后报价进行有效性、完整性和响应程度的审查。</w:t>
      </w:r>
    </w:p>
    <w:p w14:paraId="7AA827AF">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 xml:space="preserve">5.7最终响应文件的报价出现前后不一致的，按照本章第3.4条的规定修正。 </w:t>
      </w:r>
    </w:p>
    <w:p w14:paraId="6AC16A17">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5.8修正后的最终报价出现下列情形的，按无效响应处理：</w:t>
      </w:r>
    </w:p>
    <w:p w14:paraId="72672CA7">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（1）供应商不确认的（全流程电子化评标采取在线确认）；</w:t>
      </w:r>
    </w:p>
    <w:p w14:paraId="4400F00C">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（2）经供应商确认修正后的响应报价（包含首次报价、最后报价）超过所竞标分标规定的采购预算金额或者最高限价的（如本项目公布了最高限价）；</w:t>
      </w:r>
    </w:p>
    <w:p w14:paraId="69D1C2EC">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（3）经供应商确认修正后的响应报价（包含首次报价、最后报价）超过分项采购预算金额或者最高限价的（如本项目公布了最高限价）。</w:t>
      </w:r>
    </w:p>
    <w:p w14:paraId="6DCD0D56">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5.9经供应商确认修正后的最后报价作为评审及签订合同的依据。</w:t>
      </w:r>
    </w:p>
    <w:p w14:paraId="17C3D284">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5.10供应商出现最后报价按无效响应处理或者响应文件按无效处理时，磋商小组应当告知有关供应商。</w:t>
      </w:r>
    </w:p>
    <w:p w14:paraId="65376918">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5.11最后报价结束后，磋商小组不得再与供应商进行任何形式的商谈。</w:t>
      </w:r>
    </w:p>
    <w:p w14:paraId="7D94BED3">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6.比较与评价</w:t>
      </w:r>
    </w:p>
    <w:p w14:paraId="371ED1EA">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6.1评审方法：综合评分法。</w:t>
      </w:r>
    </w:p>
    <w:p w14:paraId="7B8B2A37">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6.2经磋商确定最终采购需求和提交最后报价的供应商后，由磋商小组采用综合评分法对提交最后报价的供应商的响应文件和最后报价进行综合评分。</w:t>
      </w:r>
    </w:p>
    <w:p w14:paraId="31FF3804">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6.3评审时，磋商小组各成员应当独立对每个有效响应的文件进行评价、打分，然后汇总每个供应商每项评分因素的得分。</w:t>
      </w:r>
    </w:p>
    <w:p w14:paraId="51DAEB0F">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（1）磋商小组按照磋商文件中规定的评审标准计算各供应商的报价得分。项目评审过程中，不得去掉最后报价中的最高报价和最低报价。</w:t>
      </w:r>
    </w:p>
    <w:p w14:paraId="18B0807F">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（2）各供应商的得分为磋商小组所有成员的有效评分的算术平均数。</w:t>
      </w:r>
    </w:p>
    <w:p w14:paraId="1D74B435">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szCs w:val="21"/>
          <w:highlight w:val="none"/>
        </w:rPr>
        <w:t>6.4评审价为供应商的最后报价进行政策性扣除后的价格，评审价只是作为评审时使用。最终成交供应商的成交金额等于最后报价（如有修正，以确认修正后的最后报价为准）。</w:t>
      </w:r>
    </w:p>
    <w:p w14:paraId="722299DD">
      <w:pPr>
        <w:spacing w:line="440" w:lineRule="exact"/>
        <w:ind w:firstLine="420" w:firstLineChars="200"/>
        <w:rPr>
          <w:rFonts w:hint="eastAsia" w:ascii="仿宋" w:hAnsi="仿宋" w:eastAsia="仿宋" w:cs="仿宋"/>
          <w:kern w:val="0"/>
          <w:szCs w:val="21"/>
          <w:highlight w:val="none"/>
        </w:rPr>
      </w:pPr>
      <w:r>
        <w:rPr>
          <w:rFonts w:hint="eastAsia" w:ascii="仿宋" w:hAnsi="仿宋" w:eastAsia="仿宋" w:cs="仿宋"/>
          <w:szCs w:val="21"/>
          <w:highlight w:val="none"/>
        </w:rPr>
        <w:t>6.5由磋商小组根据综合评分情况，按照评审得分由高到低顺序推荐3名以上成交候选供应商，并编写评</w:t>
      </w:r>
      <w:r>
        <w:rPr>
          <w:rFonts w:hint="eastAsia" w:ascii="仿宋" w:hAnsi="仿宋" w:eastAsia="仿宋" w:cs="仿宋"/>
          <w:kern w:val="0"/>
          <w:szCs w:val="21"/>
          <w:highlight w:val="none"/>
        </w:rPr>
        <w:t>审报告。符合本章第5.3条情形的，可以推荐2家成交候选供应商。评审得分相同的，按照最后报价由低到高的顺序推荐。评审得分且最后报价相同的，按照技术指标优劣顺序推荐。</w:t>
      </w:r>
    </w:p>
    <w:p w14:paraId="26E78469">
      <w:pPr>
        <w:spacing w:line="440" w:lineRule="exact"/>
        <w:ind w:firstLine="420" w:firstLineChars="200"/>
        <w:rPr>
          <w:rFonts w:hint="eastAsia" w:ascii="仿宋" w:hAnsi="仿宋" w:eastAsia="仿宋" w:cs="仿宋"/>
          <w:szCs w:val="21"/>
          <w:highlight w:val="none"/>
        </w:rPr>
      </w:pPr>
      <w:r>
        <w:rPr>
          <w:rFonts w:hint="eastAsia" w:ascii="仿宋" w:hAnsi="仿宋" w:eastAsia="仿宋" w:cs="仿宋"/>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35C899D">
      <w:pPr>
        <w:spacing w:line="440" w:lineRule="exact"/>
        <w:ind w:firstLine="422" w:firstLineChars="200"/>
        <w:rPr>
          <w:rFonts w:hint="eastAsia" w:ascii="仿宋" w:hAnsi="仿宋" w:eastAsia="仿宋" w:cs="仿宋"/>
          <w:b/>
          <w:bCs/>
          <w:szCs w:val="21"/>
          <w:highlight w:val="none"/>
        </w:rPr>
      </w:pPr>
      <w:r>
        <w:rPr>
          <w:rFonts w:hint="eastAsia" w:ascii="仿宋" w:hAnsi="仿宋" w:eastAsia="仿宋" w:cs="仿宋"/>
          <w:b/>
          <w:bCs/>
          <w:szCs w:val="21"/>
          <w:highlight w:val="none"/>
        </w:rPr>
        <w:t>7.评审标准</w:t>
      </w:r>
    </w:p>
    <w:p w14:paraId="253AF303">
      <w:pPr>
        <w:spacing w:line="440" w:lineRule="exact"/>
        <w:ind w:firstLine="422" w:firstLineChars="200"/>
        <w:rPr>
          <w:rFonts w:hint="eastAsia" w:ascii="仿宋" w:hAnsi="仿宋" w:eastAsia="仿宋" w:cs="仿宋"/>
          <w:bCs/>
          <w:szCs w:val="21"/>
          <w:highlight w:val="none"/>
        </w:rPr>
      </w:pPr>
      <w:r>
        <w:rPr>
          <w:rFonts w:hint="eastAsia" w:ascii="仿宋" w:hAnsi="仿宋" w:eastAsia="仿宋" w:cs="仿宋"/>
          <w:b/>
          <w:szCs w:val="21"/>
          <w:highlight w:val="none"/>
        </w:rPr>
        <w:t>7.</w:t>
      </w:r>
      <w:r>
        <w:rPr>
          <w:rFonts w:hint="eastAsia" w:ascii="仿宋" w:hAnsi="仿宋" w:eastAsia="仿宋" w:cs="仿宋"/>
          <w:bCs/>
          <w:szCs w:val="21"/>
          <w:highlight w:val="none"/>
        </w:rPr>
        <w:t>1评审依据：磋商小组将以磋商响应文件为评审依据，对供应商的报价、技术、商务等方面内容按百分制打分。（计分方法按四舍五入取至百分位）</w:t>
      </w:r>
    </w:p>
    <w:tbl>
      <w:tblPr>
        <w:tblStyle w:val="31"/>
        <w:tblW w:w="9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290"/>
        <w:gridCol w:w="6735"/>
        <w:gridCol w:w="736"/>
      </w:tblGrid>
      <w:tr w14:paraId="55A8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2C3E8256">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rPr>
                <w:rFonts w:hint="eastAsia" w:ascii="仿宋" w:hAnsi="仿宋" w:eastAsia="仿宋" w:cs="仿宋"/>
                <w:b/>
                <w:bCs/>
                <w:kern w:val="0"/>
                <w:szCs w:val="21"/>
                <w:highlight w:val="none"/>
              </w:rPr>
            </w:pPr>
            <w:bookmarkStart w:id="101" w:name="PO_TDCUS_ITEM_SM_TABLE_1"/>
            <w:r>
              <w:rPr>
                <w:rFonts w:hint="eastAsia" w:ascii="仿宋" w:hAnsi="仿宋" w:eastAsia="仿宋" w:cs="仿宋"/>
                <w:b/>
                <w:bCs/>
                <w:kern w:val="0"/>
                <w:szCs w:val="21"/>
                <w:highlight w:val="none"/>
              </w:rPr>
              <w:t>序号</w:t>
            </w:r>
          </w:p>
        </w:tc>
        <w:tc>
          <w:tcPr>
            <w:tcW w:w="1290" w:type="dxa"/>
            <w:tcBorders>
              <w:top w:val="single" w:color="auto" w:sz="4" w:space="0"/>
              <w:left w:val="nil"/>
              <w:bottom w:val="single" w:color="auto" w:sz="4" w:space="0"/>
              <w:right w:val="single" w:color="auto" w:sz="4" w:space="0"/>
            </w:tcBorders>
            <w:vAlign w:val="center"/>
          </w:tcPr>
          <w:p w14:paraId="5FF5B1DF">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rPr>
                <w:rFonts w:hint="eastAsia" w:ascii="仿宋" w:hAnsi="仿宋" w:eastAsia="仿宋" w:cs="仿宋"/>
                <w:b/>
                <w:bCs/>
                <w:kern w:val="0"/>
                <w:szCs w:val="21"/>
                <w:highlight w:val="none"/>
              </w:rPr>
            </w:pPr>
            <w:r>
              <w:rPr>
                <w:rFonts w:hint="eastAsia" w:ascii="仿宋" w:hAnsi="仿宋" w:eastAsia="仿宋" w:cs="仿宋"/>
                <w:b/>
                <w:bCs/>
                <w:kern w:val="0"/>
                <w:szCs w:val="21"/>
                <w:highlight w:val="none"/>
              </w:rPr>
              <w:t>评审因素</w:t>
            </w:r>
          </w:p>
        </w:tc>
        <w:tc>
          <w:tcPr>
            <w:tcW w:w="6735" w:type="dxa"/>
            <w:tcBorders>
              <w:top w:val="single" w:color="auto" w:sz="4" w:space="0"/>
              <w:left w:val="nil"/>
              <w:bottom w:val="single" w:color="auto" w:sz="4" w:space="0"/>
              <w:right w:val="single" w:color="auto" w:sz="4" w:space="0"/>
            </w:tcBorders>
            <w:vAlign w:val="center"/>
          </w:tcPr>
          <w:p w14:paraId="1F35826B">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rPr>
                <w:rFonts w:hint="eastAsia" w:ascii="仿宋" w:hAnsi="仿宋" w:eastAsia="仿宋" w:cs="仿宋"/>
                <w:b/>
                <w:bCs/>
                <w:kern w:val="0"/>
                <w:szCs w:val="21"/>
                <w:highlight w:val="none"/>
              </w:rPr>
            </w:pPr>
            <w:r>
              <w:rPr>
                <w:rFonts w:hint="eastAsia" w:ascii="仿宋" w:hAnsi="仿宋" w:eastAsia="仿宋" w:cs="仿宋"/>
                <w:b/>
                <w:bCs/>
                <w:kern w:val="0"/>
                <w:szCs w:val="21"/>
                <w:highlight w:val="none"/>
              </w:rPr>
              <w:t>评审因素具体内容</w:t>
            </w:r>
          </w:p>
        </w:tc>
        <w:tc>
          <w:tcPr>
            <w:tcW w:w="736" w:type="dxa"/>
            <w:tcBorders>
              <w:top w:val="single" w:color="auto" w:sz="4" w:space="0"/>
              <w:left w:val="nil"/>
              <w:bottom w:val="single" w:color="auto" w:sz="4" w:space="0"/>
              <w:right w:val="single" w:color="auto" w:sz="4" w:space="0"/>
            </w:tcBorders>
            <w:vAlign w:val="center"/>
          </w:tcPr>
          <w:p w14:paraId="3A9812A5">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rPr>
                <w:rFonts w:hint="eastAsia" w:ascii="仿宋" w:hAnsi="仿宋" w:eastAsia="仿宋" w:cs="仿宋"/>
                <w:b/>
                <w:bCs/>
                <w:kern w:val="0"/>
                <w:szCs w:val="21"/>
                <w:highlight w:val="none"/>
              </w:rPr>
            </w:pPr>
            <w:r>
              <w:rPr>
                <w:rFonts w:hint="eastAsia" w:ascii="仿宋" w:hAnsi="仿宋" w:eastAsia="仿宋" w:cs="仿宋"/>
                <w:b/>
                <w:bCs/>
                <w:kern w:val="0"/>
                <w:szCs w:val="21"/>
                <w:highlight w:val="none"/>
              </w:rPr>
              <w:t>分值</w:t>
            </w:r>
          </w:p>
        </w:tc>
      </w:tr>
      <w:tr w14:paraId="4AECA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1BEE80F4">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rPr>
                <w:rFonts w:hint="eastAsia" w:ascii="仿宋" w:hAnsi="仿宋" w:eastAsia="仿宋" w:cs="仿宋"/>
                <w:kern w:val="0"/>
                <w:szCs w:val="21"/>
                <w:highlight w:val="none"/>
              </w:rPr>
            </w:pPr>
            <w:r>
              <w:rPr>
                <w:rFonts w:hint="eastAsia" w:ascii="仿宋" w:hAnsi="仿宋" w:eastAsia="仿宋" w:cs="仿宋"/>
                <w:kern w:val="0"/>
                <w:szCs w:val="21"/>
                <w:highlight w:val="none"/>
              </w:rPr>
              <w:t>1</w:t>
            </w:r>
          </w:p>
        </w:tc>
        <w:tc>
          <w:tcPr>
            <w:tcW w:w="1290" w:type="dxa"/>
            <w:tcBorders>
              <w:top w:val="single" w:color="auto" w:sz="4" w:space="0"/>
              <w:left w:val="nil"/>
              <w:bottom w:val="single" w:color="auto" w:sz="4" w:space="0"/>
              <w:right w:val="single" w:color="auto" w:sz="4" w:space="0"/>
            </w:tcBorders>
            <w:vAlign w:val="center"/>
          </w:tcPr>
          <w:p w14:paraId="45194336">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rPr>
                <w:rFonts w:hint="eastAsia" w:ascii="仿宋" w:hAnsi="仿宋" w:eastAsia="仿宋" w:cs="仿宋"/>
                <w:kern w:val="0"/>
                <w:szCs w:val="21"/>
                <w:highlight w:val="none"/>
              </w:rPr>
            </w:pPr>
            <w:r>
              <w:rPr>
                <w:rFonts w:hint="eastAsia" w:ascii="仿宋" w:hAnsi="仿宋" w:eastAsia="仿宋" w:cs="仿宋"/>
                <w:kern w:val="0"/>
                <w:szCs w:val="21"/>
                <w:highlight w:val="none"/>
              </w:rPr>
              <w:t>价格分</w:t>
            </w:r>
          </w:p>
        </w:tc>
        <w:tc>
          <w:tcPr>
            <w:tcW w:w="6735" w:type="dxa"/>
            <w:tcBorders>
              <w:top w:val="single" w:color="auto" w:sz="4" w:space="0"/>
              <w:left w:val="nil"/>
              <w:bottom w:val="single" w:color="auto" w:sz="4" w:space="0"/>
              <w:right w:val="single" w:color="auto" w:sz="4" w:space="0"/>
            </w:tcBorders>
          </w:tcPr>
          <w:p w14:paraId="31DB62BB">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color w:val="auto"/>
                <w:szCs w:val="21"/>
                <w:highlight w:val="none"/>
              </w:rPr>
            </w:pPr>
            <w:r>
              <w:rPr>
                <w:rFonts w:hint="eastAsia" w:ascii="仿宋" w:hAnsi="仿宋" w:eastAsia="仿宋" w:cs="仿宋"/>
                <w:bCs/>
                <w:color w:val="auto"/>
                <w:szCs w:val="21"/>
                <w:highlight w:val="none"/>
              </w:rPr>
              <w:t>1.</w:t>
            </w:r>
            <w:r>
              <w:rPr>
                <w:rFonts w:hint="eastAsia" w:ascii="仿宋" w:hAnsi="仿宋" w:eastAsia="仿宋" w:cs="仿宋"/>
                <w:color w:val="auto"/>
                <w:szCs w:val="21"/>
                <w:highlight w:val="none"/>
              </w:rPr>
              <w:t>评审报价为供应商的最后报价进行政策性扣除后的价格，评审报价只是作为评审时使用。最终成交供应商的成交金额等于最后报价（如有修正，以确认修正后的最后报价为准）。</w:t>
            </w:r>
          </w:p>
          <w:p w14:paraId="0DB79243">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color w:val="auto"/>
                <w:kern w:val="0"/>
                <w:szCs w:val="21"/>
                <w:highlight w:val="none"/>
              </w:rPr>
            </w:pPr>
            <w:r>
              <w:rPr>
                <w:rFonts w:hint="eastAsia" w:ascii="仿宋" w:hAnsi="仿宋" w:eastAsia="仿宋" w:cs="仿宋"/>
                <w:bCs/>
                <w:color w:val="auto"/>
                <w:szCs w:val="21"/>
                <w:highlight w:val="none"/>
              </w:rPr>
              <w:t>2.政府采购政策性扣除计算方法</w:t>
            </w:r>
          </w:p>
          <w:p w14:paraId="70BD9AB7">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r>
              <w:rPr>
                <w:rFonts w:hint="eastAsia" w:ascii="仿宋" w:hAnsi="仿宋" w:eastAsia="仿宋" w:cs="仿宋"/>
                <w:bCs/>
                <w:color w:val="auto"/>
                <w:szCs w:val="21"/>
                <w:highlight w:val="none"/>
              </w:rPr>
              <w:t>按照《政府采购促进中小企业发展管理办法》（财库〔2020〕46号）的规定，供应商在其响应文件中提供《中小企业声明函》，且其服务为小型和微型企业承接的，对其最后报价给予</w:t>
            </w:r>
            <w:r>
              <w:rPr>
                <w:rFonts w:hint="eastAsia" w:ascii="仿宋" w:hAnsi="仿宋" w:eastAsia="仿宋" w:cs="仿宋"/>
                <w:bCs/>
                <w:color w:val="auto"/>
                <w:szCs w:val="21"/>
                <w:highlight w:val="none"/>
                <w:lang w:val="en-US" w:eastAsia="zh-CN"/>
              </w:rPr>
              <w:t>政策性</w:t>
            </w:r>
            <w:r>
              <w:rPr>
                <w:rFonts w:hint="eastAsia" w:ascii="仿宋" w:hAnsi="仿宋" w:eastAsia="仿宋" w:cs="仿宋"/>
                <w:bCs/>
                <w:color w:val="auto"/>
                <w:szCs w:val="21"/>
                <w:highlight w:val="none"/>
              </w:rPr>
              <w:t>的扣除。</w:t>
            </w:r>
          </w:p>
          <w:p w14:paraId="0FA62C81">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6537F624">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35EA87EA">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（4）政策性扣除计算方法。</w:t>
            </w:r>
          </w:p>
          <w:p w14:paraId="22A1F360">
            <w:pPr>
              <w:keepNext w:val="0"/>
              <w:keepLines w:val="0"/>
              <w:pageBreakBefore w:val="0"/>
              <w:suppressLineNumbers w:val="0"/>
              <w:kinsoku/>
              <w:wordWrap/>
              <w:overflowPunct/>
              <w:topLinePunct w:val="0"/>
              <w:bidi w:val="0"/>
              <w:snapToGrid w:val="0"/>
              <w:spacing w:before="0" w:beforeAutospacing="0" w:after="0" w:afterAutospacing="0" w:line="400" w:lineRule="exact"/>
              <w:ind w:left="0" w:right="0" w:firstLine="420" w:firstLineChars="200"/>
              <w:jc w:val="left"/>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在服务采购项目中，服务由小微企业承接；对符合上述要求的供应商的竞标报价给予10%的扣除，扣除后的价格为评审报价，即评审报价=竞标报价×（1-10%）。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w:t>
            </w:r>
            <w:r>
              <w:rPr>
                <w:rFonts w:hint="eastAsia" w:ascii="仿宋" w:hAnsi="仿宋" w:eastAsia="仿宋" w:cs="仿宋"/>
                <w:bCs/>
                <w:color w:val="auto"/>
                <w:szCs w:val="21"/>
                <w:highlight w:val="none"/>
                <w:u w:val="single"/>
              </w:rPr>
              <w:t xml:space="preserve"> 4 %</w:t>
            </w:r>
            <w:r>
              <w:rPr>
                <w:rFonts w:hint="eastAsia" w:ascii="仿宋" w:hAnsi="仿宋" w:eastAsia="仿宋" w:cs="仿宋"/>
                <w:bCs/>
                <w:color w:val="auto"/>
                <w:szCs w:val="21"/>
                <w:highlight w:val="none"/>
              </w:rPr>
              <w:t>（范围为4%-6%）的扣除，用扣除后的价格参加评审，扣除后的价格为评审报价，即评审报价=竞标报价×（1-</w:t>
            </w:r>
            <w:r>
              <w:rPr>
                <w:rFonts w:hint="eastAsia" w:ascii="仿宋" w:hAnsi="仿宋" w:eastAsia="仿宋" w:cs="仿宋"/>
                <w:bCs/>
                <w:color w:val="auto"/>
                <w:szCs w:val="21"/>
                <w:highlight w:val="none"/>
                <w:u w:val="single"/>
              </w:rPr>
              <w:t xml:space="preserve"> 4 </w:t>
            </w:r>
            <w:r>
              <w:rPr>
                <w:rFonts w:hint="eastAsia" w:ascii="仿宋" w:hAnsi="仿宋" w:eastAsia="仿宋" w:cs="仿宋"/>
                <w:bCs/>
                <w:color w:val="auto"/>
                <w:szCs w:val="21"/>
                <w:highlight w:val="none"/>
              </w:rPr>
              <w:t>%）。</w:t>
            </w:r>
          </w:p>
          <w:p w14:paraId="7D9F631E">
            <w:pPr>
              <w:keepNext w:val="0"/>
              <w:keepLines w:val="0"/>
              <w:pageBreakBefore w:val="0"/>
              <w:suppressLineNumbers w:val="0"/>
              <w:kinsoku/>
              <w:wordWrap/>
              <w:overflowPunct/>
              <w:topLinePunct w:val="0"/>
              <w:bidi w:val="0"/>
              <w:snapToGrid w:val="0"/>
              <w:spacing w:before="0" w:beforeAutospacing="0" w:after="0" w:afterAutospacing="0" w:line="400" w:lineRule="exact"/>
              <w:ind w:left="0" w:right="0" w:firstLine="420" w:firstLineChars="200"/>
              <w:jc w:val="left"/>
              <w:rPr>
                <w:rFonts w:hint="eastAsia" w:ascii="仿宋" w:hAnsi="仿宋" w:eastAsia="仿宋" w:cs="仿宋"/>
                <w:color w:val="auto"/>
                <w:szCs w:val="21"/>
                <w:highlight w:val="none"/>
              </w:rPr>
            </w:pPr>
            <w:r>
              <w:rPr>
                <w:rFonts w:hint="eastAsia" w:ascii="仿宋" w:hAnsi="仿宋" w:eastAsia="仿宋" w:cs="仿宋"/>
                <w:color w:val="auto"/>
                <w:szCs w:val="21"/>
                <w:highlight w:val="none"/>
              </w:rPr>
              <w:t>（5）除上述情况外，评审报价＝最后</w:t>
            </w:r>
            <w:r>
              <w:rPr>
                <w:rFonts w:hint="eastAsia" w:ascii="仿宋" w:hAnsi="仿宋" w:eastAsia="仿宋" w:cs="仿宋"/>
                <w:bCs/>
                <w:color w:val="auto"/>
                <w:szCs w:val="21"/>
                <w:highlight w:val="none"/>
              </w:rPr>
              <w:t>磋商</w:t>
            </w:r>
            <w:r>
              <w:rPr>
                <w:rFonts w:hint="eastAsia" w:ascii="仿宋" w:hAnsi="仿宋" w:eastAsia="仿宋" w:cs="仿宋"/>
                <w:color w:val="auto"/>
                <w:szCs w:val="21"/>
                <w:highlight w:val="none"/>
              </w:rPr>
              <w:t>报价。</w:t>
            </w:r>
          </w:p>
          <w:p w14:paraId="27CC5FC4">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（6）以进入比较与评价环节的最低的评审报价为磋商基准价，磋商基准价得分为</w:t>
            </w:r>
            <w:r>
              <w:rPr>
                <w:rFonts w:hint="eastAsia" w:ascii="仿宋" w:hAnsi="仿宋" w:eastAsia="仿宋" w:cs="仿宋"/>
                <w:bCs/>
                <w:color w:val="auto"/>
                <w:szCs w:val="21"/>
                <w:highlight w:val="none"/>
                <w:u w:val="single"/>
              </w:rPr>
              <w:t xml:space="preserve"> 1</w:t>
            </w:r>
            <w:r>
              <w:rPr>
                <w:rFonts w:hint="eastAsia" w:ascii="仿宋" w:hAnsi="仿宋" w:eastAsia="仿宋" w:cs="仿宋"/>
                <w:bCs/>
                <w:color w:val="auto"/>
                <w:szCs w:val="21"/>
                <w:highlight w:val="none"/>
                <w:u w:val="single"/>
                <w:lang w:val="en-US" w:eastAsia="zh-CN"/>
              </w:rPr>
              <w:t>0</w:t>
            </w:r>
            <w:r>
              <w:rPr>
                <w:rFonts w:hint="eastAsia" w:ascii="仿宋" w:hAnsi="仿宋" w:eastAsia="仿宋" w:cs="仿宋"/>
                <w:bCs/>
                <w:color w:val="auto"/>
                <w:szCs w:val="21"/>
                <w:highlight w:val="none"/>
                <w:u w:val="single"/>
              </w:rPr>
              <w:t xml:space="preserve"> </w:t>
            </w:r>
            <w:r>
              <w:rPr>
                <w:rFonts w:hint="eastAsia" w:ascii="仿宋" w:hAnsi="仿宋" w:eastAsia="仿宋" w:cs="仿宋"/>
                <w:bCs/>
                <w:color w:val="auto"/>
                <w:szCs w:val="21"/>
                <w:highlight w:val="none"/>
              </w:rPr>
              <w:t>分。</w:t>
            </w:r>
          </w:p>
          <w:p w14:paraId="67F85BA2">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（7）价格分计算公式：</w:t>
            </w:r>
          </w:p>
          <w:p w14:paraId="72AA4BC8">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磋商报价得分=（磋商基准价/最后磋商报价）×</w:t>
            </w:r>
            <w:r>
              <w:rPr>
                <w:rFonts w:hint="eastAsia" w:ascii="仿宋" w:hAnsi="仿宋" w:eastAsia="仿宋" w:cs="仿宋"/>
                <w:bCs/>
                <w:color w:val="auto"/>
                <w:szCs w:val="21"/>
                <w:highlight w:val="none"/>
                <w:u w:val="single"/>
              </w:rPr>
              <w:t xml:space="preserve"> 1</w:t>
            </w:r>
            <w:r>
              <w:rPr>
                <w:rFonts w:hint="eastAsia" w:ascii="仿宋" w:hAnsi="仿宋" w:eastAsia="仿宋" w:cs="仿宋"/>
                <w:bCs/>
                <w:color w:val="auto"/>
                <w:szCs w:val="21"/>
                <w:highlight w:val="none"/>
                <w:u w:val="single"/>
                <w:lang w:val="en-US" w:eastAsia="zh-CN"/>
              </w:rPr>
              <w:t>0</w:t>
            </w:r>
            <w:r>
              <w:rPr>
                <w:rFonts w:hint="eastAsia" w:ascii="仿宋" w:hAnsi="仿宋" w:eastAsia="仿宋" w:cs="仿宋"/>
                <w:bCs/>
                <w:color w:val="auto"/>
                <w:szCs w:val="21"/>
                <w:highlight w:val="none"/>
                <w:u w:val="single"/>
              </w:rPr>
              <w:t xml:space="preserve"> </w:t>
            </w:r>
            <w:r>
              <w:rPr>
                <w:rFonts w:hint="eastAsia" w:ascii="仿宋" w:hAnsi="仿宋" w:eastAsia="仿宋" w:cs="仿宋"/>
                <w:bCs/>
                <w:color w:val="auto"/>
                <w:szCs w:val="21"/>
                <w:highlight w:val="none"/>
              </w:rPr>
              <w:t>分</w:t>
            </w:r>
          </w:p>
          <w:p w14:paraId="1ACC317D">
            <w:pPr>
              <w:keepNext w:val="0"/>
              <w:keepLines w:val="0"/>
              <w:pageBreakBefore w:val="0"/>
              <w:suppressLineNumbers w:val="0"/>
              <w:kinsoku/>
              <w:wordWrap/>
              <w:overflowPunct/>
              <w:topLinePunct w:val="0"/>
              <w:bidi w:val="0"/>
              <w:spacing w:before="0" w:beforeAutospacing="0" w:after="0" w:afterAutospacing="0" w:line="400" w:lineRule="exact"/>
              <w:ind w:left="0" w:right="0" w:firstLine="422" w:firstLineChars="200"/>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注：如项目为专门面向中小企业采购项目不再进行政策性价格扣除。</w:t>
            </w:r>
          </w:p>
          <w:p w14:paraId="3611415A">
            <w:pPr>
              <w:keepNext w:val="0"/>
              <w:keepLines w:val="0"/>
              <w:pageBreakBefore w:val="0"/>
              <w:suppressLineNumbers w:val="0"/>
              <w:kinsoku/>
              <w:wordWrap/>
              <w:overflowPunct/>
              <w:topLinePunct w:val="0"/>
              <w:bidi w:val="0"/>
              <w:spacing w:before="0" w:beforeAutospacing="0" w:after="0" w:afterAutospacing="0" w:line="400" w:lineRule="exact"/>
              <w:ind w:left="0" w:right="0" w:firstLine="422" w:firstLineChars="200"/>
              <w:rPr>
                <w:rFonts w:hint="eastAsia" w:ascii="仿宋" w:hAnsi="仿宋" w:eastAsia="仿宋" w:cs="仿宋"/>
                <w:b/>
                <w:bCs/>
                <w:color w:val="auto"/>
                <w:szCs w:val="21"/>
                <w:highlight w:val="none"/>
                <w:lang w:val="en-US" w:eastAsia="zh-CN"/>
              </w:rPr>
            </w:pPr>
            <w:r>
              <w:rPr>
                <w:rFonts w:hint="eastAsia" w:ascii="仿宋" w:hAnsi="仿宋" w:eastAsia="仿宋" w:cs="仿宋"/>
                <w:b/>
                <w:bCs/>
                <w:color w:val="auto"/>
                <w:szCs w:val="21"/>
                <w:highlight w:val="none"/>
                <w:lang w:val="en-US" w:eastAsia="zh-CN"/>
              </w:rPr>
              <w:t>3.特别说明：</w:t>
            </w:r>
          </w:p>
          <w:p w14:paraId="6E9D89DD">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根据《关于推动解决政府采购异常低价问题的通知》（财库〔2026〕2 号）的规定，采购评审中出现下列情形之一的，</w:t>
            </w:r>
            <w:r>
              <w:rPr>
                <w:rFonts w:hint="eastAsia" w:ascii="仿宋" w:hAnsi="仿宋" w:eastAsia="仿宋" w:cs="仿宋"/>
                <w:bCs/>
                <w:szCs w:val="21"/>
                <w:highlight w:val="none"/>
              </w:rPr>
              <w:t>磋商小组</w:t>
            </w:r>
            <w:r>
              <w:rPr>
                <w:rFonts w:hint="eastAsia" w:ascii="仿宋" w:hAnsi="仿宋" w:eastAsia="仿宋" w:cs="仿宋"/>
                <w:b w:val="0"/>
                <w:bCs w:val="0"/>
                <w:color w:val="auto"/>
                <w:szCs w:val="21"/>
                <w:highlight w:val="none"/>
                <w:lang w:val="en-US" w:eastAsia="zh-CN"/>
              </w:rPr>
              <w:t>应当启动异常低价投标（响应）审查程序：</w:t>
            </w:r>
          </w:p>
          <w:p w14:paraId="2EAD040A">
            <w:pPr>
              <w:keepNext w:val="0"/>
              <w:keepLines w:val="0"/>
              <w:pageBreakBefore w:val="0"/>
              <w:suppressLineNumbers w:val="0"/>
              <w:kinsoku/>
              <w:wordWrap/>
              <w:overflowPunct/>
              <w:topLinePunct w:val="0"/>
              <w:bidi w:val="0"/>
              <w:spacing w:before="0" w:beforeAutospacing="0" w:after="0" w:afterAutospacing="0" w:line="400" w:lineRule="exact"/>
              <w:ind w:left="0" w:right="0" w:firstLine="422" w:firstLineChars="200"/>
              <w:rPr>
                <w:rFonts w:hint="eastAsia" w:ascii="仿宋" w:hAnsi="仿宋" w:eastAsia="仿宋" w:cs="仿宋"/>
                <w:b/>
                <w:bCs/>
                <w:color w:val="auto"/>
                <w:szCs w:val="21"/>
                <w:highlight w:val="none"/>
                <w:lang w:val="en-US" w:eastAsia="zh-CN"/>
              </w:rPr>
            </w:pPr>
            <w:r>
              <w:rPr>
                <w:rFonts w:hint="eastAsia" w:ascii="仿宋" w:hAnsi="仿宋" w:eastAsia="仿宋" w:cs="仿宋"/>
                <w:b/>
                <w:bCs/>
                <w:color w:val="auto"/>
                <w:szCs w:val="21"/>
                <w:highlight w:val="none"/>
                <w:lang w:val="en-US" w:eastAsia="zh-CN"/>
              </w:rPr>
              <w:t>①投标（响应）报价低于全部通过符合性审查供应商投标（响应）报价平均值65%的，即投标（响应）报价&lt;全部通过符合性审查供应商投标（响应）报价平均值×65%；</w:t>
            </w:r>
          </w:p>
          <w:p w14:paraId="4AF04522">
            <w:pPr>
              <w:keepNext w:val="0"/>
              <w:keepLines w:val="0"/>
              <w:pageBreakBefore w:val="0"/>
              <w:suppressLineNumbers w:val="0"/>
              <w:kinsoku/>
              <w:wordWrap/>
              <w:overflowPunct/>
              <w:topLinePunct w:val="0"/>
              <w:bidi w:val="0"/>
              <w:spacing w:before="0" w:beforeAutospacing="0" w:after="0" w:afterAutospacing="0" w:line="400" w:lineRule="exact"/>
              <w:ind w:left="0" w:right="0" w:firstLine="422" w:firstLineChars="200"/>
              <w:rPr>
                <w:rFonts w:hint="eastAsia" w:ascii="仿宋" w:hAnsi="仿宋" w:eastAsia="仿宋" w:cs="仿宋"/>
                <w:b/>
                <w:bCs/>
                <w:color w:val="auto"/>
                <w:szCs w:val="21"/>
                <w:highlight w:val="none"/>
                <w:lang w:val="en-US" w:eastAsia="zh-CN"/>
              </w:rPr>
            </w:pPr>
            <w:r>
              <w:rPr>
                <w:rFonts w:hint="eastAsia" w:ascii="仿宋" w:hAnsi="仿宋" w:eastAsia="仿宋" w:cs="仿宋"/>
                <w:b/>
                <w:bCs/>
                <w:color w:val="auto"/>
                <w:szCs w:val="21"/>
                <w:highlight w:val="none"/>
                <w:lang w:val="en-US" w:eastAsia="zh-CN"/>
              </w:rPr>
              <w:t>②投标（响应）报价低于通过符合性审查的次低报价供应商投标（响应）报价65%的，即投标（响应）报价&lt;通过符合性审查的次低报价供应商投标（响应）报价×65%；</w:t>
            </w:r>
          </w:p>
          <w:p w14:paraId="41794465">
            <w:pPr>
              <w:keepNext w:val="0"/>
              <w:keepLines w:val="0"/>
              <w:pageBreakBefore w:val="0"/>
              <w:suppressLineNumbers w:val="0"/>
              <w:kinsoku/>
              <w:wordWrap/>
              <w:overflowPunct/>
              <w:topLinePunct w:val="0"/>
              <w:bidi w:val="0"/>
              <w:spacing w:before="0" w:beforeAutospacing="0" w:after="0" w:afterAutospacing="0" w:line="400" w:lineRule="exact"/>
              <w:ind w:left="0" w:right="0" w:firstLine="422"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bCs/>
                <w:color w:val="auto"/>
                <w:szCs w:val="21"/>
                <w:highlight w:val="none"/>
                <w:lang w:val="en-US" w:eastAsia="zh-CN"/>
              </w:rPr>
              <w:t>③投标（响应）报价低于采购项目最高限价65%的，即投标（响应）报价&lt;采购项目最高限价×65%；</w:t>
            </w:r>
          </w:p>
          <w:p w14:paraId="4B5ED655">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④</w:t>
            </w:r>
            <w:r>
              <w:rPr>
                <w:rFonts w:hint="eastAsia" w:ascii="仿宋" w:hAnsi="仿宋" w:eastAsia="仿宋" w:cs="仿宋"/>
                <w:bCs/>
                <w:szCs w:val="21"/>
                <w:highlight w:val="none"/>
              </w:rPr>
              <w:t>磋商小组</w:t>
            </w:r>
            <w:r>
              <w:rPr>
                <w:rFonts w:hint="eastAsia" w:ascii="仿宋" w:hAnsi="仿宋" w:eastAsia="仿宋" w:cs="仿宋"/>
                <w:b w:val="0"/>
                <w:bCs w:val="0"/>
                <w:color w:val="auto"/>
                <w:szCs w:val="21"/>
                <w:highlight w:val="none"/>
                <w:lang w:val="en-US" w:eastAsia="zh-CN"/>
              </w:rPr>
              <w:t>基于专业判断，认为供应商报价过低，有可能影响产品质量或者不能诚信履约的其他情形。</w:t>
            </w:r>
          </w:p>
          <w:p w14:paraId="0E9591AC">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Cs/>
                <w:szCs w:val="21"/>
                <w:highlight w:val="none"/>
              </w:rPr>
              <w:t>磋商小组</w:t>
            </w:r>
            <w:r>
              <w:rPr>
                <w:rFonts w:hint="eastAsia" w:ascii="仿宋" w:hAnsi="仿宋" w:eastAsia="仿宋" w:cs="仿宋"/>
                <w:b w:val="0"/>
                <w:bCs w:val="0"/>
                <w:color w:val="auto"/>
                <w:szCs w:val="21"/>
                <w:highlight w:val="none"/>
                <w:lang w:val="en-US" w:eastAsia="zh-CN"/>
              </w:rPr>
              <w:t>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FF4ADC4">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default" w:ascii="仿宋" w:hAnsi="仿宋" w:eastAsia="仿宋" w:cs="仿宋"/>
                <w:b/>
                <w:bCs/>
                <w:color w:val="auto"/>
                <w:szCs w:val="21"/>
                <w:highlight w:val="none"/>
                <w:lang w:val="en-US" w:eastAsia="zh-CN"/>
              </w:rPr>
            </w:pPr>
            <w:r>
              <w:rPr>
                <w:rFonts w:hint="eastAsia" w:ascii="仿宋" w:hAnsi="仿宋" w:eastAsia="仿宋" w:cs="仿宋"/>
                <w:bCs/>
                <w:szCs w:val="21"/>
                <w:highlight w:val="none"/>
              </w:rPr>
              <w:t>磋商小组</w:t>
            </w:r>
            <w:r>
              <w:rPr>
                <w:rFonts w:hint="eastAsia" w:ascii="仿宋" w:hAnsi="仿宋" w:eastAsia="仿宋" w:cs="仿宋"/>
                <w:b w:val="0"/>
                <w:bCs w:val="0"/>
                <w:color w:val="auto"/>
                <w:szCs w:val="21"/>
                <w:highlight w:val="none"/>
                <w:lang w:val="en-US" w:eastAsia="zh-CN"/>
              </w:rPr>
              <w:t>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r>
              <w:rPr>
                <w:rFonts w:hint="eastAsia" w:ascii="仿宋" w:hAnsi="仿宋" w:eastAsia="仿宋" w:cs="仿宋"/>
                <w:bCs/>
                <w:szCs w:val="21"/>
                <w:highlight w:val="none"/>
              </w:rPr>
              <w:t>磋商小组</w:t>
            </w:r>
            <w:r>
              <w:rPr>
                <w:rFonts w:hint="eastAsia" w:ascii="仿宋" w:hAnsi="仿宋" w:eastAsia="仿宋" w:cs="仿宋"/>
                <w:b w:val="0"/>
                <w:bCs w:val="0"/>
                <w:color w:val="auto"/>
                <w:szCs w:val="21"/>
                <w:highlight w:val="none"/>
                <w:lang w:val="en-US" w:eastAsia="zh-CN"/>
              </w:rPr>
              <w:t>应当将其作为无效投标（响应）处理。</w:t>
            </w:r>
          </w:p>
        </w:tc>
        <w:tc>
          <w:tcPr>
            <w:tcW w:w="736" w:type="dxa"/>
            <w:tcBorders>
              <w:top w:val="single" w:color="auto" w:sz="4" w:space="0"/>
              <w:left w:val="nil"/>
              <w:bottom w:val="single" w:color="auto" w:sz="4" w:space="0"/>
              <w:right w:val="single" w:color="auto" w:sz="4" w:space="0"/>
            </w:tcBorders>
            <w:vAlign w:val="center"/>
          </w:tcPr>
          <w:p w14:paraId="45078788">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rPr>
                <w:rFonts w:hint="eastAsia" w:ascii="仿宋" w:hAnsi="仿宋" w:eastAsia="仿宋" w:cs="仿宋"/>
                <w:color w:val="auto"/>
                <w:kern w:val="0"/>
                <w:szCs w:val="21"/>
                <w:highlight w:val="none"/>
              </w:rPr>
            </w:pPr>
            <w:r>
              <w:rPr>
                <w:rFonts w:hint="eastAsia" w:ascii="仿宋" w:hAnsi="仿宋" w:eastAsia="仿宋" w:cs="仿宋"/>
                <w:highlight w:val="none"/>
                <w:lang w:val="en-US" w:eastAsia="zh-CN" w:bidi="ar"/>
              </w:rPr>
              <w:t>满分</w:t>
            </w:r>
            <w:r>
              <w:rPr>
                <w:rFonts w:hint="eastAsia" w:ascii="仿宋" w:hAnsi="仿宋" w:eastAsia="仿宋" w:cs="仿宋"/>
                <w:color w:val="auto"/>
                <w:kern w:val="0"/>
                <w:szCs w:val="21"/>
                <w:highlight w:val="none"/>
              </w:rPr>
              <w:t>1</w:t>
            </w:r>
            <w:r>
              <w:rPr>
                <w:rFonts w:hint="eastAsia" w:ascii="仿宋" w:hAnsi="仿宋" w:eastAsia="仿宋" w:cs="仿宋"/>
                <w:color w:val="auto"/>
                <w:kern w:val="0"/>
                <w:szCs w:val="21"/>
                <w:highlight w:val="none"/>
                <w:lang w:val="en-US" w:eastAsia="zh-CN"/>
              </w:rPr>
              <w:t>0</w:t>
            </w:r>
            <w:r>
              <w:rPr>
                <w:rFonts w:hint="eastAsia" w:ascii="仿宋" w:hAnsi="仿宋" w:eastAsia="仿宋" w:cs="仿宋"/>
                <w:color w:val="auto"/>
                <w:kern w:val="0"/>
                <w:szCs w:val="21"/>
                <w:highlight w:val="none"/>
              </w:rPr>
              <w:t>分</w:t>
            </w:r>
          </w:p>
        </w:tc>
      </w:tr>
      <w:tr w14:paraId="0566A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2B788084">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rPr>
                <w:rFonts w:hint="eastAsia" w:ascii="仿宋" w:hAnsi="仿宋" w:eastAsia="仿宋" w:cs="仿宋"/>
                <w:b/>
                <w:kern w:val="0"/>
                <w:szCs w:val="21"/>
                <w:highlight w:val="none"/>
              </w:rPr>
            </w:pPr>
            <w:r>
              <w:rPr>
                <w:rFonts w:hint="eastAsia" w:ascii="仿宋" w:hAnsi="仿宋" w:eastAsia="仿宋" w:cs="仿宋"/>
                <w:b/>
                <w:kern w:val="0"/>
                <w:szCs w:val="21"/>
                <w:highlight w:val="none"/>
              </w:rPr>
              <w:t>2</w:t>
            </w:r>
          </w:p>
        </w:tc>
        <w:tc>
          <w:tcPr>
            <w:tcW w:w="1290" w:type="dxa"/>
            <w:tcBorders>
              <w:top w:val="single" w:color="auto" w:sz="4" w:space="0"/>
              <w:left w:val="nil"/>
              <w:bottom w:val="single" w:color="auto" w:sz="4" w:space="0"/>
              <w:right w:val="single" w:color="auto" w:sz="4" w:space="0"/>
            </w:tcBorders>
            <w:vAlign w:val="center"/>
          </w:tcPr>
          <w:p w14:paraId="5CDDCE61">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rPr>
                <w:rFonts w:hint="eastAsia" w:ascii="仿宋" w:hAnsi="仿宋" w:eastAsia="仿宋" w:cs="仿宋"/>
                <w:b/>
                <w:kern w:val="0"/>
                <w:szCs w:val="21"/>
                <w:highlight w:val="none"/>
              </w:rPr>
            </w:pPr>
            <w:r>
              <w:rPr>
                <w:rFonts w:hint="eastAsia" w:ascii="仿宋" w:hAnsi="仿宋" w:eastAsia="仿宋" w:cs="仿宋"/>
                <w:b/>
                <w:kern w:val="0"/>
                <w:szCs w:val="21"/>
                <w:highlight w:val="none"/>
              </w:rPr>
              <w:t>技术分</w:t>
            </w:r>
          </w:p>
        </w:tc>
        <w:tc>
          <w:tcPr>
            <w:tcW w:w="7471" w:type="dxa"/>
            <w:gridSpan w:val="2"/>
            <w:tcBorders>
              <w:top w:val="single" w:color="auto" w:sz="4" w:space="0"/>
              <w:left w:val="nil"/>
              <w:bottom w:val="single" w:color="auto" w:sz="4" w:space="0"/>
              <w:right w:val="single" w:color="auto" w:sz="4" w:space="0"/>
            </w:tcBorders>
          </w:tcPr>
          <w:p w14:paraId="79D2067B">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rPr>
                <w:rFonts w:hint="eastAsia" w:ascii="仿宋" w:hAnsi="仿宋" w:eastAsia="仿宋" w:cs="仿宋"/>
                <w:b/>
                <w:kern w:val="0"/>
                <w:szCs w:val="21"/>
                <w:highlight w:val="none"/>
                <w:lang w:eastAsia="zh-CN"/>
              </w:rPr>
            </w:pPr>
            <w:r>
              <w:rPr>
                <w:rFonts w:hint="eastAsia" w:ascii="仿宋" w:hAnsi="仿宋" w:eastAsia="仿宋" w:cs="仿宋"/>
                <w:b/>
                <w:kern w:val="0"/>
                <w:szCs w:val="21"/>
                <w:highlight w:val="none"/>
              </w:rPr>
              <w:t>评审因素</w:t>
            </w:r>
            <w:r>
              <w:rPr>
                <w:rFonts w:hint="eastAsia" w:ascii="仿宋" w:hAnsi="仿宋" w:eastAsia="仿宋" w:cs="仿宋"/>
                <w:b/>
                <w:kern w:val="0"/>
                <w:szCs w:val="21"/>
                <w:highlight w:val="none"/>
                <w:lang w:eastAsia="zh-CN"/>
              </w:rPr>
              <w:t>（</w:t>
            </w:r>
            <w:r>
              <w:rPr>
                <w:rFonts w:hint="eastAsia" w:ascii="仿宋" w:hAnsi="仿宋" w:eastAsia="仿宋" w:cs="仿宋"/>
                <w:b/>
                <w:kern w:val="0"/>
                <w:szCs w:val="21"/>
                <w:highlight w:val="none"/>
                <w:lang w:val="en-US" w:eastAsia="zh-CN"/>
              </w:rPr>
              <w:t>总分60分</w:t>
            </w:r>
            <w:r>
              <w:rPr>
                <w:rFonts w:hint="eastAsia" w:ascii="仿宋" w:hAnsi="仿宋" w:eastAsia="仿宋" w:cs="仿宋"/>
                <w:b/>
                <w:kern w:val="0"/>
                <w:szCs w:val="21"/>
                <w:highlight w:val="none"/>
                <w:lang w:eastAsia="zh-CN"/>
              </w:rPr>
              <w:t>）</w:t>
            </w:r>
          </w:p>
        </w:tc>
      </w:tr>
      <w:tr w14:paraId="6E0F8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54C1CACB">
            <w:pPr>
              <w:keepNext w:val="0"/>
              <w:keepLines w:val="0"/>
              <w:pageBreakBefore w:val="0"/>
              <w:suppressLineNumbers w:val="0"/>
              <w:kinsoku/>
              <w:wordWrap/>
              <w:overflowPunct/>
              <w:topLinePunct w:val="0"/>
              <w:autoSpaceDE/>
              <w:autoSpaceDN/>
              <w:bidi w:val="0"/>
              <w:snapToGrid/>
              <w:spacing w:before="0" w:beforeAutospacing="0" w:after="0" w:afterAutospacing="0" w:line="440" w:lineRule="exact"/>
              <w:ind w:left="0" w:right="0"/>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2.1</w:t>
            </w:r>
          </w:p>
        </w:tc>
        <w:tc>
          <w:tcPr>
            <w:tcW w:w="1290" w:type="dxa"/>
            <w:tcBorders>
              <w:top w:val="single" w:color="auto" w:sz="4" w:space="0"/>
              <w:left w:val="nil"/>
              <w:bottom w:val="single" w:color="auto" w:sz="4" w:space="0"/>
              <w:right w:val="single" w:color="auto" w:sz="4" w:space="0"/>
            </w:tcBorders>
            <w:vAlign w:val="center"/>
          </w:tcPr>
          <w:p w14:paraId="143378EC">
            <w:pPr>
              <w:keepNext w:val="0"/>
              <w:keepLines w:val="0"/>
              <w:pageBreakBefore w:val="0"/>
              <w:suppressLineNumbers w:val="0"/>
              <w:kinsoku/>
              <w:wordWrap/>
              <w:overflowPunct/>
              <w:topLinePunct w:val="0"/>
              <w:autoSpaceDE/>
              <w:autoSpaceDN/>
              <w:bidi w:val="0"/>
              <w:snapToGrid/>
              <w:spacing w:before="0" w:beforeAutospacing="0" w:after="0" w:afterAutospacing="0" w:line="440" w:lineRule="exact"/>
              <w:ind w:left="0" w:right="0"/>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项目实施方案</w:t>
            </w:r>
          </w:p>
        </w:tc>
        <w:tc>
          <w:tcPr>
            <w:tcW w:w="6735" w:type="dxa"/>
            <w:tcBorders>
              <w:top w:val="single" w:color="auto" w:sz="4" w:space="0"/>
              <w:left w:val="nil"/>
              <w:bottom w:val="single" w:color="auto" w:sz="4" w:space="0"/>
              <w:right w:val="single" w:color="auto" w:sz="4" w:space="0"/>
            </w:tcBorders>
            <w:vAlign w:val="top"/>
          </w:tcPr>
          <w:p w14:paraId="778F85CA">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一档（15分）：对审计服务内容的理解完整成熟，总体实施方案编写完整详细，含技术方案、技术路线、管理方案等，方案思路清晰，表述严谨简练、切合服务需求，具有较强的针对性及可行性。</w:t>
            </w:r>
          </w:p>
          <w:p w14:paraId="36AAF674">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二档（10分）：对审计服务内容的理解符合采购项目需求，总体实施方案编写良好，含技术方案、技术路线、管理方案等，方案不够完整详细。</w:t>
            </w:r>
          </w:p>
          <w:p w14:paraId="09701840">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三档（5分）：对审计服务内容的理解基本符合采购人项目要求，总体实施方案较为简单。</w:t>
            </w:r>
          </w:p>
          <w:p w14:paraId="215238B5">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不满足入档要求或者不提供则不得分。</w:t>
            </w:r>
          </w:p>
        </w:tc>
        <w:tc>
          <w:tcPr>
            <w:tcW w:w="736" w:type="dxa"/>
            <w:tcBorders>
              <w:top w:val="single" w:color="auto" w:sz="4" w:space="0"/>
              <w:left w:val="nil"/>
              <w:bottom w:val="single" w:color="auto" w:sz="4" w:space="0"/>
              <w:right w:val="single" w:color="auto" w:sz="4" w:space="0"/>
            </w:tcBorders>
            <w:vAlign w:val="center"/>
          </w:tcPr>
          <w:p w14:paraId="6A9C1D3B">
            <w:pPr>
              <w:keepNext w:val="0"/>
              <w:keepLines w:val="0"/>
              <w:pageBreakBefore w:val="0"/>
              <w:suppressLineNumbers w:val="0"/>
              <w:kinsoku/>
              <w:wordWrap/>
              <w:overflowPunct/>
              <w:topLinePunct w:val="0"/>
              <w:autoSpaceDE/>
              <w:autoSpaceDN/>
              <w:bidi w:val="0"/>
              <w:snapToGrid/>
              <w:spacing w:before="0" w:beforeAutospacing="0" w:after="0" w:afterAutospacing="0" w:line="440" w:lineRule="exact"/>
              <w:ind w:left="0" w:right="0"/>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
              </w:rPr>
              <w:t>1</w:t>
            </w: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lang w:val="en-US" w:eastAsia="en-US"/>
              </w:rPr>
              <w:t>分</w:t>
            </w:r>
          </w:p>
        </w:tc>
      </w:tr>
      <w:tr w14:paraId="2EF6A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3D173004">
            <w:pPr>
              <w:keepNext w:val="0"/>
              <w:keepLines w:val="0"/>
              <w:pageBreakBefore w:val="0"/>
              <w:suppressLineNumbers w:val="0"/>
              <w:kinsoku/>
              <w:wordWrap/>
              <w:overflowPunct/>
              <w:topLinePunct w:val="0"/>
              <w:autoSpaceDE/>
              <w:autoSpaceDN/>
              <w:bidi w:val="0"/>
              <w:snapToGrid/>
              <w:spacing w:before="0" w:beforeAutospacing="0" w:after="0" w:afterAutospacing="0" w:line="440" w:lineRule="exact"/>
              <w:ind w:left="0" w:right="0"/>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2.2</w:t>
            </w:r>
          </w:p>
        </w:tc>
        <w:tc>
          <w:tcPr>
            <w:tcW w:w="1290" w:type="dxa"/>
            <w:tcBorders>
              <w:top w:val="single" w:color="auto" w:sz="4" w:space="0"/>
              <w:left w:val="nil"/>
              <w:bottom w:val="single" w:color="auto" w:sz="4" w:space="0"/>
              <w:right w:val="single" w:color="auto" w:sz="4" w:space="0"/>
            </w:tcBorders>
            <w:vAlign w:val="center"/>
          </w:tcPr>
          <w:p w14:paraId="540E1E35">
            <w:pPr>
              <w:keepNext w:val="0"/>
              <w:keepLines w:val="0"/>
              <w:pageBreakBefore w:val="0"/>
              <w:suppressLineNumbers w:val="0"/>
              <w:kinsoku/>
              <w:wordWrap/>
              <w:overflowPunct/>
              <w:topLinePunct w:val="0"/>
              <w:autoSpaceDE/>
              <w:autoSpaceDN/>
              <w:bidi w:val="0"/>
              <w:snapToGrid/>
              <w:spacing w:before="0" w:beforeAutospacing="0" w:after="0" w:afterAutospacing="0" w:line="440" w:lineRule="exact"/>
              <w:ind w:left="0" w:right="0"/>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工作进度安排与保障措施</w:t>
            </w:r>
          </w:p>
        </w:tc>
        <w:tc>
          <w:tcPr>
            <w:tcW w:w="6735" w:type="dxa"/>
            <w:tcBorders>
              <w:top w:val="single" w:color="auto" w:sz="4" w:space="0"/>
              <w:left w:val="nil"/>
              <w:bottom w:val="single" w:color="auto" w:sz="4" w:space="0"/>
              <w:right w:val="single" w:color="auto" w:sz="4" w:space="0"/>
            </w:tcBorders>
            <w:vAlign w:val="center"/>
          </w:tcPr>
          <w:p w14:paraId="36B60E80">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根据工作计划进度能否满足采购人的进度要求，项目工作计划及安排是否合理，对项目顺利开展是否有很好的指导作用，并对节点工作或关键工作能否起到控制作用，质量保障措施是否具有针对性及可行性等确定各供应商的档次及得分。</w:t>
            </w:r>
          </w:p>
          <w:p w14:paraId="3C37A153">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一档（15分）：工作计划合理高效，对项目按时完成具有积极的指导作用，各项节点保证措施具有科学性可行性，有效控制项目的实施开展。</w:t>
            </w:r>
          </w:p>
          <w:p w14:paraId="2739F776">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二档（10分）：工作计划合理安排，对项目按时完成具有良好的指导作用，各项节点保证措施具有可行性。</w:t>
            </w:r>
          </w:p>
          <w:p w14:paraId="603E8731">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三档（5分）：工作计划进度安排基本合理，质量保证措施基本符合。</w:t>
            </w:r>
          </w:p>
          <w:p w14:paraId="1C53B27B">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不满足入档要求或者不提供则不得分。</w:t>
            </w:r>
          </w:p>
        </w:tc>
        <w:tc>
          <w:tcPr>
            <w:tcW w:w="736" w:type="dxa"/>
            <w:tcBorders>
              <w:top w:val="single" w:color="auto" w:sz="4" w:space="0"/>
              <w:left w:val="nil"/>
              <w:bottom w:val="single" w:color="auto" w:sz="4" w:space="0"/>
              <w:right w:val="single" w:color="auto" w:sz="4" w:space="0"/>
            </w:tcBorders>
            <w:vAlign w:val="center"/>
          </w:tcPr>
          <w:p w14:paraId="0FCDC817">
            <w:pPr>
              <w:keepNext w:val="0"/>
              <w:keepLines w:val="0"/>
              <w:pageBreakBefore w:val="0"/>
              <w:suppressLineNumbers w:val="0"/>
              <w:kinsoku/>
              <w:wordWrap/>
              <w:overflowPunct/>
              <w:topLinePunct w:val="0"/>
              <w:autoSpaceDE/>
              <w:autoSpaceDN/>
              <w:bidi w:val="0"/>
              <w:snapToGrid/>
              <w:spacing w:before="0" w:beforeAutospacing="0" w:after="0" w:afterAutospacing="0" w:line="440" w:lineRule="exact"/>
              <w:ind w:left="0" w:right="0"/>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15</w:t>
            </w:r>
            <w:r>
              <w:rPr>
                <w:rFonts w:hint="eastAsia" w:ascii="仿宋" w:hAnsi="仿宋" w:eastAsia="仿宋" w:cs="仿宋"/>
                <w:color w:val="auto"/>
                <w:highlight w:val="none"/>
                <w:lang w:val="en-US" w:eastAsia="en-US"/>
              </w:rPr>
              <w:t>分</w:t>
            </w:r>
          </w:p>
        </w:tc>
      </w:tr>
      <w:tr w14:paraId="54AC2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619A4ACE">
            <w:pPr>
              <w:keepNext w:val="0"/>
              <w:keepLines w:val="0"/>
              <w:pageBreakBefore w:val="0"/>
              <w:suppressLineNumbers w:val="0"/>
              <w:kinsoku/>
              <w:wordWrap/>
              <w:overflowPunct/>
              <w:topLinePunct w:val="0"/>
              <w:autoSpaceDE/>
              <w:autoSpaceDN/>
              <w:bidi w:val="0"/>
              <w:snapToGrid/>
              <w:spacing w:before="0" w:beforeAutospacing="0" w:after="0" w:afterAutospacing="0" w:line="440" w:lineRule="exact"/>
              <w:ind w:left="0" w:right="0"/>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2.3</w:t>
            </w:r>
          </w:p>
        </w:tc>
        <w:tc>
          <w:tcPr>
            <w:tcW w:w="1290" w:type="dxa"/>
            <w:tcBorders>
              <w:top w:val="single" w:color="auto" w:sz="4" w:space="0"/>
              <w:left w:val="nil"/>
              <w:bottom w:val="single" w:color="auto" w:sz="4" w:space="0"/>
              <w:right w:val="single" w:color="auto" w:sz="4" w:space="0"/>
            </w:tcBorders>
            <w:vAlign w:val="center"/>
          </w:tcPr>
          <w:p w14:paraId="27772D51">
            <w:pPr>
              <w:keepNext w:val="0"/>
              <w:keepLines w:val="0"/>
              <w:pageBreakBefore w:val="0"/>
              <w:suppressLineNumbers w:val="0"/>
              <w:kinsoku/>
              <w:wordWrap/>
              <w:overflowPunct/>
              <w:topLinePunct w:val="0"/>
              <w:autoSpaceDE/>
              <w:autoSpaceDN/>
              <w:bidi w:val="0"/>
              <w:snapToGrid/>
              <w:spacing w:before="0" w:beforeAutospacing="0" w:after="0" w:afterAutospacing="0" w:line="440" w:lineRule="exact"/>
              <w:ind w:left="0" w:right="0"/>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服务承诺</w:t>
            </w:r>
          </w:p>
        </w:tc>
        <w:tc>
          <w:tcPr>
            <w:tcW w:w="6735" w:type="dxa"/>
            <w:tcBorders>
              <w:top w:val="single" w:color="auto" w:sz="4" w:space="0"/>
              <w:left w:val="nil"/>
              <w:bottom w:val="single" w:color="auto" w:sz="4" w:space="0"/>
              <w:right w:val="single" w:color="auto" w:sz="4" w:space="0"/>
            </w:tcBorders>
            <w:vAlign w:val="center"/>
          </w:tcPr>
          <w:p w14:paraId="057F5EC6">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在项目实施的各个阶段能及时配合采购人的工作，有具体的服务安排。</w:t>
            </w:r>
          </w:p>
          <w:p w14:paraId="13B46EF0">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一档（10分）：服务方案详细、完整，保障措施有力，服务承诺</w:t>
            </w:r>
            <w:r>
              <w:rPr>
                <w:rFonts w:hint="eastAsia" w:ascii="仿宋" w:hAnsi="仿宋" w:eastAsia="仿宋" w:cs="仿宋"/>
                <w:b w:val="0"/>
                <w:bCs w:val="0"/>
                <w:color w:val="auto"/>
                <w:szCs w:val="21"/>
                <w:highlight w:val="none"/>
                <w:lang w:val="en-US" w:eastAsia="zh-Hans"/>
              </w:rPr>
              <w:t>能</w:t>
            </w:r>
            <w:r>
              <w:rPr>
                <w:rFonts w:hint="eastAsia" w:ascii="仿宋" w:hAnsi="仿宋" w:eastAsia="仿宋" w:cs="仿宋"/>
                <w:b w:val="0"/>
                <w:bCs w:val="0"/>
                <w:color w:val="auto"/>
                <w:szCs w:val="21"/>
                <w:highlight w:val="none"/>
                <w:lang w:val="en-US" w:eastAsia="zh-CN"/>
              </w:rPr>
              <w:t>很好</w:t>
            </w:r>
            <w:r>
              <w:rPr>
                <w:rFonts w:hint="eastAsia" w:ascii="仿宋" w:hAnsi="仿宋" w:eastAsia="仿宋" w:cs="仿宋"/>
                <w:b w:val="0"/>
                <w:bCs w:val="0"/>
                <w:color w:val="auto"/>
                <w:szCs w:val="21"/>
                <w:highlight w:val="none"/>
                <w:lang w:val="en-US" w:eastAsia="zh-Hans"/>
              </w:rPr>
              <w:t>的</w:t>
            </w:r>
            <w:r>
              <w:rPr>
                <w:rFonts w:hint="eastAsia" w:ascii="仿宋" w:hAnsi="仿宋" w:eastAsia="仿宋" w:cs="仿宋"/>
                <w:b w:val="0"/>
                <w:bCs w:val="0"/>
                <w:color w:val="auto"/>
                <w:szCs w:val="21"/>
                <w:highlight w:val="none"/>
                <w:lang w:val="en-US" w:eastAsia="zh-CN"/>
              </w:rPr>
              <w:t>满足项目要求。能为采购方提供完善服务，有详细的工作进度计划、周全的服务计划、对本项目的后续服务有定期回访计划等，且服务承诺的质量保证措施周全，服务响应时效性好，对满足时效性的难度判断准确，采取保障措施操作性强。</w:t>
            </w:r>
          </w:p>
          <w:p w14:paraId="019AFB6E">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二档（7分）：服务方案详尽、合理，保障措施较有力，服务承诺较好满足项目要求。有简单的工作进度计划、服务计划，且服务承诺的质量保证措施较简单，服务响应时效性较好，对满足时效性的难度进行科学分析，具有保证时效性的措施。</w:t>
            </w:r>
          </w:p>
          <w:p w14:paraId="49CA1C46">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三档（4分）：服务方案内容简单，表述粗略，保障措施一般，服务承诺基本满足项目要求，服务响应基本满足时效性要求。</w:t>
            </w:r>
          </w:p>
          <w:p w14:paraId="3D690269">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不满足入档要求或者不提供则不得分。</w:t>
            </w:r>
          </w:p>
        </w:tc>
        <w:tc>
          <w:tcPr>
            <w:tcW w:w="736" w:type="dxa"/>
            <w:tcBorders>
              <w:top w:val="single" w:color="auto" w:sz="4" w:space="0"/>
              <w:left w:val="nil"/>
              <w:bottom w:val="single" w:color="auto" w:sz="4" w:space="0"/>
              <w:right w:val="single" w:color="auto" w:sz="4" w:space="0"/>
            </w:tcBorders>
            <w:vAlign w:val="center"/>
          </w:tcPr>
          <w:p w14:paraId="1454F97C">
            <w:pPr>
              <w:keepNext w:val="0"/>
              <w:keepLines w:val="0"/>
              <w:pageBreakBefore w:val="0"/>
              <w:suppressLineNumbers w:val="0"/>
              <w:kinsoku/>
              <w:wordWrap/>
              <w:overflowPunct/>
              <w:topLinePunct w:val="0"/>
              <w:autoSpaceDE/>
              <w:autoSpaceDN/>
              <w:bidi w:val="0"/>
              <w:snapToGrid/>
              <w:spacing w:before="0" w:beforeAutospacing="0" w:after="0" w:afterAutospacing="0" w:line="440" w:lineRule="exact"/>
              <w:ind w:left="0" w:right="0"/>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
              </w:rPr>
              <w:t>10</w:t>
            </w:r>
            <w:r>
              <w:rPr>
                <w:rFonts w:hint="eastAsia" w:ascii="仿宋" w:hAnsi="仿宋" w:eastAsia="仿宋" w:cs="仿宋"/>
                <w:color w:val="auto"/>
                <w:highlight w:val="none"/>
                <w:lang w:val="en-US" w:eastAsia="en-US"/>
              </w:rPr>
              <w:t>分</w:t>
            </w:r>
          </w:p>
        </w:tc>
      </w:tr>
      <w:tr w14:paraId="460A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14E55D1C">
            <w:pPr>
              <w:keepNext w:val="0"/>
              <w:keepLines w:val="0"/>
              <w:pageBreakBefore w:val="0"/>
              <w:suppressLineNumbers w:val="0"/>
              <w:kinsoku/>
              <w:wordWrap/>
              <w:overflowPunct/>
              <w:topLinePunct w:val="0"/>
              <w:autoSpaceDE/>
              <w:autoSpaceDN/>
              <w:bidi w:val="0"/>
              <w:snapToGrid/>
              <w:spacing w:before="0" w:beforeAutospacing="0" w:after="0" w:afterAutospacing="0" w:line="440" w:lineRule="exact"/>
              <w:ind w:left="0" w:right="0"/>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2.4</w:t>
            </w:r>
          </w:p>
        </w:tc>
        <w:tc>
          <w:tcPr>
            <w:tcW w:w="1290" w:type="dxa"/>
            <w:tcBorders>
              <w:top w:val="single" w:color="auto" w:sz="4" w:space="0"/>
              <w:left w:val="nil"/>
              <w:bottom w:val="single" w:color="auto" w:sz="4" w:space="0"/>
              <w:right w:val="single" w:color="auto" w:sz="4" w:space="0"/>
            </w:tcBorders>
            <w:vAlign w:val="center"/>
          </w:tcPr>
          <w:p w14:paraId="25D4E651">
            <w:pPr>
              <w:keepNext w:val="0"/>
              <w:keepLines w:val="0"/>
              <w:pageBreakBefore w:val="0"/>
              <w:suppressLineNumbers w:val="0"/>
              <w:kinsoku/>
              <w:wordWrap/>
              <w:overflowPunct/>
              <w:topLinePunct w:val="0"/>
              <w:autoSpaceDE/>
              <w:autoSpaceDN/>
              <w:bidi w:val="0"/>
              <w:snapToGrid/>
              <w:spacing w:before="0" w:beforeAutospacing="0" w:after="0" w:afterAutospacing="0" w:line="440" w:lineRule="exact"/>
              <w:ind w:left="0" w:right="0"/>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对项目特点、关键技术问题的认识及对策措施</w:t>
            </w:r>
          </w:p>
        </w:tc>
        <w:tc>
          <w:tcPr>
            <w:tcW w:w="6735" w:type="dxa"/>
            <w:tcBorders>
              <w:top w:val="single" w:color="auto" w:sz="4" w:space="0"/>
              <w:left w:val="nil"/>
              <w:bottom w:val="single" w:color="auto" w:sz="4" w:space="0"/>
              <w:right w:val="single" w:color="auto" w:sz="4" w:space="0"/>
            </w:tcBorders>
            <w:vAlign w:val="center"/>
          </w:tcPr>
          <w:p w14:paraId="2F90E84C">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一档（10分）: 对项目的理解完整准确，对项目的难点、关键点的分析完整准确，解决难点的方案完整、可行、有针对性，措施能有效解决项目开展过程中可能会遇到的问题。</w:t>
            </w:r>
          </w:p>
          <w:p w14:paraId="0F978829">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二档（7分）：对项目理解完整，对项目的难点、关键点的分析过于简单，解决难点的方案基本可行，措施能基本解决项目开展过程中可能会遇到的问题；</w:t>
            </w:r>
          </w:p>
          <w:p w14:paraId="29DA5C72">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三档（4分）：对项目特点、关键技术问题的认识基本限于采购需求，对项目的难点、关键点的分析不完整；</w:t>
            </w:r>
          </w:p>
          <w:p w14:paraId="4C6D8DEC">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不满足入档要求或者不提供则不得分。</w:t>
            </w:r>
          </w:p>
        </w:tc>
        <w:tc>
          <w:tcPr>
            <w:tcW w:w="736" w:type="dxa"/>
            <w:tcBorders>
              <w:top w:val="single" w:color="auto" w:sz="4" w:space="0"/>
              <w:left w:val="nil"/>
              <w:bottom w:val="single" w:color="auto" w:sz="4" w:space="0"/>
              <w:right w:val="single" w:color="auto" w:sz="4" w:space="0"/>
            </w:tcBorders>
            <w:vAlign w:val="center"/>
          </w:tcPr>
          <w:p w14:paraId="0A2E6DAB">
            <w:pPr>
              <w:keepNext w:val="0"/>
              <w:keepLines w:val="0"/>
              <w:pageBreakBefore w:val="0"/>
              <w:suppressLineNumbers w:val="0"/>
              <w:kinsoku/>
              <w:wordWrap/>
              <w:overflowPunct/>
              <w:topLinePunct w:val="0"/>
              <w:autoSpaceDE/>
              <w:autoSpaceDN/>
              <w:bidi w:val="0"/>
              <w:snapToGrid/>
              <w:spacing w:before="0" w:beforeAutospacing="0" w:after="0" w:afterAutospacing="0" w:line="440" w:lineRule="exact"/>
              <w:ind w:left="0" w:right="0"/>
              <w:jc w:val="center"/>
              <w:rPr>
                <w:rFonts w:hint="eastAsia" w:ascii="仿宋" w:hAnsi="仿宋" w:eastAsia="仿宋" w:cs="仿宋"/>
                <w:color w:val="auto"/>
                <w:highlight w:val="none"/>
                <w:lang w:val="en-US" w:eastAsia="en-US"/>
              </w:rPr>
            </w:pP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lang w:val="en-US" w:eastAsia="en-US"/>
              </w:rPr>
              <w:t>分</w:t>
            </w:r>
          </w:p>
        </w:tc>
      </w:tr>
      <w:tr w14:paraId="0D9CA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2E35DF90">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rPr>
                <w:rFonts w:hint="eastAsia" w:ascii="仿宋" w:hAnsi="仿宋" w:eastAsia="仿宋" w:cs="仿宋"/>
                <w:b/>
                <w:bCs/>
                <w:kern w:val="0"/>
                <w:szCs w:val="21"/>
                <w:highlight w:val="none"/>
              </w:rPr>
            </w:pPr>
            <w:r>
              <w:rPr>
                <w:rFonts w:hint="eastAsia" w:ascii="仿宋" w:hAnsi="仿宋" w:eastAsia="仿宋" w:cs="仿宋"/>
                <w:b/>
                <w:bCs/>
                <w:kern w:val="0"/>
                <w:szCs w:val="21"/>
                <w:highlight w:val="none"/>
              </w:rPr>
              <w:t>3</w:t>
            </w:r>
          </w:p>
        </w:tc>
        <w:tc>
          <w:tcPr>
            <w:tcW w:w="1290" w:type="dxa"/>
            <w:tcBorders>
              <w:top w:val="single" w:color="auto" w:sz="4" w:space="0"/>
              <w:left w:val="nil"/>
              <w:bottom w:val="single" w:color="auto" w:sz="4" w:space="0"/>
              <w:right w:val="single" w:color="auto" w:sz="4" w:space="0"/>
            </w:tcBorders>
            <w:vAlign w:val="center"/>
          </w:tcPr>
          <w:p w14:paraId="5929F03A">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rPr>
                <w:rFonts w:hint="eastAsia" w:ascii="仿宋" w:hAnsi="仿宋" w:eastAsia="仿宋" w:cs="仿宋"/>
                <w:b/>
                <w:bCs/>
                <w:szCs w:val="21"/>
                <w:highlight w:val="none"/>
              </w:rPr>
            </w:pPr>
            <w:r>
              <w:rPr>
                <w:rFonts w:hint="eastAsia" w:ascii="仿宋" w:hAnsi="仿宋" w:eastAsia="仿宋" w:cs="仿宋"/>
                <w:b/>
                <w:bCs/>
                <w:szCs w:val="21"/>
                <w:highlight w:val="none"/>
              </w:rPr>
              <w:t>商务分</w:t>
            </w:r>
          </w:p>
        </w:tc>
        <w:tc>
          <w:tcPr>
            <w:tcW w:w="7471" w:type="dxa"/>
            <w:gridSpan w:val="2"/>
            <w:tcBorders>
              <w:top w:val="single" w:color="auto" w:sz="4" w:space="0"/>
              <w:left w:val="nil"/>
              <w:bottom w:val="single" w:color="auto" w:sz="4" w:space="0"/>
              <w:right w:val="single" w:color="auto" w:sz="4" w:space="0"/>
            </w:tcBorders>
            <w:vAlign w:val="center"/>
          </w:tcPr>
          <w:p w14:paraId="4B6BC912">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rPr>
                <w:rFonts w:hint="eastAsia" w:ascii="仿宋" w:hAnsi="仿宋" w:eastAsia="仿宋" w:cs="仿宋"/>
                <w:b/>
                <w:bCs/>
                <w:kern w:val="0"/>
                <w:szCs w:val="21"/>
                <w:highlight w:val="none"/>
                <w:lang w:eastAsia="zh-CN"/>
              </w:rPr>
            </w:pPr>
            <w:r>
              <w:rPr>
                <w:rFonts w:hint="eastAsia" w:ascii="仿宋" w:hAnsi="仿宋" w:eastAsia="仿宋" w:cs="仿宋"/>
                <w:b/>
                <w:bCs/>
                <w:kern w:val="0"/>
                <w:szCs w:val="21"/>
                <w:highlight w:val="none"/>
              </w:rPr>
              <w:t>评审因素</w:t>
            </w:r>
            <w:r>
              <w:rPr>
                <w:rFonts w:hint="eastAsia" w:ascii="仿宋" w:hAnsi="仿宋" w:eastAsia="仿宋" w:cs="仿宋"/>
                <w:b/>
                <w:bCs/>
                <w:kern w:val="0"/>
                <w:szCs w:val="21"/>
                <w:highlight w:val="none"/>
                <w:lang w:eastAsia="zh-CN"/>
              </w:rPr>
              <w:t>（</w:t>
            </w:r>
            <w:r>
              <w:rPr>
                <w:rFonts w:hint="eastAsia" w:ascii="仿宋" w:hAnsi="仿宋" w:eastAsia="仿宋" w:cs="仿宋"/>
                <w:b/>
                <w:bCs/>
                <w:kern w:val="0"/>
                <w:szCs w:val="21"/>
                <w:highlight w:val="none"/>
                <w:lang w:val="en-US" w:eastAsia="zh-CN"/>
              </w:rPr>
              <w:t>总共40分</w:t>
            </w:r>
            <w:r>
              <w:rPr>
                <w:rFonts w:hint="eastAsia" w:ascii="仿宋" w:hAnsi="仿宋" w:eastAsia="仿宋" w:cs="仿宋"/>
                <w:b/>
                <w:bCs/>
                <w:kern w:val="0"/>
                <w:szCs w:val="21"/>
                <w:highlight w:val="none"/>
                <w:lang w:eastAsia="zh-CN"/>
              </w:rPr>
              <w:t>）</w:t>
            </w:r>
          </w:p>
        </w:tc>
      </w:tr>
      <w:tr w14:paraId="7C8B3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5CC40A73">
            <w:pPr>
              <w:keepNext w:val="0"/>
              <w:keepLines w:val="0"/>
              <w:pageBreakBefore w:val="0"/>
              <w:suppressLineNumbers w:val="0"/>
              <w:kinsoku/>
              <w:wordWrap/>
              <w:overflowPunct/>
              <w:topLinePunct w:val="0"/>
              <w:autoSpaceDE/>
              <w:autoSpaceDN/>
              <w:bidi w:val="0"/>
              <w:snapToGrid/>
              <w:spacing w:before="0" w:beforeAutospacing="0" w:after="0" w:afterAutospacing="0" w:line="440" w:lineRule="exact"/>
              <w:ind w:left="0" w:right="0"/>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3.1</w:t>
            </w:r>
          </w:p>
        </w:tc>
        <w:tc>
          <w:tcPr>
            <w:tcW w:w="1290" w:type="dxa"/>
            <w:tcBorders>
              <w:top w:val="single" w:color="auto" w:sz="4" w:space="0"/>
              <w:left w:val="nil"/>
              <w:bottom w:val="single" w:color="auto" w:sz="4" w:space="0"/>
              <w:right w:val="single" w:color="auto" w:sz="4" w:space="0"/>
            </w:tcBorders>
            <w:vAlign w:val="center"/>
          </w:tcPr>
          <w:p w14:paraId="74644EFB">
            <w:pPr>
              <w:keepNext w:val="0"/>
              <w:keepLines w:val="0"/>
              <w:pageBreakBefore w:val="0"/>
              <w:suppressLineNumbers w:val="0"/>
              <w:kinsoku/>
              <w:wordWrap/>
              <w:overflowPunct/>
              <w:topLinePunct w:val="0"/>
              <w:autoSpaceDE/>
              <w:autoSpaceDN/>
              <w:bidi w:val="0"/>
              <w:snapToGrid/>
              <w:spacing w:before="0" w:beforeAutospacing="0" w:after="0" w:afterAutospacing="0" w:line="440" w:lineRule="exact"/>
              <w:ind w:left="0" w:right="0"/>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
              </w:rPr>
              <w:t>项目组人员配备</w:t>
            </w:r>
          </w:p>
        </w:tc>
        <w:tc>
          <w:tcPr>
            <w:tcW w:w="6735" w:type="dxa"/>
            <w:tcBorders>
              <w:top w:val="single" w:color="auto" w:sz="4" w:space="0"/>
              <w:left w:val="nil"/>
              <w:bottom w:val="single" w:color="auto" w:sz="4" w:space="0"/>
              <w:right w:val="single" w:color="auto" w:sz="4" w:space="0"/>
            </w:tcBorders>
            <w:vAlign w:val="center"/>
          </w:tcPr>
          <w:p w14:paraId="71811442">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（1）除项目审计技术负责人和项目审计负责人外，具有国家注册会计师（须注册或登记于供应商或供应商的一体化公司）的，每人得2分，满分6分；</w:t>
            </w:r>
          </w:p>
          <w:p w14:paraId="54B68545">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（2）其他审计人员：具有至少1年审计工作经验或初级会计师证，每人得1分，满分9分；</w:t>
            </w:r>
          </w:p>
          <w:p w14:paraId="094BD840">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（3）拟投入的人员中具有中级及以上（含）职称的每人每项专业职称得2分，高级职称每人每项专业职称得3分，单人持有多个不同专业类别职称的累积计分；此项最高得10分。</w:t>
            </w:r>
          </w:p>
          <w:p w14:paraId="43BEECDB">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default"/>
                <w:lang w:val="en-US" w:eastAsia="zh-CN"/>
              </w:rPr>
            </w:pPr>
            <w:r>
              <w:rPr>
                <w:rFonts w:hint="eastAsia" w:ascii="仿宋" w:hAnsi="仿宋" w:eastAsia="仿宋" w:cs="仿宋"/>
                <w:b w:val="0"/>
                <w:bCs w:val="0"/>
                <w:color w:val="auto"/>
                <w:kern w:val="2"/>
                <w:sz w:val="21"/>
                <w:szCs w:val="21"/>
                <w:highlight w:val="none"/>
                <w:lang w:val="en-US" w:eastAsia="zh-CN" w:bidi="ar-SA"/>
              </w:rPr>
              <w:t>注：须需提供提供职称证或学位证或学历证明或执业资格证等证明材料，须提供上述全部人员的劳动合同或供应商为其缴纳2026年1月至竞标截止时间止内任意1个月的社保证明复印件，属事业单位编制人员的提供在编人员证明复印件。</w:t>
            </w:r>
          </w:p>
        </w:tc>
        <w:tc>
          <w:tcPr>
            <w:tcW w:w="736" w:type="dxa"/>
            <w:tcBorders>
              <w:top w:val="single" w:color="auto" w:sz="4" w:space="0"/>
              <w:left w:val="nil"/>
              <w:bottom w:val="single" w:color="auto" w:sz="4" w:space="0"/>
              <w:right w:val="single" w:color="auto" w:sz="4" w:space="0"/>
            </w:tcBorders>
            <w:vAlign w:val="center"/>
          </w:tcPr>
          <w:p w14:paraId="16DA41F6">
            <w:pPr>
              <w:keepNext w:val="0"/>
              <w:keepLines w:val="0"/>
              <w:pageBreakBefore w:val="0"/>
              <w:suppressLineNumbers w:val="0"/>
              <w:kinsoku/>
              <w:wordWrap/>
              <w:overflowPunct/>
              <w:topLinePunct w:val="0"/>
              <w:autoSpaceDE/>
              <w:autoSpaceDN/>
              <w:bidi w:val="0"/>
              <w:snapToGrid/>
              <w:spacing w:before="0" w:beforeAutospacing="0" w:after="0" w:afterAutospacing="0" w:line="440" w:lineRule="exact"/>
              <w:ind w:left="0" w:right="0"/>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
              </w:rPr>
              <w:t>2</w:t>
            </w:r>
            <w:r>
              <w:rPr>
                <w:rFonts w:hint="eastAsia" w:ascii="仿宋" w:hAnsi="仿宋" w:eastAsia="仿宋" w:cs="仿宋"/>
                <w:color w:val="auto"/>
                <w:highlight w:val="none"/>
                <w:lang w:val="en-US" w:eastAsia="zh-CN"/>
              </w:rPr>
              <w:t>5分</w:t>
            </w:r>
          </w:p>
        </w:tc>
      </w:tr>
      <w:tr w14:paraId="45AE9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358D4000">
            <w:pPr>
              <w:keepNext w:val="0"/>
              <w:keepLines w:val="0"/>
              <w:pageBreakBefore w:val="0"/>
              <w:suppressLineNumbers w:val="0"/>
              <w:kinsoku/>
              <w:wordWrap/>
              <w:overflowPunct/>
              <w:topLinePunct w:val="0"/>
              <w:autoSpaceDE/>
              <w:autoSpaceDN/>
              <w:bidi w:val="0"/>
              <w:snapToGrid/>
              <w:spacing w:before="0" w:beforeAutospacing="0" w:after="0" w:afterAutospacing="0" w:line="440" w:lineRule="exact"/>
              <w:ind w:left="0" w:right="0"/>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3.2</w:t>
            </w:r>
          </w:p>
        </w:tc>
        <w:tc>
          <w:tcPr>
            <w:tcW w:w="1290" w:type="dxa"/>
            <w:tcBorders>
              <w:top w:val="single" w:color="auto" w:sz="4" w:space="0"/>
              <w:left w:val="nil"/>
              <w:bottom w:val="single" w:color="auto" w:sz="4" w:space="0"/>
              <w:right w:val="single" w:color="auto" w:sz="4" w:space="0"/>
            </w:tcBorders>
            <w:vAlign w:val="center"/>
          </w:tcPr>
          <w:p w14:paraId="01708004">
            <w:pPr>
              <w:keepNext w:val="0"/>
              <w:keepLines w:val="0"/>
              <w:pageBreakBefore w:val="0"/>
              <w:suppressLineNumbers w:val="0"/>
              <w:kinsoku/>
              <w:wordWrap/>
              <w:overflowPunct/>
              <w:topLinePunct w:val="0"/>
              <w:autoSpaceDE/>
              <w:autoSpaceDN/>
              <w:bidi w:val="0"/>
              <w:snapToGrid/>
              <w:spacing w:before="0" w:beforeAutospacing="0" w:after="0" w:afterAutospacing="0" w:line="440" w:lineRule="exact"/>
              <w:ind w:left="0" w:right="0"/>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
              </w:rPr>
              <w:t>业绩</w:t>
            </w:r>
          </w:p>
        </w:tc>
        <w:tc>
          <w:tcPr>
            <w:tcW w:w="6735" w:type="dxa"/>
            <w:tcBorders>
              <w:top w:val="single" w:color="auto" w:sz="4" w:space="0"/>
              <w:left w:val="nil"/>
              <w:bottom w:val="single" w:color="auto" w:sz="4" w:space="0"/>
              <w:right w:val="single" w:color="auto" w:sz="4" w:space="0"/>
            </w:tcBorders>
            <w:vAlign w:val="center"/>
          </w:tcPr>
          <w:p w14:paraId="21E34A93">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供应商自2023年1月1日以来以来成功完成过类似项目业绩，每项得3分，满分15分。</w:t>
            </w:r>
          </w:p>
          <w:p w14:paraId="44FE1C4B">
            <w:pPr>
              <w:keepNext w:val="0"/>
              <w:keepLines w:val="0"/>
              <w:pageBreakBefore w:val="0"/>
              <w:suppressLineNumbers w:val="0"/>
              <w:kinsoku/>
              <w:wordWrap/>
              <w:overflowPunct/>
              <w:topLinePunct w:val="0"/>
              <w:bidi w:val="0"/>
              <w:spacing w:before="0" w:beforeAutospacing="0" w:after="0" w:afterAutospacing="0" w:line="400" w:lineRule="exact"/>
              <w:ind w:left="0" w:right="0" w:firstLine="420" w:firstLineChars="200"/>
              <w:rPr>
                <w:rFonts w:hint="eastAsia" w:ascii="仿宋" w:hAnsi="仿宋" w:eastAsia="仿宋" w:cs="仿宋"/>
                <w:b w:val="0"/>
                <w:bCs w:val="0"/>
                <w:color w:val="auto"/>
                <w:szCs w:val="21"/>
                <w:highlight w:val="none"/>
                <w:lang w:val="en-US" w:eastAsia="zh-CN"/>
              </w:rPr>
            </w:pPr>
            <w:r>
              <w:rPr>
                <w:rFonts w:hint="eastAsia" w:ascii="仿宋" w:hAnsi="仿宋" w:eastAsia="仿宋" w:cs="仿宋"/>
                <w:b w:val="0"/>
                <w:bCs w:val="0"/>
                <w:color w:val="auto"/>
                <w:szCs w:val="21"/>
                <w:highlight w:val="none"/>
                <w:lang w:val="en-US" w:eastAsia="zh-CN"/>
              </w:rPr>
              <w:t>注：须提供合同复印件或相关业绩证明文件，以合同签订日期为准。</w:t>
            </w:r>
          </w:p>
        </w:tc>
        <w:tc>
          <w:tcPr>
            <w:tcW w:w="736" w:type="dxa"/>
            <w:tcBorders>
              <w:top w:val="single" w:color="auto" w:sz="4" w:space="0"/>
              <w:left w:val="nil"/>
              <w:bottom w:val="single" w:color="auto" w:sz="4" w:space="0"/>
              <w:right w:val="single" w:color="auto" w:sz="4" w:space="0"/>
            </w:tcBorders>
            <w:vAlign w:val="center"/>
          </w:tcPr>
          <w:p w14:paraId="621DB2CB">
            <w:pPr>
              <w:keepNext w:val="0"/>
              <w:keepLines w:val="0"/>
              <w:pageBreakBefore w:val="0"/>
              <w:suppressLineNumbers w:val="0"/>
              <w:kinsoku/>
              <w:wordWrap/>
              <w:overflowPunct/>
              <w:topLinePunct w:val="0"/>
              <w:autoSpaceDE/>
              <w:autoSpaceDN/>
              <w:bidi w:val="0"/>
              <w:snapToGrid/>
              <w:spacing w:before="0" w:beforeAutospacing="0" w:after="0" w:afterAutospacing="0" w:line="440" w:lineRule="exact"/>
              <w:ind w:left="0" w:right="0"/>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15</w:t>
            </w:r>
            <w:r>
              <w:rPr>
                <w:rFonts w:hint="eastAsia" w:ascii="仿宋" w:hAnsi="仿宋" w:eastAsia="仿宋" w:cs="仿宋"/>
                <w:color w:val="auto"/>
                <w:highlight w:val="none"/>
                <w:lang w:val="en-US" w:eastAsia="en-US"/>
              </w:rPr>
              <w:t>分</w:t>
            </w:r>
          </w:p>
        </w:tc>
      </w:tr>
      <w:tr w14:paraId="768F1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8724" w:type="dxa"/>
            <w:gridSpan w:val="3"/>
            <w:tcBorders>
              <w:top w:val="single" w:color="auto" w:sz="4" w:space="0"/>
              <w:left w:val="single" w:color="auto" w:sz="4" w:space="0"/>
              <w:bottom w:val="single" w:color="auto" w:sz="4" w:space="0"/>
              <w:right w:val="single" w:color="auto" w:sz="4" w:space="0"/>
            </w:tcBorders>
          </w:tcPr>
          <w:p w14:paraId="0073CC7E">
            <w:pPr>
              <w:keepNext w:val="0"/>
              <w:keepLines w:val="0"/>
              <w:pageBreakBefore w:val="0"/>
              <w:suppressLineNumbers w:val="0"/>
              <w:kinsoku/>
              <w:wordWrap/>
              <w:overflowPunct/>
              <w:topLinePunct w:val="0"/>
              <w:bidi w:val="0"/>
              <w:spacing w:before="0" w:beforeAutospacing="0" w:after="0" w:afterAutospacing="0" w:line="400" w:lineRule="exact"/>
              <w:ind w:left="0" w:right="0"/>
              <w:rPr>
                <w:rFonts w:hint="eastAsia" w:ascii="仿宋" w:hAnsi="仿宋" w:eastAsia="仿宋" w:cs="仿宋"/>
                <w:b/>
                <w:szCs w:val="21"/>
                <w:highlight w:val="none"/>
              </w:rPr>
            </w:pPr>
            <w:r>
              <w:rPr>
                <w:rFonts w:hint="eastAsia" w:ascii="仿宋" w:hAnsi="仿宋" w:eastAsia="仿宋" w:cs="仿宋"/>
                <w:b/>
                <w:szCs w:val="21"/>
                <w:highlight w:val="none"/>
              </w:rPr>
              <w:t>总得分＝1＋2＋3</w:t>
            </w:r>
          </w:p>
        </w:tc>
        <w:tc>
          <w:tcPr>
            <w:tcW w:w="736" w:type="dxa"/>
            <w:tcBorders>
              <w:top w:val="single" w:color="auto" w:sz="4" w:space="0"/>
              <w:left w:val="nil"/>
              <w:bottom w:val="single" w:color="auto" w:sz="4" w:space="0"/>
              <w:right w:val="single" w:color="auto" w:sz="4" w:space="0"/>
            </w:tcBorders>
            <w:vAlign w:val="center"/>
          </w:tcPr>
          <w:p w14:paraId="165DB03A">
            <w:pPr>
              <w:keepNext w:val="0"/>
              <w:keepLines w:val="0"/>
              <w:pageBreakBefore w:val="0"/>
              <w:widowControl/>
              <w:suppressLineNumbers w:val="0"/>
              <w:kinsoku/>
              <w:wordWrap/>
              <w:overflowPunct/>
              <w:topLinePunct w:val="0"/>
              <w:bidi w:val="0"/>
              <w:spacing w:before="0" w:beforeAutospacing="0" w:after="0" w:afterAutospacing="0" w:line="400" w:lineRule="exact"/>
              <w:ind w:left="0" w:right="0"/>
              <w:jc w:val="center"/>
              <w:rPr>
                <w:rFonts w:hint="eastAsia" w:ascii="仿宋" w:hAnsi="仿宋" w:eastAsia="仿宋" w:cs="仿宋"/>
                <w:b/>
                <w:kern w:val="0"/>
                <w:szCs w:val="21"/>
                <w:highlight w:val="none"/>
              </w:rPr>
            </w:pPr>
            <w:r>
              <w:rPr>
                <w:rFonts w:hint="eastAsia" w:ascii="仿宋" w:hAnsi="仿宋" w:eastAsia="仿宋" w:cs="仿宋"/>
                <w:b/>
                <w:kern w:val="0"/>
                <w:szCs w:val="21"/>
                <w:highlight w:val="none"/>
              </w:rPr>
              <w:t>100</w:t>
            </w:r>
          </w:p>
        </w:tc>
      </w:tr>
      <w:bookmarkEnd w:id="101"/>
    </w:tbl>
    <w:p w14:paraId="5DBF30C6">
      <w:pPr>
        <w:spacing w:line="400" w:lineRule="exact"/>
        <w:ind w:firstLine="422" w:firstLineChars="200"/>
        <w:rPr>
          <w:rFonts w:hint="eastAsia" w:ascii="仿宋" w:hAnsi="仿宋" w:eastAsia="仿宋" w:cs="仿宋"/>
          <w:b/>
          <w:bCs/>
          <w:kern w:val="0"/>
          <w:szCs w:val="21"/>
          <w:highlight w:val="none"/>
        </w:rPr>
      </w:pPr>
      <w:bookmarkStart w:id="102" w:name="_Toc80205935"/>
      <w:r>
        <w:rPr>
          <w:rFonts w:hint="eastAsia" w:ascii="仿宋" w:hAnsi="仿宋" w:eastAsia="仿宋" w:cs="仿宋"/>
          <w:b/>
          <w:bCs/>
          <w:kern w:val="0"/>
          <w:szCs w:val="21"/>
          <w:highlight w:val="none"/>
        </w:rPr>
        <w:t>7.2.终止竞争性磋商采购活动</w:t>
      </w:r>
    </w:p>
    <w:p w14:paraId="1825E52D">
      <w:pPr>
        <w:spacing w:line="400" w:lineRule="exact"/>
        <w:ind w:firstLine="420" w:firstLineChars="200"/>
        <w:rPr>
          <w:rFonts w:hint="eastAsia" w:ascii="仿宋" w:hAnsi="仿宋" w:eastAsia="仿宋" w:cs="仿宋"/>
          <w:kern w:val="0"/>
          <w:szCs w:val="21"/>
          <w:highlight w:val="none"/>
        </w:rPr>
      </w:pPr>
      <w:r>
        <w:rPr>
          <w:rFonts w:hint="eastAsia" w:ascii="仿宋" w:hAnsi="仿宋" w:eastAsia="仿宋" w:cs="仿宋"/>
          <w:kern w:val="0"/>
          <w:szCs w:val="21"/>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6D6B2B68">
      <w:pPr>
        <w:rPr>
          <w:rFonts w:hint="eastAsia" w:ascii="仿宋" w:hAnsi="仿宋" w:eastAsia="仿宋" w:cs="仿宋"/>
          <w:highlight w:val="none"/>
        </w:rPr>
      </w:pPr>
    </w:p>
    <w:p w14:paraId="3B8E2432">
      <w:pPr>
        <w:keepNext/>
        <w:keepLines/>
        <w:spacing w:line="360" w:lineRule="auto"/>
        <w:ind w:firstLine="643" w:firstLineChars="200"/>
        <w:jc w:val="center"/>
        <w:outlineLvl w:val="1"/>
        <w:rPr>
          <w:rFonts w:hint="eastAsia" w:ascii="仿宋" w:hAnsi="仿宋" w:eastAsia="仿宋" w:cs="仿宋"/>
          <w:b/>
          <w:sz w:val="32"/>
          <w:szCs w:val="32"/>
          <w:highlight w:val="none"/>
        </w:rPr>
      </w:pPr>
      <w:bookmarkStart w:id="103" w:name="_Toc28964"/>
      <w:bookmarkStart w:id="104" w:name="_Toc127516332"/>
      <w:r>
        <w:rPr>
          <w:rFonts w:hint="eastAsia" w:ascii="仿宋" w:hAnsi="仿宋" w:eastAsia="仿宋" w:cs="仿宋"/>
          <w:b/>
          <w:sz w:val="32"/>
          <w:szCs w:val="32"/>
          <w:highlight w:val="none"/>
        </w:rPr>
        <w:t>第二节 评审报告</w:t>
      </w:r>
      <w:bookmarkEnd w:id="102"/>
      <w:bookmarkEnd w:id="103"/>
      <w:bookmarkEnd w:id="104"/>
    </w:p>
    <w:p w14:paraId="52E2AE54">
      <w:pPr>
        <w:spacing w:line="400" w:lineRule="exact"/>
        <w:ind w:firstLine="422" w:firstLineChars="200"/>
        <w:rPr>
          <w:rFonts w:hint="eastAsia" w:ascii="仿宋" w:hAnsi="仿宋" w:eastAsia="仿宋" w:cs="仿宋"/>
          <w:b/>
          <w:bCs/>
          <w:kern w:val="0"/>
          <w:szCs w:val="21"/>
          <w:highlight w:val="none"/>
        </w:rPr>
      </w:pPr>
      <w:r>
        <w:rPr>
          <w:rFonts w:hint="eastAsia" w:ascii="仿宋" w:hAnsi="仿宋" w:eastAsia="仿宋" w:cs="仿宋"/>
          <w:b/>
          <w:bCs/>
          <w:kern w:val="0"/>
          <w:szCs w:val="21"/>
          <w:highlight w:val="none"/>
        </w:rPr>
        <w:t>1.成交标准</w:t>
      </w:r>
    </w:p>
    <w:p w14:paraId="7FB33EE0">
      <w:pPr>
        <w:spacing w:line="400" w:lineRule="exact"/>
        <w:ind w:firstLine="420" w:firstLineChars="200"/>
        <w:rPr>
          <w:rFonts w:hint="eastAsia" w:ascii="仿宋" w:hAnsi="仿宋" w:eastAsia="仿宋" w:cs="仿宋"/>
          <w:kern w:val="0"/>
          <w:szCs w:val="21"/>
          <w:highlight w:val="none"/>
        </w:rPr>
      </w:pPr>
      <w:r>
        <w:rPr>
          <w:rFonts w:hint="eastAsia" w:ascii="仿宋" w:hAnsi="仿宋" w:eastAsia="仿宋" w:cs="仿宋"/>
          <w:kern w:val="0"/>
          <w:szCs w:val="21"/>
          <w:highlight w:val="none"/>
        </w:rPr>
        <w:t>由磋商小组根据综合评分情况，按照评审得分由高到低顺序推荐3名以上成交候选供应商,并在线编写电子评审报告。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3CC9E8EC">
      <w:pPr>
        <w:spacing w:line="400" w:lineRule="exact"/>
        <w:ind w:firstLine="422" w:firstLineChars="200"/>
        <w:rPr>
          <w:rFonts w:hint="eastAsia" w:ascii="仿宋" w:hAnsi="仿宋" w:eastAsia="仿宋" w:cs="仿宋"/>
          <w:b/>
          <w:bCs/>
          <w:kern w:val="0"/>
          <w:szCs w:val="21"/>
          <w:highlight w:val="none"/>
        </w:rPr>
      </w:pPr>
      <w:r>
        <w:rPr>
          <w:rFonts w:hint="eastAsia" w:ascii="仿宋" w:hAnsi="仿宋" w:eastAsia="仿宋" w:cs="仿宋"/>
          <w:b/>
          <w:bCs/>
          <w:kern w:val="0"/>
          <w:szCs w:val="21"/>
          <w:highlight w:val="none"/>
        </w:rPr>
        <w:t>2.评审争议事项处理</w:t>
      </w:r>
    </w:p>
    <w:p w14:paraId="0ADC425F">
      <w:pPr>
        <w:spacing w:line="400" w:lineRule="exact"/>
        <w:ind w:firstLine="420" w:firstLineChars="200"/>
        <w:rPr>
          <w:rFonts w:hint="eastAsia" w:ascii="仿宋" w:hAnsi="仿宋" w:eastAsia="仿宋" w:cs="仿宋"/>
          <w:kern w:val="0"/>
          <w:szCs w:val="21"/>
          <w:highlight w:val="none"/>
        </w:rPr>
      </w:pPr>
      <w:r>
        <w:rPr>
          <w:rFonts w:hint="eastAsia" w:ascii="仿宋" w:hAnsi="仿宋" w:eastAsia="仿宋" w:cs="仿宋"/>
          <w:kern w:val="0"/>
          <w:szCs w:val="21"/>
          <w:highlight w:val="none"/>
        </w:rPr>
        <w:t>磋商小组成员对需要共同认定的事项存在争议的，应当按照少数服从多数的原则作出结论。持不同意见的磋商小组成员应当在评审报告上签署不同意见及理由，否则视为同意评审报告。</w:t>
      </w:r>
    </w:p>
    <w:p w14:paraId="6C3EB573">
      <w:pPr>
        <w:spacing w:line="400" w:lineRule="exact"/>
        <w:ind w:firstLine="420" w:firstLineChars="200"/>
        <w:rPr>
          <w:rFonts w:hint="eastAsia" w:ascii="仿宋" w:hAnsi="仿宋" w:eastAsia="仿宋" w:cs="仿宋"/>
          <w:kern w:val="0"/>
          <w:szCs w:val="21"/>
          <w:highlight w:val="none"/>
        </w:rPr>
      </w:pPr>
    </w:p>
    <w:p w14:paraId="669D00EC">
      <w:pPr>
        <w:keepNext/>
        <w:keepLines/>
        <w:spacing w:line="360" w:lineRule="auto"/>
        <w:ind w:firstLine="643" w:firstLineChars="200"/>
        <w:jc w:val="center"/>
        <w:outlineLvl w:val="1"/>
        <w:rPr>
          <w:rFonts w:hint="eastAsia" w:ascii="仿宋" w:hAnsi="仿宋" w:eastAsia="仿宋" w:cs="仿宋"/>
          <w:b/>
          <w:sz w:val="32"/>
          <w:szCs w:val="32"/>
          <w:highlight w:val="none"/>
        </w:rPr>
      </w:pPr>
      <w:bookmarkStart w:id="105" w:name="_Toc80205936"/>
      <w:bookmarkStart w:id="106" w:name="_Toc127516333"/>
      <w:bookmarkStart w:id="107" w:name="_Toc6767"/>
      <w:r>
        <w:rPr>
          <w:rFonts w:hint="eastAsia" w:ascii="仿宋" w:hAnsi="仿宋" w:eastAsia="仿宋" w:cs="仿宋"/>
          <w:b/>
          <w:sz w:val="32"/>
          <w:szCs w:val="32"/>
          <w:highlight w:val="none"/>
        </w:rPr>
        <w:t>第三节 评审过程的保密与录像</w:t>
      </w:r>
      <w:bookmarkEnd w:id="105"/>
      <w:bookmarkEnd w:id="106"/>
      <w:bookmarkEnd w:id="107"/>
    </w:p>
    <w:p w14:paraId="133B11F8">
      <w:pPr>
        <w:spacing w:line="400" w:lineRule="exact"/>
        <w:ind w:firstLine="422" w:firstLineChars="200"/>
        <w:rPr>
          <w:rFonts w:hint="eastAsia" w:ascii="仿宋" w:hAnsi="仿宋" w:eastAsia="仿宋" w:cs="仿宋"/>
          <w:b/>
          <w:bCs/>
          <w:kern w:val="0"/>
          <w:szCs w:val="21"/>
          <w:highlight w:val="none"/>
        </w:rPr>
      </w:pPr>
      <w:r>
        <w:rPr>
          <w:rFonts w:hint="eastAsia" w:ascii="仿宋" w:hAnsi="仿宋" w:eastAsia="仿宋" w:cs="仿宋"/>
          <w:b/>
          <w:bCs/>
          <w:kern w:val="0"/>
          <w:szCs w:val="21"/>
          <w:highlight w:val="none"/>
        </w:rPr>
        <w:t>1.保密。</w:t>
      </w:r>
    </w:p>
    <w:p w14:paraId="2D6B6842">
      <w:pPr>
        <w:spacing w:line="400" w:lineRule="exact"/>
        <w:ind w:firstLine="420" w:firstLineChars="200"/>
        <w:rPr>
          <w:rFonts w:hint="eastAsia" w:ascii="仿宋" w:hAnsi="仿宋" w:eastAsia="仿宋" w:cs="仿宋"/>
          <w:kern w:val="0"/>
          <w:szCs w:val="21"/>
          <w:highlight w:val="none"/>
        </w:rPr>
      </w:pPr>
      <w:r>
        <w:rPr>
          <w:rFonts w:hint="eastAsia" w:ascii="仿宋" w:hAnsi="仿宋" w:eastAsia="仿宋" w:cs="仿宋"/>
          <w:kern w:val="0"/>
          <w:szCs w:val="21"/>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79ECDB8B">
      <w:pPr>
        <w:spacing w:line="400" w:lineRule="exact"/>
        <w:ind w:firstLine="422" w:firstLineChars="200"/>
        <w:rPr>
          <w:rFonts w:hint="eastAsia" w:ascii="仿宋" w:hAnsi="仿宋" w:eastAsia="仿宋" w:cs="仿宋"/>
          <w:b/>
          <w:bCs/>
          <w:kern w:val="0"/>
          <w:szCs w:val="21"/>
          <w:highlight w:val="none"/>
        </w:rPr>
      </w:pPr>
      <w:r>
        <w:rPr>
          <w:rFonts w:hint="eastAsia" w:ascii="仿宋" w:hAnsi="仿宋" w:eastAsia="仿宋" w:cs="仿宋"/>
          <w:b/>
          <w:bCs/>
          <w:kern w:val="0"/>
          <w:szCs w:val="21"/>
          <w:highlight w:val="none"/>
        </w:rPr>
        <w:t>2.录音录像。</w:t>
      </w:r>
    </w:p>
    <w:p w14:paraId="106D26A7">
      <w:pPr>
        <w:rPr>
          <w:rFonts w:hint="eastAsia" w:ascii="仿宋" w:hAnsi="仿宋" w:eastAsia="仿宋" w:cs="仿宋"/>
          <w:highlight w:val="none"/>
        </w:rPr>
      </w:pPr>
      <w:r>
        <w:rPr>
          <w:rFonts w:hint="eastAsia" w:ascii="仿宋" w:hAnsi="仿宋" w:eastAsia="仿宋" w:cs="仿宋"/>
          <w:kern w:val="0"/>
          <w:szCs w:val="21"/>
          <w:highlight w:val="none"/>
        </w:rPr>
        <w:t>采购代理机构对评审工作现场及操作屏幕进行全过程录音录像，录音录像资料作为采购项目文件随其他文件一并存档。</w:t>
      </w:r>
      <w:r>
        <w:rPr>
          <w:rFonts w:hint="eastAsia" w:ascii="仿宋" w:hAnsi="仿宋" w:eastAsia="仿宋" w:cs="仿宋"/>
          <w:highlight w:val="none"/>
        </w:rPr>
        <w:br w:type="page"/>
      </w:r>
    </w:p>
    <w:p w14:paraId="09C7589A">
      <w:pPr>
        <w:rPr>
          <w:rFonts w:hint="eastAsia" w:ascii="仿宋" w:hAnsi="仿宋" w:eastAsia="仿宋" w:cs="仿宋"/>
          <w:highlight w:val="none"/>
        </w:rPr>
      </w:pPr>
    </w:p>
    <w:p w14:paraId="0C5651DC">
      <w:pPr>
        <w:rPr>
          <w:rFonts w:hint="eastAsia" w:ascii="仿宋" w:hAnsi="仿宋" w:eastAsia="仿宋" w:cs="仿宋"/>
          <w:highlight w:val="none"/>
        </w:rPr>
      </w:pPr>
    </w:p>
    <w:p w14:paraId="59DF26EC">
      <w:pPr>
        <w:rPr>
          <w:rFonts w:hint="eastAsia" w:ascii="仿宋" w:hAnsi="仿宋" w:eastAsia="仿宋" w:cs="仿宋"/>
          <w:highlight w:val="none"/>
        </w:rPr>
      </w:pPr>
    </w:p>
    <w:p w14:paraId="0FB004EF">
      <w:pPr>
        <w:keepNext/>
        <w:keepLines/>
        <w:spacing w:before="340" w:after="330" w:line="578" w:lineRule="auto"/>
        <w:jc w:val="center"/>
        <w:outlineLvl w:val="0"/>
        <w:rPr>
          <w:rFonts w:hint="eastAsia" w:ascii="仿宋" w:hAnsi="仿宋" w:eastAsia="仿宋" w:cs="仿宋"/>
          <w:b/>
          <w:bCs/>
          <w:kern w:val="44"/>
          <w:sz w:val="44"/>
          <w:szCs w:val="44"/>
          <w:highlight w:val="none"/>
        </w:rPr>
        <w:sectPr>
          <w:footerReference r:id="rId11" w:type="first"/>
          <w:footerReference r:id="rId10" w:type="default"/>
          <w:pgSz w:w="11905" w:h="16838"/>
          <w:pgMar w:top="1304" w:right="1304" w:bottom="1304" w:left="1304" w:header="720" w:footer="720" w:gutter="0"/>
          <w:pgNumType w:fmt="decimal"/>
          <w:cols w:space="720" w:num="1"/>
          <w:docGrid w:type="lines" w:linePitch="339" w:charSpace="0"/>
        </w:sectPr>
      </w:pPr>
      <w:bookmarkStart w:id="108" w:name="_Toc9402"/>
      <w:bookmarkStart w:id="109" w:name="_Toc127516334"/>
      <w:r>
        <w:rPr>
          <w:rFonts w:hint="eastAsia" w:ascii="仿宋" w:hAnsi="仿宋" w:eastAsia="仿宋" w:cs="仿宋"/>
          <w:b/>
          <w:bCs/>
          <w:kern w:val="44"/>
          <w:sz w:val="44"/>
          <w:szCs w:val="44"/>
          <w:highlight w:val="none"/>
        </w:rPr>
        <w:t>第五章 响应文件格式</w:t>
      </w:r>
      <w:bookmarkEnd w:id="108"/>
      <w:bookmarkEnd w:id="109"/>
    </w:p>
    <w:p w14:paraId="53D15CC0">
      <w:pPr>
        <w:keepNext/>
        <w:keepLines/>
        <w:spacing w:line="920" w:lineRule="exact"/>
        <w:jc w:val="center"/>
        <w:outlineLvl w:val="1"/>
        <w:rPr>
          <w:rFonts w:hint="eastAsia" w:ascii="仿宋" w:hAnsi="仿宋" w:eastAsia="仿宋" w:cs="仿宋"/>
          <w:b/>
          <w:sz w:val="32"/>
          <w:szCs w:val="32"/>
          <w:highlight w:val="none"/>
        </w:rPr>
      </w:pPr>
      <w:bookmarkStart w:id="110" w:name="_Toc127516335"/>
      <w:bookmarkStart w:id="111" w:name="_Toc80205938"/>
      <w:bookmarkStart w:id="112" w:name="_Toc9031"/>
      <w:r>
        <w:rPr>
          <w:rFonts w:hint="eastAsia" w:ascii="仿宋" w:hAnsi="仿宋" w:eastAsia="仿宋" w:cs="仿宋"/>
          <w:b/>
          <w:sz w:val="32"/>
          <w:szCs w:val="32"/>
          <w:highlight w:val="none"/>
        </w:rPr>
        <w:t>第一节 封面格式</w:t>
      </w:r>
      <w:bookmarkEnd w:id="110"/>
      <w:bookmarkEnd w:id="111"/>
      <w:bookmarkEnd w:id="112"/>
    </w:p>
    <w:p w14:paraId="326BC71E">
      <w:pPr>
        <w:snapToGrid w:val="0"/>
        <w:spacing w:before="169" w:beforeLines="50" w:after="50"/>
        <w:rPr>
          <w:rFonts w:hint="eastAsia" w:ascii="仿宋" w:hAnsi="仿宋" w:eastAsia="仿宋" w:cs="仿宋"/>
          <w:sz w:val="24"/>
          <w:szCs w:val="20"/>
          <w:highlight w:val="none"/>
        </w:rPr>
      </w:pPr>
    </w:p>
    <w:p w14:paraId="58FFAB78">
      <w:pPr>
        <w:snapToGrid w:val="0"/>
        <w:spacing w:before="169" w:beforeLines="50" w:after="50"/>
        <w:jc w:val="center"/>
        <w:rPr>
          <w:rFonts w:hint="eastAsia" w:ascii="仿宋" w:hAnsi="仿宋" w:eastAsia="仿宋" w:cs="仿宋"/>
          <w:bCs/>
          <w:sz w:val="24"/>
          <w:szCs w:val="20"/>
          <w:highlight w:val="none"/>
        </w:rPr>
      </w:pPr>
    </w:p>
    <w:p w14:paraId="549C4BAB">
      <w:pPr>
        <w:snapToGrid w:val="0"/>
        <w:spacing w:before="169" w:beforeLines="50" w:after="50"/>
        <w:jc w:val="center"/>
        <w:rPr>
          <w:rFonts w:hint="eastAsia" w:ascii="仿宋" w:hAnsi="仿宋" w:eastAsia="仿宋" w:cs="仿宋"/>
          <w:bCs/>
          <w:sz w:val="44"/>
          <w:szCs w:val="44"/>
          <w:highlight w:val="none"/>
        </w:rPr>
      </w:pPr>
      <w:r>
        <w:rPr>
          <w:rFonts w:hint="eastAsia" w:ascii="仿宋" w:hAnsi="仿宋" w:eastAsia="仿宋" w:cs="仿宋"/>
          <w:bCs/>
          <w:sz w:val="44"/>
          <w:szCs w:val="44"/>
          <w:highlight w:val="none"/>
        </w:rPr>
        <w:t>响  应  文  件</w:t>
      </w:r>
    </w:p>
    <w:p w14:paraId="74595943">
      <w:pPr>
        <w:snapToGrid w:val="0"/>
        <w:spacing w:before="169" w:beforeLines="50" w:after="50"/>
        <w:rPr>
          <w:rFonts w:hint="eastAsia" w:ascii="仿宋" w:hAnsi="仿宋" w:eastAsia="仿宋" w:cs="仿宋"/>
          <w:bCs/>
          <w:sz w:val="24"/>
          <w:szCs w:val="20"/>
          <w:highlight w:val="none"/>
        </w:rPr>
      </w:pPr>
    </w:p>
    <w:p w14:paraId="1A4AAD8F">
      <w:pPr>
        <w:snapToGrid w:val="0"/>
        <w:spacing w:before="169" w:beforeLines="50" w:after="50"/>
        <w:rPr>
          <w:rFonts w:hint="eastAsia" w:ascii="仿宋" w:hAnsi="仿宋" w:eastAsia="仿宋" w:cs="仿宋"/>
          <w:bCs/>
          <w:sz w:val="24"/>
          <w:szCs w:val="20"/>
          <w:highlight w:val="none"/>
        </w:rPr>
      </w:pPr>
    </w:p>
    <w:p w14:paraId="14FAF32D">
      <w:pPr>
        <w:snapToGrid w:val="0"/>
        <w:spacing w:before="169" w:beforeLines="50" w:after="50"/>
        <w:rPr>
          <w:rFonts w:hint="eastAsia" w:ascii="仿宋" w:hAnsi="仿宋" w:eastAsia="仿宋" w:cs="仿宋"/>
          <w:bCs/>
          <w:sz w:val="32"/>
          <w:szCs w:val="32"/>
          <w:highlight w:val="none"/>
        </w:rPr>
      </w:pPr>
    </w:p>
    <w:p w14:paraId="1A7C63DE">
      <w:pPr>
        <w:snapToGrid w:val="0"/>
        <w:spacing w:before="169" w:beforeLines="50" w:after="50"/>
        <w:ind w:firstLine="640" w:firstLineChars="200"/>
        <w:rPr>
          <w:rFonts w:hint="eastAsia" w:ascii="仿宋" w:hAnsi="仿宋" w:eastAsia="仿宋" w:cs="仿宋"/>
          <w:bCs/>
          <w:sz w:val="32"/>
          <w:szCs w:val="32"/>
          <w:highlight w:val="none"/>
        </w:rPr>
      </w:pPr>
      <w:r>
        <w:rPr>
          <w:rFonts w:hint="eastAsia" w:ascii="仿宋" w:hAnsi="仿宋" w:eastAsia="仿宋" w:cs="仿宋"/>
          <w:bCs/>
          <w:sz w:val="32"/>
          <w:szCs w:val="32"/>
          <w:highlight w:val="none"/>
        </w:rPr>
        <w:t xml:space="preserve">项目名称： </w:t>
      </w:r>
    </w:p>
    <w:p w14:paraId="348FE797">
      <w:pPr>
        <w:snapToGrid w:val="0"/>
        <w:spacing w:before="169" w:beforeLines="50" w:after="50"/>
        <w:ind w:firstLine="480" w:firstLineChars="150"/>
        <w:rPr>
          <w:rFonts w:hint="eastAsia" w:ascii="仿宋" w:hAnsi="仿宋" w:eastAsia="仿宋" w:cs="仿宋"/>
          <w:bCs/>
          <w:sz w:val="32"/>
          <w:szCs w:val="32"/>
          <w:highlight w:val="none"/>
        </w:rPr>
      </w:pPr>
    </w:p>
    <w:p w14:paraId="52484B6F">
      <w:pPr>
        <w:snapToGrid w:val="0"/>
        <w:spacing w:before="169" w:beforeLines="50" w:after="50"/>
        <w:ind w:firstLine="640" w:firstLineChars="200"/>
        <w:rPr>
          <w:rFonts w:hint="eastAsia" w:ascii="仿宋" w:hAnsi="仿宋" w:eastAsia="仿宋" w:cs="仿宋"/>
          <w:bCs/>
          <w:sz w:val="32"/>
          <w:szCs w:val="32"/>
          <w:highlight w:val="none"/>
        </w:rPr>
      </w:pPr>
      <w:r>
        <w:rPr>
          <w:rFonts w:hint="eastAsia" w:ascii="仿宋" w:hAnsi="仿宋" w:eastAsia="仿宋" w:cs="仿宋"/>
          <w:bCs/>
          <w:sz w:val="32"/>
          <w:szCs w:val="32"/>
          <w:highlight w:val="none"/>
        </w:rPr>
        <w:t xml:space="preserve">项目编号： </w:t>
      </w:r>
    </w:p>
    <w:p w14:paraId="79A406E2">
      <w:pPr>
        <w:snapToGrid w:val="0"/>
        <w:spacing w:before="169" w:beforeLines="50" w:after="50"/>
        <w:ind w:firstLine="480" w:firstLineChars="150"/>
        <w:rPr>
          <w:rFonts w:hint="eastAsia" w:ascii="仿宋" w:hAnsi="仿宋" w:eastAsia="仿宋" w:cs="仿宋"/>
          <w:bCs/>
          <w:sz w:val="32"/>
          <w:szCs w:val="32"/>
          <w:highlight w:val="none"/>
        </w:rPr>
      </w:pPr>
    </w:p>
    <w:p w14:paraId="3EE9822F">
      <w:pPr>
        <w:snapToGrid w:val="0"/>
        <w:spacing w:before="169" w:beforeLines="50" w:after="50"/>
        <w:ind w:firstLine="640" w:firstLineChars="200"/>
        <w:rPr>
          <w:rFonts w:hint="eastAsia" w:ascii="仿宋" w:hAnsi="仿宋" w:eastAsia="仿宋" w:cs="仿宋"/>
          <w:bCs/>
          <w:sz w:val="32"/>
          <w:szCs w:val="32"/>
          <w:highlight w:val="none"/>
        </w:rPr>
      </w:pPr>
      <w:r>
        <w:rPr>
          <w:rFonts w:hint="eastAsia" w:ascii="仿宋" w:hAnsi="仿宋" w:eastAsia="仿宋" w:cs="仿宋"/>
          <w:bCs/>
          <w:sz w:val="32"/>
          <w:szCs w:val="32"/>
          <w:highlight w:val="none"/>
        </w:rPr>
        <w:t>所竞分标（如有则填写，无分标时填写“无”或者留空）：</w:t>
      </w:r>
    </w:p>
    <w:p w14:paraId="462D4A54">
      <w:pPr>
        <w:snapToGrid w:val="0"/>
        <w:spacing w:before="169" w:beforeLines="50" w:after="50"/>
        <w:rPr>
          <w:rFonts w:hint="eastAsia" w:ascii="仿宋" w:hAnsi="仿宋" w:eastAsia="仿宋" w:cs="仿宋"/>
          <w:bCs/>
          <w:sz w:val="32"/>
          <w:szCs w:val="32"/>
          <w:highlight w:val="none"/>
        </w:rPr>
      </w:pPr>
    </w:p>
    <w:p w14:paraId="5E8372FB">
      <w:pPr>
        <w:snapToGrid w:val="0"/>
        <w:spacing w:before="169" w:beforeLines="50" w:after="50"/>
        <w:ind w:firstLine="640" w:firstLineChars="200"/>
        <w:rPr>
          <w:rFonts w:hint="eastAsia" w:ascii="仿宋" w:hAnsi="仿宋" w:eastAsia="仿宋" w:cs="仿宋"/>
          <w:bCs/>
          <w:sz w:val="32"/>
          <w:szCs w:val="32"/>
          <w:highlight w:val="none"/>
        </w:rPr>
      </w:pPr>
      <w:r>
        <w:rPr>
          <w:rFonts w:hint="eastAsia" w:ascii="仿宋" w:hAnsi="仿宋" w:eastAsia="仿宋" w:cs="仿宋"/>
          <w:bCs/>
          <w:sz w:val="32"/>
          <w:szCs w:val="32"/>
          <w:highlight w:val="none"/>
        </w:rPr>
        <w:t>供应商名称：</w:t>
      </w:r>
    </w:p>
    <w:p w14:paraId="2E74D208">
      <w:pPr>
        <w:snapToGrid w:val="0"/>
        <w:spacing w:before="169" w:beforeLines="50" w:after="50"/>
        <w:rPr>
          <w:rFonts w:hint="eastAsia" w:ascii="仿宋" w:hAnsi="仿宋" w:eastAsia="仿宋" w:cs="仿宋"/>
          <w:bCs/>
          <w:sz w:val="32"/>
          <w:szCs w:val="32"/>
          <w:highlight w:val="none"/>
        </w:rPr>
      </w:pPr>
    </w:p>
    <w:p w14:paraId="2ECCC860">
      <w:pPr>
        <w:snapToGrid w:val="0"/>
        <w:spacing w:before="169" w:beforeLines="50" w:after="50"/>
        <w:ind w:firstLine="480" w:firstLineChars="150"/>
        <w:jc w:val="center"/>
        <w:rPr>
          <w:rFonts w:hint="eastAsia" w:ascii="仿宋" w:hAnsi="仿宋" w:eastAsia="仿宋" w:cs="仿宋"/>
          <w:bCs/>
          <w:sz w:val="32"/>
          <w:szCs w:val="32"/>
          <w:highlight w:val="none"/>
        </w:rPr>
      </w:pPr>
      <w:r>
        <w:rPr>
          <w:rFonts w:hint="eastAsia" w:ascii="仿宋" w:hAnsi="仿宋" w:eastAsia="仿宋" w:cs="仿宋"/>
          <w:bCs/>
          <w:sz w:val="32"/>
          <w:szCs w:val="32"/>
          <w:highlight w:val="none"/>
        </w:rPr>
        <w:t>首次响应文件提交截止时间前不得解密</w:t>
      </w:r>
    </w:p>
    <w:p w14:paraId="002C875E">
      <w:pPr>
        <w:snapToGrid w:val="0"/>
        <w:spacing w:before="169" w:beforeLines="50" w:after="50"/>
        <w:ind w:firstLine="5440" w:firstLineChars="1700"/>
        <w:jc w:val="center"/>
        <w:rPr>
          <w:rFonts w:hint="eastAsia" w:ascii="仿宋" w:hAnsi="仿宋" w:eastAsia="仿宋" w:cs="仿宋"/>
          <w:bCs/>
          <w:sz w:val="32"/>
          <w:szCs w:val="32"/>
          <w:highlight w:val="none"/>
        </w:rPr>
      </w:pPr>
    </w:p>
    <w:p w14:paraId="59F2E8BA">
      <w:pPr>
        <w:snapToGrid w:val="0"/>
        <w:spacing w:before="169" w:beforeLines="50" w:after="50"/>
        <w:ind w:firstLine="645"/>
        <w:jc w:val="center"/>
        <w:rPr>
          <w:rFonts w:hint="eastAsia" w:ascii="仿宋" w:hAnsi="仿宋" w:eastAsia="仿宋" w:cs="仿宋"/>
          <w:bCs/>
          <w:sz w:val="32"/>
          <w:szCs w:val="32"/>
          <w:highlight w:val="none"/>
        </w:rPr>
      </w:pPr>
      <w:r>
        <w:rPr>
          <w:rFonts w:hint="eastAsia" w:ascii="仿宋" w:hAnsi="仿宋" w:eastAsia="仿宋" w:cs="仿宋"/>
          <w:bCs/>
          <w:sz w:val="32"/>
          <w:szCs w:val="32"/>
          <w:highlight w:val="none"/>
        </w:rPr>
        <w:t>年    月    日</w:t>
      </w:r>
    </w:p>
    <w:p w14:paraId="421D474D">
      <w:pPr>
        <w:rPr>
          <w:rFonts w:hint="eastAsia" w:ascii="仿宋" w:hAnsi="仿宋" w:eastAsia="仿宋" w:cs="仿宋"/>
          <w:highlight w:val="none"/>
        </w:rPr>
        <w:sectPr>
          <w:pgSz w:w="11905" w:h="16838"/>
          <w:pgMar w:top="1304" w:right="1304" w:bottom="1304" w:left="1304" w:header="720" w:footer="720" w:gutter="0"/>
          <w:pgNumType w:fmt="decimal"/>
          <w:cols w:space="720" w:num="1"/>
          <w:docGrid w:type="lines" w:linePitch="339" w:charSpace="0"/>
        </w:sectPr>
      </w:pPr>
    </w:p>
    <w:p w14:paraId="2B8A402D">
      <w:pPr>
        <w:keepNext/>
        <w:keepLines/>
        <w:spacing w:before="260" w:after="260" w:line="416" w:lineRule="auto"/>
        <w:jc w:val="center"/>
        <w:outlineLvl w:val="1"/>
        <w:rPr>
          <w:rFonts w:hint="eastAsia" w:ascii="仿宋" w:hAnsi="仿宋" w:eastAsia="仿宋" w:cs="仿宋"/>
          <w:b/>
          <w:sz w:val="32"/>
          <w:szCs w:val="32"/>
          <w:highlight w:val="none"/>
        </w:rPr>
      </w:pPr>
      <w:bookmarkStart w:id="113" w:name="_Toc80205939"/>
      <w:bookmarkStart w:id="114" w:name="_Toc32645"/>
      <w:bookmarkStart w:id="115" w:name="_Toc127516336"/>
      <w:r>
        <w:rPr>
          <w:rFonts w:hint="eastAsia" w:ascii="仿宋" w:hAnsi="仿宋" w:eastAsia="仿宋" w:cs="仿宋"/>
          <w:b/>
          <w:sz w:val="32"/>
          <w:szCs w:val="32"/>
          <w:highlight w:val="none"/>
        </w:rPr>
        <w:t>第二节 资格证明文件格式</w:t>
      </w:r>
      <w:bookmarkEnd w:id="113"/>
      <w:bookmarkEnd w:id="114"/>
      <w:bookmarkEnd w:id="115"/>
    </w:p>
    <w:p w14:paraId="640252A0">
      <w:pPr>
        <w:snapToGrid w:val="0"/>
        <w:spacing w:before="169" w:beforeLines="50" w:after="50"/>
        <w:rPr>
          <w:rFonts w:hint="eastAsia" w:ascii="仿宋" w:hAnsi="仿宋" w:eastAsia="仿宋" w:cs="仿宋"/>
          <w:bCs/>
          <w:sz w:val="32"/>
          <w:szCs w:val="20"/>
          <w:highlight w:val="none"/>
        </w:rPr>
      </w:pPr>
      <w:r>
        <w:rPr>
          <w:rFonts w:hint="eastAsia" w:ascii="仿宋" w:hAnsi="仿宋" w:eastAsia="仿宋" w:cs="仿宋"/>
          <w:bCs/>
          <w:highlight w:val="none"/>
        </w:rPr>
        <w:t>全流程电子文件</w:t>
      </w:r>
    </w:p>
    <w:p w14:paraId="5DD08AFD">
      <w:pPr>
        <w:snapToGrid w:val="0"/>
        <w:spacing w:before="169" w:beforeLines="50" w:after="50"/>
        <w:rPr>
          <w:rFonts w:hint="eastAsia" w:ascii="仿宋" w:hAnsi="仿宋" w:eastAsia="仿宋" w:cs="仿宋"/>
          <w:sz w:val="24"/>
          <w:szCs w:val="20"/>
          <w:highlight w:val="none"/>
        </w:rPr>
      </w:pPr>
    </w:p>
    <w:p w14:paraId="6DD852E2">
      <w:pPr>
        <w:snapToGrid w:val="0"/>
        <w:spacing w:before="169" w:beforeLines="50" w:after="50"/>
        <w:rPr>
          <w:rFonts w:hint="eastAsia" w:ascii="仿宋" w:hAnsi="仿宋" w:eastAsia="仿宋" w:cs="仿宋"/>
          <w:sz w:val="24"/>
          <w:szCs w:val="20"/>
          <w:highlight w:val="none"/>
        </w:rPr>
      </w:pPr>
    </w:p>
    <w:p w14:paraId="27EF9F7B">
      <w:pPr>
        <w:snapToGrid w:val="0"/>
        <w:spacing w:before="169" w:beforeLines="50" w:after="50"/>
        <w:jc w:val="center"/>
        <w:rPr>
          <w:rFonts w:hint="eastAsia" w:ascii="仿宋" w:hAnsi="仿宋" w:eastAsia="仿宋" w:cs="仿宋"/>
          <w:bCs/>
          <w:sz w:val="44"/>
          <w:szCs w:val="44"/>
          <w:highlight w:val="none"/>
        </w:rPr>
      </w:pPr>
      <w:r>
        <w:rPr>
          <w:rFonts w:hint="eastAsia" w:ascii="仿宋" w:hAnsi="仿宋" w:eastAsia="仿宋" w:cs="仿宋"/>
          <w:bCs/>
          <w:sz w:val="44"/>
          <w:szCs w:val="44"/>
          <w:highlight w:val="none"/>
        </w:rPr>
        <w:t>资  格  证  明  文  件（封面）</w:t>
      </w:r>
    </w:p>
    <w:p w14:paraId="0D8FE7DE">
      <w:pPr>
        <w:snapToGrid w:val="0"/>
        <w:spacing w:before="169" w:beforeLines="50" w:after="50"/>
        <w:rPr>
          <w:rFonts w:hint="eastAsia" w:ascii="仿宋" w:hAnsi="仿宋" w:eastAsia="仿宋" w:cs="仿宋"/>
          <w:bCs/>
          <w:sz w:val="24"/>
          <w:szCs w:val="20"/>
          <w:highlight w:val="none"/>
        </w:rPr>
      </w:pPr>
    </w:p>
    <w:p w14:paraId="189CAE68">
      <w:pPr>
        <w:snapToGrid w:val="0"/>
        <w:spacing w:before="169" w:beforeLines="50" w:after="50"/>
        <w:rPr>
          <w:rFonts w:hint="eastAsia" w:ascii="仿宋" w:hAnsi="仿宋" w:eastAsia="仿宋" w:cs="仿宋"/>
          <w:bCs/>
          <w:sz w:val="24"/>
          <w:szCs w:val="20"/>
          <w:highlight w:val="none"/>
        </w:rPr>
      </w:pPr>
    </w:p>
    <w:p w14:paraId="000771BC">
      <w:pPr>
        <w:snapToGrid w:val="0"/>
        <w:spacing w:before="169" w:beforeLines="50" w:after="50"/>
        <w:rPr>
          <w:rFonts w:hint="eastAsia" w:ascii="仿宋" w:hAnsi="仿宋" w:eastAsia="仿宋" w:cs="仿宋"/>
          <w:bCs/>
          <w:sz w:val="24"/>
          <w:szCs w:val="20"/>
          <w:highlight w:val="none"/>
        </w:rPr>
      </w:pPr>
    </w:p>
    <w:p w14:paraId="5F010E78">
      <w:pPr>
        <w:snapToGrid w:val="0"/>
        <w:spacing w:before="169" w:beforeLines="50" w:after="50"/>
        <w:rPr>
          <w:rFonts w:hint="eastAsia" w:ascii="仿宋" w:hAnsi="仿宋" w:eastAsia="仿宋" w:cs="仿宋"/>
          <w:bCs/>
          <w:sz w:val="24"/>
          <w:szCs w:val="20"/>
          <w:highlight w:val="none"/>
        </w:rPr>
      </w:pPr>
    </w:p>
    <w:p w14:paraId="51CDDACB">
      <w:pPr>
        <w:snapToGrid w:val="0"/>
        <w:spacing w:before="169" w:beforeLines="50" w:after="50"/>
        <w:rPr>
          <w:rFonts w:hint="eastAsia" w:ascii="仿宋" w:hAnsi="仿宋" w:eastAsia="仿宋" w:cs="仿宋"/>
          <w:bCs/>
          <w:sz w:val="24"/>
          <w:szCs w:val="20"/>
          <w:highlight w:val="none"/>
        </w:rPr>
      </w:pPr>
    </w:p>
    <w:p w14:paraId="6D65EA62">
      <w:pPr>
        <w:snapToGrid w:val="0"/>
        <w:spacing w:before="169" w:beforeLines="50" w:after="50"/>
        <w:ind w:firstLine="640" w:firstLineChars="200"/>
        <w:rPr>
          <w:rFonts w:hint="eastAsia" w:ascii="仿宋" w:hAnsi="仿宋" w:eastAsia="仿宋" w:cs="仿宋"/>
          <w:bCs/>
          <w:sz w:val="32"/>
          <w:szCs w:val="32"/>
          <w:highlight w:val="none"/>
        </w:rPr>
      </w:pPr>
      <w:r>
        <w:rPr>
          <w:rFonts w:hint="eastAsia" w:ascii="仿宋" w:hAnsi="仿宋" w:eastAsia="仿宋" w:cs="仿宋"/>
          <w:bCs/>
          <w:sz w:val="32"/>
          <w:szCs w:val="32"/>
          <w:highlight w:val="none"/>
        </w:rPr>
        <w:t xml:space="preserve">项目名称： </w:t>
      </w:r>
    </w:p>
    <w:p w14:paraId="2C25BB3D">
      <w:pPr>
        <w:snapToGrid w:val="0"/>
        <w:spacing w:before="169" w:beforeLines="50" w:after="50"/>
        <w:ind w:firstLine="720" w:firstLineChars="225"/>
        <w:rPr>
          <w:rFonts w:hint="eastAsia" w:ascii="仿宋" w:hAnsi="仿宋" w:eastAsia="仿宋" w:cs="仿宋"/>
          <w:bCs/>
          <w:sz w:val="32"/>
          <w:szCs w:val="32"/>
          <w:highlight w:val="none"/>
        </w:rPr>
      </w:pPr>
    </w:p>
    <w:p w14:paraId="1B78AE9F">
      <w:pPr>
        <w:snapToGrid w:val="0"/>
        <w:spacing w:before="169" w:beforeLines="50" w:after="50"/>
        <w:ind w:firstLine="720" w:firstLineChars="225"/>
        <w:rPr>
          <w:rFonts w:hint="eastAsia" w:ascii="仿宋" w:hAnsi="仿宋" w:eastAsia="仿宋" w:cs="仿宋"/>
          <w:bCs/>
          <w:sz w:val="32"/>
          <w:szCs w:val="32"/>
          <w:highlight w:val="none"/>
        </w:rPr>
      </w:pPr>
      <w:r>
        <w:rPr>
          <w:rFonts w:hint="eastAsia" w:ascii="仿宋" w:hAnsi="仿宋" w:eastAsia="仿宋" w:cs="仿宋"/>
          <w:bCs/>
          <w:sz w:val="32"/>
          <w:szCs w:val="32"/>
          <w:highlight w:val="none"/>
        </w:rPr>
        <w:t xml:space="preserve">项目编号： </w:t>
      </w:r>
    </w:p>
    <w:p w14:paraId="2D47D64C">
      <w:pPr>
        <w:snapToGrid w:val="0"/>
        <w:spacing w:before="169" w:beforeLines="50" w:after="50"/>
        <w:ind w:firstLine="720" w:firstLineChars="225"/>
        <w:rPr>
          <w:rFonts w:hint="eastAsia" w:ascii="仿宋" w:hAnsi="仿宋" w:eastAsia="仿宋" w:cs="仿宋"/>
          <w:bCs/>
          <w:sz w:val="32"/>
          <w:szCs w:val="32"/>
          <w:highlight w:val="none"/>
        </w:rPr>
      </w:pPr>
    </w:p>
    <w:p w14:paraId="1E24C71E">
      <w:pPr>
        <w:snapToGrid w:val="0"/>
        <w:spacing w:before="169" w:beforeLines="50" w:after="50"/>
        <w:ind w:firstLine="720" w:firstLineChars="225"/>
        <w:rPr>
          <w:rFonts w:hint="eastAsia" w:ascii="仿宋" w:hAnsi="仿宋" w:eastAsia="仿宋" w:cs="仿宋"/>
          <w:bCs/>
          <w:sz w:val="32"/>
          <w:szCs w:val="32"/>
          <w:highlight w:val="none"/>
        </w:rPr>
      </w:pPr>
      <w:r>
        <w:rPr>
          <w:rFonts w:hint="eastAsia" w:ascii="仿宋" w:hAnsi="仿宋" w:eastAsia="仿宋" w:cs="仿宋"/>
          <w:bCs/>
          <w:sz w:val="32"/>
          <w:szCs w:val="32"/>
          <w:highlight w:val="none"/>
        </w:rPr>
        <w:t>所竞分标（如有则填写，无分标时填写“无”或者留空）：</w:t>
      </w:r>
    </w:p>
    <w:p w14:paraId="2F560667">
      <w:pPr>
        <w:snapToGrid w:val="0"/>
        <w:spacing w:before="169" w:beforeLines="50" w:after="50"/>
        <w:ind w:firstLine="720" w:firstLineChars="225"/>
        <w:rPr>
          <w:rFonts w:hint="eastAsia" w:ascii="仿宋" w:hAnsi="仿宋" w:eastAsia="仿宋" w:cs="仿宋"/>
          <w:bCs/>
          <w:sz w:val="32"/>
          <w:szCs w:val="32"/>
          <w:highlight w:val="none"/>
        </w:rPr>
      </w:pPr>
    </w:p>
    <w:p w14:paraId="32DA7049">
      <w:pPr>
        <w:snapToGrid w:val="0"/>
        <w:spacing w:before="50" w:after="50"/>
        <w:ind w:firstLine="720" w:firstLineChars="225"/>
        <w:rPr>
          <w:rFonts w:hint="eastAsia" w:ascii="仿宋" w:hAnsi="仿宋" w:eastAsia="仿宋" w:cs="仿宋"/>
          <w:bCs/>
          <w:sz w:val="32"/>
          <w:szCs w:val="32"/>
          <w:highlight w:val="none"/>
        </w:rPr>
      </w:pPr>
      <w:r>
        <w:rPr>
          <w:rFonts w:hint="eastAsia" w:ascii="仿宋" w:hAnsi="仿宋" w:eastAsia="仿宋" w:cs="仿宋"/>
          <w:bCs/>
          <w:sz w:val="32"/>
          <w:szCs w:val="32"/>
          <w:highlight w:val="none"/>
        </w:rPr>
        <w:t>供应商名称：</w:t>
      </w:r>
    </w:p>
    <w:p w14:paraId="2868D9EF">
      <w:pPr>
        <w:snapToGrid w:val="0"/>
        <w:spacing w:before="50" w:after="50"/>
        <w:ind w:firstLine="720" w:firstLineChars="225"/>
        <w:rPr>
          <w:rFonts w:hint="eastAsia" w:ascii="仿宋" w:hAnsi="仿宋" w:eastAsia="仿宋" w:cs="仿宋"/>
          <w:bCs/>
          <w:sz w:val="32"/>
          <w:szCs w:val="32"/>
          <w:highlight w:val="none"/>
        </w:rPr>
      </w:pPr>
    </w:p>
    <w:p w14:paraId="6DDF3979">
      <w:pPr>
        <w:snapToGrid w:val="0"/>
        <w:spacing w:before="50" w:after="50"/>
        <w:ind w:firstLine="720" w:firstLineChars="225"/>
        <w:rPr>
          <w:rFonts w:hint="eastAsia" w:ascii="仿宋" w:hAnsi="仿宋" w:eastAsia="仿宋" w:cs="仿宋"/>
          <w:bCs/>
          <w:sz w:val="32"/>
          <w:szCs w:val="32"/>
          <w:highlight w:val="none"/>
        </w:rPr>
      </w:pPr>
    </w:p>
    <w:p w14:paraId="0C9C9354">
      <w:pPr>
        <w:snapToGrid w:val="0"/>
        <w:spacing w:before="50" w:after="50"/>
        <w:ind w:firstLine="720" w:firstLineChars="225"/>
        <w:rPr>
          <w:rFonts w:hint="eastAsia" w:ascii="仿宋" w:hAnsi="仿宋" w:eastAsia="仿宋" w:cs="仿宋"/>
          <w:bCs/>
          <w:sz w:val="32"/>
          <w:szCs w:val="32"/>
          <w:highlight w:val="none"/>
        </w:rPr>
      </w:pPr>
    </w:p>
    <w:p w14:paraId="03F18EAC">
      <w:pPr>
        <w:snapToGrid w:val="0"/>
        <w:spacing w:before="50" w:after="50"/>
        <w:ind w:firstLine="1280" w:firstLineChars="400"/>
        <w:rPr>
          <w:rFonts w:hint="eastAsia" w:ascii="仿宋" w:hAnsi="仿宋" w:eastAsia="仿宋" w:cs="仿宋"/>
          <w:bCs/>
          <w:sz w:val="32"/>
          <w:szCs w:val="32"/>
          <w:highlight w:val="none"/>
        </w:rPr>
      </w:pPr>
    </w:p>
    <w:p w14:paraId="404B24DB">
      <w:pPr>
        <w:snapToGrid w:val="0"/>
        <w:spacing w:before="169" w:beforeLines="50" w:after="50"/>
        <w:jc w:val="center"/>
        <w:rPr>
          <w:rFonts w:hint="eastAsia" w:ascii="仿宋" w:hAnsi="仿宋" w:eastAsia="仿宋" w:cs="仿宋"/>
          <w:sz w:val="32"/>
          <w:szCs w:val="32"/>
          <w:highlight w:val="none"/>
        </w:rPr>
      </w:pPr>
      <w:r>
        <w:rPr>
          <w:rFonts w:hint="eastAsia" w:ascii="仿宋" w:hAnsi="仿宋" w:eastAsia="仿宋" w:cs="仿宋"/>
          <w:sz w:val="32"/>
          <w:szCs w:val="32"/>
          <w:highlight w:val="none"/>
        </w:rPr>
        <w:t>年    月    日</w:t>
      </w:r>
    </w:p>
    <w:p w14:paraId="25A994A9">
      <w:pPr>
        <w:snapToGrid w:val="0"/>
        <w:spacing w:before="169" w:beforeLines="50" w:after="50" w:line="360" w:lineRule="auto"/>
        <w:jc w:val="center"/>
        <w:rPr>
          <w:rFonts w:hint="eastAsia" w:ascii="仿宋" w:hAnsi="仿宋" w:eastAsia="仿宋" w:cs="仿宋"/>
          <w:b/>
          <w:kern w:val="0"/>
          <w:sz w:val="36"/>
          <w:szCs w:val="36"/>
          <w:highlight w:val="none"/>
        </w:rPr>
      </w:pPr>
      <w:r>
        <w:rPr>
          <w:rFonts w:hint="eastAsia" w:ascii="仿宋" w:hAnsi="仿宋" w:eastAsia="仿宋" w:cs="仿宋"/>
          <w:sz w:val="24"/>
          <w:highlight w:val="none"/>
        </w:rPr>
        <w:br w:type="page"/>
      </w:r>
      <w:r>
        <w:rPr>
          <w:rFonts w:hint="eastAsia" w:ascii="仿宋" w:hAnsi="仿宋" w:eastAsia="仿宋" w:cs="仿宋"/>
          <w:b/>
          <w:kern w:val="0"/>
          <w:sz w:val="36"/>
          <w:szCs w:val="36"/>
          <w:highlight w:val="none"/>
        </w:rPr>
        <w:t>资格证明文件目录</w:t>
      </w:r>
    </w:p>
    <w:p w14:paraId="048B9A4B">
      <w:pPr>
        <w:snapToGrid w:val="0"/>
        <w:spacing w:line="360" w:lineRule="auto"/>
        <w:rPr>
          <w:rFonts w:hint="eastAsia" w:ascii="仿宋" w:hAnsi="仿宋" w:eastAsia="仿宋" w:cs="仿宋"/>
          <w:kern w:val="0"/>
          <w:sz w:val="24"/>
          <w:highlight w:val="none"/>
        </w:rPr>
      </w:pPr>
    </w:p>
    <w:p w14:paraId="17623978">
      <w:pPr>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一、</w:t>
      </w:r>
      <w:r>
        <w:rPr>
          <w:rFonts w:hint="eastAsia" w:ascii="仿宋" w:hAnsi="仿宋" w:eastAsia="仿宋" w:cs="仿宋"/>
          <w:sz w:val="24"/>
          <w:highlight w:val="none"/>
        </w:rPr>
        <w:t>营业执照(或事业法人登记证或其他工商等登记证明材料)复印件（供应商为自然人的，须提供</w:t>
      </w:r>
      <w:r>
        <w:rPr>
          <w:rFonts w:hint="eastAsia" w:ascii="仿宋" w:hAnsi="仿宋" w:eastAsia="仿宋" w:cs="仿宋"/>
          <w:kern w:val="0"/>
          <w:sz w:val="24"/>
          <w:highlight w:val="none"/>
        </w:rPr>
        <w:t>自然人的身份证明</w:t>
      </w:r>
      <w:r>
        <w:rPr>
          <w:rFonts w:hint="eastAsia" w:ascii="仿宋" w:hAnsi="仿宋" w:eastAsia="仿宋" w:cs="仿宋"/>
          <w:sz w:val="24"/>
          <w:highlight w:val="none"/>
        </w:rPr>
        <w:t>）</w:t>
      </w:r>
      <w:r>
        <w:rPr>
          <w:rFonts w:hint="eastAsia" w:ascii="仿宋" w:hAnsi="仿宋" w:eastAsia="仿宋" w:cs="仿宋"/>
          <w:kern w:val="0"/>
          <w:sz w:val="24"/>
          <w:highlight w:val="none"/>
        </w:rPr>
        <w:t>……………………………………………………………（页码）</w:t>
      </w:r>
    </w:p>
    <w:p w14:paraId="061107A3">
      <w:pPr>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二、符合参与政府采购活动的资格条件依法缴纳税收、社会保障资金等方面的材料…………………………………………………………………………………………（页码）</w:t>
      </w:r>
    </w:p>
    <w:p w14:paraId="5BF1961B">
      <w:pPr>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三、财务状况报告方面的材料…………………………………………………………（页码）</w:t>
      </w:r>
    </w:p>
    <w:p w14:paraId="10E88763">
      <w:pPr>
        <w:snapToGrid w:val="0"/>
        <w:spacing w:line="360" w:lineRule="auto"/>
        <w:rPr>
          <w:rFonts w:hint="eastAsia" w:ascii="仿宋" w:hAnsi="仿宋" w:eastAsia="仿宋" w:cs="仿宋"/>
          <w:kern w:val="0"/>
          <w:sz w:val="24"/>
          <w:highlight w:val="none"/>
        </w:rPr>
      </w:pPr>
      <w:r>
        <w:rPr>
          <w:rFonts w:hint="eastAsia" w:ascii="仿宋" w:hAnsi="仿宋" w:eastAsia="仿宋" w:cs="仿宋"/>
          <w:sz w:val="24"/>
          <w:highlight w:val="none"/>
        </w:rPr>
        <w:t>四、供应商直接控股股东信息</w:t>
      </w:r>
      <w:r>
        <w:rPr>
          <w:rFonts w:hint="eastAsia" w:ascii="仿宋" w:hAnsi="仿宋" w:eastAsia="仿宋" w:cs="仿宋"/>
          <w:kern w:val="0"/>
          <w:sz w:val="24"/>
          <w:highlight w:val="none"/>
        </w:rPr>
        <w:t>…………………………………………………………（页码）</w:t>
      </w:r>
    </w:p>
    <w:p w14:paraId="6D74D7A0">
      <w:pPr>
        <w:snapToGrid w:val="0"/>
        <w:spacing w:line="360" w:lineRule="auto"/>
        <w:rPr>
          <w:rFonts w:hint="eastAsia" w:ascii="仿宋" w:hAnsi="仿宋" w:eastAsia="仿宋" w:cs="仿宋"/>
          <w:kern w:val="0"/>
          <w:sz w:val="24"/>
          <w:highlight w:val="none"/>
        </w:rPr>
      </w:pPr>
      <w:r>
        <w:rPr>
          <w:rFonts w:hint="eastAsia" w:ascii="仿宋" w:hAnsi="仿宋" w:eastAsia="仿宋" w:cs="仿宋"/>
          <w:sz w:val="24"/>
          <w:highlight w:val="none"/>
        </w:rPr>
        <w:t>五、供应商直接关联关系信息表</w:t>
      </w:r>
      <w:r>
        <w:rPr>
          <w:rFonts w:hint="eastAsia" w:ascii="仿宋" w:hAnsi="仿宋" w:eastAsia="仿宋" w:cs="仿宋"/>
          <w:kern w:val="0"/>
          <w:sz w:val="24"/>
          <w:highlight w:val="none"/>
        </w:rPr>
        <w:t>………………………………………………………（页码）</w:t>
      </w:r>
    </w:p>
    <w:p w14:paraId="0B40BD92">
      <w:pPr>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六、资格声明函…………………………………………………………………………（页码）</w:t>
      </w:r>
    </w:p>
    <w:p w14:paraId="5254F2BE">
      <w:pPr>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七、联合体协议书；……………………………………………………………………（页码）</w:t>
      </w:r>
    </w:p>
    <w:p w14:paraId="10EF2CD0">
      <w:pPr>
        <w:snapToGrid w:val="0"/>
        <w:spacing w:line="360" w:lineRule="auto"/>
        <w:rPr>
          <w:rFonts w:hint="eastAsia" w:ascii="仿宋" w:hAnsi="仿宋" w:eastAsia="仿宋" w:cs="仿宋"/>
          <w:kern w:val="0"/>
          <w:sz w:val="24"/>
          <w:highlight w:val="none"/>
        </w:rPr>
      </w:pPr>
      <w:r>
        <w:rPr>
          <w:rFonts w:hint="eastAsia" w:ascii="仿宋" w:hAnsi="仿宋" w:eastAsia="仿宋" w:cs="仿宋"/>
          <w:sz w:val="24"/>
          <w:highlight w:val="none"/>
        </w:rPr>
        <w:t>八、符合特定资格条件（如有）的有关证明材料（复印件）</w:t>
      </w:r>
      <w:r>
        <w:rPr>
          <w:rFonts w:hint="eastAsia" w:ascii="仿宋" w:hAnsi="仿宋" w:eastAsia="仿宋" w:cs="仿宋"/>
          <w:kern w:val="0"/>
          <w:sz w:val="24"/>
          <w:highlight w:val="none"/>
        </w:rPr>
        <w:t>………………………（页码）</w:t>
      </w:r>
    </w:p>
    <w:p w14:paraId="1262470F">
      <w:pPr>
        <w:spacing w:line="360" w:lineRule="auto"/>
        <w:rPr>
          <w:rFonts w:hint="eastAsia" w:ascii="仿宋" w:hAnsi="仿宋" w:eastAsia="仿宋" w:cs="仿宋"/>
          <w:sz w:val="24"/>
          <w:highlight w:val="none"/>
        </w:rPr>
      </w:pPr>
      <w:r>
        <w:rPr>
          <w:rFonts w:hint="eastAsia" w:ascii="仿宋" w:hAnsi="仿宋" w:eastAsia="仿宋" w:cs="仿宋"/>
          <w:sz w:val="24"/>
          <w:highlight w:val="none"/>
        </w:rPr>
        <w:t>九、除磋商文件规定必须提供以外，供应商认为需要提供的其他证明材料</w:t>
      </w:r>
      <w:r>
        <w:rPr>
          <w:rFonts w:hint="eastAsia" w:ascii="仿宋" w:hAnsi="仿宋" w:eastAsia="仿宋" w:cs="仿宋"/>
          <w:kern w:val="0"/>
          <w:sz w:val="24"/>
          <w:highlight w:val="none"/>
        </w:rPr>
        <w:t>………（页码）</w:t>
      </w:r>
    </w:p>
    <w:p w14:paraId="44E70042">
      <w:pPr>
        <w:spacing w:line="360" w:lineRule="auto"/>
        <w:rPr>
          <w:rFonts w:hint="eastAsia" w:ascii="仿宋" w:hAnsi="仿宋" w:eastAsia="仿宋" w:cs="仿宋"/>
          <w:sz w:val="24"/>
          <w:highlight w:val="none"/>
        </w:rPr>
      </w:pPr>
    </w:p>
    <w:p w14:paraId="20A00C12">
      <w:pPr>
        <w:spacing w:line="360" w:lineRule="auto"/>
        <w:rPr>
          <w:rFonts w:hint="eastAsia" w:ascii="仿宋" w:hAnsi="仿宋" w:eastAsia="仿宋" w:cs="仿宋"/>
          <w:b/>
          <w:bCs/>
          <w:sz w:val="24"/>
          <w:highlight w:val="none"/>
        </w:rPr>
      </w:pPr>
      <w:r>
        <w:rPr>
          <w:rFonts w:hint="eastAsia" w:ascii="仿宋" w:hAnsi="仿宋" w:eastAsia="仿宋" w:cs="仿宋"/>
          <w:b/>
          <w:bCs/>
          <w:sz w:val="24"/>
          <w:highlight w:val="none"/>
        </w:rPr>
        <w:t>注：以上目录是编制供应商响应文件的基本格式要求，各供应商可根据自身情况进一步细化。</w:t>
      </w:r>
    </w:p>
    <w:p w14:paraId="53194FB6">
      <w:pPr>
        <w:snapToGrid w:val="0"/>
        <w:spacing w:before="169" w:beforeLines="50" w:after="50" w:line="360" w:lineRule="auto"/>
        <w:ind w:left="142" w:firstLine="420" w:firstLineChars="200"/>
        <w:jc w:val="left"/>
        <w:rPr>
          <w:rFonts w:hint="eastAsia" w:ascii="仿宋" w:hAnsi="仿宋" w:eastAsia="仿宋" w:cs="仿宋"/>
          <w:szCs w:val="21"/>
          <w:highlight w:val="none"/>
        </w:rPr>
      </w:pPr>
    </w:p>
    <w:p w14:paraId="50BCBA52">
      <w:pPr>
        <w:spacing w:line="300" w:lineRule="auto"/>
        <w:rPr>
          <w:rFonts w:hint="eastAsia" w:ascii="仿宋" w:hAnsi="仿宋" w:eastAsia="仿宋" w:cs="仿宋"/>
          <w:szCs w:val="21"/>
          <w:highlight w:val="none"/>
        </w:rPr>
      </w:pPr>
    </w:p>
    <w:p w14:paraId="14A90FF2">
      <w:pPr>
        <w:spacing w:line="300" w:lineRule="auto"/>
        <w:rPr>
          <w:rFonts w:hint="eastAsia" w:ascii="仿宋" w:hAnsi="仿宋" w:eastAsia="仿宋" w:cs="仿宋"/>
          <w:szCs w:val="21"/>
          <w:highlight w:val="none"/>
        </w:rPr>
      </w:pPr>
    </w:p>
    <w:p w14:paraId="6D00E27D">
      <w:pPr>
        <w:spacing w:line="300" w:lineRule="auto"/>
        <w:rPr>
          <w:rFonts w:hint="eastAsia" w:ascii="仿宋" w:hAnsi="仿宋" w:eastAsia="仿宋" w:cs="仿宋"/>
          <w:szCs w:val="21"/>
          <w:highlight w:val="none"/>
        </w:rPr>
      </w:pPr>
    </w:p>
    <w:p w14:paraId="1AD0B697">
      <w:pPr>
        <w:spacing w:line="300" w:lineRule="auto"/>
        <w:rPr>
          <w:rFonts w:hint="eastAsia" w:ascii="仿宋" w:hAnsi="仿宋" w:eastAsia="仿宋" w:cs="仿宋"/>
          <w:szCs w:val="21"/>
          <w:highlight w:val="none"/>
        </w:rPr>
      </w:pPr>
    </w:p>
    <w:p w14:paraId="5A7519E7">
      <w:pPr>
        <w:spacing w:line="300" w:lineRule="auto"/>
        <w:rPr>
          <w:rFonts w:hint="eastAsia" w:ascii="仿宋" w:hAnsi="仿宋" w:eastAsia="仿宋" w:cs="仿宋"/>
          <w:szCs w:val="21"/>
          <w:highlight w:val="none"/>
        </w:rPr>
      </w:pPr>
    </w:p>
    <w:p w14:paraId="1B943A51">
      <w:pPr>
        <w:spacing w:line="300" w:lineRule="auto"/>
        <w:rPr>
          <w:rFonts w:hint="eastAsia" w:ascii="仿宋" w:hAnsi="仿宋" w:eastAsia="仿宋" w:cs="仿宋"/>
          <w:szCs w:val="21"/>
          <w:highlight w:val="none"/>
        </w:rPr>
      </w:pPr>
    </w:p>
    <w:p w14:paraId="5D7D4D77">
      <w:pPr>
        <w:spacing w:line="300" w:lineRule="auto"/>
        <w:rPr>
          <w:rFonts w:hint="eastAsia" w:ascii="仿宋" w:hAnsi="仿宋" w:eastAsia="仿宋" w:cs="仿宋"/>
          <w:szCs w:val="21"/>
          <w:highlight w:val="none"/>
        </w:rPr>
      </w:pPr>
    </w:p>
    <w:p w14:paraId="50D993A9">
      <w:pPr>
        <w:spacing w:line="300" w:lineRule="auto"/>
        <w:rPr>
          <w:rFonts w:hint="eastAsia" w:ascii="仿宋" w:hAnsi="仿宋" w:eastAsia="仿宋" w:cs="仿宋"/>
          <w:szCs w:val="21"/>
          <w:highlight w:val="none"/>
        </w:rPr>
      </w:pPr>
    </w:p>
    <w:p w14:paraId="0CDB15C5">
      <w:pPr>
        <w:spacing w:line="300" w:lineRule="auto"/>
        <w:rPr>
          <w:rFonts w:hint="eastAsia" w:ascii="仿宋" w:hAnsi="仿宋" w:eastAsia="仿宋" w:cs="仿宋"/>
          <w:szCs w:val="21"/>
          <w:highlight w:val="none"/>
        </w:rPr>
      </w:pPr>
    </w:p>
    <w:p w14:paraId="081AFD65">
      <w:pPr>
        <w:spacing w:line="360" w:lineRule="auto"/>
        <w:ind w:firstLine="400" w:firstLineChars="200"/>
        <w:rPr>
          <w:rFonts w:hint="eastAsia" w:ascii="仿宋" w:hAnsi="仿宋" w:eastAsia="仿宋" w:cs="仿宋"/>
          <w:b/>
          <w:kern w:val="0"/>
          <w:sz w:val="30"/>
          <w:szCs w:val="30"/>
          <w:highlight w:val="none"/>
        </w:rPr>
      </w:pPr>
      <w:r>
        <w:rPr>
          <w:rFonts w:hint="eastAsia" w:ascii="仿宋" w:hAnsi="仿宋" w:eastAsia="仿宋" w:cs="仿宋"/>
          <w:kern w:val="0"/>
          <w:sz w:val="20"/>
          <w:szCs w:val="21"/>
          <w:highlight w:val="none"/>
        </w:rPr>
        <w:br w:type="page"/>
      </w:r>
      <w:r>
        <w:rPr>
          <w:rFonts w:hint="eastAsia" w:ascii="仿宋" w:hAnsi="仿宋" w:eastAsia="仿宋" w:cs="仿宋"/>
          <w:b/>
          <w:kern w:val="0"/>
          <w:sz w:val="30"/>
          <w:szCs w:val="30"/>
          <w:highlight w:val="none"/>
        </w:rPr>
        <w:t>一、营业执照(或事业法人登记证或其他工商等登记证明材料)复印件（供应商为自然人的，提供自然人的身份证明）</w:t>
      </w:r>
    </w:p>
    <w:p w14:paraId="1CFEA363">
      <w:pPr>
        <w:spacing w:line="360" w:lineRule="auto"/>
        <w:ind w:firstLine="602" w:firstLineChars="200"/>
        <w:rPr>
          <w:rFonts w:hint="eastAsia" w:ascii="仿宋" w:hAnsi="仿宋" w:eastAsia="仿宋" w:cs="仿宋"/>
          <w:b/>
          <w:kern w:val="0"/>
          <w:sz w:val="30"/>
          <w:szCs w:val="30"/>
          <w:highlight w:val="none"/>
        </w:rPr>
      </w:pPr>
    </w:p>
    <w:p w14:paraId="15B97EA9">
      <w:pPr>
        <w:autoSpaceDE w:val="0"/>
        <w:autoSpaceDN w:val="0"/>
        <w:spacing w:line="360" w:lineRule="auto"/>
        <w:ind w:left="4365" w:leftChars="1850" w:hanging="480" w:hangingChars="200"/>
        <w:rPr>
          <w:rFonts w:hint="eastAsia" w:ascii="仿宋" w:hAnsi="仿宋" w:eastAsia="仿宋" w:cs="仿宋"/>
          <w:kern w:val="0"/>
          <w:sz w:val="24"/>
          <w:highlight w:val="none"/>
        </w:rPr>
      </w:pPr>
      <w:r>
        <w:rPr>
          <w:rFonts w:hint="eastAsia" w:ascii="仿宋" w:hAnsi="仿宋" w:eastAsia="仿宋" w:cs="仿宋"/>
          <w:kern w:val="0"/>
          <w:sz w:val="24"/>
          <w:highlight w:val="none"/>
        </w:rPr>
        <w:t>供应商名称（电子签章）：</w:t>
      </w:r>
    </w:p>
    <w:p w14:paraId="7FA243FA">
      <w:pPr>
        <w:autoSpaceDE w:val="0"/>
        <w:autoSpaceDN w:val="0"/>
        <w:spacing w:line="360" w:lineRule="auto"/>
        <w:ind w:firstLine="6120" w:firstLineChars="2550"/>
        <w:rPr>
          <w:rFonts w:hint="eastAsia" w:ascii="仿宋" w:hAnsi="仿宋" w:eastAsia="仿宋" w:cs="仿宋"/>
          <w:b/>
          <w:bCs/>
          <w:sz w:val="24"/>
          <w:highlight w:val="none"/>
        </w:rPr>
      </w:pPr>
      <w:r>
        <w:rPr>
          <w:rFonts w:hint="eastAsia" w:ascii="仿宋" w:hAnsi="仿宋" w:eastAsia="仿宋" w:cs="仿宋"/>
          <w:kern w:val="0"/>
          <w:sz w:val="24"/>
          <w:highlight w:val="none"/>
          <w:lang w:val="zh-CN"/>
        </w:rPr>
        <w:t>日期：  年  月   日</w:t>
      </w:r>
    </w:p>
    <w:p w14:paraId="2AD1AB78">
      <w:pPr>
        <w:snapToGrid w:val="0"/>
        <w:spacing w:before="169" w:beforeLines="50" w:after="50"/>
        <w:rPr>
          <w:rFonts w:hint="eastAsia" w:ascii="仿宋" w:hAnsi="仿宋" w:eastAsia="仿宋" w:cs="仿宋"/>
          <w:sz w:val="24"/>
          <w:szCs w:val="20"/>
          <w:highlight w:val="none"/>
        </w:rPr>
      </w:pPr>
    </w:p>
    <w:p w14:paraId="2CA96FAC">
      <w:pPr>
        <w:snapToGrid w:val="0"/>
        <w:spacing w:before="169" w:beforeLines="50" w:after="50"/>
        <w:rPr>
          <w:rFonts w:hint="eastAsia" w:ascii="仿宋" w:hAnsi="仿宋" w:eastAsia="仿宋" w:cs="仿宋"/>
          <w:sz w:val="24"/>
          <w:szCs w:val="20"/>
          <w:highlight w:val="none"/>
        </w:rPr>
      </w:pPr>
    </w:p>
    <w:p w14:paraId="6A4BAD4D">
      <w:pPr>
        <w:snapToGrid w:val="0"/>
        <w:spacing w:before="169" w:beforeLines="50" w:after="50"/>
        <w:rPr>
          <w:rFonts w:hint="eastAsia" w:ascii="仿宋" w:hAnsi="仿宋" w:eastAsia="仿宋" w:cs="仿宋"/>
          <w:sz w:val="24"/>
          <w:szCs w:val="20"/>
          <w:highlight w:val="none"/>
        </w:rPr>
      </w:pPr>
    </w:p>
    <w:p w14:paraId="4E18E3AF">
      <w:pPr>
        <w:spacing w:line="360" w:lineRule="auto"/>
        <w:ind w:firstLine="602" w:firstLineChars="200"/>
        <w:rPr>
          <w:rFonts w:hint="eastAsia" w:ascii="仿宋" w:hAnsi="仿宋" w:eastAsia="仿宋" w:cs="仿宋"/>
          <w:b/>
          <w:kern w:val="0"/>
          <w:sz w:val="30"/>
          <w:szCs w:val="30"/>
          <w:highlight w:val="none"/>
        </w:rPr>
      </w:pPr>
      <w:r>
        <w:rPr>
          <w:rFonts w:hint="eastAsia" w:ascii="仿宋" w:hAnsi="仿宋" w:eastAsia="仿宋" w:cs="仿宋"/>
          <w:b/>
          <w:kern w:val="0"/>
          <w:sz w:val="30"/>
          <w:szCs w:val="30"/>
          <w:highlight w:val="none"/>
        </w:rPr>
        <w:t>二、符合参与政府采购活动的资格条件依法缴纳税收、社会保障资金等方面的材料</w:t>
      </w:r>
    </w:p>
    <w:p w14:paraId="744A258A">
      <w:pPr>
        <w:spacing w:line="300" w:lineRule="auto"/>
        <w:rPr>
          <w:rFonts w:hint="eastAsia" w:ascii="仿宋" w:hAnsi="仿宋" w:eastAsia="仿宋" w:cs="仿宋"/>
          <w:szCs w:val="21"/>
          <w:highlight w:val="none"/>
        </w:rPr>
      </w:pPr>
    </w:p>
    <w:p w14:paraId="5DE2F513">
      <w:pPr>
        <w:autoSpaceDE w:val="0"/>
        <w:autoSpaceDN w:val="0"/>
        <w:spacing w:line="360" w:lineRule="auto"/>
        <w:ind w:left="4365" w:leftChars="1850" w:hanging="480" w:hangingChars="200"/>
        <w:rPr>
          <w:rFonts w:hint="eastAsia" w:ascii="仿宋" w:hAnsi="仿宋" w:eastAsia="仿宋" w:cs="仿宋"/>
          <w:kern w:val="0"/>
          <w:sz w:val="24"/>
          <w:highlight w:val="none"/>
        </w:rPr>
      </w:pPr>
      <w:r>
        <w:rPr>
          <w:rFonts w:hint="eastAsia" w:ascii="仿宋" w:hAnsi="仿宋" w:eastAsia="仿宋" w:cs="仿宋"/>
          <w:kern w:val="0"/>
          <w:sz w:val="24"/>
          <w:highlight w:val="none"/>
        </w:rPr>
        <w:t>供应商名称（电子签章）：</w:t>
      </w:r>
    </w:p>
    <w:p w14:paraId="3B4F9CEE">
      <w:pPr>
        <w:autoSpaceDE w:val="0"/>
        <w:autoSpaceDN w:val="0"/>
        <w:spacing w:line="360" w:lineRule="auto"/>
        <w:ind w:firstLine="6120" w:firstLineChars="2550"/>
        <w:rPr>
          <w:rFonts w:hint="eastAsia" w:ascii="仿宋" w:hAnsi="仿宋" w:eastAsia="仿宋" w:cs="仿宋"/>
          <w:b/>
          <w:bCs/>
          <w:sz w:val="24"/>
          <w:highlight w:val="none"/>
        </w:rPr>
      </w:pPr>
      <w:r>
        <w:rPr>
          <w:rFonts w:hint="eastAsia" w:ascii="仿宋" w:hAnsi="仿宋" w:eastAsia="仿宋" w:cs="仿宋"/>
          <w:kern w:val="0"/>
          <w:sz w:val="24"/>
          <w:highlight w:val="none"/>
          <w:lang w:val="zh-CN"/>
        </w:rPr>
        <w:t>日期：  年  月   日</w:t>
      </w:r>
    </w:p>
    <w:p w14:paraId="72212E16">
      <w:pPr>
        <w:spacing w:line="300" w:lineRule="auto"/>
        <w:rPr>
          <w:rFonts w:hint="eastAsia" w:ascii="仿宋" w:hAnsi="仿宋" w:eastAsia="仿宋" w:cs="仿宋"/>
          <w:szCs w:val="21"/>
          <w:highlight w:val="none"/>
        </w:rPr>
      </w:pPr>
    </w:p>
    <w:p w14:paraId="3FE435B2">
      <w:pPr>
        <w:spacing w:line="300" w:lineRule="auto"/>
        <w:rPr>
          <w:rFonts w:hint="eastAsia" w:ascii="仿宋" w:hAnsi="仿宋" w:eastAsia="仿宋" w:cs="仿宋"/>
          <w:szCs w:val="21"/>
          <w:highlight w:val="none"/>
        </w:rPr>
      </w:pPr>
    </w:p>
    <w:p w14:paraId="6BE8A478">
      <w:pPr>
        <w:spacing w:line="300" w:lineRule="auto"/>
        <w:rPr>
          <w:rFonts w:hint="eastAsia" w:ascii="仿宋" w:hAnsi="仿宋" w:eastAsia="仿宋" w:cs="仿宋"/>
          <w:szCs w:val="21"/>
          <w:highlight w:val="none"/>
        </w:rPr>
      </w:pPr>
    </w:p>
    <w:p w14:paraId="32216F67">
      <w:pPr>
        <w:spacing w:line="300" w:lineRule="auto"/>
        <w:rPr>
          <w:rFonts w:hint="eastAsia" w:ascii="仿宋" w:hAnsi="仿宋" w:eastAsia="仿宋" w:cs="仿宋"/>
          <w:szCs w:val="21"/>
          <w:highlight w:val="none"/>
        </w:rPr>
      </w:pPr>
    </w:p>
    <w:p w14:paraId="26A24128">
      <w:pPr>
        <w:spacing w:line="300" w:lineRule="auto"/>
        <w:ind w:firstLine="596" w:firstLineChars="198"/>
        <w:rPr>
          <w:rFonts w:hint="eastAsia" w:ascii="仿宋" w:hAnsi="仿宋" w:eastAsia="仿宋" w:cs="仿宋"/>
          <w:b/>
          <w:kern w:val="0"/>
          <w:sz w:val="30"/>
          <w:szCs w:val="30"/>
          <w:highlight w:val="none"/>
        </w:rPr>
      </w:pPr>
      <w:r>
        <w:rPr>
          <w:rFonts w:hint="eastAsia" w:ascii="仿宋" w:hAnsi="仿宋" w:eastAsia="仿宋" w:cs="仿宋"/>
          <w:b/>
          <w:kern w:val="0"/>
          <w:sz w:val="30"/>
          <w:szCs w:val="30"/>
          <w:highlight w:val="none"/>
        </w:rPr>
        <w:t>三、财务状况报告方面的材料</w:t>
      </w:r>
    </w:p>
    <w:p w14:paraId="7FEA69DB">
      <w:pPr>
        <w:spacing w:line="300" w:lineRule="auto"/>
        <w:rPr>
          <w:rFonts w:hint="eastAsia" w:ascii="仿宋" w:hAnsi="仿宋" w:eastAsia="仿宋" w:cs="仿宋"/>
          <w:szCs w:val="21"/>
          <w:highlight w:val="none"/>
        </w:rPr>
      </w:pPr>
    </w:p>
    <w:p w14:paraId="09F3CFC4">
      <w:pPr>
        <w:autoSpaceDE w:val="0"/>
        <w:autoSpaceDN w:val="0"/>
        <w:spacing w:line="360" w:lineRule="auto"/>
        <w:ind w:left="4365" w:leftChars="1850" w:hanging="480" w:hangingChars="200"/>
        <w:rPr>
          <w:rFonts w:hint="eastAsia" w:ascii="仿宋" w:hAnsi="仿宋" w:eastAsia="仿宋" w:cs="仿宋"/>
          <w:kern w:val="0"/>
          <w:sz w:val="24"/>
          <w:highlight w:val="none"/>
        </w:rPr>
      </w:pPr>
      <w:r>
        <w:rPr>
          <w:rFonts w:hint="eastAsia" w:ascii="仿宋" w:hAnsi="仿宋" w:eastAsia="仿宋" w:cs="仿宋"/>
          <w:kern w:val="0"/>
          <w:sz w:val="24"/>
          <w:highlight w:val="none"/>
        </w:rPr>
        <w:t>供应商名称（电子签章）：</w:t>
      </w:r>
    </w:p>
    <w:p w14:paraId="63DCA9C5">
      <w:pPr>
        <w:autoSpaceDE w:val="0"/>
        <w:autoSpaceDN w:val="0"/>
        <w:spacing w:line="360" w:lineRule="auto"/>
        <w:ind w:firstLine="6120" w:firstLineChars="2550"/>
        <w:rPr>
          <w:rFonts w:hint="eastAsia" w:ascii="仿宋" w:hAnsi="仿宋" w:eastAsia="仿宋" w:cs="仿宋"/>
          <w:b/>
          <w:bCs/>
          <w:sz w:val="24"/>
          <w:highlight w:val="none"/>
        </w:rPr>
      </w:pPr>
      <w:r>
        <w:rPr>
          <w:rFonts w:hint="eastAsia" w:ascii="仿宋" w:hAnsi="仿宋" w:eastAsia="仿宋" w:cs="仿宋"/>
          <w:kern w:val="0"/>
          <w:sz w:val="24"/>
          <w:highlight w:val="none"/>
          <w:lang w:val="zh-CN"/>
        </w:rPr>
        <w:t>日期：  年  月   日</w:t>
      </w:r>
    </w:p>
    <w:p w14:paraId="6E222420">
      <w:pPr>
        <w:snapToGrid w:val="0"/>
        <w:spacing w:before="169" w:beforeLines="50" w:after="50" w:line="360" w:lineRule="auto"/>
        <w:rPr>
          <w:rFonts w:hint="eastAsia" w:ascii="仿宋" w:hAnsi="仿宋" w:eastAsia="仿宋" w:cs="仿宋"/>
          <w:b/>
          <w:sz w:val="24"/>
          <w:highlight w:val="none"/>
        </w:rPr>
      </w:pPr>
    </w:p>
    <w:p w14:paraId="0BF89119">
      <w:pPr>
        <w:snapToGrid w:val="0"/>
        <w:spacing w:before="169" w:beforeLines="50" w:after="50" w:line="360" w:lineRule="auto"/>
        <w:rPr>
          <w:rFonts w:hint="eastAsia" w:ascii="仿宋" w:hAnsi="仿宋" w:eastAsia="仿宋" w:cs="仿宋"/>
          <w:b/>
          <w:sz w:val="24"/>
          <w:highlight w:val="none"/>
        </w:rPr>
      </w:pPr>
    </w:p>
    <w:p w14:paraId="084C3F6D">
      <w:pPr>
        <w:snapToGrid w:val="0"/>
        <w:spacing w:before="169" w:beforeLines="50" w:after="50" w:line="360" w:lineRule="auto"/>
        <w:rPr>
          <w:rFonts w:hint="eastAsia" w:ascii="仿宋" w:hAnsi="仿宋" w:eastAsia="仿宋" w:cs="仿宋"/>
          <w:b/>
          <w:sz w:val="24"/>
          <w:highlight w:val="none"/>
        </w:rPr>
      </w:pPr>
    </w:p>
    <w:p w14:paraId="711D332A">
      <w:pPr>
        <w:snapToGrid w:val="0"/>
        <w:spacing w:before="169" w:beforeLines="50" w:after="50" w:line="360" w:lineRule="auto"/>
        <w:rPr>
          <w:rFonts w:hint="eastAsia" w:ascii="仿宋" w:hAnsi="仿宋" w:eastAsia="仿宋" w:cs="仿宋"/>
          <w:b/>
          <w:sz w:val="24"/>
          <w:highlight w:val="none"/>
        </w:rPr>
      </w:pPr>
    </w:p>
    <w:p w14:paraId="34780238">
      <w:pPr>
        <w:spacing w:line="360" w:lineRule="auto"/>
        <w:ind w:firstLine="596" w:firstLineChars="198"/>
        <w:contextualSpacing/>
        <w:rPr>
          <w:rFonts w:hint="eastAsia" w:ascii="仿宋" w:hAnsi="仿宋" w:eastAsia="仿宋" w:cs="仿宋"/>
          <w:b/>
          <w:kern w:val="0"/>
          <w:sz w:val="30"/>
          <w:szCs w:val="30"/>
          <w:highlight w:val="none"/>
        </w:rPr>
      </w:pPr>
      <w:r>
        <w:rPr>
          <w:rFonts w:hint="eastAsia" w:ascii="仿宋" w:hAnsi="仿宋" w:eastAsia="仿宋" w:cs="仿宋"/>
          <w:b/>
          <w:kern w:val="0"/>
          <w:sz w:val="30"/>
          <w:szCs w:val="30"/>
          <w:highlight w:val="none"/>
        </w:rPr>
        <w:t>四、供应商直接控股股东信息</w:t>
      </w:r>
    </w:p>
    <w:p w14:paraId="46DF2767">
      <w:pPr>
        <w:spacing w:line="360" w:lineRule="auto"/>
        <w:contextualSpacing/>
        <w:jc w:val="center"/>
        <w:rPr>
          <w:rFonts w:hint="eastAsia" w:ascii="仿宋" w:hAnsi="仿宋" w:eastAsia="仿宋" w:cs="仿宋"/>
          <w:b/>
          <w:sz w:val="24"/>
          <w:highlight w:val="none"/>
        </w:rPr>
      </w:pPr>
    </w:p>
    <w:tbl>
      <w:tblPr>
        <w:tblStyle w:val="31"/>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3DB25744">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BCDFA7B">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b/>
                <w:bCs/>
                <w:kern w:val="0"/>
                <w:sz w:val="24"/>
                <w:highlight w:val="none"/>
              </w:rPr>
            </w:pPr>
            <w:r>
              <w:rPr>
                <w:rFonts w:hint="eastAsia" w:ascii="仿宋" w:hAnsi="仿宋" w:eastAsia="仿宋" w:cs="仿宋"/>
                <w:b/>
                <w:bCs/>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AFD9832">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b/>
                <w:bCs/>
                <w:kern w:val="0"/>
                <w:sz w:val="24"/>
                <w:highlight w:val="none"/>
              </w:rPr>
            </w:pPr>
            <w:r>
              <w:rPr>
                <w:rFonts w:hint="eastAsia" w:ascii="仿宋" w:hAnsi="仿宋" w:eastAsia="仿宋" w:cs="仿宋"/>
                <w:b/>
                <w:bCs/>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81F28EA">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b/>
                <w:bCs/>
                <w:kern w:val="0"/>
                <w:sz w:val="24"/>
                <w:highlight w:val="none"/>
              </w:rPr>
            </w:pPr>
            <w:r>
              <w:rPr>
                <w:rFonts w:hint="eastAsia" w:ascii="仿宋" w:hAnsi="仿宋" w:eastAsia="仿宋" w:cs="仿宋"/>
                <w:b/>
                <w:bCs/>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BA6887F">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b/>
                <w:bCs/>
                <w:kern w:val="0"/>
                <w:sz w:val="24"/>
                <w:highlight w:val="none"/>
              </w:rPr>
            </w:pPr>
            <w:r>
              <w:rPr>
                <w:rFonts w:hint="eastAsia" w:ascii="仿宋" w:hAnsi="仿宋" w:eastAsia="仿宋" w:cs="仿宋"/>
                <w:b/>
                <w:bCs/>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E4601DF">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b/>
                <w:bCs/>
                <w:kern w:val="0"/>
                <w:sz w:val="24"/>
                <w:highlight w:val="none"/>
              </w:rPr>
            </w:pPr>
            <w:r>
              <w:rPr>
                <w:rFonts w:hint="eastAsia" w:ascii="仿宋" w:hAnsi="仿宋" w:eastAsia="仿宋" w:cs="仿宋"/>
                <w:b/>
                <w:bCs/>
                <w:kern w:val="0"/>
                <w:sz w:val="24"/>
                <w:highlight w:val="none"/>
              </w:rPr>
              <w:t>备注</w:t>
            </w:r>
          </w:p>
        </w:tc>
      </w:tr>
      <w:tr w14:paraId="18E649CB">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83E86C7">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E8595CF">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E360C1F">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29357F0">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6870010">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r>
      <w:tr w14:paraId="415FCCD2">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92444E6">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169068E">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B1BA23E">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F486E12">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960D32A">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r>
      <w:tr w14:paraId="267190F4">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8C9C895">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C1A9A3B">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99B4F26">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E4089C1">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7B29CAA">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r>
      <w:tr w14:paraId="7B9C0CFF">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2612B76">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33A74C5">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9C9B510">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C0A4B00">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6AB0F4D">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r>
    </w:tbl>
    <w:p w14:paraId="0E040B9B">
      <w:pPr>
        <w:spacing w:line="360" w:lineRule="auto"/>
        <w:contextualSpacing/>
        <w:jc w:val="left"/>
        <w:rPr>
          <w:rFonts w:hint="eastAsia" w:ascii="仿宋" w:hAnsi="仿宋" w:eastAsia="仿宋" w:cs="仿宋"/>
          <w:kern w:val="0"/>
          <w:sz w:val="24"/>
          <w:highlight w:val="none"/>
        </w:rPr>
      </w:pPr>
    </w:p>
    <w:p w14:paraId="21AB4DA0">
      <w:pPr>
        <w:spacing w:line="360" w:lineRule="auto"/>
        <w:contextualSpacing/>
        <w:jc w:val="left"/>
        <w:rPr>
          <w:rFonts w:hint="eastAsia" w:ascii="仿宋" w:hAnsi="仿宋" w:eastAsia="仿宋" w:cs="仿宋"/>
          <w:kern w:val="0"/>
          <w:sz w:val="24"/>
          <w:highlight w:val="none"/>
        </w:rPr>
      </w:pPr>
      <w:r>
        <w:rPr>
          <w:rFonts w:hint="eastAsia" w:ascii="仿宋" w:hAnsi="仿宋" w:eastAsia="仿宋" w:cs="仿宋"/>
          <w:kern w:val="0"/>
          <w:sz w:val="24"/>
          <w:highlight w:val="none"/>
        </w:rPr>
        <w:t>注：</w:t>
      </w:r>
    </w:p>
    <w:p w14:paraId="1A48353B">
      <w:pPr>
        <w:spacing w:line="360" w:lineRule="auto"/>
        <w:ind w:firstLine="480" w:firstLineChars="200"/>
        <w:contextualSpacing/>
        <w:jc w:val="left"/>
        <w:rPr>
          <w:rFonts w:hint="eastAsia" w:ascii="仿宋" w:hAnsi="仿宋" w:eastAsia="仿宋" w:cs="仿宋"/>
          <w:kern w:val="0"/>
          <w:sz w:val="24"/>
          <w:highlight w:val="none"/>
        </w:rPr>
      </w:pPr>
      <w:r>
        <w:rPr>
          <w:rFonts w:hint="eastAsia" w:ascii="仿宋" w:hAnsi="仿宋" w:eastAsia="仿宋" w:cs="仿宋"/>
          <w:ker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7373CC6">
      <w:pPr>
        <w:spacing w:line="360" w:lineRule="auto"/>
        <w:ind w:firstLine="480" w:firstLineChars="200"/>
        <w:contextualSpacing/>
        <w:jc w:val="left"/>
        <w:rPr>
          <w:rFonts w:hint="eastAsia" w:ascii="仿宋" w:hAnsi="仿宋" w:eastAsia="仿宋" w:cs="仿宋"/>
          <w:kern w:val="0"/>
          <w:sz w:val="24"/>
          <w:highlight w:val="none"/>
        </w:rPr>
      </w:pPr>
      <w:r>
        <w:rPr>
          <w:rFonts w:hint="eastAsia" w:ascii="仿宋" w:hAnsi="仿宋" w:eastAsia="仿宋" w:cs="仿宋"/>
          <w:kern w:val="0"/>
          <w:sz w:val="24"/>
          <w:highlight w:val="none"/>
        </w:rPr>
        <w:t>2.本表所指的控股关系仅限于直接控股关系，不包括间接的控股关系。公司实际控制人与公司之间的关系不属于本表所指的直接控股关系。</w:t>
      </w:r>
    </w:p>
    <w:p w14:paraId="37860FE8">
      <w:pPr>
        <w:spacing w:line="360" w:lineRule="auto"/>
        <w:ind w:firstLine="480" w:firstLineChars="200"/>
        <w:contextualSpacing/>
        <w:jc w:val="left"/>
        <w:rPr>
          <w:rFonts w:hint="eastAsia" w:ascii="仿宋" w:hAnsi="仿宋" w:eastAsia="仿宋" w:cs="仿宋"/>
          <w:kern w:val="0"/>
          <w:sz w:val="24"/>
          <w:highlight w:val="none"/>
        </w:rPr>
      </w:pPr>
      <w:r>
        <w:rPr>
          <w:rFonts w:hint="eastAsia" w:ascii="仿宋" w:hAnsi="仿宋" w:eastAsia="仿宋" w:cs="仿宋"/>
          <w:kern w:val="0"/>
          <w:sz w:val="24"/>
          <w:highlight w:val="none"/>
        </w:rPr>
        <w:t>3.供应商不存在直接控股股东的，则填“无”。</w:t>
      </w:r>
    </w:p>
    <w:p w14:paraId="50FE5594">
      <w:pPr>
        <w:snapToGrid w:val="0"/>
        <w:spacing w:line="360" w:lineRule="auto"/>
        <w:jc w:val="left"/>
        <w:rPr>
          <w:rFonts w:hint="eastAsia" w:ascii="仿宋" w:hAnsi="仿宋" w:eastAsia="仿宋" w:cs="仿宋"/>
          <w:sz w:val="24"/>
          <w:highlight w:val="none"/>
        </w:rPr>
      </w:pPr>
    </w:p>
    <w:p w14:paraId="00AEECFB">
      <w:pPr>
        <w:snapToGrid w:val="0"/>
        <w:spacing w:line="360" w:lineRule="auto"/>
        <w:jc w:val="left"/>
        <w:rPr>
          <w:rFonts w:hint="eastAsia" w:ascii="仿宋" w:hAnsi="仿宋" w:eastAsia="仿宋" w:cs="仿宋"/>
          <w:sz w:val="24"/>
          <w:highlight w:val="none"/>
        </w:rPr>
      </w:pPr>
    </w:p>
    <w:p w14:paraId="348A995B">
      <w:pPr>
        <w:autoSpaceDE w:val="0"/>
        <w:autoSpaceDN w:val="0"/>
        <w:spacing w:line="360" w:lineRule="auto"/>
        <w:ind w:left="4365" w:leftChars="1850" w:hanging="480" w:hangingChars="200"/>
        <w:rPr>
          <w:rFonts w:hint="eastAsia" w:ascii="仿宋" w:hAnsi="仿宋" w:eastAsia="仿宋" w:cs="仿宋"/>
          <w:kern w:val="0"/>
          <w:sz w:val="24"/>
          <w:highlight w:val="none"/>
        </w:rPr>
      </w:pPr>
      <w:r>
        <w:rPr>
          <w:rFonts w:hint="eastAsia" w:ascii="仿宋" w:hAnsi="仿宋" w:eastAsia="仿宋" w:cs="仿宋"/>
          <w:kern w:val="0"/>
          <w:sz w:val="24"/>
          <w:highlight w:val="none"/>
        </w:rPr>
        <w:t>供应商名称（电子签章）：</w:t>
      </w:r>
    </w:p>
    <w:p w14:paraId="3A9723CF">
      <w:pPr>
        <w:autoSpaceDE w:val="0"/>
        <w:autoSpaceDN w:val="0"/>
        <w:spacing w:line="360" w:lineRule="auto"/>
        <w:ind w:firstLine="6120" w:firstLineChars="255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日期：  年  月   日</w:t>
      </w:r>
    </w:p>
    <w:p w14:paraId="185C5B31">
      <w:pPr>
        <w:autoSpaceDE w:val="0"/>
        <w:autoSpaceDN w:val="0"/>
        <w:spacing w:line="360" w:lineRule="auto"/>
        <w:ind w:firstLine="6120" w:firstLineChars="2550"/>
        <w:rPr>
          <w:rFonts w:hint="eastAsia" w:ascii="仿宋" w:hAnsi="仿宋" w:eastAsia="仿宋" w:cs="仿宋"/>
          <w:kern w:val="0"/>
          <w:sz w:val="24"/>
          <w:highlight w:val="none"/>
          <w:lang w:val="zh-CN"/>
        </w:rPr>
      </w:pPr>
    </w:p>
    <w:p w14:paraId="365C5B38">
      <w:pPr>
        <w:autoSpaceDE w:val="0"/>
        <w:autoSpaceDN w:val="0"/>
        <w:spacing w:line="360" w:lineRule="auto"/>
        <w:ind w:firstLine="6120" w:firstLineChars="2550"/>
        <w:rPr>
          <w:rFonts w:hint="eastAsia" w:ascii="仿宋" w:hAnsi="仿宋" w:eastAsia="仿宋" w:cs="仿宋"/>
          <w:kern w:val="0"/>
          <w:sz w:val="24"/>
          <w:highlight w:val="none"/>
          <w:lang w:val="zh-CN"/>
        </w:rPr>
      </w:pPr>
    </w:p>
    <w:p w14:paraId="263D7B04">
      <w:pPr>
        <w:autoSpaceDE w:val="0"/>
        <w:autoSpaceDN w:val="0"/>
        <w:spacing w:line="360" w:lineRule="auto"/>
        <w:ind w:firstLine="6120" w:firstLineChars="2550"/>
        <w:rPr>
          <w:rFonts w:hint="eastAsia" w:ascii="仿宋" w:hAnsi="仿宋" w:eastAsia="仿宋" w:cs="仿宋"/>
          <w:kern w:val="0"/>
          <w:sz w:val="24"/>
          <w:highlight w:val="none"/>
          <w:lang w:val="zh-CN"/>
        </w:rPr>
      </w:pPr>
    </w:p>
    <w:p w14:paraId="013B0B47">
      <w:pPr>
        <w:autoSpaceDE w:val="0"/>
        <w:autoSpaceDN w:val="0"/>
        <w:spacing w:line="360" w:lineRule="auto"/>
        <w:ind w:firstLine="6120" w:firstLineChars="2550"/>
        <w:rPr>
          <w:rFonts w:hint="eastAsia" w:ascii="仿宋" w:hAnsi="仿宋" w:eastAsia="仿宋" w:cs="仿宋"/>
          <w:kern w:val="0"/>
          <w:sz w:val="24"/>
          <w:highlight w:val="none"/>
          <w:lang w:val="zh-CN"/>
        </w:rPr>
      </w:pPr>
    </w:p>
    <w:p w14:paraId="606864ED">
      <w:pPr>
        <w:snapToGrid w:val="0"/>
        <w:rPr>
          <w:rFonts w:hint="eastAsia" w:ascii="仿宋" w:hAnsi="仿宋" w:eastAsia="仿宋" w:cs="仿宋"/>
          <w:b/>
          <w:kern w:val="0"/>
          <w:sz w:val="30"/>
          <w:szCs w:val="30"/>
          <w:highlight w:val="none"/>
        </w:rPr>
      </w:pPr>
    </w:p>
    <w:p w14:paraId="353ADD90">
      <w:pPr>
        <w:snapToGrid w:val="0"/>
        <w:ind w:firstLine="596" w:firstLineChars="198"/>
        <w:rPr>
          <w:rFonts w:hint="eastAsia" w:ascii="仿宋" w:hAnsi="仿宋" w:eastAsia="仿宋" w:cs="仿宋"/>
          <w:b/>
          <w:kern w:val="0"/>
          <w:sz w:val="30"/>
          <w:szCs w:val="30"/>
          <w:highlight w:val="none"/>
        </w:rPr>
      </w:pPr>
      <w:r>
        <w:rPr>
          <w:rFonts w:hint="eastAsia" w:ascii="仿宋" w:hAnsi="仿宋" w:eastAsia="仿宋" w:cs="仿宋"/>
          <w:b/>
          <w:kern w:val="0"/>
          <w:sz w:val="30"/>
          <w:szCs w:val="30"/>
          <w:highlight w:val="none"/>
        </w:rPr>
        <w:t>五、供应商直接管理关系信息表</w:t>
      </w:r>
    </w:p>
    <w:p w14:paraId="38644850">
      <w:pPr>
        <w:snapToGrid w:val="0"/>
        <w:spacing w:line="360" w:lineRule="auto"/>
        <w:jc w:val="center"/>
        <w:rPr>
          <w:rFonts w:hint="eastAsia" w:ascii="仿宋" w:hAnsi="仿宋" w:eastAsia="仿宋" w:cs="仿宋"/>
          <w:b/>
          <w:sz w:val="24"/>
          <w:highlight w:val="none"/>
        </w:rPr>
      </w:pPr>
    </w:p>
    <w:tbl>
      <w:tblPr>
        <w:tblStyle w:val="31"/>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50605C8B">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577F669">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b/>
                <w:bCs/>
                <w:kern w:val="0"/>
                <w:sz w:val="24"/>
                <w:highlight w:val="none"/>
              </w:rPr>
            </w:pPr>
            <w:r>
              <w:rPr>
                <w:rFonts w:hint="eastAsia" w:ascii="仿宋" w:hAnsi="仿宋" w:eastAsia="仿宋" w:cs="仿宋"/>
                <w:b/>
                <w:bCs/>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480397D">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b/>
                <w:bCs/>
                <w:kern w:val="0"/>
                <w:sz w:val="24"/>
                <w:highlight w:val="none"/>
              </w:rPr>
            </w:pPr>
            <w:r>
              <w:rPr>
                <w:rFonts w:hint="eastAsia" w:ascii="仿宋" w:hAnsi="仿宋" w:eastAsia="仿宋" w:cs="仿宋"/>
                <w:b/>
                <w:bCs/>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4104332">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b/>
                <w:bCs/>
                <w:kern w:val="0"/>
                <w:sz w:val="24"/>
                <w:highlight w:val="none"/>
              </w:rPr>
            </w:pPr>
            <w:r>
              <w:rPr>
                <w:rFonts w:hint="eastAsia" w:ascii="仿宋" w:hAnsi="仿宋" w:eastAsia="仿宋" w:cs="仿宋"/>
                <w:b/>
                <w:bCs/>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015E990">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b/>
                <w:bCs/>
                <w:kern w:val="0"/>
                <w:sz w:val="24"/>
                <w:highlight w:val="none"/>
              </w:rPr>
            </w:pPr>
            <w:r>
              <w:rPr>
                <w:rFonts w:hint="eastAsia" w:ascii="仿宋" w:hAnsi="仿宋" w:eastAsia="仿宋" w:cs="仿宋"/>
                <w:b/>
                <w:bCs/>
                <w:kern w:val="0"/>
                <w:sz w:val="24"/>
                <w:highlight w:val="none"/>
              </w:rPr>
              <w:t>备注</w:t>
            </w:r>
          </w:p>
        </w:tc>
      </w:tr>
      <w:tr w14:paraId="74E7B5D2">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EB4A87C">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7362255">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269C025">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21500AE">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r>
      <w:tr w14:paraId="7A504150">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45550DA">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0690025">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1CB512C">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BF957D5">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r>
      <w:tr w14:paraId="66A481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A2E398E">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D7B7424">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678CFB3">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56FBD88">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r>
      <w:tr w14:paraId="44C728A7">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9033AF4">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418F581">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55F8F21">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CE59778">
            <w:pPr>
              <w:keepNext w:val="0"/>
              <w:keepLines w:val="0"/>
              <w:widowControl/>
              <w:suppressLineNumbers w:val="0"/>
              <w:spacing w:before="0" w:beforeAutospacing="0" w:after="0" w:afterAutospacing="0" w:line="360" w:lineRule="auto"/>
              <w:ind w:left="0" w:right="0"/>
              <w:contextualSpacing/>
              <w:jc w:val="center"/>
              <w:rPr>
                <w:rFonts w:hint="eastAsia" w:ascii="仿宋" w:hAnsi="仿宋" w:eastAsia="仿宋" w:cs="仿宋"/>
                <w:kern w:val="0"/>
                <w:sz w:val="24"/>
                <w:highlight w:val="none"/>
              </w:rPr>
            </w:pPr>
          </w:p>
        </w:tc>
      </w:tr>
    </w:tbl>
    <w:p w14:paraId="1185958A">
      <w:pPr>
        <w:spacing w:line="360" w:lineRule="auto"/>
        <w:ind w:firstLine="480" w:firstLineChars="200"/>
        <w:contextualSpacing/>
        <w:jc w:val="left"/>
        <w:rPr>
          <w:rFonts w:hint="eastAsia" w:ascii="仿宋" w:hAnsi="仿宋" w:eastAsia="仿宋" w:cs="仿宋"/>
          <w:kern w:val="0"/>
          <w:sz w:val="24"/>
          <w:highlight w:val="none"/>
        </w:rPr>
      </w:pPr>
      <w:r>
        <w:rPr>
          <w:rFonts w:hint="eastAsia" w:ascii="仿宋" w:hAnsi="仿宋" w:eastAsia="仿宋" w:cs="仿宋"/>
          <w:kern w:val="0"/>
          <w:sz w:val="24"/>
          <w:highlight w:val="none"/>
        </w:rPr>
        <w:t>注：</w:t>
      </w:r>
    </w:p>
    <w:p w14:paraId="1585A9CE">
      <w:pPr>
        <w:spacing w:line="360" w:lineRule="auto"/>
        <w:ind w:firstLine="480" w:firstLineChars="200"/>
        <w:contextualSpacing/>
        <w:jc w:val="left"/>
        <w:rPr>
          <w:rFonts w:hint="eastAsia" w:ascii="仿宋" w:hAnsi="仿宋" w:eastAsia="仿宋" w:cs="仿宋"/>
          <w:kern w:val="0"/>
          <w:sz w:val="24"/>
          <w:highlight w:val="none"/>
        </w:rPr>
      </w:pPr>
      <w:r>
        <w:rPr>
          <w:rFonts w:hint="eastAsia" w:ascii="仿宋" w:hAnsi="仿宋" w:eastAsia="仿宋" w:cs="仿宋"/>
          <w:kern w:val="0"/>
          <w:sz w:val="24"/>
          <w:highlight w:val="none"/>
        </w:rPr>
        <w:t>1.管理关系：是指不具有出资持股关系的其他单位之间存在的管理与被管理关系，如一些上下级关系的事业单位和团体组织。</w:t>
      </w:r>
    </w:p>
    <w:p w14:paraId="75EF8E2C">
      <w:pPr>
        <w:spacing w:line="360" w:lineRule="auto"/>
        <w:ind w:firstLine="480" w:firstLineChars="200"/>
        <w:contextualSpacing/>
        <w:jc w:val="left"/>
        <w:rPr>
          <w:rFonts w:hint="eastAsia" w:ascii="仿宋" w:hAnsi="仿宋" w:eastAsia="仿宋" w:cs="仿宋"/>
          <w:kern w:val="0"/>
          <w:sz w:val="24"/>
          <w:highlight w:val="none"/>
        </w:rPr>
      </w:pPr>
      <w:r>
        <w:rPr>
          <w:rFonts w:hint="eastAsia" w:ascii="仿宋" w:hAnsi="仿宋" w:eastAsia="仿宋" w:cs="仿宋"/>
          <w:kern w:val="0"/>
          <w:sz w:val="24"/>
          <w:highlight w:val="none"/>
        </w:rPr>
        <w:t>2.本表所指的管理关系仅限于直接管理关系，不包括间接的管理关系。</w:t>
      </w:r>
    </w:p>
    <w:p w14:paraId="125EC2EF">
      <w:pPr>
        <w:spacing w:line="360" w:lineRule="auto"/>
        <w:ind w:firstLine="480" w:firstLineChars="200"/>
        <w:contextualSpacing/>
        <w:jc w:val="left"/>
        <w:rPr>
          <w:rFonts w:hint="eastAsia" w:ascii="仿宋" w:hAnsi="仿宋" w:eastAsia="仿宋" w:cs="仿宋"/>
          <w:kern w:val="0"/>
          <w:sz w:val="24"/>
          <w:highlight w:val="none"/>
        </w:rPr>
      </w:pPr>
      <w:r>
        <w:rPr>
          <w:rFonts w:hint="eastAsia" w:ascii="仿宋" w:hAnsi="仿宋" w:eastAsia="仿宋" w:cs="仿宋"/>
          <w:kern w:val="0"/>
          <w:sz w:val="24"/>
          <w:highlight w:val="none"/>
        </w:rPr>
        <w:t>3.供应商不存在直接管理关系的，则填“无”。</w:t>
      </w:r>
    </w:p>
    <w:p w14:paraId="2465A8DC">
      <w:pPr>
        <w:spacing w:line="360" w:lineRule="auto"/>
        <w:contextualSpacing/>
        <w:jc w:val="left"/>
        <w:rPr>
          <w:rFonts w:hint="eastAsia" w:ascii="仿宋" w:hAnsi="仿宋" w:eastAsia="仿宋" w:cs="仿宋"/>
          <w:sz w:val="24"/>
          <w:highlight w:val="none"/>
        </w:rPr>
      </w:pPr>
    </w:p>
    <w:p w14:paraId="01D7A7EA">
      <w:pPr>
        <w:autoSpaceDE w:val="0"/>
        <w:autoSpaceDN w:val="0"/>
        <w:spacing w:line="360" w:lineRule="auto"/>
        <w:ind w:left="4365" w:leftChars="1850" w:hanging="480" w:hangingChars="200"/>
        <w:rPr>
          <w:rFonts w:hint="eastAsia" w:ascii="仿宋" w:hAnsi="仿宋" w:eastAsia="仿宋" w:cs="仿宋"/>
          <w:kern w:val="0"/>
          <w:sz w:val="24"/>
          <w:highlight w:val="none"/>
        </w:rPr>
      </w:pPr>
      <w:r>
        <w:rPr>
          <w:rFonts w:hint="eastAsia" w:ascii="仿宋" w:hAnsi="仿宋" w:eastAsia="仿宋" w:cs="仿宋"/>
          <w:kern w:val="0"/>
          <w:sz w:val="24"/>
          <w:highlight w:val="none"/>
        </w:rPr>
        <w:t>供应商名称（电子签章）：</w:t>
      </w:r>
    </w:p>
    <w:p w14:paraId="1A9CBFE9">
      <w:pPr>
        <w:autoSpaceDE w:val="0"/>
        <w:autoSpaceDN w:val="0"/>
        <w:spacing w:line="360" w:lineRule="auto"/>
        <w:ind w:firstLine="6120" w:firstLineChars="2550"/>
        <w:rPr>
          <w:rFonts w:hint="eastAsia" w:ascii="仿宋" w:hAnsi="仿宋" w:eastAsia="仿宋" w:cs="仿宋"/>
          <w:sz w:val="28"/>
          <w:szCs w:val="28"/>
          <w:highlight w:val="none"/>
        </w:rPr>
      </w:pPr>
      <w:r>
        <w:rPr>
          <w:rFonts w:hint="eastAsia" w:ascii="仿宋" w:hAnsi="仿宋" w:eastAsia="仿宋" w:cs="仿宋"/>
          <w:kern w:val="0"/>
          <w:sz w:val="24"/>
          <w:highlight w:val="none"/>
          <w:lang w:val="zh-CN"/>
        </w:rPr>
        <w:t>日期：  年  月   日</w:t>
      </w:r>
      <w:r>
        <w:rPr>
          <w:rFonts w:hint="eastAsia" w:ascii="仿宋" w:hAnsi="仿宋" w:eastAsia="仿宋" w:cs="仿宋"/>
          <w:sz w:val="28"/>
          <w:szCs w:val="28"/>
          <w:highlight w:val="none"/>
        </w:rPr>
        <w:br w:type="page"/>
      </w:r>
      <w:r>
        <w:rPr>
          <w:rFonts w:hint="eastAsia" w:ascii="仿宋" w:hAnsi="仿宋" w:eastAsia="仿宋" w:cs="仿宋"/>
          <w:b/>
          <w:kern w:val="0"/>
          <w:sz w:val="30"/>
          <w:szCs w:val="30"/>
          <w:highlight w:val="none"/>
        </w:rPr>
        <w:t>六、资格声明函</w:t>
      </w:r>
    </w:p>
    <w:p w14:paraId="72BF8AE0">
      <w:pPr>
        <w:spacing w:line="320" w:lineRule="exact"/>
        <w:jc w:val="center"/>
        <w:rPr>
          <w:rFonts w:hint="eastAsia" w:ascii="仿宋" w:hAnsi="仿宋" w:eastAsia="仿宋" w:cs="仿宋"/>
          <w:b/>
          <w:sz w:val="32"/>
          <w:szCs w:val="32"/>
          <w:highlight w:val="none"/>
        </w:rPr>
      </w:pPr>
    </w:p>
    <w:p w14:paraId="14EA15B5">
      <w:pPr>
        <w:spacing w:line="320" w:lineRule="exact"/>
        <w:jc w:val="center"/>
        <w:rPr>
          <w:rFonts w:hint="eastAsia" w:ascii="仿宋" w:hAnsi="仿宋" w:eastAsia="仿宋" w:cs="仿宋"/>
          <w:b/>
          <w:sz w:val="32"/>
          <w:szCs w:val="32"/>
          <w:highlight w:val="none"/>
        </w:rPr>
      </w:pPr>
      <w:r>
        <w:rPr>
          <w:rFonts w:hint="eastAsia" w:ascii="仿宋" w:hAnsi="仿宋" w:eastAsia="仿宋" w:cs="仿宋"/>
          <w:b/>
          <w:sz w:val="32"/>
          <w:szCs w:val="32"/>
          <w:highlight w:val="none"/>
        </w:rPr>
        <w:t>资格声明函</w:t>
      </w:r>
    </w:p>
    <w:p w14:paraId="3850500E">
      <w:pPr>
        <w:spacing w:line="320" w:lineRule="exact"/>
        <w:jc w:val="center"/>
        <w:rPr>
          <w:rFonts w:hint="eastAsia" w:ascii="仿宋" w:hAnsi="仿宋" w:eastAsia="仿宋" w:cs="仿宋"/>
          <w:sz w:val="24"/>
          <w:szCs w:val="20"/>
          <w:highlight w:val="none"/>
        </w:rPr>
      </w:pPr>
    </w:p>
    <w:p w14:paraId="4ECD5985">
      <w:pPr>
        <w:spacing w:line="360" w:lineRule="auto"/>
        <w:contextualSpacing/>
        <w:rPr>
          <w:rFonts w:hint="eastAsia" w:ascii="仿宋" w:hAnsi="仿宋" w:eastAsia="仿宋" w:cs="仿宋"/>
          <w:sz w:val="24"/>
          <w:highlight w:val="none"/>
        </w:rPr>
      </w:pPr>
      <w:r>
        <w:rPr>
          <w:rFonts w:hint="eastAsia" w:ascii="仿宋" w:hAnsi="仿宋" w:eastAsia="仿宋" w:cs="仿宋"/>
          <w:sz w:val="24"/>
          <w:highlight w:val="none"/>
        </w:rPr>
        <w:t>致：（</w:t>
      </w:r>
      <w:r>
        <w:rPr>
          <w:rFonts w:hint="eastAsia" w:ascii="仿宋" w:hAnsi="仿宋" w:eastAsia="仿宋" w:cs="仿宋"/>
          <w:sz w:val="24"/>
          <w:highlight w:val="none"/>
          <w:lang w:eastAsia="zh-CN"/>
        </w:rPr>
        <w:t>采购代理机构</w:t>
      </w:r>
      <w:r>
        <w:rPr>
          <w:rFonts w:hint="eastAsia" w:ascii="仿宋" w:hAnsi="仿宋" w:eastAsia="仿宋" w:cs="仿宋"/>
          <w:sz w:val="24"/>
          <w:highlight w:val="none"/>
        </w:rPr>
        <w:t>）</w:t>
      </w:r>
    </w:p>
    <w:p w14:paraId="794A19F1">
      <w:pPr>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u w:val="single"/>
        </w:rPr>
        <w:t>（供应商名称）</w:t>
      </w:r>
      <w:r>
        <w:rPr>
          <w:rFonts w:hint="eastAsia" w:ascii="仿宋" w:hAnsi="仿宋" w:eastAsia="仿宋" w:cs="仿宋"/>
          <w:sz w:val="24"/>
          <w:highlight w:val="none"/>
        </w:rPr>
        <w:t>系中华人民共和国合法供应商，经营地址：</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w:t>
      </w:r>
    </w:p>
    <w:p w14:paraId="1BA310C8">
      <w:pPr>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我方愿意参加贵方组织的</w:t>
      </w:r>
      <w:r>
        <w:rPr>
          <w:rFonts w:hint="eastAsia" w:ascii="仿宋" w:hAnsi="仿宋" w:eastAsia="仿宋" w:cs="仿宋"/>
          <w:sz w:val="24"/>
          <w:highlight w:val="none"/>
          <w:u w:val="single"/>
        </w:rPr>
        <w:t>（项目名称：            ；项目编号：      ）</w:t>
      </w:r>
      <w:r>
        <w:rPr>
          <w:rFonts w:hint="eastAsia" w:ascii="仿宋" w:hAnsi="仿宋" w:eastAsia="仿宋" w:cs="仿宋"/>
          <w:sz w:val="24"/>
          <w:highlight w:val="none"/>
        </w:rPr>
        <w:t>的竞标，为便于贵方公正、择优地确定成交供应商及其竞标产品和服务，我方就本次竞标有关事项郑重声明如下：</w:t>
      </w:r>
    </w:p>
    <w:p w14:paraId="23EA61D1">
      <w:pPr>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1.我方向贵方提交的所有响应文件、资料都是准确的和真实的。</w:t>
      </w:r>
    </w:p>
    <w:p w14:paraId="2E3C629C">
      <w:pPr>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283298D6">
      <w:pPr>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3.在此，我方宣布同意如下：</w:t>
      </w:r>
    </w:p>
    <w:p w14:paraId="50221016">
      <w:pPr>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（1）将按磋商文件的约定履行合同责任和义务；</w:t>
      </w:r>
    </w:p>
    <w:p w14:paraId="66146D38">
      <w:pPr>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（2）已详细审查全部磋商文件，包括澄清或者更正公告（如有）；</w:t>
      </w:r>
    </w:p>
    <w:p w14:paraId="745E6D19">
      <w:pPr>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（3）同意提供按照贵方可能要求的与谈判有关的一切数据或者资料；</w:t>
      </w:r>
    </w:p>
    <w:p w14:paraId="57BCC736">
      <w:pPr>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（4）响应磋商文件规定的竞标有效期。</w:t>
      </w:r>
    </w:p>
    <w:p w14:paraId="02DB58CF">
      <w:pPr>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4.我方承诺已经具备《中华人民共和国政府采购法》第二十二条中规定的参加政府采购活动的供应商应当具备的条件并按本项目响应文件“供应商须知前附表”中“资格证明文件组成”完整提供证明材料。</w:t>
      </w:r>
    </w:p>
    <w:p w14:paraId="569FEFD3">
      <w:pPr>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7B8A843B">
      <w:pPr>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6BA6077C">
      <w:pPr>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□我方本次响应文件</w:t>
      </w:r>
      <w:r>
        <w:rPr>
          <w:rFonts w:hint="eastAsia" w:ascii="仿宋" w:hAnsi="仿宋" w:eastAsia="仿宋" w:cs="仿宋"/>
          <w:kern w:val="0"/>
          <w:sz w:val="24"/>
          <w:highlight w:val="none"/>
        </w:rPr>
        <w:t>内容中</w:t>
      </w:r>
      <w:r>
        <w:rPr>
          <w:rFonts w:hint="eastAsia" w:ascii="仿宋" w:hAnsi="仿宋" w:eastAsia="仿宋" w:cs="仿宋"/>
          <w:sz w:val="24"/>
          <w:highlight w:val="none"/>
        </w:rPr>
        <w:t>未</w:t>
      </w:r>
      <w:r>
        <w:rPr>
          <w:rFonts w:hint="eastAsia" w:ascii="仿宋" w:hAnsi="仿宋" w:eastAsia="仿宋" w:cs="仿宋"/>
          <w:kern w:val="0"/>
          <w:sz w:val="24"/>
          <w:highlight w:val="none"/>
        </w:rPr>
        <w:t>涉及商业秘密；</w:t>
      </w:r>
    </w:p>
    <w:p w14:paraId="5A374792">
      <w:pPr>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□我方本次响应文件</w:t>
      </w:r>
      <w:r>
        <w:rPr>
          <w:rFonts w:hint="eastAsia" w:ascii="仿宋" w:hAnsi="仿宋" w:eastAsia="仿宋" w:cs="仿宋"/>
          <w:kern w:val="0"/>
          <w:sz w:val="24"/>
          <w:highlight w:val="none"/>
        </w:rPr>
        <w:t>涉及商业秘密的内容有：</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lang w:val="en-US" w:eastAsia="zh-CN"/>
        </w:rPr>
        <w:t xml:space="preserve"> </w:t>
      </w:r>
      <w:r>
        <w:rPr>
          <w:rFonts w:hint="eastAsia" w:ascii="仿宋" w:hAnsi="仿宋" w:eastAsia="仿宋" w:cs="仿宋"/>
          <w:kern w:val="0"/>
          <w:sz w:val="24"/>
          <w:highlight w:val="none"/>
        </w:rPr>
        <w:t>；</w:t>
      </w:r>
    </w:p>
    <w:p w14:paraId="6C12E0EE">
      <w:pPr>
        <w:spacing w:line="360" w:lineRule="auto"/>
        <w:ind w:firstLine="480" w:firstLineChars="200"/>
        <w:contextualSpacing/>
        <w:rPr>
          <w:rFonts w:hint="eastAsia" w:ascii="仿宋" w:hAnsi="仿宋" w:eastAsia="仿宋" w:cs="仿宋"/>
          <w:kern w:val="0"/>
          <w:sz w:val="24"/>
          <w:highlight w:val="none"/>
        </w:rPr>
      </w:pPr>
      <w:r>
        <w:rPr>
          <w:rFonts w:hint="eastAsia" w:ascii="仿宋" w:hAnsi="仿宋" w:eastAsia="仿宋" w:cs="仿宋"/>
          <w:kern w:val="0"/>
          <w:sz w:val="24"/>
          <w:highlight w:val="none"/>
        </w:rPr>
        <w:t>7.与本磋商有关的一切正式往来信函请寄：</w:t>
      </w:r>
    </w:p>
    <w:p w14:paraId="1FE2B1D5">
      <w:pPr>
        <w:spacing w:line="360" w:lineRule="auto"/>
        <w:ind w:firstLine="480" w:firstLineChars="200"/>
        <w:contextualSpacing/>
        <w:rPr>
          <w:rFonts w:hint="eastAsia" w:ascii="仿宋" w:hAnsi="仿宋" w:eastAsia="仿宋" w:cs="仿宋"/>
          <w:kern w:val="0"/>
          <w:sz w:val="24"/>
          <w:highlight w:val="none"/>
          <w:u w:val="single"/>
        </w:rPr>
      </w:pPr>
      <w:r>
        <w:rPr>
          <w:rFonts w:hint="eastAsia" w:ascii="仿宋" w:hAnsi="仿宋" w:eastAsia="仿宋" w:cs="仿宋"/>
          <w:kern w:val="0"/>
          <w:sz w:val="24"/>
          <w:highlight w:val="none"/>
        </w:rPr>
        <w:t>邮政编号：</w:t>
      </w:r>
    </w:p>
    <w:p w14:paraId="6CBD5536">
      <w:pPr>
        <w:spacing w:line="360" w:lineRule="auto"/>
        <w:ind w:firstLine="480" w:firstLineChars="200"/>
        <w:contextualSpacing/>
        <w:rPr>
          <w:rFonts w:hint="eastAsia" w:ascii="仿宋" w:hAnsi="仿宋" w:eastAsia="仿宋" w:cs="仿宋"/>
          <w:kern w:val="0"/>
          <w:sz w:val="24"/>
          <w:highlight w:val="none"/>
        </w:rPr>
      </w:pPr>
      <w:r>
        <w:rPr>
          <w:rFonts w:hint="eastAsia" w:ascii="仿宋" w:hAnsi="仿宋" w:eastAsia="仿宋" w:cs="仿宋"/>
          <w:kern w:val="0"/>
          <w:sz w:val="24"/>
          <w:highlight w:val="none"/>
        </w:rPr>
        <w:t>电话/传真：                电子函件：</w:t>
      </w:r>
    </w:p>
    <w:p w14:paraId="5B0C9D13">
      <w:pPr>
        <w:tabs>
          <w:tab w:val="left" w:pos="939"/>
        </w:tabs>
        <w:spacing w:line="360" w:lineRule="auto"/>
        <w:ind w:left="141" w:leftChars="67" w:firstLine="360" w:firstLineChars="150"/>
        <w:contextualSpacing/>
        <w:rPr>
          <w:rFonts w:hint="eastAsia" w:ascii="仿宋" w:hAnsi="仿宋" w:eastAsia="仿宋" w:cs="仿宋"/>
          <w:sz w:val="24"/>
          <w:highlight w:val="none"/>
        </w:rPr>
      </w:pPr>
      <w:r>
        <w:rPr>
          <w:rFonts w:hint="eastAsia" w:ascii="仿宋" w:hAnsi="仿宋" w:eastAsia="仿宋" w:cs="仿宋"/>
          <w:sz w:val="24"/>
          <w:highlight w:val="none"/>
        </w:rPr>
        <w:t>开户银行：</w:t>
      </w:r>
      <w:r>
        <w:rPr>
          <w:rFonts w:hint="eastAsia" w:ascii="仿宋" w:hAnsi="仿宋" w:eastAsia="仿宋" w:cs="仿宋"/>
          <w:kern w:val="0"/>
          <w:sz w:val="24"/>
          <w:highlight w:val="none"/>
        </w:rPr>
        <w:t xml:space="preserve">                 </w:t>
      </w:r>
      <w:r>
        <w:rPr>
          <w:rFonts w:hint="eastAsia" w:ascii="仿宋" w:hAnsi="仿宋" w:eastAsia="仿宋" w:cs="仿宋"/>
          <w:sz w:val="24"/>
          <w:highlight w:val="none"/>
        </w:rPr>
        <w:t>帐号：</w:t>
      </w:r>
    </w:p>
    <w:p w14:paraId="279953BF">
      <w:pPr>
        <w:tabs>
          <w:tab w:val="left" w:pos="939"/>
        </w:tabs>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8.以上事项如有虚假或者隐瞒，我方愿意承担一切后果，并不再寻求任何旨在减轻或者免除法律责任的辩解。</w:t>
      </w:r>
    </w:p>
    <w:p w14:paraId="65A85A9D">
      <w:pPr>
        <w:tabs>
          <w:tab w:val="left" w:pos="939"/>
        </w:tabs>
        <w:spacing w:line="360" w:lineRule="auto"/>
        <w:ind w:left="141" w:leftChars="67" w:firstLine="360" w:firstLineChars="150"/>
        <w:contextualSpacing/>
        <w:rPr>
          <w:rFonts w:hint="eastAsia" w:ascii="仿宋" w:hAnsi="仿宋" w:eastAsia="仿宋" w:cs="仿宋"/>
          <w:sz w:val="24"/>
          <w:highlight w:val="none"/>
        </w:rPr>
      </w:pPr>
      <w:r>
        <w:rPr>
          <w:rFonts w:hint="eastAsia" w:ascii="仿宋" w:hAnsi="仿宋" w:eastAsia="仿宋" w:cs="仿宋"/>
          <w:sz w:val="24"/>
          <w:highlight w:val="none"/>
        </w:rPr>
        <w:t>特此承诺。</w:t>
      </w:r>
    </w:p>
    <w:p w14:paraId="54F30CF0">
      <w:pPr>
        <w:tabs>
          <w:tab w:val="left" w:pos="939"/>
        </w:tabs>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注：如为联合体竞标，盖章处须加盖联合体各方公章并由联合体各方法定代表人签署，否则其响应文件按无效响应处理。</w:t>
      </w:r>
    </w:p>
    <w:p w14:paraId="5C3D4488">
      <w:pPr>
        <w:tabs>
          <w:tab w:val="left" w:pos="939"/>
        </w:tabs>
        <w:spacing w:line="360" w:lineRule="auto"/>
        <w:ind w:firstLine="480" w:firstLineChars="200"/>
        <w:contextualSpacing/>
        <w:rPr>
          <w:rFonts w:hint="eastAsia" w:ascii="仿宋" w:hAnsi="仿宋" w:eastAsia="仿宋" w:cs="仿宋"/>
          <w:sz w:val="24"/>
          <w:highlight w:val="none"/>
        </w:rPr>
      </w:pPr>
    </w:p>
    <w:p w14:paraId="6DDFB215">
      <w:pPr>
        <w:autoSpaceDE w:val="0"/>
        <w:autoSpaceDN w:val="0"/>
        <w:spacing w:line="360" w:lineRule="auto"/>
        <w:ind w:left="4365" w:leftChars="1850" w:hanging="480" w:hangingChars="200"/>
        <w:rPr>
          <w:rFonts w:hint="eastAsia" w:ascii="仿宋" w:hAnsi="仿宋" w:eastAsia="仿宋" w:cs="仿宋"/>
          <w:kern w:val="0"/>
          <w:sz w:val="24"/>
          <w:highlight w:val="none"/>
        </w:rPr>
      </w:pPr>
      <w:r>
        <w:rPr>
          <w:rFonts w:hint="eastAsia" w:ascii="仿宋" w:hAnsi="仿宋" w:eastAsia="仿宋" w:cs="仿宋"/>
          <w:kern w:val="0"/>
          <w:sz w:val="24"/>
          <w:highlight w:val="none"/>
        </w:rPr>
        <w:t>供应商名称（盖法人单位章或电子签章）：</w:t>
      </w:r>
    </w:p>
    <w:p w14:paraId="38589FE8">
      <w:pPr>
        <w:autoSpaceDE w:val="0"/>
        <w:autoSpaceDN w:val="0"/>
        <w:spacing w:line="360" w:lineRule="auto"/>
        <w:ind w:firstLine="6120" w:firstLineChars="2550"/>
        <w:rPr>
          <w:rFonts w:hint="eastAsia" w:ascii="仿宋" w:hAnsi="仿宋" w:eastAsia="仿宋" w:cs="仿宋"/>
          <w:kern w:val="0"/>
          <w:sz w:val="24"/>
          <w:highlight w:val="none"/>
          <w:lang w:val="zh-CN"/>
        </w:rPr>
        <w:sectPr>
          <w:pgSz w:w="11905" w:h="16838"/>
          <w:pgMar w:top="1304" w:right="1304" w:bottom="1304" w:left="1304" w:header="720" w:footer="720" w:gutter="0"/>
          <w:pgNumType w:fmt="decimal"/>
          <w:cols w:space="720" w:num="1"/>
          <w:docGrid w:type="lines" w:linePitch="339" w:charSpace="0"/>
        </w:sectPr>
      </w:pPr>
      <w:r>
        <w:rPr>
          <w:rFonts w:hint="eastAsia" w:ascii="仿宋" w:hAnsi="仿宋" w:eastAsia="仿宋" w:cs="仿宋"/>
          <w:kern w:val="0"/>
          <w:sz w:val="24"/>
          <w:highlight w:val="none"/>
          <w:lang w:val="zh-CN"/>
        </w:rPr>
        <w:t>日期：  年  月   日</w:t>
      </w:r>
    </w:p>
    <w:p w14:paraId="6383B644">
      <w:pPr>
        <w:overflowPunct w:val="0"/>
        <w:spacing w:line="520" w:lineRule="exact"/>
        <w:ind w:firstLine="602" w:firstLineChars="200"/>
        <w:rPr>
          <w:rFonts w:hint="eastAsia" w:ascii="仿宋" w:hAnsi="仿宋" w:eastAsia="仿宋" w:cs="仿宋"/>
          <w:b/>
          <w:bCs/>
          <w:sz w:val="32"/>
          <w:szCs w:val="32"/>
          <w:highlight w:val="none"/>
        </w:rPr>
      </w:pPr>
      <w:r>
        <w:rPr>
          <w:rFonts w:hint="eastAsia" w:ascii="仿宋" w:hAnsi="仿宋" w:eastAsia="仿宋" w:cs="仿宋"/>
          <w:b/>
          <w:kern w:val="0"/>
          <w:sz w:val="30"/>
          <w:szCs w:val="30"/>
          <w:highlight w:val="none"/>
        </w:rPr>
        <w:t>七、联合体协议书（如有）</w:t>
      </w:r>
    </w:p>
    <w:p w14:paraId="1DA15C3D">
      <w:pPr>
        <w:spacing w:line="600" w:lineRule="exact"/>
        <w:jc w:val="center"/>
        <w:rPr>
          <w:rFonts w:hint="eastAsia" w:ascii="仿宋" w:hAnsi="仿宋" w:eastAsia="仿宋" w:cs="仿宋"/>
          <w:sz w:val="44"/>
          <w:szCs w:val="44"/>
          <w:highlight w:val="none"/>
        </w:rPr>
      </w:pPr>
    </w:p>
    <w:p w14:paraId="372C0DF0">
      <w:pPr>
        <w:spacing w:line="600" w:lineRule="exact"/>
        <w:jc w:val="center"/>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联合体竞标协议书（格式）</w:t>
      </w:r>
    </w:p>
    <w:p w14:paraId="298F081D">
      <w:pPr>
        <w:autoSpaceDE w:val="0"/>
        <w:autoSpaceDN w:val="0"/>
        <w:adjustRightInd w:val="0"/>
        <w:spacing w:line="360" w:lineRule="auto"/>
        <w:jc w:val="left"/>
        <w:rPr>
          <w:rFonts w:hint="eastAsia" w:ascii="仿宋" w:hAnsi="仿宋" w:eastAsia="仿宋" w:cs="仿宋"/>
          <w:kern w:val="0"/>
          <w:szCs w:val="21"/>
          <w:highlight w:val="none"/>
          <w:u w:val="single"/>
        </w:rPr>
      </w:pPr>
    </w:p>
    <w:p w14:paraId="2D24C0F4">
      <w:pPr>
        <w:autoSpaceDE w:val="0"/>
        <w:autoSpaceDN w:val="0"/>
        <w:adjustRightInd w:val="0"/>
        <w:spacing w:line="360" w:lineRule="auto"/>
        <w:ind w:firstLine="420"/>
        <w:jc w:val="left"/>
        <w:rPr>
          <w:rFonts w:hint="eastAsia" w:ascii="仿宋" w:hAnsi="仿宋" w:eastAsia="仿宋" w:cs="仿宋"/>
          <w:kern w:val="0"/>
          <w:sz w:val="24"/>
          <w:highlight w:val="none"/>
        </w:rPr>
      </w:pPr>
      <w:r>
        <w:rPr>
          <w:rFonts w:hint="eastAsia" w:ascii="仿宋" w:hAnsi="仿宋" w:eastAsia="仿宋" w:cs="仿宋"/>
          <w:kern w:val="0"/>
          <w:sz w:val="24"/>
          <w:highlight w:val="none"/>
          <w:u w:val="single"/>
        </w:rPr>
        <w:t>（所有成员单位名称）</w:t>
      </w:r>
      <w:r>
        <w:rPr>
          <w:rFonts w:hint="eastAsia" w:ascii="仿宋" w:hAnsi="仿宋" w:eastAsia="仿宋" w:cs="仿宋"/>
          <w:kern w:val="0"/>
          <w:sz w:val="24"/>
          <w:highlight w:val="none"/>
        </w:rPr>
        <w:t>自愿组成联合体，共同参加</w:t>
      </w:r>
      <w:r>
        <w:rPr>
          <w:rFonts w:hint="eastAsia" w:ascii="仿宋" w:hAnsi="仿宋" w:eastAsia="仿宋" w:cs="仿宋"/>
          <w:kern w:val="0"/>
          <w:sz w:val="24"/>
          <w:highlight w:val="none"/>
          <w:u w:val="single"/>
        </w:rPr>
        <w:t>（项目编号：      ）</w:t>
      </w:r>
      <w:r>
        <w:rPr>
          <w:rFonts w:hint="eastAsia" w:ascii="仿宋" w:hAnsi="仿宋" w:eastAsia="仿宋" w:cs="仿宋"/>
          <w:kern w:val="0"/>
          <w:sz w:val="24"/>
          <w:highlight w:val="none"/>
        </w:rPr>
        <w:t>竞争性磋商采购。现就联合体竞标事宜订立如下协议：</w:t>
      </w:r>
    </w:p>
    <w:p w14:paraId="289F3B6D">
      <w:pPr>
        <w:autoSpaceDE w:val="0"/>
        <w:autoSpaceDN w:val="0"/>
        <w:adjustRightInd w:val="0"/>
        <w:spacing w:line="360" w:lineRule="auto"/>
        <w:ind w:firstLine="420"/>
        <w:jc w:val="left"/>
        <w:rPr>
          <w:rFonts w:hint="eastAsia" w:ascii="仿宋" w:hAnsi="仿宋" w:eastAsia="仿宋" w:cs="仿宋"/>
          <w:kern w:val="0"/>
          <w:sz w:val="24"/>
          <w:highlight w:val="none"/>
        </w:rPr>
      </w:pPr>
      <w:r>
        <w:rPr>
          <w:rFonts w:hint="eastAsia" w:ascii="仿宋" w:hAnsi="仿宋" w:eastAsia="仿宋" w:cs="仿宋"/>
          <w:kern w:val="0"/>
          <w:sz w:val="24"/>
          <w:highlight w:val="none"/>
        </w:rPr>
        <w:t>1、</w:t>
      </w:r>
      <w:r>
        <w:rPr>
          <w:rFonts w:hint="eastAsia" w:ascii="仿宋" w:hAnsi="仿宋" w:eastAsia="仿宋" w:cs="仿宋"/>
          <w:sz w:val="24"/>
          <w:highlight w:val="none"/>
        </w:rPr>
        <w:t>________________________</w:t>
      </w:r>
      <w:r>
        <w:rPr>
          <w:rFonts w:hint="eastAsia" w:ascii="仿宋" w:hAnsi="仿宋" w:eastAsia="仿宋" w:cs="仿宋"/>
          <w:kern w:val="0"/>
          <w:sz w:val="24"/>
          <w:highlight w:val="none"/>
        </w:rPr>
        <w:t>（某成员单位名称）为联合体名称牵头人。</w:t>
      </w:r>
    </w:p>
    <w:p w14:paraId="2E4B8899">
      <w:pPr>
        <w:autoSpaceDE w:val="0"/>
        <w:autoSpaceDN w:val="0"/>
        <w:adjustRightInd w:val="0"/>
        <w:spacing w:line="360" w:lineRule="auto"/>
        <w:ind w:firstLine="420"/>
        <w:jc w:val="left"/>
        <w:rPr>
          <w:rFonts w:hint="eastAsia" w:ascii="仿宋" w:hAnsi="仿宋" w:eastAsia="仿宋" w:cs="仿宋"/>
          <w:kern w:val="0"/>
          <w:sz w:val="24"/>
          <w:highlight w:val="none"/>
        </w:rPr>
      </w:pPr>
      <w:r>
        <w:rPr>
          <w:rFonts w:hint="eastAsia" w:ascii="仿宋" w:hAnsi="仿宋" w:eastAsia="仿宋" w:cs="仿宋"/>
          <w:kern w:val="0"/>
          <w:sz w:val="24"/>
          <w:highlight w:val="none"/>
        </w:rPr>
        <w:t>2、联合体牵头人合法代表联合体各成员负责本磋商项目响应文件编制和合同谈判活动，并代表联合体提交和接收相关的资料、信息及指示，并处理与之有关的一切事务，负责合同实施阶段的主办、组织和协调工作。</w:t>
      </w:r>
    </w:p>
    <w:p w14:paraId="49862349">
      <w:pPr>
        <w:autoSpaceDE w:val="0"/>
        <w:autoSpaceDN w:val="0"/>
        <w:adjustRightInd w:val="0"/>
        <w:spacing w:line="360" w:lineRule="auto"/>
        <w:ind w:firstLine="420"/>
        <w:jc w:val="left"/>
        <w:rPr>
          <w:rFonts w:hint="eastAsia" w:ascii="仿宋" w:hAnsi="仿宋" w:eastAsia="仿宋" w:cs="仿宋"/>
          <w:kern w:val="0"/>
          <w:sz w:val="24"/>
          <w:highlight w:val="none"/>
        </w:rPr>
      </w:pPr>
      <w:r>
        <w:rPr>
          <w:rFonts w:hint="eastAsia" w:ascii="仿宋" w:hAnsi="仿宋" w:eastAsia="仿宋" w:cs="仿宋"/>
          <w:kern w:val="0"/>
          <w:sz w:val="24"/>
          <w:highlight w:val="none"/>
        </w:rPr>
        <w:t>3、联合体牵头人在本项目中签署和盖章的一切文件和处理的一切事宜，联合体各成员均予以承认。 联合体各成员将严格按照磋商文件、响应文件和合同的要求全面履行义务，并向采购人承担连带责任。</w:t>
      </w:r>
    </w:p>
    <w:p w14:paraId="45CB0EC9">
      <w:pPr>
        <w:autoSpaceDE w:val="0"/>
        <w:autoSpaceDN w:val="0"/>
        <w:adjustRightInd w:val="0"/>
        <w:spacing w:line="360" w:lineRule="auto"/>
        <w:ind w:firstLine="420"/>
        <w:jc w:val="left"/>
        <w:rPr>
          <w:rFonts w:hint="eastAsia" w:ascii="仿宋" w:hAnsi="仿宋" w:eastAsia="仿宋" w:cs="仿宋"/>
          <w:kern w:val="0"/>
          <w:sz w:val="24"/>
          <w:highlight w:val="none"/>
        </w:rPr>
      </w:pPr>
      <w:r>
        <w:rPr>
          <w:rFonts w:hint="eastAsia" w:ascii="仿宋" w:hAnsi="仿宋" w:eastAsia="仿宋" w:cs="仿宋"/>
          <w:kern w:val="0"/>
          <w:sz w:val="24"/>
          <w:highlight w:val="none"/>
        </w:rPr>
        <w:t>4、联合体各成员单位内部的职责分工如下：</w:t>
      </w:r>
      <w:r>
        <w:rPr>
          <w:rFonts w:hint="eastAsia" w:ascii="仿宋" w:hAnsi="仿宋" w:eastAsia="仿宋" w:cs="仿宋"/>
          <w:sz w:val="24"/>
          <w:highlight w:val="none"/>
          <w:u w:val="single"/>
        </w:rPr>
        <w:t>________________________________</w:t>
      </w:r>
      <w:r>
        <w:rPr>
          <w:rFonts w:hint="eastAsia" w:ascii="仿宋" w:hAnsi="仿宋" w:eastAsia="仿宋" w:cs="仿宋"/>
          <w:kern w:val="0"/>
          <w:sz w:val="24"/>
          <w:highlight w:val="none"/>
        </w:rPr>
        <w:t>。</w:t>
      </w:r>
    </w:p>
    <w:p w14:paraId="2BC8BA6F">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5、本联合体中，</w:t>
      </w:r>
      <w:r>
        <w:rPr>
          <w:rFonts w:hint="eastAsia" w:ascii="仿宋" w:hAnsi="仿宋" w:eastAsia="仿宋" w:cs="仿宋"/>
          <w:kern w:val="0"/>
          <w:sz w:val="24"/>
          <w:highlight w:val="none"/>
          <w:u w:val="single"/>
        </w:rPr>
        <w:t>________________________（某成员单位名称）为______</w:t>
      </w:r>
      <w:r>
        <w:rPr>
          <w:rFonts w:hint="eastAsia" w:ascii="仿宋" w:hAnsi="仿宋" w:eastAsia="仿宋" w:cs="仿宋"/>
          <w:kern w:val="0"/>
          <w:sz w:val="24"/>
          <w:highlight w:val="none"/>
        </w:rPr>
        <w:t>（请填写：中型、小型、微型）企业，其协议合同金额占联合体协议合同总金额的</w:t>
      </w:r>
      <w:r>
        <w:rPr>
          <w:rFonts w:hint="eastAsia" w:ascii="仿宋" w:hAnsi="仿宋" w:eastAsia="仿宋" w:cs="仿宋"/>
          <w:kern w:val="0"/>
          <w:sz w:val="24"/>
          <w:highlight w:val="none"/>
          <w:u w:val="single"/>
        </w:rPr>
        <w:t>______</w:t>
      </w:r>
      <w:r>
        <w:rPr>
          <w:rFonts w:hint="eastAsia" w:ascii="仿宋" w:hAnsi="仿宋" w:eastAsia="仿宋" w:cs="仿宋"/>
          <w:kern w:val="0"/>
          <w:sz w:val="24"/>
          <w:highlight w:val="none"/>
        </w:rPr>
        <w:t>%。【如联合体成员中有小型、微型企业的，请填写此条，否则无需填写；如联合体成员中有多个小型、微型企业的，请逐一列出。】</w:t>
      </w:r>
    </w:p>
    <w:p w14:paraId="549A97A1">
      <w:pPr>
        <w:autoSpaceDE w:val="0"/>
        <w:autoSpaceDN w:val="0"/>
        <w:adjustRightInd w:val="0"/>
        <w:spacing w:line="360" w:lineRule="auto"/>
        <w:ind w:firstLine="420"/>
        <w:jc w:val="left"/>
        <w:rPr>
          <w:rFonts w:hint="eastAsia" w:ascii="仿宋" w:hAnsi="仿宋" w:eastAsia="仿宋" w:cs="仿宋"/>
          <w:kern w:val="0"/>
          <w:sz w:val="24"/>
          <w:highlight w:val="none"/>
        </w:rPr>
      </w:pPr>
      <w:r>
        <w:rPr>
          <w:rFonts w:hint="eastAsia" w:ascii="仿宋" w:hAnsi="仿宋" w:eastAsia="仿宋" w:cs="仿宋"/>
          <w:kern w:val="0"/>
          <w:sz w:val="24"/>
          <w:highlight w:val="none"/>
        </w:rPr>
        <w:t>6、本协议书自签署之日起生效，合同履行完毕后自动失效。</w:t>
      </w:r>
    </w:p>
    <w:p w14:paraId="7A6348EC">
      <w:pPr>
        <w:autoSpaceDE w:val="0"/>
        <w:autoSpaceDN w:val="0"/>
        <w:adjustRightInd w:val="0"/>
        <w:spacing w:line="360" w:lineRule="auto"/>
        <w:ind w:firstLine="420"/>
        <w:jc w:val="left"/>
        <w:rPr>
          <w:rFonts w:hint="eastAsia" w:ascii="仿宋" w:hAnsi="仿宋" w:eastAsia="仿宋" w:cs="仿宋"/>
          <w:kern w:val="0"/>
          <w:sz w:val="24"/>
          <w:highlight w:val="none"/>
        </w:rPr>
      </w:pPr>
      <w:r>
        <w:rPr>
          <w:rFonts w:hint="eastAsia" w:ascii="仿宋" w:hAnsi="仿宋" w:eastAsia="仿宋" w:cs="仿宋"/>
          <w:kern w:val="0"/>
          <w:sz w:val="24"/>
          <w:highlight w:val="none"/>
        </w:rPr>
        <w:t>7、本协议书一式份，联合体成员和采购代理机构各执一份。</w:t>
      </w:r>
    </w:p>
    <w:p w14:paraId="0C444DE1">
      <w:pPr>
        <w:autoSpaceDE w:val="0"/>
        <w:autoSpaceDN w:val="0"/>
        <w:adjustRightInd w:val="0"/>
        <w:spacing w:line="360" w:lineRule="auto"/>
        <w:ind w:firstLine="420"/>
        <w:jc w:val="left"/>
        <w:rPr>
          <w:rFonts w:hint="eastAsia" w:ascii="仿宋" w:hAnsi="仿宋" w:eastAsia="仿宋" w:cs="仿宋"/>
          <w:kern w:val="0"/>
          <w:sz w:val="24"/>
          <w:highlight w:val="none"/>
        </w:rPr>
      </w:pPr>
      <w:r>
        <w:rPr>
          <w:rFonts w:hint="eastAsia" w:ascii="仿宋" w:hAnsi="仿宋" w:eastAsia="仿宋" w:cs="仿宋"/>
          <w:kern w:val="0"/>
          <w:sz w:val="24"/>
          <w:highlight w:val="none"/>
        </w:rPr>
        <w:t>注：本协议书由法定代表人签字的，应附法定代表人身份证明；本协议书由委托代理人签字的，应附法定代表人授权委托书。</w:t>
      </w:r>
    </w:p>
    <w:p w14:paraId="530E261C">
      <w:pPr>
        <w:autoSpaceDE w:val="0"/>
        <w:autoSpaceDN w:val="0"/>
        <w:adjustRightInd w:val="0"/>
        <w:spacing w:line="360" w:lineRule="auto"/>
        <w:jc w:val="left"/>
        <w:rPr>
          <w:rFonts w:hint="eastAsia" w:ascii="仿宋" w:hAnsi="仿宋" w:eastAsia="仿宋" w:cs="仿宋"/>
          <w:kern w:val="0"/>
          <w:sz w:val="24"/>
          <w:highlight w:val="none"/>
        </w:rPr>
      </w:pPr>
      <w:r>
        <w:rPr>
          <w:rFonts w:hint="eastAsia" w:ascii="仿宋" w:hAnsi="仿宋" w:eastAsia="仿宋" w:cs="仿宋"/>
          <w:kern w:val="0"/>
          <w:sz w:val="24"/>
          <w:highlight w:val="none"/>
        </w:rPr>
        <w:t>牵头人名称：（盖法人单位章或电子签章）</w:t>
      </w:r>
    </w:p>
    <w:p w14:paraId="28AB76C9">
      <w:pPr>
        <w:autoSpaceDE w:val="0"/>
        <w:autoSpaceDN w:val="0"/>
        <w:adjustRightInd w:val="0"/>
        <w:spacing w:line="360" w:lineRule="auto"/>
        <w:jc w:val="left"/>
        <w:rPr>
          <w:rFonts w:hint="eastAsia" w:ascii="仿宋" w:hAnsi="仿宋" w:eastAsia="仿宋" w:cs="仿宋"/>
          <w:kern w:val="0"/>
          <w:sz w:val="24"/>
          <w:highlight w:val="none"/>
        </w:rPr>
      </w:pPr>
      <w:r>
        <w:rPr>
          <w:rFonts w:hint="eastAsia" w:ascii="仿宋" w:hAnsi="仿宋" w:eastAsia="仿宋" w:cs="仿宋"/>
          <w:kern w:val="0"/>
          <w:sz w:val="24"/>
          <w:highlight w:val="none"/>
        </w:rPr>
        <w:t>法定代表人或其委托代理人：            （签字或盖章或者电子签名）</w:t>
      </w:r>
    </w:p>
    <w:p w14:paraId="36A1F74B">
      <w:pPr>
        <w:autoSpaceDE w:val="0"/>
        <w:autoSpaceDN w:val="0"/>
        <w:adjustRightInd w:val="0"/>
        <w:spacing w:line="360" w:lineRule="auto"/>
        <w:jc w:val="left"/>
        <w:rPr>
          <w:rFonts w:hint="eastAsia" w:ascii="仿宋" w:hAnsi="仿宋" w:eastAsia="仿宋" w:cs="仿宋"/>
          <w:kern w:val="0"/>
          <w:sz w:val="24"/>
          <w:highlight w:val="none"/>
        </w:rPr>
      </w:pPr>
    </w:p>
    <w:p w14:paraId="4F281F46">
      <w:pPr>
        <w:autoSpaceDE w:val="0"/>
        <w:autoSpaceDN w:val="0"/>
        <w:adjustRightInd w:val="0"/>
        <w:spacing w:line="360" w:lineRule="auto"/>
        <w:jc w:val="left"/>
        <w:rPr>
          <w:rFonts w:hint="eastAsia" w:ascii="仿宋" w:hAnsi="仿宋" w:eastAsia="仿宋" w:cs="仿宋"/>
          <w:kern w:val="0"/>
          <w:sz w:val="24"/>
          <w:highlight w:val="none"/>
        </w:rPr>
      </w:pPr>
      <w:r>
        <w:rPr>
          <w:rFonts w:hint="eastAsia" w:ascii="仿宋" w:hAnsi="仿宋" w:eastAsia="仿宋" w:cs="仿宋"/>
          <w:kern w:val="0"/>
          <w:sz w:val="24"/>
          <w:highlight w:val="none"/>
        </w:rPr>
        <w:t>成员一名称：（盖法人单位章或电子签章）</w:t>
      </w:r>
    </w:p>
    <w:p w14:paraId="060D7C3F">
      <w:pPr>
        <w:autoSpaceDE w:val="0"/>
        <w:autoSpaceDN w:val="0"/>
        <w:adjustRightInd w:val="0"/>
        <w:spacing w:line="360" w:lineRule="auto"/>
        <w:jc w:val="left"/>
        <w:rPr>
          <w:rFonts w:hint="eastAsia" w:ascii="仿宋" w:hAnsi="仿宋" w:eastAsia="仿宋" w:cs="仿宋"/>
          <w:kern w:val="0"/>
          <w:sz w:val="24"/>
          <w:highlight w:val="none"/>
        </w:rPr>
      </w:pPr>
      <w:r>
        <w:rPr>
          <w:rFonts w:hint="eastAsia" w:ascii="仿宋" w:hAnsi="仿宋" w:eastAsia="仿宋" w:cs="仿宋"/>
          <w:kern w:val="0"/>
          <w:sz w:val="24"/>
          <w:highlight w:val="none"/>
        </w:rPr>
        <w:t>法定代表人或其委托代理人：            （签字或盖章或者电子签名）</w:t>
      </w:r>
    </w:p>
    <w:p w14:paraId="08534E2D">
      <w:pPr>
        <w:autoSpaceDE w:val="0"/>
        <w:autoSpaceDN w:val="0"/>
        <w:adjustRightInd w:val="0"/>
        <w:spacing w:line="360" w:lineRule="auto"/>
        <w:jc w:val="left"/>
        <w:rPr>
          <w:rFonts w:hint="eastAsia" w:ascii="仿宋" w:hAnsi="仿宋" w:eastAsia="仿宋" w:cs="仿宋"/>
          <w:kern w:val="0"/>
          <w:szCs w:val="21"/>
          <w:highlight w:val="none"/>
        </w:rPr>
      </w:pPr>
    </w:p>
    <w:p w14:paraId="5B46A6C3">
      <w:pPr>
        <w:autoSpaceDE w:val="0"/>
        <w:autoSpaceDN w:val="0"/>
        <w:adjustRightInd w:val="0"/>
        <w:spacing w:line="360" w:lineRule="auto"/>
        <w:jc w:val="left"/>
        <w:rPr>
          <w:rFonts w:hint="eastAsia" w:ascii="仿宋" w:hAnsi="仿宋" w:eastAsia="仿宋" w:cs="仿宋"/>
          <w:kern w:val="0"/>
          <w:sz w:val="24"/>
          <w:highlight w:val="none"/>
        </w:rPr>
      </w:pPr>
      <w:r>
        <w:rPr>
          <w:rFonts w:hint="eastAsia" w:ascii="仿宋" w:hAnsi="仿宋" w:eastAsia="仿宋" w:cs="仿宋"/>
          <w:kern w:val="0"/>
          <w:sz w:val="24"/>
          <w:highlight w:val="none"/>
        </w:rPr>
        <w:t>成员二名称：（盖法人单位章或电子签章）</w:t>
      </w:r>
    </w:p>
    <w:p w14:paraId="33E39CEE">
      <w:pPr>
        <w:autoSpaceDE w:val="0"/>
        <w:autoSpaceDN w:val="0"/>
        <w:adjustRightInd w:val="0"/>
        <w:spacing w:line="360" w:lineRule="auto"/>
        <w:jc w:val="left"/>
        <w:rPr>
          <w:rFonts w:hint="eastAsia" w:ascii="仿宋" w:hAnsi="仿宋" w:eastAsia="仿宋" w:cs="仿宋"/>
          <w:kern w:val="0"/>
          <w:sz w:val="24"/>
          <w:highlight w:val="none"/>
        </w:rPr>
      </w:pPr>
      <w:r>
        <w:rPr>
          <w:rFonts w:hint="eastAsia" w:ascii="仿宋" w:hAnsi="仿宋" w:eastAsia="仿宋" w:cs="仿宋"/>
          <w:kern w:val="0"/>
          <w:sz w:val="24"/>
          <w:highlight w:val="none"/>
        </w:rPr>
        <w:t>法定代表人或其委托代理人：            （签字或盖章或者电子签名）</w:t>
      </w:r>
    </w:p>
    <w:p w14:paraId="4703BBAF">
      <w:pPr>
        <w:pStyle w:val="2"/>
        <w:rPr>
          <w:rFonts w:hint="eastAsia" w:ascii="仿宋" w:hAnsi="仿宋" w:eastAsia="仿宋" w:cs="仿宋"/>
          <w:highlight w:val="none"/>
        </w:rPr>
      </w:pPr>
    </w:p>
    <w:p w14:paraId="3BC46F7A">
      <w:pPr>
        <w:autoSpaceDE w:val="0"/>
        <w:autoSpaceDN w:val="0"/>
        <w:spacing w:line="360" w:lineRule="auto"/>
        <w:ind w:firstLine="6120" w:firstLineChars="255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日期：  年  月   日</w:t>
      </w:r>
    </w:p>
    <w:p w14:paraId="24014DB4">
      <w:pPr>
        <w:autoSpaceDE w:val="0"/>
        <w:autoSpaceDN w:val="0"/>
        <w:spacing w:line="360" w:lineRule="auto"/>
        <w:ind w:firstLine="6120" w:firstLineChars="2550"/>
        <w:rPr>
          <w:rFonts w:hint="eastAsia" w:ascii="仿宋" w:hAnsi="仿宋" w:eastAsia="仿宋" w:cs="仿宋"/>
          <w:kern w:val="0"/>
          <w:sz w:val="24"/>
          <w:highlight w:val="none"/>
          <w:lang w:val="zh-CN"/>
        </w:rPr>
      </w:pPr>
    </w:p>
    <w:p w14:paraId="5A1553FF">
      <w:pPr>
        <w:autoSpaceDE w:val="0"/>
        <w:autoSpaceDN w:val="0"/>
        <w:spacing w:line="360" w:lineRule="auto"/>
        <w:ind w:firstLine="6120" w:firstLineChars="2550"/>
        <w:rPr>
          <w:rFonts w:hint="eastAsia" w:ascii="仿宋" w:hAnsi="仿宋" w:eastAsia="仿宋" w:cs="仿宋"/>
          <w:kern w:val="0"/>
          <w:sz w:val="24"/>
          <w:highlight w:val="none"/>
          <w:lang w:val="zh-CN"/>
        </w:rPr>
        <w:sectPr>
          <w:pgSz w:w="11905" w:h="16838"/>
          <w:pgMar w:top="1304" w:right="1304" w:bottom="1304" w:left="1304" w:header="720" w:footer="720" w:gutter="0"/>
          <w:pgNumType w:fmt="decimal"/>
          <w:cols w:space="720" w:num="1"/>
          <w:docGrid w:type="lines" w:linePitch="339" w:charSpace="0"/>
        </w:sectPr>
      </w:pPr>
    </w:p>
    <w:p w14:paraId="766A8436">
      <w:pPr>
        <w:pStyle w:val="29"/>
        <w:ind w:firstLine="210"/>
        <w:rPr>
          <w:rFonts w:hint="eastAsia" w:ascii="仿宋" w:hAnsi="仿宋" w:eastAsia="仿宋" w:cs="仿宋"/>
          <w:highlight w:val="none"/>
        </w:rPr>
      </w:pPr>
    </w:p>
    <w:p w14:paraId="091C3F64">
      <w:pPr>
        <w:overflowPunct w:val="0"/>
        <w:spacing w:line="520" w:lineRule="exact"/>
        <w:ind w:firstLine="602" w:firstLineChars="200"/>
        <w:rPr>
          <w:rFonts w:hint="eastAsia" w:ascii="仿宋" w:hAnsi="仿宋" w:eastAsia="仿宋" w:cs="仿宋"/>
          <w:b/>
          <w:kern w:val="0"/>
          <w:sz w:val="30"/>
          <w:szCs w:val="30"/>
          <w:highlight w:val="none"/>
        </w:rPr>
      </w:pPr>
      <w:r>
        <w:rPr>
          <w:rFonts w:hint="eastAsia" w:ascii="仿宋" w:hAnsi="仿宋" w:eastAsia="仿宋" w:cs="仿宋"/>
          <w:b/>
          <w:kern w:val="0"/>
          <w:sz w:val="30"/>
          <w:szCs w:val="30"/>
          <w:highlight w:val="none"/>
        </w:rPr>
        <w:t>八、符合特定资格条件（如果项目要求）的有关证明材料（复印件）</w:t>
      </w:r>
    </w:p>
    <w:p w14:paraId="0B3412B7">
      <w:pPr>
        <w:spacing w:line="276" w:lineRule="auto"/>
        <w:ind w:firstLine="4320" w:firstLineChars="1800"/>
        <w:rPr>
          <w:rFonts w:hint="eastAsia" w:ascii="仿宋" w:hAnsi="仿宋" w:eastAsia="仿宋" w:cs="仿宋"/>
          <w:sz w:val="24"/>
          <w:highlight w:val="none"/>
        </w:rPr>
      </w:pPr>
    </w:p>
    <w:p w14:paraId="34A6817E">
      <w:pPr>
        <w:spacing w:line="276" w:lineRule="auto"/>
        <w:ind w:firstLine="4320" w:firstLineChars="1800"/>
        <w:rPr>
          <w:rFonts w:hint="eastAsia" w:ascii="仿宋" w:hAnsi="仿宋" w:eastAsia="仿宋" w:cs="仿宋"/>
          <w:sz w:val="24"/>
          <w:highlight w:val="none"/>
        </w:rPr>
      </w:pPr>
      <w:r>
        <w:rPr>
          <w:rFonts w:hint="eastAsia" w:ascii="仿宋" w:hAnsi="仿宋" w:eastAsia="仿宋" w:cs="仿宋"/>
          <w:sz w:val="24"/>
          <w:highlight w:val="none"/>
        </w:rPr>
        <w:t>供应商名称（电子签章）：</w:t>
      </w:r>
    </w:p>
    <w:p w14:paraId="224B4C3E">
      <w:pPr>
        <w:spacing w:line="276" w:lineRule="auto"/>
        <w:ind w:firstLine="4320" w:firstLineChars="1800"/>
        <w:rPr>
          <w:rFonts w:hint="eastAsia" w:ascii="仿宋" w:hAnsi="仿宋" w:eastAsia="仿宋" w:cs="仿宋"/>
          <w:sz w:val="24"/>
          <w:highlight w:val="none"/>
        </w:rPr>
      </w:pPr>
      <w:r>
        <w:rPr>
          <w:rFonts w:hint="eastAsia" w:ascii="仿宋" w:hAnsi="仿宋" w:eastAsia="仿宋" w:cs="仿宋"/>
          <w:sz w:val="24"/>
          <w:highlight w:val="none"/>
        </w:rPr>
        <w:t>日期：  年  月   日</w:t>
      </w:r>
    </w:p>
    <w:p w14:paraId="5C69EFFA">
      <w:pPr>
        <w:autoSpaceDE w:val="0"/>
        <w:autoSpaceDN w:val="0"/>
        <w:spacing w:line="360" w:lineRule="auto"/>
        <w:ind w:firstLine="6480" w:firstLineChars="2700"/>
        <w:rPr>
          <w:rFonts w:hint="eastAsia" w:ascii="仿宋" w:hAnsi="仿宋" w:eastAsia="仿宋" w:cs="仿宋"/>
          <w:kern w:val="0"/>
          <w:sz w:val="24"/>
          <w:highlight w:val="none"/>
          <w:lang w:val="zh-CN"/>
        </w:rPr>
      </w:pPr>
    </w:p>
    <w:p w14:paraId="571BBEAD">
      <w:pPr>
        <w:overflowPunct w:val="0"/>
        <w:spacing w:line="520" w:lineRule="exact"/>
        <w:ind w:firstLine="602" w:firstLineChars="200"/>
        <w:rPr>
          <w:rFonts w:hint="eastAsia" w:ascii="仿宋" w:hAnsi="仿宋" w:eastAsia="仿宋" w:cs="仿宋"/>
          <w:b/>
          <w:kern w:val="0"/>
          <w:sz w:val="30"/>
          <w:szCs w:val="30"/>
          <w:highlight w:val="none"/>
        </w:rPr>
        <w:sectPr>
          <w:pgSz w:w="11905" w:h="16838"/>
          <w:pgMar w:top="1304" w:right="1304" w:bottom="1304" w:left="1304" w:header="720" w:footer="720" w:gutter="0"/>
          <w:pgNumType w:fmt="decimal"/>
          <w:cols w:space="720" w:num="1"/>
          <w:docGrid w:type="lines" w:linePitch="339" w:charSpace="0"/>
        </w:sectPr>
      </w:pPr>
      <w:r>
        <w:rPr>
          <w:rFonts w:hint="eastAsia" w:ascii="仿宋" w:hAnsi="仿宋" w:eastAsia="仿宋" w:cs="仿宋"/>
          <w:b/>
          <w:kern w:val="0"/>
          <w:sz w:val="30"/>
          <w:szCs w:val="30"/>
          <w:highlight w:val="none"/>
        </w:rPr>
        <w:t>九、除磋商文件规定必须提供以外，供应商认为需要提供的其他证明材料</w:t>
      </w:r>
    </w:p>
    <w:p w14:paraId="5489662E">
      <w:pPr>
        <w:keepNext/>
        <w:keepLines/>
        <w:spacing w:before="260" w:after="260" w:line="416" w:lineRule="auto"/>
        <w:jc w:val="center"/>
        <w:outlineLvl w:val="1"/>
        <w:rPr>
          <w:rFonts w:hint="eastAsia" w:ascii="仿宋" w:hAnsi="仿宋" w:eastAsia="仿宋" w:cs="仿宋"/>
          <w:b/>
          <w:bCs/>
          <w:sz w:val="32"/>
          <w:szCs w:val="32"/>
          <w:highlight w:val="none"/>
        </w:rPr>
      </w:pPr>
      <w:bookmarkStart w:id="116" w:name="_Toc4748"/>
      <w:bookmarkStart w:id="117" w:name="_Toc127516337"/>
      <w:bookmarkStart w:id="118" w:name="_Toc80205940"/>
      <w:r>
        <w:rPr>
          <w:rFonts w:hint="eastAsia" w:ascii="仿宋" w:hAnsi="仿宋" w:eastAsia="仿宋" w:cs="仿宋"/>
          <w:b/>
          <w:bCs/>
          <w:sz w:val="32"/>
          <w:szCs w:val="32"/>
          <w:highlight w:val="none"/>
        </w:rPr>
        <w:t>第三节 商务文件格式</w:t>
      </w:r>
      <w:bookmarkEnd w:id="116"/>
      <w:bookmarkEnd w:id="117"/>
      <w:bookmarkEnd w:id="118"/>
    </w:p>
    <w:p w14:paraId="3CD5D028">
      <w:pPr>
        <w:snapToGrid w:val="0"/>
        <w:spacing w:before="169" w:beforeLines="50" w:after="50"/>
        <w:rPr>
          <w:rFonts w:hint="eastAsia" w:ascii="仿宋" w:hAnsi="仿宋" w:eastAsia="仿宋" w:cs="仿宋"/>
          <w:sz w:val="30"/>
          <w:szCs w:val="20"/>
          <w:highlight w:val="none"/>
        </w:rPr>
      </w:pPr>
    </w:p>
    <w:p w14:paraId="11B47F94">
      <w:pPr>
        <w:snapToGrid w:val="0"/>
        <w:spacing w:before="169" w:beforeLines="50" w:after="50"/>
        <w:rPr>
          <w:rFonts w:hint="eastAsia" w:ascii="仿宋" w:hAnsi="仿宋" w:eastAsia="仿宋" w:cs="仿宋"/>
          <w:bCs/>
          <w:sz w:val="32"/>
          <w:szCs w:val="20"/>
          <w:highlight w:val="none"/>
        </w:rPr>
      </w:pPr>
      <w:r>
        <w:rPr>
          <w:rFonts w:hint="eastAsia" w:ascii="仿宋" w:hAnsi="仿宋" w:eastAsia="仿宋" w:cs="仿宋"/>
          <w:bCs/>
          <w:highlight w:val="none"/>
        </w:rPr>
        <w:t xml:space="preserve">             电子响应文件</w:t>
      </w:r>
    </w:p>
    <w:p w14:paraId="2E08655D">
      <w:pPr>
        <w:snapToGrid w:val="0"/>
        <w:spacing w:before="169" w:beforeLines="50" w:after="50"/>
        <w:rPr>
          <w:rFonts w:hint="eastAsia" w:ascii="仿宋" w:hAnsi="仿宋" w:eastAsia="仿宋" w:cs="仿宋"/>
          <w:sz w:val="24"/>
          <w:szCs w:val="20"/>
          <w:highlight w:val="none"/>
        </w:rPr>
      </w:pPr>
    </w:p>
    <w:p w14:paraId="4DA018E9">
      <w:pPr>
        <w:snapToGrid w:val="0"/>
        <w:spacing w:before="169" w:beforeLines="50" w:after="50"/>
        <w:jc w:val="center"/>
        <w:rPr>
          <w:rFonts w:hint="eastAsia" w:ascii="仿宋" w:hAnsi="仿宋" w:eastAsia="仿宋" w:cs="仿宋"/>
          <w:b/>
          <w:sz w:val="24"/>
          <w:szCs w:val="20"/>
          <w:highlight w:val="none"/>
        </w:rPr>
      </w:pPr>
      <w:r>
        <w:rPr>
          <w:rFonts w:hint="eastAsia" w:ascii="仿宋" w:hAnsi="仿宋" w:eastAsia="仿宋" w:cs="仿宋"/>
          <w:b/>
          <w:sz w:val="32"/>
          <w:szCs w:val="32"/>
          <w:highlight w:val="none"/>
        </w:rPr>
        <w:t>商务文件（封面）</w:t>
      </w:r>
    </w:p>
    <w:p w14:paraId="3A97F7C1">
      <w:pPr>
        <w:snapToGrid w:val="0"/>
        <w:spacing w:before="169" w:beforeLines="50" w:after="50"/>
        <w:rPr>
          <w:rFonts w:hint="eastAsia" w:ascii="仿宋" w:hAnsi="仿宋" w:eastAsia="仿宋" w:cs="仿宋"/>
          <w:bCs/>
          <w:sz w:val="24"/>
          <w:szCs w:val="20"/>
          <w:highlight w:val="none"/>
        </w:rPr>
      </w:pPr>
    </w:p>
    <w:p w14:paraId="06CA11EE">
      <w:pPr>
        <w:snapToGrid w:val="0"/>
        <w:spacing w:before="169" w:beforeLines="50" w:after="50"/>
        <w:ind w:firstLine="540" w:firstLineChars="225"/>
        <w:rPr>
          <w:rFonts w:hint="eastAsia" w:ascii="仿宋" w:hAnsi="仿宋" w:eastAsia="仿宋" w:cs="仿宋"/>
          <w:bCs/>
          <w:sz w:val="24"/>
          <w:highlight w:val="none"/>
        </w:rPr>
      </w:pPr>
      <w:r>
        <w:rPr>
          <w:rFonts w:hint="eastAsia" w:ascii="仿宋" w:hAnsi="仿宋" w:eastAsia="仿宋" w:cs="仿宋"/>
          <w:bCs/>
          <w:sz w:val="24"/>
          <w:highlight w:val="none"/>
        </w:rPr>
        <w:t>项目名称：</w:t>
      </w:r>
    </w:p>
    <w:p w14:paraId="0F70933B">
      <w:pPr>
        <w:snapToGrid w:val="0"/>
        <w:spacing w:before="169" w:beforeLines="50" w:after="50"/>
        <w:ind w:firstLine="540" w:firstLineChars="225"/>
        <w:rPr>
          <w:rFonts w:hint="eastAsia" w:ascii="仿宋" w:hAnsi="仿宋" w:eastAsia="仿宋" w:cs="仿宋"/>
          <w:bCs/>
          <w:sz w:val="24"/>
          <w:szCs w:val="20"/>
          <w:highlight w:val="none"/>
        </w:rPr>
      </w:pPr>
    </w:p>
    <w:p w14:paraId="4EDAA7FA">
      <w:pPr>
        <w:snapToGrid w:val="0"/>
        <w:spacing w:before="169" w:beforeLines="50" w:after="50"/>
        <w:ind w:firstLine="540" w:firstLineChars="225"/>
        <w:rPr>
          <w:rFonts w:hint="eastAsia" w:ascii="仿宋" w:hAnsi="仿宋" w:eastAsia="仿宋" w:cs="仿宋"/>
          <w:bCs/>
          <w:sz w:val="24"/>
          <w:highlight w:val="none"/>
        </w:rPr>
      </w:pPr>
      <w:r>
        <w:rPr>
          <w:rFonts w:hint="eastAsia" w:ascii="仿宋" w:hAnsi="仿宋" w:eastAsia="仿宋" w:cs="仿宋"/>
          <w:bCs/>
          <w:sz w:val="24"/>
          <w:highlight w:val="none"/>
        </w:rPr>
        <w:t>项目编号：</w:t>
      </w:r>
    </w:p>
    <w:p w14:paraId="6F06B845">
      <w:pPr>
        <w:snapToGrid w:val="0"/>
        <w:spacing w:before="169" w:beforeLines="50" w:after="50"/>
        <w:ind w:firstLine="540" w:firstLineChars="225"/>
        <w:rPr>
          <w:rFonts w:hint="eastAsia" w:ascii="仿宋" w:hAnsi="仿宋" w:eastAsia="仿宋" w:cs="仿宋"/>
          <w:bCs/>
          <w:sz w:val="24"/>
          <w:szCs w:val="20"/>
          <w:highlight w:val="none"/>
        </w:rPr>
      </w:pPr>
    </w:p>
    <w:p w14:paraId="1AE5D5AB">
      <w:pPr>
        <w:snapToGrid w:val="0"/>
        <w:spacing w:before="169" w:beforeLines="50" w:after="50"/>
        <w:ind w:firstLine="540" w:firstLineChars="225"/>
        <w:rPr>
          <w:rFonts w:hint="eastAsia" w:ascii="仿宋" w:hAnsi="仿宋" w:eastAsia="仿宋" w:cs="仿宋"/>
          <w:bCs/>
          <w:sz w:val="24"/>
          <w:highlight w:val="none"/>
        </w:rPr>
      </w:pPr>
      <w:r>
        <w:rPr>
          <w:rFonts w:hint="eastAsia" w:ascii="仿宋" w:hAnsi="仿宋" w:eastAsia="仿宋" w:cs="仿宋"/>
          <w:bCs/>
          <w:sz w:val="24"/>
          <w:highlight w:val="none"/>
        </w:rPr>
        <w:t>所投分标：</w:t>
      </w:r>
    </w:p>
    <w:p w14:paraId="37865C65">
      <w:pPr>
        <w:snapToGrid w:val="0"/>
        <w:spacing w:before="169" w:beforeLines="50" w:after="50"/>
        <w:ind w:firstLine="540" w:firstLineChars="225"/>
        <w:rPr>
          <w:rFonts w:hint="eastAsia" w:ascii="仿宋" w:hAnsi="仿宋" w:eastAsia="仿宋" w:cs="仿宋"/>
          <w:bCs/>
          <w:sz w:val="24"/>
          <w:szCs w:val="20"/>
          <w:highlight w:val="none"/>
        </w:rPr>
      </w:pPr>
    </w:p>
    <w:p w14:paraId="0F833E71">
      <w:pPr>
        <w:snapToGrid w:val="0"/>
        <w:spacing w:before="50" w:after="50"/>
        <w:ind w:firstLine="540" w:firstLineChars="225"/>
        <w:rPr>
          <w:rFonts w:hint="eastAsia" w:ascii="仿宋" w:hAnsi="仿宋" w:eastAsia="仿宋" w:cs="仿宋"/>
          <w:bCs/>
          <w:sz w:val="24"/>
          <w:highlight w:val="none"/>
        </w:rPr>
      </w:pPr>
      <w:r>
        <w:rPr>
          <w:rFonts w:hint="eastAsia" w:ascii="仿宋" w:hAnsi="仿宋" w:eastAsia="仿宋" w:cs="仿宋"/>
          <w:bCs/>
          <w:sz w:val="24"/>
          <w:highlight w:val="none"/>
        </w:rPr>
        <w:t>竞标供应商名称：</w:t>
      </w:r>
    </w:p>
    <w:p w14:paraId="7D332427">
      <w:pPr>
        <w:snapToGrid w:val="0"/>
        <w:spacing w:before="50" w:after="50"/>
        <w:ind w:firstLine="540" w:firstLineChars="225"/>
        <w:rPr>
          <w:rFonts w:hint="eastAsia" w:ascii="仿宋" w:hAnsi="仿宋" w:eastAsia="仿宋" w:cs="仿宋"/>
          <w:bCs/>
          <w:sz w:val="24"/>
          <w:highlight w:val="none"/>
        </w:rPr>
      </w:pPr>
    </w:p>
    <w:p w14:paraId="579CF946">
      <w:pPr>
        <w:snapToGrid w:val="0"/>
        <w:spacing w:before="50" w:after="50"/>
        <w:ind w:firstLine="960" w:firstLineChars="400"/>
        <w:rPr>
          <w:rFonts w:hint="eastAsia" w:ascii="仿宋" w:hAnsi="仿宋" w:eastAsia="仿宋" w:cs="仿宋"/>
          <w:bCs/>
          <w:sz w:val="24"/>
          <w:highlight w:val="none"/>
        </w:rPr>
      </w:pPr>
    </w:p>
    <w:p w14:paraId="7F903C99">
      <w:pPr>
        <w:snapToGrid w:val="0"/>
        <w:spacing w:before="169" w:beforeLines="50" w:after="50"/>
        <w:ind w:firstLine="645"/>
        <w:rPr>
          <w:rFonts w:hint="eastAsia" w:ascii="仿宋" w:hAnsi="仿宋" w:eastAsia="仿宋" w:cs="仿宋"/>
          <w:sz w:val="24"/>
          <w:highlight w:val="none"/>
        </w:rPr>
      </w:pPr>
      <w:r>
        <w:rPr>
          <w:rFonts w:hint="eastAsia" w:ascii="仿宋" w:hAnsi="仿宋" w:eastAsia="仿宋" w:cs="仿宋"/>
          <w:sz w:val="24"/>
          <w:highlight w:val="none"/>
        </w:rPr>
        <w:t xml:space="preserve">                        年  月  日</w:t>
      </w:r>
    </w:p>
    <w:p w14:paraId="60E54F33">
      <w:pPr>
        <w:snapToGrid w:val="0"/>
        <w:spacing w:before="169" w:beforeLines="50" w:after="50"/>
        <w:rPr>
          <w:rFonts w:hint="eastAsia" w:ascii="仿宋" w:hAnsi="仿宋" w:eastAsia="仿宋" w:cs="仿宋"/>
          <w:sz w:val="24"/>
          <w:szCs w:val="20"/>
          <w:highlight w:val="none"/>
        </w:rPr>
      </w:pPr>
    </w:p>
    <w:p w14:paraId="6ABD2821">
      <w:pPr>
        <w:spacing w:line="360" w:lineRule="auto"/>
        <w:ind w:right="420"/>
        <w:rPr>
          <w:rFonts w:hint="eastAsia" w:ascii="仿宋" w:hAnsi="仿宋" w:eastAsia="仿宋" w:cs="仿宋"/>
          <w:sz w:val="24"/>
          <w:szCs w:val="20"/>
          <w:highlight w:val="none"/>
        </w:rPr>
      </w:pPr>
    </w:p>
    <w:p w14:paraId="5C180950">
      <w:pPr>
        <w:spacing w:line="360" w:lineRule="auto"/>
        <w:ind w:right="420"/>
        <w:rPr>
          <w:rFonts w:hint="eastAsia" w:ascii="仿宋" w:hAnsi="仿宋" w:eastAsia="仿宋" w:cs="仿宋"/>
          <w:sz w:val="24"/>
          <w:szCs w:val="20"/>
          <w:highlight w:val="none"/>
        </w:rPr>
      </w:pPr>
    </w:p>
    <w:p w14:paraId="4E6B228F">
      <w:pPr>
        <w:spacing w:line="360" w:lineRule="auto"/>
        <w:ind w:right="420"/>
        <w:rPr>
          <w:rFonts w:hint="eastAsia" w:ascii="仿宋" w:hAnsi="仿宋" w:eastAsia="仿宋" w:cs="仿宋"/>
          <w:sz w:val="24"/>
          <w:szCs w:val="20"/>
          <w:highlight w:val="none"/>
        </w:rPr>
      </w:pPr>
    </w:p>
    <w:p w14:paraId="0AD9DC14">
      <w:pPr>
        <w:spacing w:line="360" w:lineRule="auto"/>
        <w:ind w:right="420"/>
        <w:rPr>
          <w:rFonts w:hint="eastAsia" w:ascii="仿宋" w:hAnsi="仿宋" w:eastAsia="仿宋" w:cs="仿宋"/>
          <w:sz w:val="24"/>
          <w:szCs w:val="20"/>
          <w:highlight w:val="none"/>
        </w:rPr>
      </w:pPr>
    </w:p>
    <w:p w14:paraId="7D0F3DA7">
      <w:pPr>
        <w:spacing w:line="360" w:lineRule="auto"/>
        <w:ind w:right="420"/>
        <w:rPr>
          <w:rFonts w:hint="eastAsia" w:ascii="仿宋" w:hAnsi="仿宋" w:eastAsia="仿宋" w:cs="仿宋"/>
          <w:sz w:val="24"/>
          <w:szCs w:val="20"/>
          <w:highlight w:val="none"/>
        </w:rPr>
      </w:pPr>
    </w:p>
    <w:p w14:paraId="5B89C187">
      <w:pPr>
        <w:spacing w:line="360" w:lineRule="auto"/>
        <w:ind w:right="420"/>
        <w:rPr>
          <w:rFonts w:hint="eastAsia" w:ascii="仿宋" w:hAnsi="仿宋" w:eastAsia="仿宋" w:cs="仿宋"/>
          <w:sz w:val="24"/>
          <w:szCs w:val="20"/>
          <w:highlight w:val="none"/>
        </w:rPr>
      </w:pPr>
    </w:p>
    <w:p w14:paraId="3D182E74">
      <w:pPr>
        <w:spacing w:line="360" w:lineRule="auto"/>
        <w:ind w:right="420"/>
        <w:rPr>
          <w:rFonts w:hint="eastAsia" w:ascii="仿宋" w:hAnsi="仿宋" w:eastAsia="仿宋" w:cs="仿宋"/>
          <w:sz w:val="24"/>
          <w:szCs w:val="20"/>
          <w:highlight w:val="none"/>
        </w:rPr>
      </w:pPr>
    </w:p>
    <w:p w14:paraId="0B37C8F7">
      <w:pPr>
        <w:spacing w:line="360" w:lineRule="auto"/>
        <w:ind w:right="420"/>
        <w:rPr>
          <w:rFonts w:hint="eastAsia" w:ascii="仿宋" w:hAnsi="仿宋" w:eastAsia="仿宋" w:cs="仿宋"/>
          <w:sz w:val="24"/>
          <w:szCs w:val="20"/>
          <w:highlight w:val="none"/>
        </w:rPr>
      </w:pPr>
    </w:p>
    <w:p w14:paraId="7D8BC344">
      <w:pPr>
        <w:spacing w:line="360" w:lineRule="auto"/>
        <w:ind w:right="420"/>
        <w:rPr>
          <w:rFonts w:hint="eastAsia" w:ascii="仿宋" w:hAnsi="仿宋" w:eastAsia="仿宋" w:cs="仿宋"/>
          <w:sz w:val="24"/>
          <w:szCs w:val="20"/>
          <w:highlight w:val="none"/>
        </w:rPr>
      </w:pPr>
    </w:p>
    <w:p w14:paraId="63074C72">
      <w:pPr>
        <w:spacing w:line="360" w:lineRule="auto"/>
        <w:ind w:right="420"/>
        <w:rPr>
          <w:rFonts w:hint="eastAsia" w:ascii="仿宋" w:hAnsi="仿宋" w:eastAsia="仿宋" w:cs="仿宋"/>
          <w:b/>
          <w:kern w:val="0"/>
          <w:sz w:val="36"/>
          <w:szCs w:val="36"/>
          <w:highlight w:val="none"/>
        </w:rPr>
      </w:pPr>
    </w:p>
    <w:p w14:paraId="25776CE3">
      <w:pPr>
        <w:spacing w:line="360" w:lineRule="auto"/>
        <w:ind w:right="420"/>
        <w:rPr>
          <w:rFonts w:hint="eastAsia" w:ascii="仿宋" w:hAnsi="仿宋" w:eastAsia="仿宋" w:cs="仿宋"/>
          <w:b/>
          <w:kern w:val="0"/>
          <w:sz w:val="36"/>
          <w:szCs w:val="36"/>
          <w:highlight w:val="none"/>
        </w:rPr>
      </w:pPr>
    </w:p>
    <w:p w14:paraId="533C7CDC">
      <w:pPr>
        <w:rPr>
          <w:rFonts w:hint="eastAsia" w:ascii="仿宋" w:hAnsi="仿宋" w:eastAsia="仿宋" w:cs="仿宋"/>
          <w:b/>
          <w:kern w:val="0"/>
          <w:sz w:val="24"/>
          <w:highlight w:val="none"/>
        </w:rPr>
      </w:pPr>
    </w:p>
    <w:p w14:paraId="40110E12">
      <w:pPr>
        <w:jc w:val="center"/>
        <w:rPr>
          <w:rFonts w:hint="eastAsia" w:ascii="仿宋" w:hAnsi="仿宋" w:eastAsia="仿宋" w:cs="仿宋"/>
          <w:b/>
          <w:kern w:val="0"/>
          <w:sz w:val="28"/>
          <w:szCs w:val="28"/>
          <w:highlight w:val="none"/>
        </w:rPr>
      </w:pPr>
      <w:r>
        <w:rPr>
          <w:rFonts w:hint="eastAsia" w:ascii="仿宋" w:hAnsi="仿宋" w:eastAsia="仿宋" w:cs="仿宋"/>
          <w:b/>
          <w:kern w:val="0"/>
          <w:sz w:val="28"/>
          <w:szCs w:val="28"/>
          <w:highlight w:val="none"/>
        </w:rPr>
        <w:t>商务文件目录</w:t>
      </w:r>
    </w:p>
    <w:p w14:paraId="4DD13313">
      <w:pPr>
        <w:adjustRightInd w:val="0"/>
        <w:spacing w:line="360" w:lineRule="auto"/>
        <w:ind w:left="2" w:firstLine="480" w:firstLineChars="200"/>
        <w:rPr>
          <w:rFonts w:hint="eastAsia" w:ascii="仿宋" w:hAnsi="仿宋" w:eastAsia="仿宋" w:cs="仿宋"/>
          <w:sz w:val="24"/>
          <w:highlight w:val="none"/>
        </w:rPr>
      </w:pPr>
      <w:r>
        <w:rPr>
          <w:rFonts w:hint="eastAsia" w:ascii="仿宋" w:hAnsi="仿宋" w:eastAsia="仿宋" w:cs="仿宋"/>
          <w:sz w:val="24"/>
          <w:highlight w:val="none"/>
        </w:rPr>
        <w:t>一、无串标行为承诺函………………………………………………………（页码）</w:t>
      </w:r>
    </w:p>
    <w:p w14:paraId="65DDCF2F">
      <w:pPr>
        <w:adjustRightInd w:val="0"/>
        <w:spacing w:line="360" w:lineRule="auto"/>
        <w:ind w:left="2" w:firstLine="480" w:firstLineChars="200"/>
        <w:rPr>
          <w:rFonts w:hint="eastAsia" w:ascii="仿宋" w:hAnsi="仿宋" w:eastAsia="仿宋" w:cs="仿宋"/>
          <w:sz w:val="24"/>
          <w:highlight w:val="none"/>
        </w:rPr>
      </w:pPr>
      <w:r>
        <w:rPr>
          <w:rFonts w:hint="eastAsia" w:ascii="仿宋" w:hAnsi="仿宋" w:eastAsia="仿宋" w:cs="仿宋"/>
          <w:sz w:val="24"/>
          <w:highlight w:val="none"/>
        </w:rPr>
        <w:t>二、法定代表人身份证明及法定代表人有效身份证正反面复印件………（页码）</w:t>
      </w:r>
    </w:p>
    <w:p w14:paraId="5537C0D1">
      <w:pPr>
        <w:adjustRightInd w:val="0"/>
        <w:spacing w:line="360" w:lineRule="auto"/>
        <w:ind w:left="2" w:firstLine="480" w:firstLineChars="200"/>
        <w:rPr>
          <w:rFonts w:hint="eastAsia" w:ascii="仿宋" w:hAnsi="仿宋" w:eastAsia="仿宋" w:cs="仿宋"/>
          <w:sz w:val="24"/>
          <w:highlight w:val="none"/>
        </w:rPr>
      </w:pPr>
      <w:r>
        <w:rPr>
          <w:rFonts w:hint="eastAsia" w:ascii="仿宋" w:hAnsi="仿宋" w:eastAsia="仿宋" w:cs="仿宋"/>
          <w:sz w:val="24"/>
          <w:highlight w:val="none"/>
        </w:rPr>
        <w:t>三、法定代表人授权委托书（如有委托时）………………………………（页码）</w:t>
      </w:r>
    </w:p>
    <w:p w14:paraId="78227088">
      <w:pPr>
        <w:adjustRightInd w:val="0"/>
        <w:spacing w:line="360" w:lineRule="auto"/>
        <w:ind w:left="2" w:firstLine="480" w:firstLineChars="200"/>
        <w:rPr>
          <w:rFonts w:hint="eastAsia" w:ascii="仿宋" w:hAnsi="仿宋" w:eastAsia="仿宋" w:cs="仿宋"/>
          <w:sz w:val="24"/>
          <w:highlight w:val="none"/>
        </w:rPr>
      </w:pPr>
      <w:r>
        <w:rPr>
          <w:rFonts w:hint="eastAsia" w:ascii="仿宋" w:hAnsi="仿宋" w:eastAsia="仿宋" w:cs="仿宋"/>
          <w:sz w:val="24"/>
          <w:highlight w:val="none"/>
        </w:rPr>
        <w:t>四、</w:t>
      </w:r>
      <w:r>
        <w:rPr>
          <w:rFonts w:hint="eastAsia" w:ascii="仿宋" w:hAnsi="仿宋" w:eastAsia="仿宋" w:cs="仿宋"/>
          <w:sz w:val="24"/>
          <w:highlight w:val="none"/>
          <w:lang w:val="zh-CN"/>
        </w:rPr>
        <w:t>商务条款偏离表………………………………</w:t>
      </w:r>
      <w:r>
        <w:rPr>
          <w:rFonts w:hint="eastAsia" w:ascii="仿宋" w:hAnsi="仿宋" w:eastAsia="仿宋" w:cs="仿宋"/>
          <w:sz w:val="24"/>
          <w:highlight w:val="none"/>
        </w:rPr>
        <w:t>…………………………（页码）</w:t>
      </w:r>
    </w:p>
    <w:p w14:paraId="4BA2165D">
      <w:pPr>
        <w:adjustRightInd w:val="0"/>
        <w:spacing w:line="360" w:lineRule="auto"/>
        <w:ind w:left="2" w:firstLine="480" w:firstLineChars="200"/>
        <w:rPr>
          <w:rFonts w:hint="eastAsia" w:ascii="仿宋" w:hAnsi="仿宋" w:eastAsia="仿宋" w:cs="仿宋"/>
          <w:sz w:val="24"/>
          <w:highlight w:val="none"/>
        </w:rPr>
      </w:pPr>
      <w:bookmarkStart w:id="119" w:name="OLE_LINK7"/>
      <w:bookmarkStart w:id="120" w:name="OLE_LINK6"/>
      <w:bookmarkStart w:id="121" w:name="OLE_LINK5"/>
      <w:r>
        <w:rPr>
          <w:rFonts w:hint="eastAsia" w:ascii="仿宋" w:hAnsi="仿宋" w:eastAsia="仿宋" w:cs="仿宋"/>
          <w:sz w:val="24"/>
          <w:highlight w:val="none"/>
        </w:rPr>
        <w:t>五、竞标供应商情况介绍</w:t>
      </w:r>
      <w:r>
        <w:rPr>
          <w:rFonts w:hint="eastAsia" w:ascii="仿宋" w:hAnsi="仿宋" w:eastAsia="仿宋" w:cs="仿宋"/>
          <w:sz w:val="24"/>
          <w:highlight w:val="none"/>
          <w:lang w:val="zh-CN"/>
        </w:rPr>
        <w:t>………………………………</w:t>
      </w:r>
      <w:r>
        <w:rPr>
          <w:rFonts w:hint="eastAsia" w:ascii="仿宋" w:hAnsi="仿宋" w:eastAsia="仿宋" w:cs="仿宋"/>
          <w:sz w:val="24"/>
          <w:highlight w:val="none"/>
        </w:rPr>
        <w:t>……………………（页码）</w:t>
      </w:r>
    </w:p>
    <w:p w14:paraId="5FBD543C">
      <w:pPr>
        <w:adjustRightInd w:val="0"/>
        <w:spacing w:line="360" w:lineRule="auto"/>
        <w:ind w:left="2" w:firstLine="480" w:firstLineChars="200"/>
        <w:rPr>
          <w:rFonts w:hint="eastAsia" w:ascii="仿宋" w:hAnsi="仿宋" w:eastAsia="仿宋" w:cs="仿宋"/>
          <w:sz w:val="24"/>
          <w:highlight w:val="none"/>
        </w:rPr>
      </w:pPr>
      <w:r>
        <w:rPr>
          <w:rFonts w:hint="eastAsia" w:ascii="仿宋" w:hAnsi="仿宋" w:eastAsia="仿宋" w:cs="仿宋"/>
          <w:sz w:val="24"/>
          <w:highlight w:val="none"/>
        </w:rPr>
        <w:t>六、竞标供应商类似业绩的证明文件（如有要求）</w:t>
      </w:r>
      <w:r>
        <w:rPr>
          <w:rFonts w:hint="eastAsia" w:ascii="仿宋" w:hAnsi="仿宋" w:eastAsia="仿宋" w:cs="仿宋"/>
          <w:sz w:val="24"/>
          <w:highlight w:val="none"/>
          <w:lang w:val="zh-CN"/>
        </w:rPr>
        <w:t>………………………</w:t>
      </w:r>
      <w:r>
        <w:rPr>
          <w:rFonts w:hint="eastAsia" w:ascii="仿宋" w:hAnsi="仿宋" w:eastAsia="仿宋" w:cs="仿宋"/>
          <w:sz w:val="24"/>
          <w:highlight w:val="none"/>
        </w:rPr>
        <w:t>（页码）</w:t>
      </w:r>
      <w:bookmarkEnd w:id="119"/>
      <w:bookmarkEnd w:id="120"/>
    </w:p>
    <w:p w14:paraId="2360DDC3">
      <w:pPr>
        <w:adjustRightInd w:val="0"/>
        <w:spacing w:line="360" w:lineRule="auto"/>
        <w:ind w:left="2" w:firstLine="480" w:firstLineChars="200"/>
        <w:rPr>
          <w:rFonts w:hint="eastAsia" w:ascii="仿宋" w:hAnsi="仿宋" w:eastAsia="仿宋" w:cs="仿宋"/>
          <w:sz w:val="24"/>
          <w:highlight w:val="none"/>
        </w:rPr>
      </w:pPr>
      <w:r>
        <w:rPr>
          <w:rFonts w:hint="eastAsia" w:ascii="仿宋" w:hAnsi="仿宋" w:eastAsia="仿宋" w:cs="仿宋"/>
          <w:sz w:val="24"/>
          <w:highlight w:val="none"/>
        </w:rPr>
        <w:t>七、项目实施人员一览表……………………………</w:t>
      </w:r>
      <w:r>
        <w:rPr>
          <w:rFonts w:hint="eastAsia" w:ascii="仿宋" w:hAnsi="仿宋" w:eastAsia="仿宋" w:cs="仿宋"/>
          <w:sz w:val="24"/>
          <w:highlight w:val="none"/>
          <w:lang w:val="zh-CN"/>
        </w:rPr>
        <w:t>………………………</w:t>
      </w:r>
      <w:r>
        <w:rPr>
          <w:rFonts w:hint="eastAsia" w:ascii="仿宋" w:hAnsi="仿宋" w:eastAsia="仿宋" w:cs="仿宋"/>
          <w:sz w:val="24"/>
          <w:highlight w:val="none"/>
        </w:rPr>
        <w:t>（页码）</w:t>
      </w:r>
    </w:p>
    <w:p w14:paraId="1A512F94">
      <w:pPr>
        <w:adjustRightInd w:val="0"/>
        <w:spacing w:line="360" w:lineRule="auto"/>
        <w:ind w:left="2" w:firstLine="480" w:firstLineChars="200"/>
        <w:rPr>
          <w:rFonts w:hint="eastAsia" w:ascii="仿宋" w:hAnsi="仿宋" w:eastAsia="仿宋" w:cs="仿宋"/>
          <w:sz w:val="24"/>
          <w:highlight w:val="none"/>
        </w:rPr>
      </w:pPr>
      <w:r>
        <w:rPr>
          <w:rFonts w:hint="eastAsia" w:ascii="仿宋" w:hAnsi="仿宋" w:eastAsia="仿宋" w:cs="仿宋"/>
          <w:sz w:val="24"/>
          <w:highlight w:val="none"/>
        </w:rPr>
        <w:t>八、供应商认为需要提供的其他有关资料</w:t>
      </w:r>
      <w:r>
        <w:rPr>
          <w:rFonts w:hint="eastAsia" w:ascii="仿宋" w:hAnsi="仿宋" w:eastAsia="仿宋" w:cs="仿宋"/>
          <w:sz w:val="24"/>
          <w:highlight w:val="none"/>
          <w:lang w:val="zh-CN"/>
        </w:rPr>
        <w:t>…………………………………</w:t>
      </w:r>
      <w:r>
        <w:rPr>
          <w:rFonts w:hint="eastAsia" w:ascii="仿宋" w:hAnsi="仿宋" w:eastAsia="仿宋" w:cs="仿宋"/>
          <w:sz w:val="24"/>
          <w:highlight w:val="none"/>
        </w:rPr>
        <w:t>（页码）</w:t>
      </w:r>
    </w:p>
    <w:bookmarkEnd w:id="121"/>
    <w:p w14:paraId="357C7D89">
      <w:pPr>
        <w:spacing w:line="360" w:lineRule="auto"/>
        <w:rPr>
          <w:rFonts w:hint="eastAsia" w:ascii="仿宋" w:hAnsi="仿宋" w:eastAsia="仿宋" w:cs="仿宋"/>
          <w:b/>
          <w:bCs/>
          <w:sz w:val="24"/>
          <w:highlight w:val="none"/>
        </w:rPr>
      </w:pPr>
      <w:r>
        <w:rPr>
          <w:rFonts w:hint="eastAsia" w:ascii="仿宋" w:hAnsi="仿宋" w:eastAsia="仿宋" w:cs="仿宋"/>
          <w:b/>
          <w:bCs/>
          <w:sz w:val="24"/>
          <w:highlight w:val="none"/>
        </w:rPr>
        <w:t>注：以上目录是基本格式要求，各竞标供应商可根据自身情况进一步向下增加内容或细化。</w:t>
      </w:r>
    </w:p>
    <w:p w14:paraId="3B26E832">
      <w:pPr>
        <w:snapToGrid w:val="0"/>
        <w:spacing w:line="360" w:lineRule="auto"/>
        <w:ind w:firstLine="420" w:firstLineChars="200"/>
        <w:jc w:val="left"/>
        <w:rPr>
          <w:rFonts w:hint="eastAsia" w:ascii="仿宋" w:hAnsi="仿宋" w:eastAsia="仿宋" w:cs="仿宋"/>
          <w:highlight w:val="none"/>
        </w:rPr>
        <w:sectPr>
          <w:pgSz w:w="11905" w:h="16838"/>
          <w:pgMar w:top="1304" w:right="1304" w:bottom="1304" w:left="1304" w:header="720" w:footer="720" w:gutter="0"/>
          <w:pgNumType w:fmt="decimal"/>
          <w:cols w:space="720" w:num="1"/>
          <w:docGrid w:type="lines" w:linePitch="339" w:charSpace="0"/>
        </w:sectPr>
      </w:pPr>
    </w:p>
    <w:p w14:paraId="0266455C">
      <w:pPr>
        <w:snapToGrid w:val="0"/>
        <w:spacing w:before="169" w:beforeLines="50" w:after="50"/>
        <w:ind w:left="420"/>
        <w:jc w:val="center"/>
        <w:rPr>
          <w:rFonts w:hint="eastAsia" w:ascii="仿宋" w:hAnsi="仿宋" w:eastAsia="仿宋" w:cs="仿宋"/>
          <w:b/>
          <w:bCs/>
          <w:sz w:val="30"/>
          <w:szCs w:val="30"/>
          <w:highlight w:val="none"/>
        </w:rPr>
      </w:pPr>
      <w:r>
        <w:rPr>
          <w:rFonts w:hint="eastAsia" w:ascii="仿宋" w:hAnsi="仿宋" w:eastAsia="仿宋" w:cs="仿宋"/>
          <w:b/>
          <w:bCs/>
          <w:sz w:val="30"/>
          <w:szCs w:val="30"/>
          <w:highlight w:val="none"/>
        </w:rPr>
        <w:t>一、无串标行为承诺函</w:t>
      </w:r>
    </w:p>
    <w:p w14:paraId="5B3108F4">
      <w:pPr>
        <w:snapToGrid w:val="0"/>
        <w:spacing w:before="169" w:beforeLines="50" w:after="50"/>
        <w:ind w:left="420"/>
        <w:jc w:val="center"/>
        <w:rPr>
          <w:rFonts w:hint="eastAsia" w:ascii="仿宋" w:hAnsi="仿宋" w:eastAsia="仿宋" w:cs="仿宋"/>
          <w:b/>
          <w:sz w:val="32"/>
          <w:szCs w:val="32"/>
          <w:highlight w:val="none"/>
        </w:rPr>
      </w:pPr>
      <w:r>
        <w:rPr>
          <w:rFonts w:hint="eastAsia" w:ascii="仿宋" w:hAnsi="仿宋" w:eastAsia="仿宋" w:cs="仿宋"/>
          <w:b/>
          <w:sz w:val="32"/>
          <w:szCs w:val="32"/>
          <w:highlight w:val="none"/>
        </w:rPr>
        <w:t>竞标供应商参加本项目无围标串标行为的承诺函</w:t>
      </w:r>
    </w:p>
    <w:p w14:paraId="2A2326A7">
      <w:pPr>
        <w:snapToGrid w:val="0"/>
        <w:spacing w:before="169" w:beforeLines="50" w:after="50"/>
        <w:rPr>
          <w:rFonts w:hint="eastAsia" w:ascii="仿宋" w:hAnsi="仿宋" w:eastAsia="仿宋" w:cs="仿宋"/>
          <w:b/>
          <w:szCs w:val="21"/>
          <w:highlight w:val="none"/>
        </w:rPr>
      </w:pPr>
    </w:p>
    <w:p w14:paraId="6B416628">
      <w:pPr>
        <w:snapToGrid w:val="0"/>
        <w:spacing w:before="169" w:beforeLines="50" w:after="50" w:line="360" w:lineRule="auto"/>
        <w:jc w:val="left"/>
        <w:rPr>
          <w:rFonts w:hint="eastAsia" w:ascii="仿宋" w:hAnsi="仿宋" w:eastAsia="仿宋" w:cs="仿宋"/>
          <w:b/>
          <w:szCs w:val="21"/>
          <w:highlight w:val="none"/>
        </w:rPr>
      </w:pPr>
      <w:r>
        <w:rPr>
          <w:rFonts w:hint="eastAsia" w:ascii="仿宋" w:hAnsi="仿宋" w:eastAsia="仿宋" w:cs="仿宋"/>
          <w:b/>
          <w:szCs w:val="21"/>
          <w:highlight w:val="none"/>
        </w:rPr>
        <w:t>一、我方承诺无下列相互串通竞标的情形：</w:t>
      </w:r>
    </w:p>
    <w:p w14:paraId="4BD2B467">
      <w:pPr>
        <w:snapToGrid w:val="0"/>
        <w:spacing w:before="169" w:beforeLines="50" w:after="50" w:line="360" w:lineRule="auto"/>
        <w:ind w:firstLine="411" w:firstLineChars="196"/>
        <w:jc w:val="left"/>
        <w:rPr>
          <w:rFonts w:hint="eastAsia" w:ascii="仿宋" w:hAnsi="仿宋" w:eastAsia="仿宋" w:cs="仿宋"/>
          <w:szCs w:val="21"/>
          <w:highlight w:val="none"/>
        </w:rPr>
      </w:pPr>
      <w:r>
        <w:rPr>
          <w:rFonts w:hint="eastAsia" w:ascii="仿宋" w:hAnsi="仿宋" w:eastAsia="仿宋" w:cs="仿宋"/>
          <w:szCs w:val="21"/>
          <w:highlight w:val="none"/>
        </w:rPr>
        <w:t>1.不同竞标供应商的响应文件由同一单位或者个人编制；或者不同竞标供应商报名的IP地址一致的；</w:t>
      </w:r>
    </w:p>
    <w:p w14:paraId="79E27FB9">
      <w:pPr>
        <w:snapToGrid w:val="0"/>
        <w:spacing w:before="169" w:beforeLines="50" w:after="50" w:line="360" w:lineRule="auto"/>
        <w:ind w:firstLine="411" w:firstLineChars="196"/>
        <w:jc w:val="left"/>
        <w:rPr>
          <w:rFonts w:hint="eastAsia" w:ascii="仿宋" w:hAnsi="仿宋" w:eastAsia="仿宋" w:cs="仿宋"/>
          <w:szCs w:val="21"/>
          <w:highlight w:val="none"/>
        </w:rPr>
      </w:pPr>
      <w:r>
        <w:rPr>
          <w:rFonts w:hint="eastAsia" w:ascii="仿宋" w:hAnsi="仿宋" w:eastAsia="仿宋" w:cs="仿宋"/>
          <w:szCs w:val="21"/>
          <w:highlight w:val="none"/>
        </w:rPr>
        <w:t>2.不同竞标供应商委托同一单位或者个人办理竞标事宜；</w:t>
      </w:r>
    </w:p>
    <w:p w14:paraId="375FFEB8">
      <w:pPr>
        <w:snapToGrid w:val="0"/>
        <w:spacing w:before="169" w:beforeLines="50" w:after="50" w:line="360" w:lineRule="auto"/>
        <w:ind w:firstLine="411" w:firstLineChars="196"/>
        <w:jc w:val="left"/>
        <w:rPr>
          <w:rFonts w:hint="eastAsia" w:ascii="仿宋" w:hAnsi="仿宋" w:eastAsia="仿宋" w:cs="仿宋"/>
          <w:szCs w:val="21"/>
          <w:highlight w:val="none"/>
        </w:rPr>
      </w:pPr>
      <w:r>
        <w:rPr>
          <w:rFonts w:hint="eastAsia" w:ascii="仿宋" w:hAnsi="仿宋" w:eastAsia="仿宋" w:cs="仿宋"/>
          <w:szCs w:val="21"/>
          <w:highlight w:val="none"/>
        </w:rPr>
        <w:t>3.不同的竞标供应商的响应文件载明的项目管理员为同一个人；</w:t>
      </w:r>
    </w:p>
    <w:p w14:paraId="5ED4BB05">
      <w:pPr>
        <w:snapToGrid w:val="0"/>
        <w:spacing w:before="169" w:beforeLines="50" w:after="50" w:line="360" w:lineRule="auto"/>
        <w:ind w:firstLine="411" w:firstLineChars="196"/>
        <w:jc w:val="left"/>
        <w:rPr>
          <w:rFonts w:hint="eastAsia" w:ascii="仿宋" w:hAnsi="仿宋" w:eastAsia="仿宋" w:cs="仿宋"/>
          <w:szCs w:val="21"/>
          <w:highlight w:val="none"/>
        </w:rPr>
      </w:pPr>
      <w:r>
        <w:rPr>
          <w:rFonts w:hint="eastAsia" w:ascii="仿宋" w:hAnsi="仿宋" w:eastAsia="仿宋" w:cs="仿宋"/>
          <w:szCs w:val="21"/>
          <w:highlight w:val="none"/>
        </w:rPr>
        <w:t>4.不同竞标供应商的响应文件异常一致或者竞标报价呈规律性差异；</w:t>
      </w:r>
    </w:p>
    <w:p w14:paraId="55F08C4F">
      <w:pPr>
        <w:snapToGrid w:val="0"/>
        <w:spacing w:before="169" w:beforeLines="50" w:after="50" w:line="360" w:lineRule="auto"/>
        <w:ind w:firstLine="411" w:firstLineChars="196"/>
        <w:jc w:val="left"/>
        <w:rPr>
          <w:rFonts w:hint="eastAsia" w:ascii="仿宋" w:hAnsi="仿宋" w:eastAsia="仿宋" w:cs="仿宋"/>
          <w:szCs w:val="21"/>
          <w:highlight w:val="none"/>
        </w:rPr>
      </w:pPr>
      <w:r>
        <w:rPr>
          <w:rFonts w:hint="eastAsia" w:ascii="仿宋" w:hAnsi="仿宋" w:eastAsia="仿宋" w:cs="仿宋"/>
          <w:szCs w:val="21"/>
          <w:highlight w:val="none"/>
        </w:rPr>
        <w:t>5.不同竞标供应商的响应文件相互混装；</w:t>
      </w:r>
    </w:p>
    <w:p w14:paraId="7C48303A">
      <w:pPr>
        <w:snapToGrid w:val="0"/>
        <w:spacing w:before="169" w:beforeLines="50" w:after="50" w:line="360" w:lineRule="auto"/>
        <w:ind w:firstLine="411" w:firstLineChars="196"/>
        <w:jc w:val="left"/>
        <w:rPr>
          <w:rFonts w:hint="eastAsia" w:ascii="仿宋" w:hAnsi="仿宋" w:eastAsia="仿宋" w:cs="仿宋"/>
          <w:szCs w:val="21"/>
          <w:highlight w:val="none"/>
        </w:rPr>
      </w:pPr>
      <w:r>
        <w:rPr>
          <w:rFonts w:hint="eastAsia" w:ascii="仿宋" w:hAnsi="仿宋" w:eastAsia="仿宋" w:cs="仿宋"/>
          <w:szCs w:val="21"/>
          <w:highlight w:val="none"/>
        </w:rPr>
        <w:t>6.不同竞标供应商的竞标保证金从同一单位或者个人账户转出。</w:t>
      </w:r>
    </w:p>
    <w:p w14:paraId="7205E03E">
      <w:pPr>
        <w:snapToGrid w:val="0"/>
        <w:spacing w:before="169" w:beforeLines="50" w:after="50" w:line="360" w:lineRule="auto"/>
        <w:jc w:val="left"/>
        <w:rPr>
          <w:rFonts w:hint="eastAsia" w:ascii="仿宋" w:hAnsi="仿宋" w:eastAsia="仿宋" w:cs="仿宋"/>
          <w:szCs w:val="21"/>
          <w:highlight w:val="none"/>
        </w:rPr>
      </w:pPr>
      <w:r>
        <w:rPr>
          <w:rFonts w:hint="eastAsia" w:ascii="仿宋" w:hAnsi="仿宋" w:eastAsia="仿宋" w:cs="仿宋"/>
          <w:b/>
          <w:szCs w:val="21"/>
          <w:highlight w:val="none"/>
        </w:rPr>
        <w:t>二、我方承诺无下列恶意串通的情形：</w:t>
      </w:r>
    </w:p>
    <w:p w14:paraId="7743CA20">
      <w:pPr>
        <w:snapToGrid w:val="0"/>
        <w:spacing w:before="169" w:beforeLines="50" w:after="50" w:line="360" w:lineRule="auto"/>
        <w:ind w:firstLine="411" w:firstLineChars="196"/>
        <w:jc w:val="left"/>
        <w:rPr>
          <w:rFonts w:hint="eastAsia" w:ascii="仿宋" w:hAnsi="仿宋" w:eastAsia="仿宋" w:cs="仿宋"/>
          <w:szCs w:val="21"/>
          <w:highlight w:val="none"/>
        </w:rPr>
      </w:pPr>
      <w:r>
        <w:rPr>
          <w:rFonts w:hint="eastAsia" w:ascii="仿宋" w:hAnsi="仿宋" w:eastAsia="仿宋" w:cs="仿宋"/>
          <w:szCs w:val="21"/>
          <w:highlight w:val="none"/>
        </w:rPr>
        <w:t>1.竞标供应商直接或者间接从采购人或者采购代理机构处获得其他竞标供应商的相关信息并修改其响应文件或者响应文件；</w:t>
      </w:r>
    </w:p>
    <w:p w14:paraId="5AD8BE2D">
      <w:pPr>
        <w:snapToGrid w:val="0"/>
        <w:spacing w:before="169" w:beforeLines="50" w:after="50" w:line="360" w:lineRule="auto"/>
        <w:ind w:firstLine="411" w:firstLineChars="196"/>
        <w:jc w:val="left"/>
        <w:rPr>
          <w:rFonts w:hint="eastAsia" w:ascii="仿宋" w:hAnsi="仿宋" w:eastAsia="仿宋" w:cs="仿宋"/>
          <w:szCs w:val="21"/>
          <w:highlight w:val="none"/>
        </w:rPr>
      </w:pPr>
      <w:r>
        <w:rPr>
          <w:rFonts w:hint="eastAsia" w:ascii="仿宋" w:hAnsi="仿宋" w:eastAsia="仿宋" w:cs="仿宋"/>
          <w:szCs w:val="21"/>
          <w:highlight w:val="none"/>
        </w:rPr>
        <w:t>2.竞标供应商按照采购人或者采购代理机构的授意撤换、修改响应文件或者响应文件；</w:t>
      </w:r>
    </w:p>
    <w:p w14:paraId="599E2A25">
      <w:pPr>
        <w:snapToGrid w:val="0"/>
        <w:spacing w:before="169" w:beforeLines="50" w:after="50" w:line="360" w:lineRule="auto"/>
        <w:ind w:firstLine="411" w:firstLineChars="196"/>
        <w:jc w:val="left"/>
        <w:rPr>
          <w:rFonts w:hint="eastAsia" w:ascii="仿宋" w:hAnsi="仿宋" w:eastAsia="仿宋" w:cs="仿宋"/>
          <w:szCs w:val="21"/>
          <w:highlight w:val="none"/>
        </w:rPr>
      </w:pPr>
      <w:r>
        <w:rPr>
          <w:rFonts w:hint="eastAsia" w:ascii="仿宋" w:hAnsi="仿宋" w:eastAsia="仿宋" w:cs="仿宋"/>
          <w:szCs w:val="21"/>
          <w:highlight w:val="none"/>
        </w:rPr>
        <w:t>3.竞标供应商之间协商报价、技术方案等响应文件或者响应文件的实质性内容；</w:t>
      </w:r>
    </w:p>
    <w:p w14:paraId="152D4E15">
      <w:pPr>
        <w:snapToGrid w:val="0"/>
        <w:spacing w:before="169" w:beforeLines="50" w:after="50" w:line="360" w:lineRule="auto"/>
        <w:ind w:firstLine="411" w:firstLineChars="196"/>
        <w:jc w:val="left"/>
        <w:rPr>
          <w:rFonts w:hint="eastAsia" w:ascii="仿宋" w:hAnsi="仿宋" w:eastAsia="仿宋" w:cs="仿宋"/>
          <w:szCs w:val="21"/>
          <w:highlight w:val="none"/>
        </w:rPr>
      </w:pPr>
      <w:r>
        <w:rPr>
          <w:rFonts w:hint="eastAsia" w:ascii="仿宋" w:hAnsi="仿宋" w:eastAsia="仿宋" w:cs="仿宋"/>
          <w:szCs w:val="21"/>
          <w:highlight w:val="none"/>
        </w:rPr>
        <w:t>4.属于同一集团、协会、商会等组织成员的竞标供应商按照该组织要求协同参加政府采购活动；</w:t>
      </w:r>
    </w:p>
    <w:p w14:paraId="4C74CD65">
      <w:pPr>
        <w:snapToGrid w:val="0"/>
        <w:spacing w:before="169" w:beforeLines="50" w:after="50" w:line="360" w:lineRule="auto"/>
        <w:ind w:firstLine="411" w:firstLineChars="196"/>
        <w:jc w:val="left"/>
        <w:rPr>
          <w:rFonts w:hint="eastAsia" w:ascii="仿宋" w:hAnsi="仿宋" w:eastAsia="仿宋" w:cs="仿宋"/>
          <w:szCs w:val="21"/>
          <w:highlight w:val="none"/>
        </w:rPr>
      </w:pPr>
      <w:r>
        <w:rPr>
          <w:rFonts w:hint="eastAsia" w:ascii="仿宋" w:hAnsi="仿宋" w:eastAsia="仿宋" w:cs="仿宋"/>
          <w:szCs w:val="21"/>
          <w:highlight w:val="none"/>
        </w:rPr>
        <w:t>5.竞标供应商之间事先约定一致抬高或者压低竞标报价，或者在招标项目中事先约定轮流以高价位或者低价位中标，或者事先约定由某一特定竞标供应商中标，然后再参加竞标；</w:t>
      </w:r>
    </w:p>
    <w:p w14:paraId="1BE95AC5">
      <w:pPr>
        <w:snapToGrid w:val="0"/>
        <w:spacing w:before="169" w:beforeLines="50" w:after="50" w:line="360" w:lineRule="auto"/>
        <w:ind w:firstLine="411" w:firstLineChars="196"/>
        <w:jc w:val="left"/>
        <w:rPr>
          <w:rFonts w:hint="eastAsia" w:ascii="仿宋" w:hAnsi="仿宋" w:eastAsia="仿宋" w:cs="仿宋"/>
          <w:szCs w:val="21"/>
          <w:highlight w:val="none"/>
        </w:rPr>
      </w:pPr>
      <w:r>
        <w:rPr>
          <w:rFonts w:hint="eastAsia" w:ascii="仿宋" w:hAnsi="仿宋" w:eastAsia="仿宋" w:cs="仿宋"/>
          <w:szCs w:val="21"/>
          <w:highlight w:val="none"/>
        </w:rPr>
        <w:t>6.竞标供应商之间商定部分竞标供应商放弃参加政府采购活动或者放弃中标；</w:t>
      </w:r>
    </w:p>
    <w:p w14:paraId="7ED8375E">
      <w:pPr>
        <w:snapToGrid w:val="0"/>
        <w:spacing w:before="169" w:beforeLines="50" w:after="50" w:line="360" w:lineRule="auto"/>
        <w:ind w:firstLine="411" w:firstLineChars="196"/>
        <w:jc w:val="left"/>
        <w:rPr>
          <w:rFonts w:hint="eastAsia" w:ascii="仿宋" w:hAnsi="仿宋" w:eastAsia="仿宋" w:cs="仿宋"/>
          <w:szCs w:val="21"/>
          <w:highlight w:val="none"/>
        </w:rPr>
      </w:pPr>
      <w:r>
        <w:rPr>
          <w:rFonts w:hint="eastAsia" w:ascii="仿宋" w:hAnsi="仿宋" w:eastAsia="仿宋" w:cs="仿宋"/>
          <w:szCs w:val="21"/>
          <w:highlight w:val="none"/>
        </w:rPr>
        <w:t>7.竞标供应商与采购人或者采购代理机构之间、竞标供应商相互之间，为谋求特定竞标供应商中标或者排斥其他竞标供应商的其他串通行为。</w:t>
      </w:r>
    </w:p>
    <w:p w14:paraId="14ECDB9C">
      <w:pPr>
        <w:snapToGrid w:val="0"/>
        <w:spacing w:before="169" w:beforeLines="50" w:after="50" w:line="360" w:lineRule="auto"/>
        <w:ind w:firstLine="413" w:firstLineChars="196"/>
        <w:jc w:val="left"/>
        <w:rPr>
          <w:rFonts w:hint="eastAsia" w:ascii="仿宋" w:hAnsi="仿宋" w:eastAsia="仿宋" w:cs="仿宋"/>
          <w:b/>
          <w:szCs w:val="21"/>
          <w:highlight w:val="none"/>
        </w:rPr>
      </w:pPr>
      <w:r>
        <w:rPr>
          <w:rFonts w:hint="eastAsia" w:ascii="仿宋" w:hAnsi="仿宋" w:eastAsia="仿宋" w:cs="仿宋"/>
          <w:b/>
          <w:szCs w:val="21"/>
          <w:highlight w:val="none"/>
        </w:rPr>
        <w:t>以上情形一经核查属实，我方愿意承担一切后果，并不再寻求任何旨在减轻或者免除法律责任的辩解。</w:t>
      </w:r>
    </w:p>
    <w:p w14:paraId="66A11865">
      <w:pPr>
        <w:spacing w:line="276" w:lineRule="auto"/>
        <w:ind w:firstLine="4320" w:firstLineChars="1800"/>
        <w:rPr>
          <w:rFonts w:hint="eastAsia" w:ascii="仿宋" w:hAnsi="仿宋" w:eastAsia="仿宋" w:cs="仿宋"/>
          <w:sz w:val="24"/>
          <w:highlight w:val="none"/>
        </w:rPr>
      </w:pPr>
      <w:r>
        <w:rPr>
          <w:rFonts w:hint="eastAsia" w:ascii="仿宋" w:hAnsi="仿宋" w:eastAsia="仿宋" w:cs="仿宋"/>
          <w:sz w:val="24"/>
          <w:highlight w:val="none"/>
        </w:rPr>
        <w:t>供应商名称（电子签章）：</w:t>
      </w:r>
    </w:p>
    <w:p w14:paraId="1959DB3E">
      <w:pPr>
        <w:spacing w:line="276" w:lineRule="auto"/>
        <w:ind w:firstLine="4320" w:firstLineChars="1800"/>
        <w:rPr>
          <w:rFonts w:hint="eastAsia" w:ascii="仿宋" w:hAnsi="仿宋" w:eastAsia="仿宋" w:cs="仿宋"/>
          <w:sz w:val="24"/>
          <w:highlight w:val="none"/>
        </w:rPr>
      </w:pPr>
      <w:r>
        <w:rPr>
          <w:rFonts w:hint="eastAsia" w:ascii="仿宋" w:hAnsi="仿宋" w:eastAsia="仿宋" w:cs="仿宋"/>
          <w:sz w:val="24"/>
          <w:highlight w:val="none"/>
        </w:rPr>
        <w:t>日期：  年  月   日</w:t>
      </w:r>
    </w:p>
    <w:p w14:paraId="193C5CFC">
      <w:pPr>
        <w:snapToGrid w:val="0"/>
        <w:spacing w:line="360" w:lineRule="auto"/>
        <w:ind w:firstLine="5160" w:firstLineChars="2150"/>
        <w:rPr>
          <w:rFonts w:hint="eastAsia" w:ascii="仿宋" w:hAnsi="仿宋" w:eastAsia="仿宋" w:cs="仿宋"/>
          <w:kern w:val="0"/>
          <w:sz w:val="24"/>
          <w:highlight w:val="none"/>
          <w:lang w:val="zh-CN"/>
        </w:rPr>
      </w:pPr>
    </w:p>
    <w:p w14:paraId="1D14B7B9">
      <w:pPr>
        <w:snapToGrid w:val="0"/>
        <w:spacing w:before="295" w:after="295" w:line="360" w:lineRule="auto"/>
        <w:jc w:val="center"/>
        <w:rPr>
          <w:rFonts w:hint="eastAsia" w:ascii="仿宋" w:hAnsi="仿宋" w:eastAsia="仿宋" w:cs="仿宋"/>
          <w:b/>
          <w:sz w:val="24"/>
          <w:szCs w:val="20"/>
          <w:highlight w:val="none"/>
        </w:rPr>
      </w:pPr>
      <w:r>
        <w:rPr>
          <w:rFonts w:hint="eastAsia" w:ascii="仿宋" w:hAnsi="仿宋" w:eastAsia="仿宋" w:cs="仿宋"/>
          <w:b/>
          <w:sz w:val="24"/>
          <w:szCs w:val="20"/>
          <w:highlight w:val="none"/>
        </w:rPr>
        <w:br w:type="page"/>
      </w:r>
      <w:r>
        <w:rPr>
          <w:rFonts w:hint="eastAsia" w:ascii="仿宋" w:hAnsi="仿宋" w:eastAsia="仿宋" w:cs="仿宋"/>
          <w:b/>
          <w:bCs/>
          <w:sz w:val="30"/>
          <w:szCs w:val="30"/>
          <w:highlight w:val="none"/>
        </w:rPr>
        <w:t>二、法定代表人身份证明</w:t>
      </w:r>
    </w:p>
    <w:p w14:paraId="6F86F91A">
      <w:pPr>
        <w:spacing w:before="339" w:beforeLines="100" w:after="169" w:afterLines="50"/>
        <w:ind w:left="540"/>
        <w:jc w:val="center"/>
        <w:rPr>
          <w:rFonts w:hint="eastAsia" w:ascii="仿宋" w:hAnsi="仿宋" w:eastAsia="仿宋" w:cs="仿宋"/>
          <w:sz w:val="32"/>
          <w:szCs w:val="32"/>
          <w:highlight w:val="none"/>
        </w:rPr>
      </w:pPr>
      <w:r>
        <w:rPr>
          <w:rFonts w:hint="eastAsia" w:ascii="仿宋" w:hAnsi="仿宋" w:eastAsia="仿宋" w:cs="仿宋"/>
          <w:b/>
          <w:sz w:val="32"/>
          <w:szCs w:val="32"/>
          <w:highlight w:val="none"/>
        </w:rPr>
        <w:t>法定代表人身份证明</w:t>
      </w:r>
    </w:p>
    <w:p w14:paraId="4C9E6708">
      <w:pPr>
        <w:spacing w:line="500" w:lineRule="exact"/>
        <w:ind w:left="540"/>
        <w:rPr>
          <w:rFonts w:hint="eastAsia" w:ascii="仿宋" w:hAnsi="仿宋" w:eastAsia="仿宋" w:cs="仿宋"/>
          <w:sz w:val="24"/>
          <w:highlight w:val="none"/>
        </w:rPr>
      </w:pPr>
      <w:r>
        <w:rPr>
          <w:rFonts w:hint="eastAsia" w:ascii="仿宋" w:hAnsi="仿宋" w:eastAsia="仿宋" w:cs="仿宋"/>
          <w:sz w:val="24"/>
          <w:highlight w:val="none"/>
        </w:rPr>
        <w:t>竞 标 人：</w:t>
      </w:r>
    </w:p>
    <w:p w14:paraId="7576C494">
      <w:pPr>
        <w:spacing w:line="500" w:lineRule="exact"/>
        <w:ind w:left="540"/>
        <w:rPr>
          <w:rFonts w:hint="eastAsia" w:ascii="仿宋" w:hAnsi="仿宋" w:eastAsia="仿宋" w:cs="仿宋"/>
          <w:sz w:val="24"/>
          <w:highlight w:val="none"/>
        </w:rPr>
      </w:pPr>
      <w:r>
        <w:rPr>
          <w:rFonts w:hint="eastAsia" w:ascii="仿宋" w:hAnsi="仿宋" w:eastAsia="仿宋" w:cs="仿宋"/>
          <w:sz w:val="24"/>
          <w:highlight w:val="none"/>
        </w:rPr>
        <w:t>地    址：</w:t>
      </w:r>
    </w:p>
    <w:p w14:paraId="055F02D6">
      <w:pPr>
        <w:spacing w:line="500" w:lineRule="exact"/>
        <w:ind w:left="540"/>
        <w:rPr>
          <w:rFonts w:hint="eastAsia" w:ascii="仿宋" w:hAnsi="仿宋" w:eastAsia="仿宋" w:cs="仿宋"/>
          <w:sz w:val="24"/>
          <w:highlight w:val="none"/>
        </w:rPr>
      </w:pPr>
      <w:r>
        <w:rPr>
          <w:rFonts w:hint="eastAsia" w:ascii="仿宋" w:hAnsi="仿宋" w:eastAsia="仿宋" w:cs="仿宋"/>
          <w:sz w:val="24"/>
          <w:highlight w:val="none"/>
        </w:rPr>
        <w:t>姓    名：               性      别：</w:t>
      </w:r>
    </w:p>
    <w:p w14:paraId="081DD7A2">
      <w:pPr>
        <w:spacing w:line="500" w:lineRule="exact"/>
        <w:ind w:left="540"/>
        <w:rPr>
          <w:rFonts w:hint="eastAsia" w:ascii="仿宋" w:hAnsi="仿宋" w:eastAsia="仿宋" w:cs="仿宋"/>
          <w:sz w:val="24"/>
          <w:highlight w:val="none"/>
          <w:u w:val="single"/>
        </w:rPr>
      </w:pPr>
      <w:r>
        <w:rPr>
          <w:rFonts w:hint="eastAsia" w:ascii="仿宋" w:hAnsi="仿宋" w:eastAsia="仿宋" w:cs="仿宋"/>
          <w:sz w:val="24"/>
          <w:highlight w:val="none"/>
        </w:rPr>
        <w:t>年    龄：               职      务：</w:t>
      </w:r>
    </w:p>
    <w:p w14:paraId="1B1DC262">
      <w:pPr>
        <w:spacing w:line="500" w:lineRule="exact"/>
        <w:ind w:left="540"/>
        <w:rPr>
          <w:rFonts w:hint="eastAsia" w:ascii="仿宋" w:hAnsi="仿宋" w:eastAsia="仿宋" w:cs="仿宋"/>
          <w:sz w:val="24"/>
          <w:highlight w:val="none"/>
        </w:rPr>
      </w:pPr>
      <w:r>
        <w:rPr>
          <w:rFonts w:hint="eastAsia" w:ascii="仿宋" w:hAnsi="仿宋" w:eastAsia="仿宋" w:cs="仿宋"/>
          <w:sz w:val="24"/>
          <w:highlight w:val="none"/>
        </w:rPr>
        <w:t>身份证号码：</w:t>
      </w:r>
    </w:p>
    <w:p w14:paraId="0F45D146">
      <w:pPr>
        <w:spacing w:line="500" w:lineRule="exact"/>
        <w:ind w:left="540"/>
        <w:rPr>
          <w:rFonts w:hint="eastAsia" w:ascii="仿宋" w:hAnsi="仿宋" w:eastAsia="仿宋" w:cs="仿宋"/>
          <w:sz w:val="24"/>
          <w:highlight w:val="none"/>
        </w:rPr>
      </w:pPr>
      <w:r>
        <w:rPr>
          <w:rFonts w:hint="eastAsia" w:ascii="仿宋" w:hAnsi="仿宋" w:eastAsia="仿宋" w:cs="仿宋"/>
          <w:sz w:val="24"/>
          <w:highlight w:val="none"/>
        </w:rPr>
        <w:t>系</w:t>
      </w:r>
      <w:r>
        <w:rPr>
          <w:rFonts w:hint="eastAsia" w:ascii="仿宋" w:hAnsi="仿宋" w:eastAsia="仿宋" w:cs="仿宋"/>
          <w:sz w:val="24"/>
          <w:highlight w:val="none"/>
          <w:u w:val="single"/>
        </w:rPr>
        <w:t xml:space="preserve">            （竞标供应商名称）              </w:t>
      </w:r>
      <w:r>
        <w:rPr>
          <w:rFonts w:hint="eastAsia" w:ascii="仿宋" w:hAnsi="仿宋" w:eastAsia="仿宋" w:cs="仿宋"/>
          <w:sz w:val="24"/>
          <w:highlight w:val="none"/>
        </w:rPr>
        <w:t>的法定代表人。</w:t>
      </w:r>
    </w:p>
    <w:p w14:paraId="2866CD36">
      <w:pPr>
        <w:spacing w:line="500" w:lineRule="exact"/>
        <w:ind w:left="540"/>
        <w:rPr>
          <w:rFonts w:hint="eastAsia" w:ascii="仿宋" w:hAnsi="仿宋" w:eastAsia="仿宋" w:cs="仿宋"/>
          <w:sz w:val="24"/>
          <w:highlight w:val="none"/>
        </w:rPr>
      </w:pPr>
      <w:r>
        <w:rPr>
          <w:rFonts w:hint="eastAsia" w:ascii="仿宋" w:hAnsi="仿宋" w:eastAsia="仿宋" w:cs="仿宋"/>
          <w:sz w:val="24"/>
          <w:highlight w:val="none"/>
        </w:rPr>
        <w:t>特此证明。</w:t>
      </w:r>
    </w:p>
    <w:p w14:paraId="45188D02">
      <w:pPr>
        <w:spacing w:line="500" w:lineRule="exact"/>
        <w:ind w:left="540"/>
        <w:rPr>
          <w:rFonts w:hint="eastAsia" w:ascii="仿宋" w:hAnsi="仿宋" w:eastAsia="仿宋" w:cs="仿宋"/>
          <w:sz w:val="24"/>
          <w:highlight w:val="none"/>
        </w:rPr>
      </w:pPr>
    </w:p>
    <w:p w14:paraId="72794939">
      <w:pPr>
        <w:spacing w:line="500" w:lineRule="exact"/>
        <w:ind w:left="540"/>
        <w:rPr>
          <w:rFonts w:hint="eastAsia" w:ascii="仿宋" w:hAnsi="仿宋" w:eastAsia="仿宋" w:cs="仿宋"/>
          <w:sz w:val="24"/>
          <w:highlight w:val="none"/>
        </w:rPr>
      </w:pPr>
    </w:p>
    <w:p w14:paraId="5C529B9D">
      <w:pPr>
        <w:spacing w:line="500" w:lineRule="exact"/>
        <w:ind w:left="540"/>
        <w:rPr>
          <w:rFonts w:hint="eastAsia" w:ascii="仿宋" w:hAnsi="仿宋" w:eastAsia="仿宋" w:cs="仿宋"/>
          <w:sz w:val="24"/>
          <w:highlight w:val="none"/>
        </w:rPr>
      </w:pPr>
      <w:r>
        <w:rPr>
          <w:rFonts w:hint="eastAsia" w:ascii="仿宋" w:hAnsi="仿宋" w:eastAsia="仿宋" w:cs="仿宋"/>
          <w:sz w:val="24"/>
          <w:highlight w:val="none"/>
        </w:rPr>
        <w:t>附件：法定代表人有效身份证正反面复印件</w:t>
      </w:r>
    </w:p>
    <w:p w14:paraId="05DA5CF5">
      <w:pPr>
        <w:spacing w:line="500" w:lineRule="exact"/>
        <w:ind w:left="540"/>
        <w:rPr>
          <w:rFonts w:hint="eastAsia" w:ascii="仿宋" w:hAnsi="仿宋" w:eastAsia="仿宋" w:cs="仿宋"/>
          <w:sz w:val="24"/>
          <w:highlight w:val="none"/>
        </w:rPr>
      </w:pPr>
    </w:p>
    <w:p w14:paraId="5553DBA8">
      <w:pPr>
        <w:spacing w:line="276" w:lineRule="auto"/>
        <w:ind w:firstLine="4320" w:firstLineChars="1800"/>
        <w:rPr>
          <w:rFonts w:hint="eastAsia" w:ascii="仿宋" w:hAnsi="仿宋" w:eastAsia="仿宋" w:cs="仿宋"/>
          <w:sz w:val="24"/>
          <w:highlight w:val="none"/>
        </w:rPr>
      </w:pPr>
      <w:r>
        <w:rPr>
          <w:rFonts w:hint="eastAsia" w:ascii="仿宋" w:hAnsi="仿宋" w:eastAsia="仿宋" w:cs="仿宋"/>
          <w:sz w:val="24"/>
          <w:highlight w:val="none"/>
        </w:rPr>
        <w:t>供应商名称（电子签章）：</w:t>
      </w:r>
    </w:p>
    <w:p w14:paraId="69B9EF26">
      <w:pPr>
        <w:spacing w:line="276" w:lineRule="auto"/>
        <w:ind w:firstLine="4320" w:firstLineChars="1800"/>
        <w:rPr>
          <w:rFonts w:hint="eastAsia" w:ascii="仿宋" w:hAnsi="仿宋" w:eastAsia="仿宋" w:cs="仿宋"/>
          <w:sz w:val="24"/>
          <w:highlight w:val="none"/>
        </w:rPr>
      </w:pPr>
      <w:r>
        <w:rPr>
          <w:rFonts w:hint="eastAsia" w:ascii="仿宋" w:hAnsi="仿宋" w:eastAsia="仿宋" w:cs="仿宋"/>
          <w:sz w:val="24"/>
          <w:highlight w:val="none"/>
        </w:rPr>
        <w:t>日期：  年  月   日</w:t>
      </w:r>
    </w:p>
    <w:p w14:paraId="74E3D7FE">
      <w:pPr>
        <w:spacing w:line="500" w:lineRule="exact"/>
        <w:ind w:left="540"/>
        <w:rPr>
          <w:rFonts w:hint="eastAsia" w:ascii="仿宋" w:hAnsi="仿宋" w:eastAsia="仿宋" w:cs="仿宋"/>
          <w:sz w:val="24"/>
          <w:highlight w:val="none"/>
          <w:lang w:val="zh-CN"/>
        </w:rPr>
      </w:pPr>
    </w:p>
    <w:p w14:paraId="44DF2FFA">
      <w:pPr>
        <w:snapToGrid w:val="0"/>
        <w:spacing w:before="169" w:beforeLines="50" w:after="50"/>
        <w:jc w:val="center"/>
        <w:rPr>
          <w:rFonts w:hint="eastAsia" w:ascii="仿宋" w:hAnsi="仿宋" w:eastAsia="仿宋" w:cs="仿宋"/>
          <w:b/>
          <w:sz w:val="24"/>
          <w:highlight w:val="none"/>
        </w:rPr>
      </w:pPr>
    </w:p>
    <w:p w14:paraId="6D339DA9">
      <w:pPr>
        <w:snapToGrid w:val="0"/>
        <w:spacing w:before="169" w:beforeLines="50" w:after="50"/>
        <w:ind w:firstLine="600" w:firstLineChars="250"/>
        <w:jc w:val="left"/>
        <w:rPr>
          <w:rFonts w:hint="eastAsia" w:ascii="仿宋" w:hAnsi="仿宋" w:eastAsia="仿宋" w:cs="仿宋"/>
          <w:sz w:val="24"/>
          <w:highlight w:val="none"/>
        </w:rPr>
      </w:pPr>
      <w:r>
        <w:rPr>
          <w:rFonts w:hint="eastAsia" w:ascii="仿宋" w:hAnsi="仿宋" w:eastAsia="仿宋" w:cs="仿宋"/>
          <w:sz w:val="24"/>
          <w:highlight w:val="none"/>
        </w:rPr>
        <w:t>注：自然人竞标的无需提供，联合体竞标的只需牵头人出具。</w:t>
      </w:r>
    </w:p>
    <w:p w14:paraId="4683D69E">
      <w:pPr>
        <w:snapToGrid w:val="0"/>
        <w:spacing w:before="169" w:beforeLines="50" w:after="50"/>
        <w:ind w:firstLine="600" w:firstLineChars="250"/>
        <w:jc w:val="left"/>
        <w:rPr>
          <w:rFonts w:hint="eastAsia" w:ascii="仿宋" w:hAnsi="仿宋" w:eastAsia="仿宋" w:cs="仿宋"/>
          <w:sz w:val="24"/>
          <w:highlight w:val="none"/>
        </w:rPr>
      </w:pPr>
    </w:p>
    <w:p w14:paraId="276C997A">
      <w:pPr>
        <w:snapToGrid w:val="0"/>
        <w:spacing w:before="169" w:beforeLines="50" w:after="50"/>
        <w:ind w:firstLine="602" w:firstLineChars="250"/>
        <w:jc w:val="left"/>
        <w:rPr>
          <w:rFonts w:hint="eastAsia" w:ascii="仿宋" w:hAnsi="仿宋" w:eastAsia="仿宋" w:cs="仿宋"/>
          <w:b/>
          <w:sz w:val="24"/>
          <w:szCs w:val="20"/>
          <w:highlight w:val="none"/>
        </w:rPr>
      </w:pPr>
    </w:p>
    <w:tbl>
      <w:tblPr>
        <w:tblStyle w:val="31"/>
        <w:tblpPr w:leftFromText="180" w:rightFromText="180" w:vertAnchor="text" w:horzAnchor="margin" w:tblpXSpec="center" w:tblpY="1169"/>
        <w:tblW w:w="8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16BBA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jc w:val="center"/>
        </w:trPr>
        <w:tc>
          <w:tcPr>
            <w:tcW w:w="8461" w:type="dxa"/>
          </w:tcPr>
          <w:p w14:paraId="313AA0B8">
            <w:pPr>
              <w:keepNext w:val="0"/>
              <w:keepLines w:val="0"/>
              <w:suppressLineNumbers w:val="0"/>
              <w:spacing w:before="0" w:beforeAutospacing="0" w:after="0" w:afterAutospacing="0" w:line="360" w:lineRule="auto"/>
              <w:ind w:left="0" w:right="0"/>
              <w:rPr>
                <w:rFonts w:hint="eastAsia" w:ascii="仿宋" w:hAnsi="仿宋" w:eastAsia="仿宋" w:cs="仿宋"/>
                <w:b/>
                <w:sz w:val="24"/>
                <w:highlight w:val="none"/>
              </w:rPr>
            </w:pPr>
          </w:p>
          <w:p w14:paraId="63F1DC5B">
            <w:pPr>
              <w:keepNext w:val="0"/>
              <w:keepLines w:val="0"/>
              <w:suppressLineNumbers w:val="0"/>
              <w:spacing w:before="0" w:beforeAutospacing="0" w:after="0" w:afterAutospacing="0" w:line="360" w:lineRule="auto"/>
              <w:ind w:left="0" w:right="0"/>
              <w:rPr>
                <w:rFonts w:hint="eastAsia" w:ascii="仿宋" w:hAnsi="仿宋" w:eastAsia="仿宋" w:cs="仿宋"/>
                <w:b/>
                <w:sz w:val="24"/>
                <w:highlight w:val="none"/>
              </w:rPr>
            </w:pPr>
            <w:r>
              <w:rPr>
                <w:rFonts w:hint="eastAsia" w:ascii="仿宋" w:hAnsi="仿宋" w:eastAsia="仿宋" w:cs="仿宋"/>
                <w:b/>
                <w:sz w:val="24"/>
                <w:highlight w:val="none"/>
              </w:rPr>
              <w:t>法定代表身份证复印件粘帖处（正、反面）</w:t>
            </w:r>
          </w:p>
        </w:tc>
      </w:tr>
    </w:tbl>
    <w:p w14:paraId="12E956B8">
      <w:pPr>
        <w:snapToGrid w:val="0"/>
        <w:spacing w:before="295" w:after="295" w:line="360" w:lineRule="auto"/>
        <w:jc w:val="center"/>
        <w:rPr>
          <w:rFonts w:hint="eastAsia" w:ascii="仿宋" w:hAnsi="仿宋" w:eastAsia="仿宋" w:cs="仿宋"/>
          <w:b/>
          <w:sz w:val="24"/>
          <w:szCs w:val="20"/>
          <w:highlight w:val="none"/>
        </w:rPr>
      </w:pPr>
      <w:r>
        <w:rPr>
          <w:rFonts w:hint="eastAsia" w:ascii="仿宋" w:hAnsi="仿宋" w:eastAsia="仿宋" w:cs="仿宋"/>
          <w:b/>
          <w:sz w:val="24"/>
          <w:szCs w:val="20"/>
          <w:highlight w:val="none"/>
        </w:rPr>
        <w:t>附件：</w:t>
      </w:r>
      <w:r>
        <w:rPr>
          <w:rFonts w:hint="eastAsia" w:ascii="仿宋" w:hAnsi="仿宋" w:eastAsia="仿宋" w:cs="仿宋"/>
          <w:b/>
          <w:sz w:val="24"/>
          <w:szCs w:val="20"/>
          <w:highlight w:val="none"/>
        </w:rPr>
        <w:br w:type="page"/>
      </w:r>
      <w:r>
        <w:rPr>
          <w:rFonts w:hint="eastAsia" w:ascii="仿宋" w:hAnsi="仿宋" w:eastAsia="仿宋" w:cs="仿宋"/>
          <w:b/>
          <w:bCs/>
          <w:sz w:val="30"/>
          <w:szCs w:val="30"/>
          <w:highlight w:val="none"/>
        </w:rPr>
        <w:t>三、法定代表人授权委托书（如有委托时）</w:t>
      </w:r>
    </w:p>
    <w:p w14:paraId="7C389A56">
      <w:pPr>
        <w:snapToGrid w:val="0"/>
        <w:spacing w:before="169" w:beforeLines="50" w:after="50"/>
        <w:jc w:val="center"/>
        <w:rPr>
          <w:rFonts w:hint="eastAsia" w:ascii="仿宋" w:hAnsi="仿宋" w:eastAsia="仿宋" w:cs="仿宋"/>
          <w:b/>
          <w:sz w:val="32"/>
          <w:szCs w:val="32"/>
          <w:highlight w:val="none"/>
        </w:rPr>
      </w:pPr>
      <w:r>
        <w:rPr>
          <w:rFonts w:hint="eastAsia" w:ascii="仿宋" w:hAnsi="仿宋" w:eastAsia="仿宋" w:cs="仿宋"/>
          <w:b/>
          <w:sz w:val="32"/>
          <w:szCs w:val="32"/>
          <w:highlight w:val="none"/>
        </w:rPr>
        <w:t>法定代表人授权委托书</w:t>
      </w:r>
    </w:p>
    <w:p w14:paraId="5CEA2FF0">
      <w:pPr>
        <w:snapToGrid w:val="0"/>
        <w:spacing w:before="169" w:beforeLines="50" w:after="50"/>
        <w:jc w:val="center"/>
        <w:rPr>
          <w:rFonts w:hint="eastAsia" w:ascii="仿宋" w:hAnsi="仿宋" w:eastAsia="仿宋" w:cs="仿宋"/>
          <w:b/>
          <w:sz w:val="24"/>
          <w:highlight w:val="none"/>
        </w:rPr>
      </w:pPr>
    </w:p>
    <w:p w14:paraId="5D317D7E">
      <w:pPr>
        <w:spacing w:line="440" w:lineRule="exact"/>
        <w:ind w:firstLine="420" w:firstLineChars="200"/>
        <w:rPr>
          <w:rFonts w:hint="eastAsia" w:ascii="仿宋" w:hAnsi="仿宋" w:eastAsia="仿宋" w:cs="仿宋"/>
          <w:szCs w:val="20"/>
          <w:highlight w:val="none"/>
        </w:rPr>
      </w:pPr>
      <w:r>
        <w:rPr>
          <w:rFonts w:hint="eastAsia" w:ascii="仿宋" w:hAnsi="仿宋" w:eastAsia="仿宋" w:cs="仿宋"/>
          <w:szCs w:val="20"/>
          <w:highlight w:val="none"/>
        </w:rPr>
        <w:t>致：（采购代理机构名称）</w:t>
      </w:r>
    </w:p>
    <w:p w14:paraId="25344A3A">
      <w:pPr>
        <w:spacing w:line="440" w:lineRule="exact"/>
        <w:ind w:firstLine="420" w:firstLineChars="200"/>
        <w:rPr>
          <w:rFonts w:hint="eastAsia" w:ascii="仿宋" w:hAnsi="仿宋" w:eastAsia="仿宋" w:cs="仿宋"/>
          <w:szCs w:val="20"/>
          <w:highlight w:val="none"/>
        </w:rPr>
      </w:pPr>
      <w:r>
        <w:rPr>
          <w:rFonts w:hint="eastAsia" w:ascii="仿宋" w:hAnsi="仿宋" w:eastAsia="仿宋" w:cs="仿宋"/>
          <w:szCs w:val="20"/>
          <w:highlight w:val="none"/>
        </w:rPr>
        <w:t>本人</w:t>
      </w:r>
      <w:r>
        <w:rPr>
          <w:rFonts w:hint="eastAsia" w:ascii="仿宋" w:hAnsi="仿宋" w:eastAsia="仿宋" w:cs="仿宋"/>
          <w:szCs w:val="20"/>
          <w:highlight w:val="none"/>
          <w:u w:val="single"/>
        </w:rPr>
        <w:t>（姓名）</w:t>
      </w:r>
      <w:r>
        <w:rPr>
          <w:rFonts w:hint="eastAsia" w:ascii="仿宋" w:hAnsi="仿宋" w:eastAsia="仿宋" w:cs="仿宋"/>
          <w:szCs w:val="20"/>
          <w:highlight w:val="none"/>
        </w:rPr>
        <w:t>系</w:t>
      </w:r>
      <w:r>
        <w:rPr>
          <w:rFonts w:hint="eastAsia" w:ascii="仿宋" w:hAnsi="仿宋" w:eastAsia="仿宋" w:cs="仿宋"/>
          <w:szCs w:val="20"/>
          <w:highlight w:val="none"/>
          <w:u w:val="single"/>
        </w:rPr>
        <w:t>（竞标供应商名称）</w:t>
      </w:r>
      <w:r>
        <w:rPr>
          <w:rFonts w:hint="eastAsia" w:ascii="仿宋" w:hAnsi="仿宋" w:eastAsia="仿宋" w:cs="仿宋"/>
          <w:szCs w:val="20"/>
          <w:highlight w:val="none"/>
        </w:rPr>
        <w:t>的法定代表人，现授权我单位在职正式员工</w:t>
      </w:r>
      <w:r>
        <w:rPr>
          <w:rFonts w:hint="eastAsia" w:ascii="仿宋" w:hAnsi="仿宋" w:eastAsia="仿宋" w:cs="仿宋"/>
          <w:szCs w:val="20"/>
          <w:highlight w:val="none"/>
          <w:u w:val="single"/>
        </w:rPr>
        <w:t>（姓名和职务）</w:t>
      </w:r>
      <w:r>
        <w:rPr>
          <w:rFonts w:hint="eastAsia" w:ascii="仿宋" w:hAnsi="仿宋" w:eastAsia="仿宋" w:cs="仿宋"/>
          <w:szCs w:val="20"/>
          <w:highlight w:val="none"/>
        </w:rPr>
        <w:t>为我方代理人。代理人根据授权，以我方名义签署、澄清、说明、补正、递交、撤回、修改贵方组织的项目（项目编号：</w:t>
      </w:r>
      <w:r>
        <w:rPr>
          <w:rFonts w:hint="eastAsia" w:ascii="仿宋" w:hAnsi="仿宋" w:eastAsia="仿宋" w:cs="仿宋"/>
          <w:szCs w:val="20"/>
          <w:highlight w:val="none"/>
          <w:u w:val="single"/>
        </w:rPr>
        <w:t xml:space="preserve">                </w:t>
      </w:r>
      <w:r>
        <w:rPr>
          <w:rFonts w:hint="eastAsia" w:ascii="仿宋" w:hAnsi="仿宋" w:eastAsia="仿宋" w:cs="仿宋"/>
          <w:szCs w:val="20"/>
          <w:highlight w:val="none"/>
        </w:rPr>
        <w:t>）的响应文件、签订合同和处理一切有关事宜，其法律后果由我方承担。</w:t>
      </w:r>
    </w:p>
    <w:p w14:paraId="4F4088FD">
      <w:pPr>
        <w:spacing w:line="440" w:lineRule="exact"/>
        <w:ind w:firstLine="420" w:firstLineChars="200"/>
        <w:rPr>
          <w:rFonts w:hint="eastAsia" w:ascii="仿宋" w:hAnsi="仿宋" w:eastAsia="仿宋" w:cs="仿宋"/>
          <w:szCs w:val="20"/>
          <w:highlight w:val="none"/>
        </w:rPr>
      </w:pPr>
      <w:r>
        <w:rPr>
          <w:rFonts w:hint="eastAsia" w:ascii="仿宋" w:hAnsi="仿宋" w:eastAsia="仿宋" w:cs="仿宋"/>
          <w:szCs w:val="20"/>
          <w:highlight w:val="none"/>
        </w:rPr>
        <w:t>本授权书于</w:t>
      </w:r>
      <w:r>
        <w:rPr>
          <w:rFonts w:hint="eastAsia" w:ascii="仿宋" w:hAnsi="仿宋" w:eastAsia="仿宋" w:cs="仿宋"/>
          <w:szCs w:val="20"/>
          <w:highlight w:val="none"/>
          <w:u w:val="single"/>
        </w:rPr>
        <w:t xml:space="preserve">     </w:t>
      </w:r>
      <w:r>
        <w:rPr>
          <w:rFonts w:hint="eastAsia" w:ascii="仿宋" w:hAnsi="仿宋" w:eastAsia="仿宋" w:cs="仿宋"/>
          <w:szCs w:val="20"/>
          <w:highlight w:val="none"/>
        </w:rPr>
        <w:t>年</w:t>
      </w:r>
      <w:r>
        <w:rPr>
          <w:rFonts w:hint="eastAsia" w:ascii="仿宋" w:hAnsi="仿宋" w:eastAsia="仿宋" w:cs="仿宋"/>
          <w:szCs w:val="20"/>
          <w:highlight w:val="none"/>
          <w:u w:val="single"/>
        </w:rPr>
        <w:t xml:space="preserve">   </w:t>
      </w:r>
      <w:r>
        <w:rPr>
          <w:rFonts w:hint="eastAsia" w:ascii="仿宋" w:hAnsi="仿宋" w:eastAsia="仿宋" w:cs="仿宋"/>
          <w:szCs w:val="20"/>
          <w:highlight w:val="none"/>
        </w:rPr>
        <w:t>月</w:t>
      </w:r>
      <w:r>
        <w:rPr>
          <w:rFonts w:hint="eastAsia" w:ascii="仿宋" w:hAnsi="仿宋" w:eastAsia="仿宋" w:cs="仿宋"/>
          <w:szCs w:val="20"/>
          <w:highlight w:val="none"/>
          <w:u w:val="single"/>
        </w:rPr>
        <w:t xml:space="preserve">   </w:t>
      </w:r>
      <w:r>
        <w:rPr>
          <w:rFonts w:hint="eastAsia" w:ascii="仿宋" w:hAnsi="仿宋" w:eastAsia="仿宋" w:cs="仿宋"/>
          <w:szCs w:val="20"/>
          <w:highlight w:val="none"/>
        </w:rPr>
        <w:t>日签字生效，委托期限：</w:t>
      </w:r>
      <w:r>
        <w:rPr>
          <w:rFonts w:hint="eastAsia" w:ascii="仿宋" w:hAnsi="仿宋" w:eastAsia="仿宋" w:cs="仿宋"/>
          <w:szCs w:val="20"/>
          <w:highlight w:val="none"/>
          <w:u w:val="single"/>
        </w:rPr>
        <w:t xml:space="preserve">         </w:t>
      </w:r>
      <w:r>
        <w:rPr>
          <w:rFonts w:hint="eastAsia" w:ascii="仿宋" w:hAnsi="仿宋" w:eastAsia="仿宋" w:cs="仿宋"/>
          <w:szCs w:val="20"/>
          <w:highlight w:val="none"/>
        </w:rPr>
        <w:t>。</w:t>
      </w:r>
    </w:p>
    <w:p w14:paraId="330FE7CC">
      <w:pPr>
        <w:spacing w:line="360" w:lineRule="auto"/>
        <w:ind w:firstLine="420"/>
        <w:rPr>
          <w:rFonts w:hint="eastAsia" w:ascii="仿宋" w:hAnsi="仿宋" w:eastAsia="仿宋" w:cs="仿宋"/>
          <w:szCs w:val="20"/>
          <w:highlight w:val="none"/>
        </w:rPr>
      </w:pPr>
      <w:r>
        <w:rPr>
          <w:rFonts w:hint="eastAsia" w:ascii="仿宋" w:hAnsi="仿宋" w:eastAsia="仿宋" w:cs="仿宋"/>
          <w:szCs w:val="20"/>
          <w:highlight w:val="none"/>
        </w:rPr>
        <w:t>代理人无转委托权。</w:t>
      </w:r>
    </w:p>
    <w:p w14:paraId="0402780C">
      <w:pPr>
        <w:spacing w:line="360" w:lineRule="auto"/>
        <w:ind w:firstLine="420"/>
        <w:rPr>
          <w:rFonts w:hint="eastAsia" w:ascii="仿宋" w:hAnsi="仿宋" w:eastAsia="仿宋" w:cs="仿宋"/>
          <w:szCs w:val="20"/>
          <w:highlight w:val="none"/>
        </w:rPr>
      </w:pPr>
    </w:p>
    <w:p w14:paraId="524B873E">
      <w:pPr>
        <w:spacing w:line="360" w:lineRule="auto"/>
        <w:ind w:firstLine="420"/>
        <w:rPr>
          <w:rFonts w:hint="eastAsia" w:ascii="仿宋" w:hAnsi="仿宋" w:eastAsia="仿宋" w:cs="仿宋"/>
          <w:szCs w:val="20"/>
          <w:highlight w:val="none"/>
          <w:u w:val="single"/>
        </w:rPr>
      </w:pPr>
      <w:r>
        <w:rPr>
          <w:rFonts w:hint="eastAsia" w:ascii="仿宋" w:hAnsi="仿宋" w:eastAsia="仿宋" w:cs="仿宋"/>
          <w:szCs w:val="20"/>
          <w:highlight w:val="none"/>
        </w:rPr>
        <w:t>竞标供应商（或联合体竞标</w:t>
      </w:r>
      <w:r>
        <w:rPr>
          <w:rFonts w:hint="eastAsia" w:ascii="仿宋" w:hAnsi="仿宋" w:eastAsia="仿宋" w:cs="仿宋"/>
          <w:kern w:val="0"/>
          <w:szCs w:val="21"/>
          <w:highlight w:val="none"/>
        </w:rPr>
        <w:t>牵头人名称</w:t>
      </w:r>
      <w:r>
        <w:rPr>
          <w:rFonts w:hint="eastAsia" w:ascii="仿宋" w:hAnsi="仿宋" w:eastAsia="仿宋" w:cs="仿宋"/>
          <w:szCs w:val="20"/>
          <w:highlight w:val="none"/>
        </w:rPr>
        <w:t>）（盖法人单位章或电子签章）：</w:t>
      </w:r>
    </w:p>
    <w:p w14:paraId="7A49D408">
      <w:pPr>
        <w:spacing w:line="360" w:lineRule="auto"/>
        <w:ind w:firstLine="420"/>
        <w:rPr>
          <w:rFonts w:hint="eastAsia" w:ascii="仿宋" w:hAnsi="仿宋" w:eastAsia="仿宋" w:cs="仿宋"/>
          <w:szCs w:val="20"/>
          <w:highlight w:val="none"/>
          <w:u w:val="single"/>
        </w:rPr>
      </w:pPr>
      <w:r>
        <w:rPr>
          <w:rFonts w:hint="eastAsia" w:ascii="仿宋" w:hAnsi="仿宋" w:eastAsia="仿宋" w:cs="仿宋"/>
          <w:szCs w:val="20"/>
          <w:highlight w:val="none"/>
        </w:rPr>
        <w:t>法定代表人（签字或盖章或者电子签名）：</w:t>
      </w:r>
    </w:p>
    <w:p w14:paraId="607C06BB">
      <w:pPr>
        <w:spacing w:line="360" w:lineRule="auto"/>
        <w:ind w:firstLine="420"/>
        <w:rPr>
          <w:rFonts w:hint="eastAsia" w:ascii="仿宋" w:hAnsi="仿宋" w:eastAsia="仿宋" w:cs="仿宋"/>
          <w:szCs w:val="20"/>
          <w:highlight w:val="none"/>
          <w:u w:val="single"/>
        </w:rPr>
      </w:pPr>
      <w:r>
        <w:rPr>
          <w:rFonts w:hint="eastAsia" w:ascii="仿宋" w:hAnsi="仿宋" w:eastAsia="仿宋" w:cs="仿宋"/>
          <w:szCs w:val="20"/>
          <w:highlight w:val="none"/>
        </w:rPr>
        <w:t>法定代表人身份证号码：</w:t>
      </w:r>
    </w:p>
    <w:p w14:paraId="3D1A10A3">
      <w:pPr>
        <w:spacing w:line="360" w:lineRule="auto"/>
        <w:ind w:firstLine="420" w:firstLineChars="200"/>
        <w:rPr>
          <w:rFonts w:hint="eastAsia" w:ascii="仿宋" w:hAnsi="仿宋" w:eastAsia="仿宋" w:cs="仿宋"/>
          <w:szCs w:val="20"/>
          <w:highlight w:val="none"/>
        </w:rPr>
      </w:pPr>
      <w:r>
        <w:rPr>
          <w:rFonts w:hint="eastAsia" w:ascii="仿宋" w:hAnsi="仿宋" w:eastAsia="仿宋" w:cs="仿宋"/>
          <w:szCs w:val="20"/>
          <w:highlight w:val="none"/>
        </w:rPr>
        <w:t>委托代理人（签字或盖章或者电子签名）：</w:t>
      </w:r>
    </w:p>
    <w:p w14:paraId="127B54A1">
      <w:pPr>
        <w:spacing w:line="360" w:lineRule="auto"/>
        <w:ind w:firstLine="420"/>
        <w:rPr>
          <w:rFonts w:hint="eastAsia" w:ascii="仿宋" w:hAnsi="仿宋" w:eastAsia="仿宋" w:cs="仿宋"/>
          <w:szCs w:val="20"/>
          <w:highlight w:val="none"/>
          <w:u w:val="single"/>
        </w:rPr>
      </w:pPr>
      <w:r>
        <w:rPr>
          <w:rFonts w:hint="eastAsia" w:ascii="仿宋" w:hAnsi="仿宋" w:eastAsia="仿宋" w:cs="仿宋"/>
          <w:szCs w:val="20"/>
          <w:highlight w:val="none"/>
        </w:rPr>
        <w:t>委托代理人身份证号码：</w:t>
      </w:r>
    </w:p>
    <w:p w14:paraId="19343F7E">
      <w:pPr>
        <w:spacing w:line="360" w:lineRule="auto"/>
        <w:ind w:firstLine="420"/>
        <w:rPr>
          <w:rFonts w:hint="eastAsia" w:ascii="仿宋" w:hAnsi="仿宋" w:eastAsia="仿宋" w:cs="仿宋"/>
          <w:szCs w:val="20"/>
          <w:highlight w:val="none"/>
          <w:u w:val="single"/>
        </w:rPr>
      </w:pPr>
    </w:p>
    <w:p w14:paraId="049E2476">
      <w:pPr>
        <w:autoSpaceDE w:val="0"/>
        <w:autoSpaceDN w:val="0"/>
        <w:adjustRightInd w:val="0"/>
        <w:spacing w:line="360" w:lineRule="auto"/>
        <w:ind w:firstLine="420" w:firstLineChars="200"/>
        <w:jc w:val="left"/>
        <w:rPr>
          <w:rFonts w:hint="eastAsia" w:ascii="仿宋" w:hAnsi="仿宋" w:eastAsia="仿宋" w:cs="仿宋"/>
          <w:kern w:val="0"/>
          <w:szCs w:val="21"/>
          <w:highlight w:val="none"/>
        </w:rPr>
      </w:pPr>
    </w:p>
    <w:p w14:paraId="68C40BAE">
      <w:pPr>
        <w:ind w:firstLine="420" w:firstLineChars="200"/>
        <w:rPr>
          <w:rFonts w:hint="eastAsia" w:ascii="仿宋" w:hAnsi="仿宋" w:eastAsia="仿宋" w:cs="仿宋"/>
          <w:szCs w:val="20"/>
          <w:highlight w:val="none"/>
        </w:rPr>
      </w:pPr>
      <w:r>
        <w:rPr>
          <w:rFonts w:hint="eastAsia" w:ascii="仿宋" w:hAnsi="仿宋" w:eastAsia="仿宋" w:cs="仿宋"/>
          <w:szCs w:val="20"/>
          <w:highlight w:val="none"/>
        </w:rPr>
        <w:t>......</w:t>
      </w:r>
    </w:p>
    <w:p w14:paraId="136455D6">
      <w:pPr>
        <w:spacing w:line="360" w:lineRule="auto"/>
        <w:rPr>
          <w:rFonts w:hint="eastAsia" w:ascii="仿宋" w:hAnsi="仿宋" w:eastAsia="仿宋" w:cs="仿宋"/>
          <w:szCs w:val="21"/>
          <w:highlight w:val="none"/>
        </w:rPr>
      </w:pPr>
      <w:r>
        <w:rPr>
          <w:rFonts w:hint="eastAsia" w:ascii="仿宋" w:hAnsi="仿宋" w:eastAsia="仿宋" w:cs="仿宋"/>
          <w:szCs w:val="21"/>
          <w:highlight w:val="none"/>
        </w:rPr>
        <w:t>注：</w:t>
      </w:r>
    </w:p>
    <w:p w14:paraId="6D75C144">
      <w:pPr>
        <w:spacing w:line="360" w:lineRule="auto"/>
        <w:rPr>
          <w:rFonts w:hint="eastAsia" w:ascii="仿宋" w:hAnsi="仿宋" w:eastAsia="仿宋" w:cs="仿宋"/>
          <w:szCs w:val="21"/>
          <w:highlight w:val="none"/>
        </w:rPr>
      </w:pPr>
      <w:r>
        <w:rPr>
          <w:rFonts w:hint="eastAsia" w:ascii="仿宋" w:hAnsi="仿宋" w:eastAsia="仿宋" w:cs="仿宋"/>
          <w:szCs w:val="21"/>
          <w:highlight w:val="none"/>
        </w:rPr>
        <w:t>1.法定代表人必须在授权委托书上签字或者盖章或者电子签名，委托代理人必须在授权委托书上签字或者电子签名，</w:t>
      </w:r>
      <w:r>
        <w:rPr>
          <w:rFonts w:hint="eastAsia" w:ascii="仿宋" w:hAnsi="仿宋" w:eastAsia="仿宋" w:cs="仿宋"/>
          <w:b/>
          <w:bCs/>
          <w:szCs w:val="21"/>
          <w:highlight w:val="none"/>
        </w:rPr>
        <w:t>否则作无效竞标处理</w:t>
      </w:r>
      <w:r>
        <w:rPr>
          <w:rFonts w:hint="eastAsia" w:ascii="仿宋" w:hAnsi="仿宋" w:eastAsia="仿宋" w:cs="仿宋"/>
          <w:szCs w:val="21"/>
          <w:highlight w:val="none"/>
        </w:rPr>
        <w:t>；</w:t>
      </w:r>
    </w:p>
    <w:p w14:paraId="63A9D98E">
      <w:pPr>
        <w:spacing w:line="360" w:lineRule="auto"/>
        <w:jc w:val="left"/>
        <w:rPr>
          <w:rFonts w:hint="eastAsia" w:ascii="仿宋" w:hAnsi="仿宋" w:eastAsia="仿宋" w:cs="仿宋"/>
          <w:szCs w:val="21"/>
          <w:highlight w:val="none"/>
        </w:rPr>
      </w:pPr>
      <w:r>
        <w:rPr>
          <w:rFonts w:hint="eastAsia" w:ascii="仿宋" w:hAnsi="仿宋" w:eastAsia="仿宋" w:cs="仿宋"/>
          <w:szCs w:val="21"/>
          <w:highlight w:val="none"/>
        </w:rPr>
        <w:t>2. 供应商为其他组织或者自然人时，本采购文件规定的法定代表人指负责人或者自然人。本采购文件所称负责人是指参加竞标的其他组织营业执照上的负责人，本采购文件所称自然人指参与竞标的自然人本人。</w:t>
      </w:r>
    </w:p>
    <w:p w14:paraId="1632A8F9">
      <w:pPr>
        <w:spacing w:line="360" w:lineRule="auto"/>
        <w:rPr>
          <w:rFonts w:hint="eastAsia" w:ascii="仿宋" w:hAnsi="仿宋" w:eastAsia="仿宋" w:cs="仿宋"/>
          <w:b/>
          <w:sz w:val="24"/>
          <w:highlight w:val="none"/>
        </w:rPr>
      </w:pPr>
    </w:p>
    <w:p w14:paraId="40FDB262">
      <w:pPr>
        <w:pStyle w:val="29"/>
        <w:ind w:firstLine="241"/>
        <w:rPr>
          <w:rFonts w:hint="eastAsia" w:ascii="仿宋" w:hAnsi="仿宋" w:eastAsia="仿宋" w:cs="仿宋"/>
          <w:b/>
          <w:sz w:val="24"/>
          <w:highlight w:val="none"/>
        </w:rPr>
      </w:pPr>
    </w:p>
    <w:p w14:paraId="6CFD7816">
      <w:pPr>
        <w:pStyle w:val="29"/>
        <w:ind w:firstLine="241"/>
        <w:rPr>
          <w:rFonts w:hint="eastAsia" w:ascii="仿宋" w:hAnsi="仿宋" w:eastAsia="仿宋" w:cs="仿宋"/>
          <w:b/>
          <w:sz w:val="24"/>
          <w:highlight w:val="none"/>
        </w:rPr>
      </w:pPr>
    </w:p>
    <w:p w14:paraId="5447CA22">
      <w:pPr>
        <w:pStyle w:val="29"/>
        <w:ind w:firstLine="241"/>
        <w:rPr>
          <w:rFonts w:hint="eastAsia" w:ascii="仿宋" w:hAnsi="仿宋" w:eastAsia="仿宋" w:cs="仿宋"/>
          <w:b/>
          <w:sz w:val="24"/>
          <w:highlight w:val="none"/>
        </w:rPr>
      </w:pPr>
    </w:p>
    <w:p w14:paraId="687B18F9">
      <w:pPr>
        <w:spacing w:line="360" w:lineRule="auto"/>
        <w:rPr>
          <w:rFonts w:hint="eastAsia" w:ascii="仿宋" w:hAnsi="仿宋" w:eastAsia="仿宋" w:cs="仿宋"/>
          <w:b/>
          <w:sz w:val="24"/>
          <w:highlight w:val="none"/>
        </w:rPr>
      </w:pPr>
      <w:r>
        <w:rPr>
          <w:rFonts w:hint="eastAsia" w:ascii="仿宋" w:hAnsi="仿宋" w:eastAsia="仿宋" w:cs="仿宋"/>
          <w:b/>
          <w:sz w:val="24"/>
          <w:highlight w:val="none"/>
        </w:rPr>
        <w:t>附件：</w:t>
      </w:r>
    </w:p>
    <w:tbl>
      <w:tblPr>
        <w:tblStyle w:val="31"/>
        <w:tblpPr w:leftFromText="180" w:rightFromText="180" w:vertAnchor="text" w:horzAnchor="margin" w:tblpXSpec="center" w:tblpY="263"/>
        <w:tblW w:w="79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5"/>
      </w:tblGrid>
      <w:tr w14:paraId="15CDE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0" w:hRule="atLeast"/>
          <w:jc w:val="center"/>
        </w:trPr>
        <w:tc>
          <w:tcPr>
            <w:tcW w:w="7985" w:type="dxa"/>
          </w:tcPr>
          <w:p w14:paraId="1E9FD51D">
            <w:pPr>
              <w:keepNext w:val="0"/>
              <w:keepLines w:val="0"/>
              <w:suppressLineNumbers w:val="0"/>
              <w:spacing w:before="0" w:beforeAutospacing="0" w:after="0" w:afterAutospacing="0" w:line="360" w:lineRule="auto"/>
              <w:ind w:left="0" w:right="0"/>
              <w:rPr>
                <w:rFonts w:hint="eastAsia" w:ascii="仿宋" w:hAnsi="仿宋" w:eastAsia="仿宋" w:cs="仿宋"/>
                <w:b/>
                <w:sz w:val="24"/>
                <w:highlight w:val="none"/>
              </w:rPr>
            </w:pPr>
          </w:p>
          <w:p w14:paraId="0115D83F">
            <w:pPr>
              <w:keepNext w:val="0"/>
              <w:keepLines w:val="0"/>
              <w:suppressLineNumbers w:val="0"/>
              <w:spacing w:before="0" w:beforeAutospacing="0" w:after="0" w:afterAutospacing="0" w:line="360" w:lineRule="auto"/>
              <w:ind w:left="0" w:right="0"/>
              <w:rPr>
                <w:rFonts w:hint="eastAsia" w:ascii="仿宋" w:hAnsi="仿宋" w:eastAsia="仿宋" w:cs="仿宋"/>
                <w:b/>
                <w:sz w:val="24"/>
                <w:highlight w:val="none"/>
              </w:rPr>
            </w:pPr>
            <w:r>
              <w:rPr>
                <w:rFonts w:hint="eastAsia" w:ascii="仿宋" w:hAnsi="仿宋" w:eastAsia="仿宋" w:cs="仿宋"/>
                <w:b/>
                <w:sz w:val="24"/>
                <w:highlight w:val="none"/>
              </w:rPr>
              <w:t>委托代理人身份证复印件粘帖处（正、反面）</w:t>
            </w:r>
          </w:p>
        </w:tc>
      </w:tr>
    </w:tbl>
    <w:p w14:paraId="6F265AB9">
      <w:pPr>
        <w:snapToGrid w:val="0"/>
        <w:spacing w:before="50" w:after="169" w:afterLines="50" w:line="360" w:lineRule="auto"/>
        <w:jc w:val="left"/>
        <w:rPr>
          <w:rFonts w:hint="eastAsia" w:ascii="仿宋" w:hAnsi="仿宋" w:eastAsia="仿宋" w:cs="仿宋"/>
          <w:szCs w:val="21"/>
          <w:highlight w:val="none"/>
        </w:rPr>
      </w:pPr>
    </w:p>
    <w:p w14:paraId="7E44D192">
      <w:pPr>
        <w:snapToGrid w:val="0"/>
        <w:spacing w:before="169" w:beforeLines="50" w:after="50"/>
        <w:ind w:firstLine="566" w:firstLineChars="236"/>
        <w:jc w:val="center"/>
        <w:rPr>
          <w:rFonts w:hint="eastAsia" w:ascii="仿宋" w:hAnsi="仿宋" w:eastAsia="仿宋" w:cs="仿宋"/>
          <w:highlight w:val="none"/>
        </w:rPr>
      </w:pPr>
      <w:r>
        <w:rPr>
          <w:rFonts w:hint="eastAsia" w:ascii="仿宋" w:hAnsi="仿宋" w:eastAsia="仿宋" w:cs="仿宋"/>
          <w:sz w:val="24"/>
          <w:highlight w:val="none"/>
        </w:rPr>
        <w:br w:type="page"/>
      </w:r>
    </w:p>
    <w:p w14:paraId="23AEBC0E">
      <w:pPr>
        <w:jc w:val="center"/>
        <w:rPr>
          <w:rFonts w:hint="eastAsia" w:ascii="仿宋" w:hAnsi="仿宋" w:eastAsia="仿宋" w:cs="仿宋"/>
          <w:b/>
          <w:bCs/>
          <w:sz w:val="30"/>
          <w:szCs w:val="30"/>
          <w:highlight w:val="none"/>
        </w:rPr>
      </w:pPr>
      <w:r>
        <w:rPr>
          <w:rFonts w:hint="eastAsia" w:ascii="仿宋" w:hAnsi="仿宋" w:eastAsia="仿宋" w:cs="仿宋"/>
          <w:b/>
          <w:bCs/>
          <w:sz w:val="30"/>
          <w:szCs w:val="30"/>
          <w:highlight w:val="none"/>
        </w:rPr>
        <w:t>四、商务条款偏离表</w:t>
      </w:r>
    </w:p>
    <w:p w14:paraId="4B6E3453">
      <w:pPr>
        <w:snapToGrid w:val="0"/>
        <w:spacing w:before="50"/>
        <w:jc w:val="left"/>
        <w:rPr>
          <w:rFonts w:hint="eastAsia" w:ascii="仿宋" w:hAnsi="仿宋" w:eastAsia="仿宋" w:cs="仿宋"/>
          <w:sz w:val="24"/>
          <w:highlight w:val="none"/>
        </w:rPr>
      </w:pPr>
    </w:p>
    <w:p w14:paraId="16897BA9">
      <w:pPr>
        <w:spacing w:line="360" w:lineRule="auto"/>
        <w:ind w:left="-424" w:leftChars="-202" w:firstLine="846"/>
        <w:rPr>
          <w:rFonts w:hint="eastAsia" w:ascii="仿宋" w:hAnsi="仿宋" w:eastAsia="仿宋" w:cs="仿宋"/>
          <w:sz w:val="24"/>
          <w:highlight w:val="none"/>
        </w:rPr>
      </w:pPr>
      <w:r>
        <w:rPr>
          <w:rFonts w:hint="eastAsia" w:ascii="仿宋" w:hAnsi="仿宋" w:eastAsia="仿宋" w:cs="仿宋"/>
          <w:szCs w:val="20"/>
          <w:highlight w:val="none"/>
        </w:rPr>
        <w:t>请逐条对应本项目采购文件第二章“服务需求一览表”中“商务条款”的要求，详细填写相应的具体内容。“偏离说明”一栏应当选择“正偏离”、“负偏离”或“无偏离”进行填写。</w:t>
      </w:r>
    </w:p>
    <w:tbl>
      <w:tblPr>
        <w:tblStyle w:val="31"/>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1C81C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vAlign w:val="center"/>
          </w:tcPr>
          <w:p w14:paraId="287214EB">
            <w:pPr>
              <w:keepNext w:val="0"/>
              <w:keepLines w:val="0"/>
              <w:suppressLineNumbers w:val="0"/>
              <w:spacing w:before="0" w:beforeAutospacing="0" w:after="0" w:afterAutospacing="0" w:line="34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0DED7668">
            <w:pPr>
              <w:keepNext w:val="0"/>
              <w:keepLines w:val="0"/>
              <w:suppressLineNumbers w:val="0"/>
              <w:spacing w:before="0" w:beforeAutospacing="0" w:after="0" w:afterAutospacing="0" w:line="34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采购文件的商务需求</w:t>
            </w:r>
          </w:p>
        </w:tc>
        <w:tc>
          <w:tcPr>
            <w:tcW w:w="3589" w:type="dxa"/>
            <w:tcBorders>
              <w:top w:val="single" w:color="auto" w:sz="4" w:space="0"/>
              <w:left w:val="single" w:color="auto" w:sz="4" w:space="0"/>
              <w:bottom w:val="single" w:color="auto" w:sz="4" w:space="0"/>
              <w:right w:val="single" w:color="auto" w:sz="4" w:space="0"/>
            </w:tcBorders>
            <w:vAlign w:val="center"/>
          </w:tcPr>
          <w:p w14:paraId="18D4BA78">
            <w:pPr>
              <w:keepNext w:val="0"/>
              <w:keepLines w:val="0"/>
              <w:suppressLineNumbers w:val="0"/>
              <w:spacing w:before="0" w:beforeAutospacing="0" w:after="0" w:afterAutospacing="0" w:line="34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0248D309">
            <w:pPr>
              <w:keepNext w:val="0"/>
              <w:keepLines w:val="0"/>
              <w:suppressLineNumbers w:val="0"/>
              <w:spacing w:before="0" w:beforeAutospacing="0" w:after="0" w:afterAutospacing="0" w:line="34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偏离说明</w:t>
            </w:r>
          </w:p>
        </w:tc>
      </w:tr>
      <w:tr w14:paraId="7ED8C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0D9847B8">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一</w:t>
            </w:r>
          </w:p>
        </w:tc>
        <w:tc>
          <w:tcPr>
            <w:tcW w:w="3926" w:type="dxa"/>
            <w:tcBorders>
              <w:top w:val="single" w:color="auto" w:sz="4" w:space="0"/>
              <w:left w:val="single" w:color="auto" w:sz="4" w:space="0"/>
              <w:bottom w:val="single" w:color="auto" w:sz="4" w:space="0"/>
              <w:right w:val="single" w:color="auto" w:sz="4" w:space="0"/>
            </w:tcBorders>
          </w:tcPr>
          <w:p w14:paraId="2A4165FB">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1  ……</w:t>
            </w:r>
          </w:p>
          <w:p w14:paraId="290F9AF4">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2  ……</w:t>
            </w:r>
          </w:p>
          <w:p w14:paraId="3EC7CDDF">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3  ……</w:t>
            </w:r>
          </w:p>
          <w:p w14:paraId="2C002B82">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62301D13">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1  ……</w:t>
            </w:r>
          </w:p>
          <w:p w14:paraId="0B592E1E">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2  ……</w:t>
            </w:r>
          </w:p>
          <w:p w14:paraId="18A4EC03">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3  ……</w:t>
            </w:r>
          </w:p>
          <w:p w14:paraId="6A17CC2B">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1CEA268D">
            <w:pPr>
              <w:keepNext w:val="0"/>
              <w:keepLines w:val="0"/>
              <w:suppressLineNumbers w:val="0"/>
              <w:spacing w:before="0" w:beforeAutospacing="0" w:after="0" w:afterAutospacing="0" w:line="30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正偏离（负偏离或无偏离）</w:t>
            </w:r>
          </w:p>
        </w:tc>
      </w:tr>
      <w:tr w14:paraId="0A8C7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67B5C99F">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二</w:t>
            </w:r>
          </w:p>
        </w:tc>
        <w:tc>
          <w:tcPr>
            <w:tcW w:w="3926" w:type="dxa"/>
            <w:tcBorders>
              <w:top w:val="single" w:color="auto" w:sz="4" w:space="0"/>
              <w:left w:val="single" w:color="auto" w:sz="4" w:space="0"/>
              <w:bottom w:val="single" w:color="auto" w:sz="4" w:space="0"/>
              <w:right w:val="single" w:color="auto" w:sz="4" w:space="0"/>
            </w:tcBorders>
          </w:tcPr>
          <w:p w14:paraId="27B539E0">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1  ……</w:t>
            </w:r>
          </w:p>
          <w:p w14:paraId="3B5C5A35">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2  ……</w:t>
            </w:r>
          </w:p>
          <w:p w14:paraId="55325303">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3  ……</w:t>
            </w:r>
          </w:p>
          <w:p w14:paraId="50092CBD">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67298F61">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1  ……</w:t>
            </w:r>
          </w:p>
          <w:p w14:paraId="183D092B">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2  ……</w:t>
            </w:r>
          </w:p>
          <w:p w14:paraId="28676296">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3  ……</w:t>
            </w:r>
          </w:p>
          <w:p w14:paraId="1A1F0F7D">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458BD2A3">
            <w:pPr>
              <w:keepNext w:val="0"/>
              <w:keepLines w:val="0"/>
              <w:suppressLineNumbers w:val="0"/>
              <w:spacing w:before="0" w:beforeAutospacing="0" w:after="0" w:afterAutospacing="0" w:line="30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正偏离（负偏离或无偏离）</w:t>
            </w:r>
          </w:p>
        </w:tc>
      </w:tr>
      <w:tr w14:paraId="56CD4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tcPr>
          <w:p w14:paraId="738C444B">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w:t>
            </w:r>
          </w:p>
        </w:tc>
        <w:tc>
          <w:tcPr>
            <w:tcW w:w="3926" w:type="dxa"/>
            <w:tcBorders>
              <w:top w:val="single" w:color="auto" w:sz="4" w:space="0"/>
              <w:left w:val="single" w:color="auto" w:sz="4" w:space="0"/>
              <w:bottom w:val="single" w:color="auto" w:sz="4" w:space="0"/>
              <w:right w:val="single" w:color="auto" w:sz="4" w:space="0"/>
            </w:tcBorders>
          </w:tcPr>
          <w:p w14:paraId="1C1C603E">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1  ……</w:t>
            </w:r>
          </w:p>
          <w:p w14:paraId="1412989D">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2  ……</w:t>
            </w:r>
          </w:p>
          <w:p w14:paraId="5462828D">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3  ……</w:t>
            </w:r>
          </w:p>
          <w:p w14:paraId="326728AC">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5D43A0A6">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1  ……</w:t>
            </w:r>
          </w:p>
          <w:p w14:paraId="07AB715A">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2  ……</w:t>
            </w:r>
          </w:p>
          <w:p w14:paraId="16080A17">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3  ……</w:t>
            </w:r>
          </w:p>
          <w:p w14:paraId="4B4393BE">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53B559B3">
            <w:pPr>
              <w:keepNext w:val="0"/>
              <w:keepLines w:val="0"/>
              <w:suppressLineNumbers w:val="0"/>
              <w:spacing w:before="0" w:beforeAutospacing="0" w:after="0" w:afterAutospacing="0" w:line="300" w:lineRule="exact"/>
              <w:ind w:left="0" w:right="0"/>
              <w:rPr>
                <w:rFonts w:hint="eastAsia" w:ascii="仿宋" w:hAnsi="仿宋" w:eastAsia="仿宋" w:cs="仿宋"/>
                <w:szCs w:val="21"/>
                <w:highlight w:val="none"/>
              </w:rPr>
            </w:pPr>
            <w:r>
              <w:rPr>
                <w:rFonts w:hint="eastAsia" w:ascii="仿宋" w:hAnsi="仿宋" w:eastAsia="仿宋" w:cs="仿宋"/>
                <w:szCs w:val="21"/>
                <w:highlight w:val="none"/>
              </w:rPr>
              <w:t>正偏离（负偏离或无偏离）</w:t>
            </w:r>
          </w:p>
        </w:tc>
      </w:tr>
      <w:tr w14:paraId="310C4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480" w:type="dxa"/>
            <w:gridSpan w:val="4"/>
            <w:tcBorders>
              <w:top w:val="single" w:color="auto" w:sz="4" w:space="0"/>
              <w:left w:val="single" w:color="auto" w:sz="4" w:space="0"/>
              <w:bottom w:val="single" w:color="auto" w:sz="4" w:space="0"/>
              <w:right w:val="single" w:color="auto" w:sz="4" w:space="0"/>
            </w:tcBorders>
          </w:tcPr>
          <w:p w14:paraId="5C83D9FB">
            <w:pPr>
              <w:keepNext w:val="0"/>
              <w:keepLines w:val="0"/>
              <w:suppressLineNumbers w:val="0"/>
              <w:spacing w:before="0" w:beforeAutospacing="0" w:after="0" w:afterAutospacing="0" w:line="340" w:lineRule="exact"/>
              <w:ind w:left="0" w:right="0"/>
              <w:rPr>
                <w:rFonts w:hint="eastAsia" w:ascii="仿宋" w:hAnsi="仿宋" w:eastAsia="仿宋" w:cs="仿宋"/>
                <w:szCs w:val="21"/>
                <w:highlight w:val="none"/>
              </w:rPr>
            </w:pPr>
            <w:r>
              <w:rPr>
                <w:rFonts w:hint="eastAsia" w:ascii="仿宋" w:hAnsi="仿宋" w:eastAsia="仿宋" w:cs="仿宋"/>
                <w:szCs w:val="21"/>
                <w:highlight w:val="none"/>
                <w:u w:val="single"/>
              </w:rPr>
              <w:t>　　</w:t>
            </w:r>
            <w:r>
              <w:rPr>
                <w:rFonts w:hint="eastAsia" w:ascii="仿宋" w:hAnsi="仿宋" w:eastAsia="仿宋" w:cs="仿宋"/>
                <w:szCs w:val="21"/>
                <w:highlight w:val="none"/>
              </w:rPr>
              <w:t>分标（此处有分标时填写具体分标号，无分标时填写“无”）</w:t>
            </w:r>
          </w:p>
        </w:tc>
      </w:tr>
    </w:tbl>
    <w:p w14:paraId="7B0F50DA">
      <w:pPr>
        <w:spacing w:line="360" w:lineRule="auto"/>
        <w:ind w:left="-708" w:leftChars="-337"/>
        <w:rPr>
          <w:rFonts w:hint="eastAsia" w:ascii="仿宋" w:hAnsi="仿宋" w:eastAsia="仿宋" w:cs="仿宋"/>
          <w:szCs w:val="20"/>
          <w:highlight w:val="none"/>
        </w:rPr>
      </w:pPr>
    </w:p>
    <w:p w14:paraId="79EB212F">
      <w:pPr>
        <w:spacing w:line="360" w:lineRule="auto"/>
        <w:ind w:left="-708" w:leftChars="-337"/>
        <w:rPr>
          <w:rFonts w:hint="eastAsia" w:ascii="仿宋" w:hAnsi="仿宋" w:eastAsia="仿宋" w:cs="仿宋"/>
          <w:szCs w:val="20"/>
          <w:highlight w:val="none"/>
        </w:rPr>
      </w:pPr>
      <w:r>
        <w:rPr>
          <w:rFonts w:hint="eastAsia" w:ascii="仿宋" w:hAnsi="仿宋" w:eastAsia="仿宋" w:cs="仿宋"/>
          <w:szCs w:val="20"/>
          <w:highlight w:val="none"/>
        </w:rPr>
        <w:t>注：</w:t>
      </w:r>
    </w:p>
    <w:p w14:paraId="0B4B42E1">
      <w:pPr>
        <w:spacing w:line="360" w:lineRule="auto"/>
        <w:ind w:left="-708" w:leftChars="-337" w:firstLine="420" w:firstLineChars="200"/>
        <w:rPr>
          <w:rFonts w:hint="eastAsia" w:ascii="仿宋" w:hAnsi="仿宋" w:eastAsia="仿宋" w:cs="仿宋"/>
          <w:szCs w:val="20"/>
          <w:highlight w:val="none"/>
        </w:rPr>
      </w:pPr>
      <w:r>
        <w:rPr>
          <w:rFonts w:hint="eastAsia" w:ascii="仿宋" w:hAnsi="仿宋" w:eastAsia="仿宋" w:cs="仿宋"/>
          <w:szCs w:val="20"/>
          <w:highlight w:val="none"/>
        </w:rPr>
        <w:t>1.表格内容均需按要求填写并盖章，不得留空，否则按竞标无效处理。</w:t>
      </w:r>
    </w:p>
    <w:p w14:paraId="4F271203">
      <w:pPr>
        <w:spacing w:line="360" w:lineRule="auto"/>
        <w:ind w:left="-603" w:leftChars="-287" w:firstLine="315" w:firstLineChars="150"/>
        <w:rPr>
          <w:rFonts w:hint="eastAsia" w:ascii="仿宋" w:hAnsi="仿宋" w:eastAsia="仿宋" w:cs="仿宋"/>
          <w:szCs w:val="20"/>
          <w:highlight w:val="none"/>
        </w:rPr>
      </w:pPr>
      <w:r>
        <w:rPr>
          <w:rFonts w:hint="eastAsia" w:ascii="仿宋" w:hAnsi="仿宋" w:eastAsia="仿宋" w:cs="仿宋"/>
          <w:szCs w:val="20"/>
          <w:highlight w:val="none"/>
        </w:rPr>
        <w:t>2.如果采购文件需求为小于或大于某个数值标准时，响应文件承诺不得直接复制采购文件需求，响应文件承诺内容应当写明竞标货物具体参数或商务响应承诺的具体数值，否则按竞标无效处理。</w:t>
      </w:r>
    </w:p>
    <w:p w14:paraId="7DAEA88E">
      <w:pPr>
        <w:spacing w:line="360" w:lineRule="auto"/>
        <w:ind w:left="-708" w:leftChars="-337" w:firstLine="420" w:firstLineChars="200"/>
        <w:rPr>
          <w:rFonts w:hint="eastAsia" w:ascii="仿宋" w:hAnsi="仿宋" w:eastAsia="仿宋" w:cs="仿宋"/>
          <w:szCs w:val="20"/>
          <w:highlight w:val="none"/>
        </w:rPr>
      </w:pPr>
      <w:r>
        <w:rPr>
          <w:rFonts w:hint="eastAsia" w:ascii="仿宋" w:hAnsi="仿宋" w:eastAsia="仿宋" w:cs="仿宋"/>
          <w:szCs w:val="20"/>
          <w:highlight w:val="none"/>
        </w:rPr>
        <w:t>3.当响应文件的商务内容低于采购文件要求时，竞标供应商应当如实写明“负偏离”，否则视为虚假应标。</w:t>
      </w:r>
    </w:p>
    <w:p w14:paraId="37096CF9">
      <w:pPr>
        <w:spacing w:line="360" w:lineRule="auto"/>
        <w:ind w:left="-708" w:leftChars="-337" w:firstLine="420" w:firstLineChars="200"/>
        <w:rPr>
          <w:rFonts w:hint="eastAsia" w:ascii="仿宋" w:hAnsi="仿宋" w:eastAsia="仿宋" w:cs="仿宋"/>
          <w:szCs w:val="20"/>
          <w:highlight w:val="none"/>
        </w:rPr>
      </w:pPr>
      <w:r>
        <w:rPr>
          <w:rFonts w:hint="eastAsia" w:ascii="仿宋" w:hAnsi="仿宋" w:eastAsia="仿宋" w:cs="仿宋"/>
          <w:szCs w:val="21"/>
          <w:highlight w:val="none"/>
        </w:rPr>
        <w:t>4.采购需求中带“▲”的条款，也要分别在本表“响应文件的商务需求”、“响应文件承诺的商务条款”中标记。</w:t>
      </w:r>
    </w:p>
    <w:p w14:paraId="64A97C9C">
      <w:pPr>
        <w:snapToGrid w:val="0"/>
        <w:spacing w:before="50" w:after="50"/>
        <w:rPr>
          <w:rFonts w:hint="eastAsia" w:ascii="仿宋" w:hAnsi="仿宋" w:eastAsia="仿宋" w:cs="仿宋"/>
          <w:sz w:val="24"/>
          <w:highlight w:val="none"/>
        </w:rPr>
      </w:pPr>
    </w:p>
    <w:p w14:paraId="0055FA06">
      <w:pPr>
        <w:spacing w:line="276" w:lineRule="auto"/>
        <w:ind w:firstLine="4320" w:firstLineChars="1800"/>
        <w:rPr>
          <w:rFonts w:hint="eastAsia" w:ascii="仿宋" w:hAnsi="仿宋" w:eastAsia="仿宋" w:cs="仿宋"/>
          <w:sz w:val="24"/>
          <w:highlight w:val="none"/>
        </w:rPr>
      </w:pPr>
      <w:r>
        <w:rPr>
          <w:rFonts w:hint="eastAsia" w:ascii="仿宋" w:hAnsi="仿宋" w:eastAsia="仿宋" w:cs="仿宋"/>
          <w:sz w:val="24"/>
          <w:highlight w:val="none"/>
        </w:rPr>
        <w:t>供应商名称（电子签章）：</w:t>
      </w:r>
    </w:p>
    <w:p w14:paraId="44B6B8CD">
      <w:pPr>
        <w:spacing w:line="276" w:lineRule="auto"/>
        <w:ind w:firstLine="4320" w:firstLineChars="1800"/>
        <w:rPr>
          <w:rFonts w:hint="eastAsia" w:ascii="仿宋" w:hAnsi="仿宋" w:eastAsia="仿宋" w:cs="仿宋"/>
          <w:sz w:val="24"/>
          <w:highlight w:val="none"/>
        </w:rPr>
      </w:pPr>
      <w:r>
        <w:rPr>
          <w:rFonts w:hint="eastAsia" w:ascii="仿宋" w:hAnsi="仿宋" w:eastAsia="仿宋" w:cs="仿宋"/>
          <w:sz w:val="24"/>
          <w:highlight w:val="none"/>
        </w:rPr>
        <w:t>日期：  年  月   日</w:t>
      </w:r>
    </w:p>
    <w:p w14:paraId="362CE08F">
      <w:pPr>
        <w:snapToGrid w:val="0"/>
        <w:spacing w:line="360" w:lineRule="auto"/>
        <w:ind w:firstLine="5160" w:firstLineChars="2150"/>
        <w:rPr>
          <w:rFonts w:hint="eastAsia" w:ascii="仿宋" w:hAnsi="仿宋" w:eastAsia="仿宋" w:cs="仿宋"/>
          <w:kern w:val="0"/>
          <w:sz w:val="24"/>
          <w:highlight w:val="none"/>
          <w:lang w:val="zh-CN"/>
        </w:rPr>
      </w:pPr>
    </w:p>
    <w:p w14:paraId="5060D408">
      <w:pPr>
        <w:snapToGrid w:val="0"/>
        <w:spacing w:before="169" w:beforeLines="50" w:after="50"/>
        <w:ind w:firstLine="3150" w:firstLineChars="1500"/>
        <w:jc w:val="left"/>
        <w:rPr>
          <w:rFonts w:hint="eastAsia" w:ascii="仿宋" w:hAnsi="仿宋" w:eastAsia="仿宋" w:cs="仿宋"/>
          <w:szCs w:val="21"/>
          <w:highlight w:val="none"/>
        </w:rPr>
        <w:sectPr>
          <w:footerReference r:id="rId15" w:type="first"/>
          <w:headerReference r:id="rId12" w:type="default"/>
          <w:footerReference r:id="rId13" w:type="default"/>
          <w:footerReference r:id="rId14" w:type="even"/>
          <w:pgSz w:w="11905" w:h="16838"/>
          <w:pgMar w:top="1304" w:right="1304" w:bottom="1304" w:left="1304" w:header="720" w:footer="720" w:gutter="0"/>
          <w:pgNumType w:fmt="decimal"/>
          <w:cols w:space="720" w:num="1"/>
          <w:docGrid w:type="lines" w:linePitch="339" w:charSpace="0"/>
        </w:sectPr>
      </w:pPr>
    </w:p>
    <w:p w14:paraId="1A7261F1">
      <w:pPr>
        <w:snapToGrid w:val="0"/>
        <w:spacing w:before="169" w:beforeLines="50" w:after="50"/>
        <w:ind w:firstLine="602" w:firstLineChars="200"/>
        <w:jc w:val="center"/>
        <w:rPr>
          <w:rFonts w:hint="eastAsia" w:ascii="仿宋" w:hAnsi="仿宋" w:eastAsia="仿宋" w:cs="仿宋"/>
          <w:b/>
          <w:bCs/>
          <w:sz w:val="30"/>
          <w:szCs w:val="30"/>
          <w:highlight w:val="none"/>
        </w:rPr>
      </w:pPr>
      <w:r>
        <w:rPr>
          <w:rFonts w:hint="eastAsia" w:ascii="仿宋" w:hAnsi="仿宋" w:eastAsia="仿宋" w:cs="仿宋"/>
          <w:b/>
          <w:bCs/>
          <w:sz w:val="30"/>
          <w:szCs w:val="30"/>
          <w:highlight w:val="none"/>
        </w:rPr>
        <w:t>五、竞标供应商情况介绍</w:t>
      </w:r>
    </w:p>
    <w:p w14:paraId="7E42AC97">
      <w:pPr>
        <w:spacing w:line="360" w:lineRule="auto"/>
        <w:ind w:firstLine="4048" w:firstLineChars="1687"/>
        <w:rPr>
          <w:rFonts w:hint="eastAsia" w:ascii="仿宋" w:hAnsi="仿宋" w:eastAsia="仿宋" w:cs="仿宋"/>
          <w:kern w:val="0"/>
          <w:sz w:val="24"/>
          <w:highlight w:val="none"/>
        </w:rPr>
      </w:pPr>
      <w:r>
        <w:rPr>
          <w:rFonts w:hint="eastAsia" w:ascii="仿宋" w:hAnsi="仿宋" w:eastAsia="仿宋" w:cs="仿宋"/>
          <w:sz w:val="24"/>
          <w:highlight w:val="none"/>
        </w:rPr>
        <w:t>（格式自拟）</w:t>
      </w:r>
    </w:p>
    <w:p w14:paraId="3331BF35">
      <w:pPr>
        <w:snapToGrid w:val="0"/>
        <w:spacing w:line="360" w:lineRule="auto"/>
        <w:ind w:firstLine="4935" w:firstLineChars="2350"/>
        <w:rPr>
          <w:rFonts w:hint="eastAsia" w:ascii="仿宋" w:hAnsi="仿宋" w:eastAsia="仿宋" w:cs="仿宋"/>
          <w:szCs w:val="21"/>
          <w:highlight w:val="none"/>
        </w:rPr>
      </w:pPr>
    </w:p>
    <w:p w14:paraId="2BE06B8F">
      <w:pPr>
        <w:snapToGrid w:val="0"/>
        <w:spacing w:line="360" w:lineRule="auto"/>
        <w:ind w:firstLine="4935" w:firstLineChars="2350"/>
        <w:rPr>
          <w:rFonts w:hint="eastAsia" w:ascii="仿宋" w:hAnsi="仿宋" w:eastAsia="仿宋" w:cs="仿宋"/>
          <w:szCs w:val="21"/>
          <w:highlight w:val="none"/>
        </w:rPr>
      </w:pPr>
    </w:p>
    <w:p w14:paraId="46AE987E">
      <w:pPr>
        <w:snapToGrid w:val="0"/>
        <w:spacing w:line="360" w:lineRule="auto"/>
        <w:ind w:firstLine="4935" w:firstLineChars="2350"/>
        <w:rPr>
          <w:rFonts w:hint="eastAsia" w:ascii="仿宋" w:hAnsi="仿宋" w:eastAsia="仿宋" w:cs="仿宋"/>
          <w:szCs w:val="21"/>
          <w:highlight w:val="none"/>
        </w:rPr>
      </w:pPr>
    </w:p>
    <w:p w14:paraId="20B84166">
      <w:pPr>
        <w:snapToGrid w:val="0"/>
        <w:spacing w:line="360" w:lineRule="auto"/>
        <w:ind w:firstLine="4935" w:firstLineChars="2350"/>
        <w:rPr>
          <w:rFonts w:hint="eastAsia" w:ascii="仿宋" w:hAnsi="仿宋" w:eastAsia="仿宋" w:cs="仿宋"/>
          <w:szCs w:val="21"/>
          <w:highlight w:val="none"/>
        </w:rPr>
      </w:pPr>
    </w:p>
    <w:p w14:paraId="5BFDBAC8">
      <w:pPr>
        <w:spacing w:line="276" w:lineRule="auto"/>
        <w:ind w:firstLine="4320" w:firstLineChars="1800"/>
        <w:rPr>
          <w:rFonts w:hint="eastAsia" w:ascii="仿宋" w:hAnsi="仿宋" w:eastAsia="仿宋" w:cs="仿宋"/>
          <w:sz w:val="24"/>
          <w:highlight w:val="none"/>
        </w:rPr>
      </w:pPr>
      <w:r>
        <w:rPr>
          <w:rFonts w:hint="eastAsia" w:ascii="仿宋" w:hAnsi="仿宋" w:eastAsia="仿宋" w:cs="仿宋"/>
          <w:sz w:val="24"/>
          <w:highlight w:val="none"/>
        </w:rPr>
        <w:t>供应商名称（电子签章）：</w:t>
      </w:r>
    </w:p>
    <w:p w14:paraId="30967075">
      <w:pPr>
        <w:snapToGrid w:val="0"/>
        <w:spacing w:line="360" w:lineRule="auto"/>
        <w:ind w:firstLine="5160" w:firstLineChars="2150"/>
        <w:rPr>
          <w:rFonts w:hint="eastAsia" w:ascii="仿宋" w:hAnsi="仿宋" w:eastAsia="仿宋" w:cs="仿宋"/>
          <w:kern w:val="0"/>
          <w:sz w:val="24"/>
          <w:highlight w:val="none"/>
          <w:lang w:val="zh-CN"/>
        </w:rPr>
      </w:pPr>
      <w:r>
        <w:rPr>
          <w:rFonts w:hint="eastAsia" w:ascii="仿宋" w:hAnsi="仿宋" w:eastAsia="仿宋" w:cs="仿宋"/>
          <w:sz w:val="24"/>
          <w:highlight w:val="none"/>
        </w:rPr>
        <w:t>日期：  年  月   日</w:t>
      </w:r>
    </w:p>
    <w:p w14:paraId="445B5B8F">
      <w:pPr>
        <w:snapToGrid w:val="0"/>
        <w:spacing w:before="169" w:beforeLines="50" w:after="50"/>
        <w:ind w:firstLine="602" w:firstLineChars="200"/>
        <w:jc w:val="center"/>
        <w:rPr>
          <w:rFonts w:hint="eastAsia" w:ascii="仿宋" w:hAnsi="仿宋" w:eastAsia="仿宋" w:cs="仿宋"/>
          <w:b/>
          <w:bCs/>
          <w:sz w:val="30"/>
          <w:szCs w:val="30"/>
          <w:highlight w:val="none"/>
        </w:rPr>
      </w:pPr>
    </w:p>
    <w:p w14:paraId="6C2F7565">
      <w:pPr>
        <w:snapToGrid w:val="0"/>
        <w:spacing w:before="169" w:beforeLines="50" w:after="50"/>
        <w:ind w:firstLine="602" w:firstLineChars="200"/>
        <w:jc w:val="center"/>
        <w:rPr>
          <w:rFonts w:hint="eastAsia" w:ascii="仿宋" w:hAnsi="仿宋" w:eastAsia="仿宋" w:cs="仿宋"/>
          <w:b/>
          <w:bCs/>
          <w:sz w:val="30"/>
          <w:szCs w:val="30"/>
          <w:highlight w:val="none"/>
        </w:rPr>
        <w:sectPr>
          <w:footerReference r:id="rId19" w:type="first"/>
          <w:headerReference r:id="rId16" w:type="default"/>
          <w:footerReference r:id="rId17" w:type="default"/>
          <w:footerReference r:id="rId18" w:type="even"/>
          <w:pgSz w:w="11905" w:h="16838"/>
          <w:pgMar w:top="1304" w:right="1304" w:bottom="1304" w:left="1304" w:header="720" w:footer="720" w:gutter="0"/>
          <w:pgNumType w:fmt="decimal"/>
          <w:cols w:space="720" w:num="1"/>
          <w:docGrid w:type="lines" w:linePitch="339" w:charSpace="0"/>
        </w:sectPr>
      </w:pPr>
    </w:p>
    <w:p w14:paraId="78FEE556">
      <w:pPr>
        <w:snapToGrid w:val="0"/>
        <w:spacing w:before="169" w:beforeLines="50" w:after="50"/>
        <w:ind w:firstLine="602" w:firstLineChars="200"/>
        <w:jc w:val="center"/>
        <w:rPr>
          <w:rFonts w:hint="eastAsia" w:ascii="仿宋" w:hAnsi="仿宋" w:eastAsia="仿宋" w:cs="仿宋"/>
          <w:b/>
          <w:bCs/>
          <w:sz w:val="30"/>
          <w:szCs w:val="30"/>
          <w:highlight w:val="none"/>
        </w:rPr>
      </w:pPr>
      <w:r>
        <w:rPr>
          <w:rFonts w:hint="eastAsia" w:ascii="仿宋" w:hAnsi="仿宋" w:eastAsia="仿宋" w:cs="仿宋"/>
          <w:b/>
          <w:bCs/>
          <w:sz w:val="30"/>
          <w:szCs w:val="30"/>
          <w:highlight w:val="none"/>
        </w:rPr>
        <w:t>六、竞标供应商类似的业绩证明文件（如有要求）</w:t>
      </w:r>
    </w:p>
    <w:p w14:paraId="13212E03">
      <w:pPr>
        <w:snapToGrid w:val="0"/>
        <w:ind w:left="480" w:hanging="480" w:hangingChars="200"/>
        <w:rPr>
          <w:rFonts w:hint="eastAsia" w:ascii="仿宋" w:hAnsi="仿宋" w:eastAsia="仿宋" w:cs="仿宋"/>
          <w:sz w:val="24"/>
          <w:highlight w:val="none"/>
        </w:rPr>
      </w:pPr>
    </w:p>
    <w:p w14:paraId="1767BE2B">
      <w:pPr>
        <w:snapToGrid w:val="0"/>
        <w:ind w:left="480" w:hanging="480" w:hangingChars="200"/>
        <w:rPr>
          <w:rFonts w:hint="eastAsia" w:ascii="仿宋" w:hAnsi="仿宋" w:eastAsia="仿宋" w:cs="仿宋"/>
          <w:sz w:val="24"/>
          <w:highlight w:val="none"/>
        </w:rPr>
      </w:pPr>
    </w:p>
    <w:p w14:paraId="48D514CC">
      <w:pPr>
        <w:autoSpaceDE w:val="0"/>
        <w:autoSpaceDN w:val="0"/>
        <w:spacing w:line="360" w:lineRule="auto"/>
        <w:ind w:firstLine="120"/>
        <w:rPr>
          <w:rFonts w:hint="eastAsia" w:ascii="仿宋" w:hAnsi="仿宋" w:eastAsia="仿宋" w:cs="仿宋"/>
          <w:sz w:val="24"/>
          <w:highlight w:val="none"/>
        </w:rPr>
      </w:pPr>
      <w:r>
        <w:rPr>
          <w:rFonts w:hint="eastAsia" w:ascii="仿宋" w:hAnsi="仿宋" w:eastAsia="仿宋" w:cs="仿宋"/>
          <w:b/>
          <w:sz w:val="24"/>
          <w:highlight w:val="none"/>
        </w:rPr>
        <w:t>附表 :相关项目业绩一览表</w:t>
      </w:r>
    </w:p>
    <w:tbl>
      <w:tblPr>
        <w:tblStyle w:val="31"/>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426"/>
        <w:gridCol w:w="3175"/>
        <w:gridCol w:w="1585"/>
        <w:gridCol w:w="2101"/>
      </w:tblGrid>
      <w:tr w14:paraId="3DC631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65" w:hRule="atLeast"/>
        </w:trPr>
        <w:tc>
          <w:tcPr>
            <w:tcW w:w="1306" w:type="pct"/>
            <w:tcBorders>
              <w:top w:val="single" w:color="auto" w:sz="4" w:space="0"/>
              <w:left w:val="single" w:color="auto" w:sz="4" w:space="0"/>
              <w:bottom w:val="single" w:color="auto" w:sz="4" w:space="0"/>
              <w:right w:val="single" w:color="auto" w:sz="4" w:space="0"/>
            </w:tcBorders>
            <w:vAlign w:val="center"/>
          </w:tcPr>
          <w:p w14:paraId="5FC22B27">
            <w:pPr>
              <w:keepNext w:val="0"/>
              <w:keepLines w:val="0"/>
              <w:suppressLineNumbers w:val="0"/>
              <w:snapToGrid w:val="0"/>
              <w:spacing w:before="0" w:beforeAutospacing="0" w:after="0" w:afterAutospacing="0" w:line="240" w:lineRule="exact"/>
              <w:ind w:left="0" w:right="0"/>
              <w:jc w:val="center"/>
              <w:rPr>
                <w:rFonts w:hint="eastAsia" w:ascii="仿宋" w:hAnsi="仿宋" w:eastAsia="仿宋" w:cs="仿宋"/>
                <w:sz w:val="24"/>
                <w:highlight w:val="none"/>
              </w:rPr>
            </w:pPr>
            <w:r>
              <w:rPr>
                <w:rFonts w:hint="eastAsia" w:ascii="仿宋" w:hAnsi="仿宋" w:eastAsia="仿宋" w:cs="仿宋"/>
                <w:sz w:val="24"/>
                <w:highlight w:val="none"/>
              </w:rPr>
              <w:t>采购人名称</w:t>
            </w:r>
          </w:p>
        </w:tc>
        <w:tc>
          <w:tcPr>
            <w:tcW w:w="1709" w:type="pct"/>
            <w:tcBorders>
              <w:top w:val="single" w:color="auto" w:sz="4" w:space="0"/>
              <w:left w:val="single" w:color="auto" w:sz="4" w:space="0"/>
              <w:bottom w:val="single" w:color="auto" w:sz="4" w:space="0"/>
              <w:right w:val="single" w:color="auto" w:sz="4" w:space="0"/>
            </w:tcBorders>
            <w:vAlign w:val="center"/>
          </w:tcPr>
          <w:p w14:paraId="1D3D2371">
            <w:pPr>
              <w:keepNext w:val="0"/>
              <w:keepLines w:val="0"/>
              <w:suppressLineNumbers w:val="0"/>
              <w:snapToGrid w:val="0"/>
              <w:spacing w:before="0" w:beforeAutospacing="0" w:after="0" w:afterAutospacing="0" w:line="240" w:lineRule="exact"/>
              <w:ind w:left="0" w:right="0"/>
              <w:jc w:val="center"/>
              <w:rPr>
                <w:rFonts w:hint="eastAsia" w:ascii="仿宋" w:hAnsi="仿宋" w:eastAsia="仿宋" w:cs="仿宋"/>
                <w:sz w:val="24"/>
                <w:highlight w:val="none"/>
              </w:rPr>
            </w:pPr>
            <w:r>
              <w:rPr>
                <w:rFonts w:hint="eastAsia" w:ascii="仿宋" w:hAnsi="仿宋" w:eastAsia="仿宋" w:cs="仿宋"/>
                <w:sz w:val="24"/>
                <w:highlight w:val="none"/>
              </w:rPr>
              <w:t>项目名称</w:t>
            </w:r>
          </w:p>
        </w:tc>
        <w:tc>
          <w:tcPr>
            <w:tcW w:w="853" w:type="pct"/>
            <w:tcBorders>
              <w:top w:val="single" w:color="auto" w:sz="4" w:space="0"/>
              <w:left w:val="single" w:color="auto" w:sz="4" w:space="0"/>
              <w:bottom w:val="single" w:color="auto" w:sz="4" w:space="0"/>
              <w:right w:val="single" w:color="auto" w:sz="4" w:space="0"/>
            </w:tcBorders>
            <w:vAlign w:val="center"/>
          </w:tcPr>
          <w:p w14:paraId="6250A19F">
            <w:pPr>
              <w:keepNext w:val="0"/>
              <w:keepLines w:val="0"/>
              <w:suppressLineNumbers w:val="0"/>
              <w:snapToGrid w:val="0"/>
              <w:spacing w:before="0" w:beforeAutospacing="0" w:after="0" w:afterAutospacing="0" w:line="240" w:lineRule="exact"/>
              <w:ind w:left="0" w:right="0"/>
              <w:jc w:val="center"/>
              <w:rPr>
                <w:rFonts w:hint="eastAsia" w:ascii="仿宋" w:hAnsi="仿宋" w:eastAsia="仿宋" w:cs="仿宋"/>
                <w:sz w:val="24"/>
                <w:highlight w:val="none"/>
              </w:rPr>
            </w:pPr>
            <w:r>
              <w:rPr>
                <w:rFonts w:hint="eastAsia" w:ascii="仿宋" w:hAnsi="仿宋" w:eastAsia="仿宋" w:cs="仿宋"/>
                <w:sz w:val="24"/>
                <w:highlight w:val="none"/>
              </w:rPr>
              <w:t>合同</w:t>
            </w:r>
          </w:p>
          <w:p w14:paraId="7C7A528C">
            <w:pPr>
              <w:keepNext w:val="0"/>
              <w:keepLines w:val="0"/>
              <w:suppressLineNumbers w:val="0"/>
              <w:snapToGrid w:val="0"/>
              <w:spacing w:before="0" w:beforeAutospacing="0" w:after="0" w:afterAutospacing="0" w:line="240" w:lineRule="exact"/>
              <w:ind w:left="0" w:right="0"/>
              <w:jc w:val="center"/>
              <w:rPr>
                <w:rFonts w:hint="eastAsia" w:ascii="仿宋" w:hAnsi="仿宋" w:eastAsia="仿宋" w:cs="仿宋"/>
                <w:sz w:val="24"/>
                <w:highlight w:val="none"/>
              </w:rPr>
            </w:pPr>
            <w:r>
              <w:rPr>
                <w:rFonts w:hint="eastAsia" w:ascii="仿宋" w:hAnsi="仿宋" w:eastAsia="仿宋" w:cs="仿宋"/>
                <w:sz w:val="24"/>
                <w:highlight w:val="none"/>
              </w:rPr>
              <w:t>金额</w:t>
            </w:r>
          </w:p>
          <w:p w14:paraId="66D61A71">
            <w:pPr>
              <w:keepNext w:val="0"/>
              <w:keepLines w:val="0"/>
              <w:suppressLineNumbers w:val="0"/>
              <w:snapToGrid w:val="0"/>
              <w:spacing w:before="0" w:beforeAutospacing="0" w:after="0" w:afterAutospacing="0" w:line="240" w:lineRule="exact"/>
              <w:ind w:left="0" w:right="0"/>
              <w:jc w:val="center"/>
              <w:rPr>
                <w:rFonts w:hint="eastAsia" w:ascii="仿宋" w:hAnsi="仿宋" w:eastAsia="仿宋" w:cs="仿宋"/>
                <w:sz w:val="24"/>
                <w:highlight w:val="none"/>
              </w:rPr>
            </w:pPr>
            <w:r>
              <w:rPr>
                <w:rFonts w:hint="eastAsia" w:ascii="仿宋" w:hAnsi="仿宋" w:eastAsia="仿宋" w:cs="仿宋"/>
                <w:sz w:val="24"/>
                <w:highlight w:val="none"/>
              </w:rPr>
              <w:t>（万元）</w:t>
            </w:r>
          </w:p>
        </w:tc>
        <w:tc>
          <w:tcPr>
            <w:tcW w:w="1131" w:type="pct"/>
            <w:tcBorders>
              <w:top w:val="single" w:color="auto" w:sz="4" w:space="0"/>
              <w:left w:val="single" w:color="auto" w:sz="4" w:space="0"/>
              <w:bottom w:val="single" w:color="auto" w:sz="4" w:space="0"/>
              <w:right w:val="single" w:color="auto" w:sz="4" w:space="0"/>
            </w:tcBorders>
            <w:vAlign w:val="center"/>
          </w:tcPr>
          <w:p w14:paraId="15A1F7A2">
            <w:pPr>
              <w:keepNext w:val="0"/>
              <w:keepLines w:val="0"/>
              <w:suppressLineNumbers w:val="0"/>
              <w:snapToGrid w:val="0"/>
              <w:spacing w:before="0" w:beforeAutospacing="0" w:after="0" w:afterAutospacing="0" w:line="240" w:lineRule="exact"/>
              <w:ind w:left="0" w:right="0"/>
              <w:jc w:val="center"/>
              <w:rPr>
                <w:rFonts w:hint="eastAsia" w:ascii="仿宋" w:hAnsi="仿宋" w:eastAsia="仿宋" w:cs="仿宋"/>
                <w:sz w:val="24"/>
                <w:highlight w:val="none"/>
              </w:rPr>
            </w:pPr>
            <w:r>
              <w:rPr>
                <w:rFonts w:hint="eastAsia" w:ascii="仿宋" w:hAnsi="仿宋" w:eastAsia="仿宋" w:cs="仿宋"/>
                <w:sz w:val="24"/>
                <w:highlight w:val="none"/>
              </w:rPr>
              <w:t>采购人联系人及</w:t>
            </w:r>
          </w:p>
          <w:p w14:paraId="48D9916C">
            <w:pPr>
              <w:keepNext w:val="0"/>
              <w:keepLines w:val="0"/>
              <w:suppressLineNumbers w:val="0"/>
              <w:snapToGrid w:val="0"/>
              <w:spacing w:before="0" w:beforeAutospacing="0" w:after="0" w:afterAutospacing="0" w:line="240" w:lineRule="exact"/>
              <w:ind w:left="0" w:right="0"/>
              <w:jc w:val="center"/>
              <w:rPr>
                <w:rFonts w:hint="eastAsia" w:ascii="仿宋" w:hAnsi="仿宋" w:eastAsia="仿宋" w:cs="仿宋"/>
                <w:sz w:val="24"/>
                <w:highlight w:val="none"/>
              </w:rPr>
            </w:pPr>
            <w:r>
              <w:rPr>
                <w:rFonts w:hint="eastAsia" w:ascii="仿宋" w:hAnsi="仿宋" w:eastAsia="仿宋" w:cs="仿宋"/>
                <w:sz w:val="24"/>
                <w:highlight w:val="none"/>
              </w:rPr>
              <w:t>联系电话</w:t>
            </w:r>
          </w:p>
        </w:tc>
      </w:tr>
      <w:tr w14:paraId="65EABD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306" w:type="pct"/>
            <w:tcBorders>
              <w:top w:val="single" w:color="auto" w:sz="4" w:space="0"/>
              <w:left w:val="single" w:color="auto" w:sz="4" w:space="0"/>
              <w:bottom w:val="single" w:color="auto" w:sz="4" w:space="0"/>
              <w:right w:val="single" w:color="auto" w:sz="4" w:space="0"/>
            </w:tcBorders>
          </w:tcPr>
          <w:p w14:paraId="572B0BD1">
            <w:pPr>
              <w:keepNext w:val="0"/>
              <w:keepLines w:val="0"/>
              <w:suppressLineNumbers w:val="0"/>
              <w:snapToGrid w:val="0"/>
              <w:spacing w:before="0" w:beforeAutospacing="0" w:after="0" w:afterAutospacing="0" w:line="240" w:lineRule="exact"/>
              <w:ind w:left="0" w:right="0"/>
              <w:jc w:val="left"/>
              <w:rPr>
                <w:rFonts w:hint="eastAsia" w:ascii="仿宋" w:hAnsi="仿宋" w:eastAsia="仿宋" w:cs="仿宋"/>
                <w:sz w:val="24"/>
                <w:highlight w:val="none"/>
              </w:rPr>
            </w:pPr>
          </w:p>
        </w:tc>
        <w:tc>
          <w:tcPr>
            <w:tcW w:w="1709" w:type="pct"/>
            <w:tcBorders>
              <w:top w:val="single" w:color="auto" w:sz="4" w:space="0"/>
              <w:left w:val="single" w:color="auto" w:sz="4" w:space="0"/>
              <w:bottom w:val="single" w:color="auto" w:sz="4" w:space="0"/>
              <w:right w:val="single" w:color="auto" w:sz="4" w:space="0"/>
            </w:tcBorders>
          </w:tcPr>
          <w:p w14:paraId="4F8A1617">
            <w:pPr>
              <w:keepNext w:val="0"/>
              <w:keepLines w:val="0"/>
              <w:suppressLineNumbers w:val="0"/>
              <w:snapToGrid w:val="0"/>
              <w:spacing w:before="0" w:beforeAutospacing="0" w:after="0" w:afterAutospacing="0" w:line="240" w:lineRule="exact"/>
              <w:ind w:left="0" w:right="0"/>
              <w:jc w:val="left"/>
              <w:rPr>
                <w:rFonts w:hint="eastAsia" w:ascii="仿宋" w:hAnsi="仿宋" w:eastAsia="仿宋" w:cs="仿宋"/>
                <w:sz w:val="24"/>
                <w:highlight w:val="none"/>
              </w:rPr>
            </w:pPr>
          </w:p>
        </w:tc>
        <w:tc>
          <w:tcPr>
            <w:tcW w:w="853" w:type="pct"/>
            <w:tcBorders>
              <w:top w:val="single" w:color="auto" w:sz="4" w:space="0"/>
              <w:left w:val="single" w:color="auto" w:sz="4" w:space="0"/>
              <w:bottom w:val="single" w:color="auto" w:sz="4" w:space="0"/>
              <w:right w:val="single" w:color="auto" w:sz="4" w:space="0"/>
            </w:tcBorders>
          </w:tcPr>
          <w:p w14:paraId="4CD9973D">
            <w:pPr>
              <w:keepNext w:val="0"/>
              <w:keepLines w:val="0"/>
              <w:suppressLineNumbers w:val="0"/>
              <w:snapToGrid w:val="0"/>
              <w:spacing w:before="0" w:beforeAutospacing="0" w:after="0" w:afterAutospacing="0" w:line="240" w:lineRule="exact"/>
              <w:ind w:left="0" w:right="0"/>
              <w:jc w:val="left"/>
              <w:rPr>
                <w:rFonts w:hint="eastAsia" w:ascii="仿宋" w:hAnsi="仿宋" w:eastAsia="仿宋" w:cs="仿宋"/>
                <w:sz w:val="24"/>
                <w:highlight w:val="none"/>
              </w:rPr>
            </w:pPr>
          </w:p>
        </w:tc>
        <w:tc>
          <w:tcPr>
            <w:tcW w:w="1131" w:type="pct"/>
            <w:tcBorders>
              <w:top w:val="single" w:color="auto" w:sz="4" w:space="0"/>
              <w:left w:val="single" w:color="auto" w:sz="4" w:space="0"/>
              <w:bottom w:val="single" w:color="auto" w:sz="4" w:space="0"/>
              <w:right w:val="single" w:color="auto" w:sz="4" w:space="0"/>
            </w:tcBorders>
          </w:tcPr>
          <w:p w14:paraId="12071CBF">
            <w:pPr>
              <w:keepNext w:val="0"/>
              <w:keepLines w:val="0"/>
              <w:suppressLineNumbers w:val="0"/>
              <w:snapToGrid w:val="0"/>
              <w:spacing w:before="0" w:beforeAutospacing="0" w:after="0" w:afterAutospacing="0" w:line="240" w:lineRule="exact"/>
              <w:ind w:left="0" w:right="0"/>
              <w:jc w:val="left"/>
              <w:rPr>
                <w:rFonts w:hint="eastAsia" w:ascii="仿宋" w:hAnsi="仿宋" w:eastAsia="仿宋" w:cs="仿宋"/>
                <w:sz w:val="24"/>
                <w:highlight w:val="none"/>
              </w:rPr>
            </w:pPr>
          </w:p>
        </w:tc>
      </w:tr>
      <w:tr w14:paraId="5F4CAB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06" w:type="pct"/>
            <w:tcBorders>
              <w:top w:val="single" w:color="auto" w:sz="4" w:space="0"/>
              <w:left w:val="single" w:color="auto" w:sz="4" w:space="0"/>
              <w:bottom w:val="single" w:color="auto" w:sz="4" w:space="0"/>
              <w:right w:val="single" w:color="auto" w:sz="4" w:space="0"/>
            </w:tcBorders>
          </w:tcPr>
          <w:p w14:paraId="3E98DA28">
            <w:pPr>
              <w:keepNext w:val="0"/>
              <w:keepLines w:val="0"/>
              <w:suppressLineNumbers w:val="0"/>
              <w:snapToGrid w:val="0"/>
              <w:spacing w:before="50" w:beforeAutospacing="0" w:after="169" w:afterLines="50" w:afterAutospacing="0" w:line="400" w:lineRule="exact"/>
              <w:ind w:left="0" w:right="0"/>
              <w:jc w:val="left"/>
              <w:rPr>
                <w:rFonts w:hint="eastAsia" w:ascii="仿宋" w:hAnsi="仿宋" w:eastAsia="仿宋" w:cs="仿宋"/>
                <w:sz w:val="24"/>
                <w:highlight w:val="none"/>
              </w:rPr>
            </w:pPr>
          </w:p>
        </w:tc>
        <w:tc>
          <w:tcPr>
            <w:tcW w:w="1709" w:type="pct"/>
            <w:tcBorders>
              <w:top w:val="single" w:color="auto" w:sz="4" w:space="0"/>
              <w:left w:val="single" w:color="auto" w:sz="4" w:space="0"/>
              <w:bottom w:val="single" w:color="auto" w:sz="4" w:space="0"/>
              <w:right w:val="single" w:color="auto" w:sz="4" w:space="0"/>
            </w:tcBorders>
          </w:tcPr>
          <w:p w14:paraId="1855BB9D">
            <w:pPr>
              <w:keepNext w:val="0"/>
              <w:keepLines w:val="0"/>
              <w:suppressLineNumbers w:val="0"/>
              <w:snapToGrid w:val="0"/>
              <w:spacing w:before="50" w:beforeAutospacing="0" w:after="169" w:afterLines="50" w:afterAutospacing="0" w:line="400" w:lineRule="exact"/>
              <w:ind w:left="0" w:right="0"/>
              <w:jc w:val="left"/>
              <w:rPr>
                <w:rFonts w:hint="eastAsia" w:ascii="仿宋" w:hAnsi="仿宋" w:eastAsia="仿宋" w:cs="仿宋"/>
                <w:sz w:val="24"/>
                <w:highlight w:val="none"/>
              </w:rPr>
            </w:pPr>
          </w:p>
        </w:tc>
        <w:tc>
          <w:tcPr>
            <w:tcW w:w="853" w:type="pct"/>
            <w:tcBorders>
              <w:top w:val="single" w:color="auto" w:sz="4" w:space="0"/>
              <w:left w:val="single" w:color="auto" w:sz="4" w:space="0"/>
              <w:bottom w:val="single" w:color="auto" w:sz="4" w:space="0"/>
              <w:right w:val="single" w:color="auto" w:sz="4" w:space="0"/>
            </w:tcBorders>
          </w:tcPr>
          <w:p w14:paraId="228FDDC9">
            <w:pPr>
              <w:keepNext w:val="0"/>
              <w:keepLines w:val="0"/>
              <w:suppressLineNumbers w:val="0"/>
              <w:snapToGrid w:val="0"/>
              <w:spacing w:before="50" w:beforeAutospacing="0" w:after="169" w:afterLines="50" w:afterAutospacing="0" w:line="400" w:lineRule="exact"/>
              <w:ind w:left="0" w:right="0"/>
              <w:jc w:val="left"/>
              <w:rPr>
                <w:rFonts w:hint="eastAsia" w:ascii="仿宋" w:hAnsi="仿宋" w:eastAsia="仿宋" w:cs="仿宋"/>
                <w:sz w:val="24"/>
                <w:highlight w:val="none"/>
              </w:rPr>
            </w:pPr>
          </w:p>
        </w:tc>
        <w:tc>
          <w:tcPr>
            <w:tcW w:w="1131" w:type="pct"/>
            <w:tcBorders>
              <w:top w:val="single" w:color="auto" w:sz="4" w:space="0"/>
              <w:left w:val="single" w:color="auto" w:sz="4" w:space="0"/>
              <w:bottom w:val="single" w:color="auto" w:sz="4" w:space="0"/>
              <w:right w:val="single" w:color="auto" w:sz="4" w:space="0"/>
            </w:tcBorders>
          </w:tcPr>
          <w:p w14:paraId="0944EC38">
            <w:pPr>
              <w:keepNext w:val="0"/>
              <w:keepLines w:val="0"/>
              <w:suppressLineNumbers w:val="0"/>
              <w:snapToGrid w:val="0"/>
              <w:spacing w:before="50" w:beforeAutospacing="0" w:after="169" w:afterLines="50" w:afterAutospacing="0" w:line="400" w:lineRule="exact"/>
              <w:ind w:left="0" w:right="0"/>
              <w:jc w:val="left"/>
              <w:rPr>
                <w:rFonts w:hint="eastAsia" w:ascii="仿宋" w:hAnsi="仿宋" w:eastAsia="仿宋" w:cs="仿宋"/>
                <w:sz w:val="24"/>
                <w:highlight w:val="none"/>
              </w:rPr>
            </w:pPr>
          </w:p>
        </w:tc>
      </w:tr>
      <w:tr w14:paraId="1927CD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306" w:type="pct"/>
            <w:tcBorders>
              <w:top w:val="single" w:color="auto" w:sz="4" w:space="0"/>
              <w:left w:val="single" w:color="auto" w:sz="4" w:space="0"/>
              <w:bottom w:val="single" w:color="auto" w:sz="4" w:space="0"/>
              <w:right w:val="single" w:color="auto" w:sz="4" w:space="0"/>
            </w:tcBorders>
          </w:tcPr>
          <w:p w14:paraId="13183435">
            <w:pPr>
              <w:keepNext w:val="0"/>
              <w:keepLines w:val="0"/>
              <w:suppressLineNumbers w:val="0"/>
              <w:snapToGrid w:val="0"/>
              <w:spacing w:before="50" w:beforeAutospacing="0" w:after="169" w:afterLines="50" w:afterAutospacing="0" w:line="400" w:lineRule="exact"/>
              <w:ind w:left="0" w:right="0"/>
              <w:jc w:val="left"/>
              <w:rPr>
                <w:rFonts w:hint="eastAsia" w:ascii="仿宋" w:hAnsi="仿宋" w:eastAsia="仿宋" w:cs="仿宋"/>
                <w:sz w:val="24"/>
                <w:highlight w:val="none"/>
              </w:rPr>
            </w:pPr>
          </w:p>
        </w:tc>
        <w:tc>
          <w:tcPr>
            <w:tcW w:w="1709" w:type="pct"/>
            <w:tcBorders>
              <w:top w:val="single" w:color="auto" w:sz="4" w:space="0"/>
              <w:left w:val="single" w:color="auto" w:sz="4" w:space="0"/>
              <w:bottom w:val="single" w:color="auto" w:sz="4" w:space="0"/>
              <w:right w:val="single" w:color="auto" w:sz="4" w:space="0"/>
            </w:tcBorders>
          </w:tcPr>
          <w:p w14:paraId="79B59522">
            <w:pPr>
              <w:keepNext w:val="0"/>
              <w:keepLines w:val="0"/>
              <w:suppressLineNumbers w:val="0"/>
              <w:snapToGrid w:val="0"/>
              <w:spacing w:before="50" w:beforeAutospacing="0" w:after="169" w:afterLines="50" w:afterAutospacing="0" w:line="400" w:lineRule="exact"/>
              <w:ind w:left="0" w:right="0"/>
              <w:jc w:val="left"/>
              <w:rPr>
                <w:rFonts w:hint="eastAsia" w:ascii="仿宋" w:hAnsi="仿宋" w:eastAsia="仿宋" w:cs="仿宋"/>
                <w:sz w:val="24"/>
                <w:highlight w:val="none"/>
              </w:rPr>
            </w:pPr>
          </w:p>
        </w:tc>
        <w:tc>
          <w:tcPr>
            <w:tcW w:w="853" w:type="pct"/>
            <w:tcBorders>
              <w:top w:val="single" w:color="auto" w:sz="4" w:space="0"/>
              <w:left w:val="single" w:color="auto" w:sz="4" w:space="0"/>
              <w:bottom w:val="single" w:color="auto" w:sz="4" w:space="0"/>
              <w:right w:val="single" w:color="auto" w:sz="4" w:space="0"/>
            </w:tcBorders>
          </w:tcPr>
          <w:p w14:paraId="5D8DDE8F">
            <w:pPr>
              <w:keepNext w:val="0"/>
              <w:keepLines w:val="0"/>
              <w:suppressLineNumbers w:val="0"/>
              <w:snapToGrid w:val="0"/>
              <w:spacing w:before="50" w:beforeAutospacing="0" w:after="169" w:afterLines="50" w:afterAutospacing="0" w:line="400" w:lineRule="exact"/>
              <w:ind w:left="0" w:right="0"/>
              <w:jc w:val="left"/>
              <w:rPr>
                <w:rFonts w:hint="eastAsia" w:ascii="仿宋" w:hAnsi="仿宋" w:eastAsia="仿宋" w:cs="仿宋"/>
                <w:sz w:val="24"/>
                <w:highlight w:val="none"/>
              </w:rPr>
            </w:pPr>
          </w:p>
        </w:tc>
        <w:tc>
          <w:tcPr>
            <w:tcW w:w="1131" w:type="pct"/>
            <w:tcBorders>
              <w:top w:val="single" w:color="auto" w:sz="4" w:space="0"/>
              <w:left w:val="single" w:color="auto" w:sz="4" w:space="0"/>
              <w:bottom w:val="single" w:color="auto" w:sz="4" w:space="0"/>
              <w:right w:val="single" w:color="auto" w:sz="4" w:space="0"/>
            </w:tcBorders>
          </w:tcPr>
          <w:p w14:paraId="3A858EA3">
            <w:pPr>
              <w:keepNext w:val="0"/>
              <w:keepLines w:val="0"/>
              <w:suppressLineNumbers w:val="0"/>
              <w:snapToGrid w:val="0"/>
              <w:spacing w:before="50" w:beforeAutospacing="0" w:after="169" w:afterLines="50" w:afterAutospacing="0" w:line="400" w:lineRule="exact"/>
              <w:ind w:left="0" w:right="0"/>
              <w:jc w:val="left"/>
              <w:rPr>
                <w:rFonts w:hint="eastAsia" w:ascii="仿宋" w:hAnsi="仿宋" w:eastAsia="仿宋" w:cs="仿宋"/>
                <w:sz w:val="24"/>
                <w:highlight w:val="none"/>
              </w:rPr>
            </w:pPr>
          </w:p>
        </w:tc>
      </w:tr>
      <w:tr w14:paraId="4AF7BF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06" w:type="pct"/>
            <w:tcBorders>
              <w:top w:val="single" w:color="auto" w:sz="4" w:space="0"/>
              <w:left w:val="single" w:color="auto" w:sz="4" w:space="0"/>
              <w:bottom w:val="single" w:color="auto" w:sz="4" w:space="0"/>
              <w:right w:val="single" w:color="auto" w:sz="4" w:space="0"/>
            </w:tcBorders>
          </w:tcPr>
          <w:p w14:paraId="494A4EB6">
            <w:pPr>
              <w:keepNext w:val="0"/>
              <w:keepLines w:val="0"/>
              <w:suppressLineNumbers w:val="0"/>
              <w:snapToGrid w:val="0"/>
              <w:spacing w:before="50" w:beforeAutospacing="0" w:after="169" w:afterLines="50" w:afterAutospacing="0" w:line="400" w:lineRule="exact"/>
              <w:ind w:left="0" w:right="0"/>
              <w:jc w:val="left"/>
              <w:rPr>
                <w:rFonts w:hint="eastAsia" w:ascii="仿宋" w:hAnsi="仿宋" w:eastAsia="仿宋" w:cs="仿宋"/>
                <w:sz w:val="24"/>
                <w:highlight w:val="none"/>
              </w:rPr>
            </w:pPr>
          </w:p>
        </w:tc>
        <w:tc>
          <w:tcPr>
            <w:tcW w:w="1709" w:type="pct"/>
            <w:tcBorders>
              <w:top w:val="single" w:color="auto" w:sz="4" w:space="0"/>
              <w:left w:val="single" w:color="auto" w:sz="4" w:space="0"/>
              <w:bottom w:val="single" w:color="auto" w:sz="4" w:space="0"/>
              <w:right w:val="single" w:color="auto" w:sz="4" w:space="0"/>
            </w:tcBorders>
          </w:tcPr>
          <w:p w14:paraId="30BD1CE1">
            <w:pPr>
              <w:keepNext w:val="0"/>
              <w:keepLines w:val="0"/>
              <w:suppressLineNumbers w:val="0"/>
              <w:snapToGrid w:val="0"/>
              <w:spacing w:before="50" w:beforeAutospacing="0" w:after="169" w:afterLines="50" w:afterAutospacing="0" w:line="400" w:lineRule="exact"/>
              <w:ind w:left="0" w:right="0"/>
              <w:jc w:val="left"/>
              <w:rPr>
                <w:rFonts w:hint="eastAsia" w:ascii="仿宋" w:hAnsi="仿宋" w:eastAsia="仿宋" w:cs="仿宋"/>
                <w:sz w:val="24"/>
                <w:highlight w:val="none"/>
              </w:rPr>
            </w:pPr>
          </w:p>
        </w:tc>
        <w:tc>
          <w:tcPr>
            <w:tcW w:w="853" w:type="pct"/>
            <w:tcBorders>
              <w:top w:val="single" w:color="auto" w:sz="4" w:space="0"/>
              <w:left w:val="single" w:color="auto" w:sz="4" w:space="0"/>
              <w:bottom w:val="single" w:color="auto" w:sz="4" w:space="0"/>
              <w:right w:val="single" w:color="auto" w:sz="4" w:space="0"/>
            </w:tcBorders>
          </w:tcPr>
          <w:p w14:paraId="798E79BF">
            <w:pPr>
              <w:keepNext w:val="0"/>
              <w:keepLines w:val="0"/>
              <w:suppressLineNumbers w:val="0"/>
              <w:snapToGrid w:val="0"/>
              <w:spacing w:before="50" w:beforeAutospacing="0" w:after="169" w:afterLines="50" w:afterAutospacing="0" w:line="400" w:lineRule="exact"/>
              <w:ind w:left="0" w:right="0"/>
              <w:jc w:val="left"/>
              <w:rPr>
                <w:rFonts w:hint="eastAsia" w:ascii="仿宋" w:hAnsi="仿宋" w:eastAsia="仿宋" w:cs="仿宋"/>
                <w:sz w:val="24"/>
                <w:highlight w:val="none"/>
              </w:rPr>
            </w:pPr>
          </w:p>
        </w:tc>
        <w:tc>
          <w:tcPr>
            <w:tcW w:w="1131" w:type="pct"/>
            <w:tcBorders>
              <w:top w:val="single" w:color="auto" w:sz="4" w:space="0"/>
              <w:left w:val="single" w:color="auto" w:sz="4" w:space="0"/>
              <w:bottom w:val="single" w:color="auto" w:sz="4" w:space="0"/>
              <w:right w:val="single" w:color="auto" w:sz="4" w:space="0"/>
            </w:tcBorders>
          </w:tcPr>
          <w:p w14:paraId="59A2F6A4">
            <w:pPr>
              <w:keepNext w:val="0"/>
              <w:keepLines w:val="0"/>
              <w:suppressLineNumbers w:val="0"/>
              <w:snapToGrid w:val="0"/>
              <w:spacing w:before="50" w:beforeAutospacing="0" w:after="169" w:afterLines="50" w:afterAutospacing="0" w:line="400" w:lineRule="exact"/>
              <w:ind w:left="0" w:right="0"/>
              <w:jc w:val="left"/>
              <w:rPr>
                <w:rFonts w:hint="eastAsia" w:ascii="仿宋" w:hAnsi="仿宋" w:eastAsia="仿宋" w:cs="仿宋"/>
                <w:sz w:val="24"/>
                <w:highlight w:val="none"/>
              </w:rPr>
            </w:pPr>
          </w:p>
        </w:tc>
      </w:tr>
      <w:tr w14:paraId="5E3584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06" w:type="pct"/>
            <w:tcBorders>
              <w:top w:val="single" w:color="auto" w:sz="4" w:space="0"/>
              <w:left w:val="single" w:color="auto" w:sz="4" w:space="0"/>
              <w:bottom w:val="single" w:color="auto" w:sz="4" w:space="0"/>
              <w:right w:val="single" w:color="auto" w:sz="4" w:space="0"/>
            </w:tcBorders>
          </w:tcPr>
          <w:p w14:paraId="37E47229">
            <w:pPr>
              <w:keepNext w:val="0"/>
              <w:keepLines w:val="0"/>
              <w:suppressLineNumbers w:val="0"/>
              <w:snapToGrid w:val="0"/>
              <w:spacing w:before="50" w:beforeAutospacing="0" w:after="169" w:afterLines="50" w:afterAutospacing="0" w:line="400" w:lineRule="exact"/>
              <w:ind w:left="0" w:right="0"/>
              <w:jc w:val="left"/>
              <w:rPr>
                <w:rFonts w:hint="eastAsia" w:ascii="仿宋" w:hAnsi="仿宋" w:eastAsia="仿宋" w:cs="仿宋"/>
                <w:sz w:val="24"/>
                <w:highlight w:val="none"/>
              </w:rPr>
            </w:pPr>
          </w:p>
        </w:tc>
        <w:tc>
          <w:tcPr>
            <w:tcW w:w="1709" w:type="pct"/>
            <w:tcBorders>
              <w:top w:val="single" w:color="auto" w:sz="4" w:space="0"/>
              <w:left w:val="single" w:color="auto" w:sz="4" w:space="0"/>
              <w:bottom w:val="single" w:color="auto" w:sz="4" w:space="0"/>
              <w:right w:val="single" w:color="auto" w:sz="4" w:space="0"/>
            </w:tcBorders>
          </w:tcPr>
          <w:p w14:paraId="2BC30359">
            <w:pPr>
              <w:keepNext w:val="0"/>
              <w:keepLines w:val="0"/>
              <w:suppressLineNumbers w:val="0"/>
              <w:snapToGrid w:val="0"/>
              <w:spacing w:before="50" w:beforeAutospacing="0" w:after="169" w:afterLines="50" w:afterAutospacing="0" w:line="400" w:lineRule="exact"/>
              <w:ind w:left="0" w:right="0"/>
              <w:jc w:val="left"/>
              <w:rPr>
                <w:rFonts w:hint="eastAsia" w:ascii="仿宋" w:hAnsi="仿宋" w:eastAsia="仿宋" w:cs="仿宋"/>
                <w:sz w:val="24"/>
                <w:highlight w:val="none"/>
              </w:rPr>
            </w:pPr>
          </w:p>
        </w:tc>
        <w:tc>
          <w:tcPr>
            <w:tcW w:w="853" w:type="pct"/>
            <w:tcBorders>
              <w:top w:val="single" w:color="auto" w:sz="4" w:space="0"/>
              <w:left w:val="single" w:color="auto" w:sz="4" w:space="0"/>
              <w:bottom w:val="single" w:color="auto" w:sz="4" w:space="0"/>
              <w:right w:val="single" w:color="auto" w:sz="4" w:space="0"/>
            </w:tcBorders>
          </w:tcPr>
          <w:p w14:paraId="6C9E1790">
            <w:pPr>
              <w:keepNext w:val="0"/>
              <w:keepLines w:val="0"/>
              <w:suppressLineNumbers w:val="0"/>
              <w:snapToGrid w:val="0"/>
              <w:spacing w:before="50" w:beforeAutospacing="0" w:after="169" w:afterLines="50" w:afterAutospacing="0" w:line="400" w:lineRule="exact"/>
              <w:ind w:left="0" w:right="0"/>
              <w:jc w:val="left"/>
              <w:rPr>
                <w:rFonts w:hint="eastAsia" w:ascii="仿宋" w:hAnsi="仿宋" w:eastAsia="仿宋" w:cs="仿宋"/>
                <w:sz w:val="24"/>
                <w:highlight w:val="none"/>
              </w:rPr>
            </w:pPr>
          </w:p>
        </w:tc>
        <w:tc>
          <w:tcPr>
            <w:tcW w:w="1131" w:type="pct"/>
            <w:tcBorders>
              <w:top w:val="single" w:color="auto" w:sz="4" w:space="0"/>
              <w:left w:val="single" w:color="auto" w:sz="4" w:space="0"/>
              <w:bottom w:val="single" w:color="auto" w:sz="4" w:space="0"/>
              <w:right w:val="single" w:color="auto" w:sz="4" w:space="0"/>
            </w:tcBorders>
          </w:tcPr>
          <w:p w14:paraId="5AC1C9E0">
            <w:pPr>
              <w:keepNext w:val="0"/>
              <w:keepLines w:val="0"/>
              <w:suppressLineNumbers w:val="0"/>
              <w:snapToGrid w:val="0"/>
              <w:spacing w:before="50" w:beforeAutospacing="0" w:after="169" w:afterLines="50" w:afterAutospacing="0" w:line="400" w:lineRule="exact"/>
              <w:ind w:left="0" w:right="0"/>
              <w:jc w:val="left"/>
              <w:rPr>
                <w:rFonts w:hint="eastAsia" w:ascii="仿宋" w:hAnsi="仿宋" w:eastAsia="仿宋" w:cs="仿宋"/>
                <w:sz w:val="24"/>
                <w:highlight w:val="none"/>
              </w:rPr>
            </w:pPr>
          </w:p>
        </w:tc>
      </w:tr>
    </w:tbl>
    <w:p w14:paraId="59ED0AF5">
      <w:pPr>
        <w:spacing w:line="360" w:lineRule="auto"/>
        <w:ind w:left="72"/>
        <w:rPr>
          <w:rFonts w:hint="eastAsia" w:ascii="仿宋" w:hAnsi="仿宋" w:eastAsia="仿宋" w:cs="仿宋"/>
          <w:szCs w:val="20"/>
          <w:highlight w:val="none"/>
        </w:rPr>
      </w:pPr>
      <w:r>
        <w:rPr>
          <w:rFonts w:hint="eastAsia" w:ascii="仿宋" w:hAnsi="仿宋" w:eastAsia="仿宋" w:cs="仿宋"/>
          <w:szCs w:val="20"/>
          <w:highlight w:val="none"/>
        </w:rPr>
        <w:t>注：竞标供应商可按上述的格式自行编制。</w:t>
      </w:r>
    </w:p>
    <w:p w14:paraId="78F38828">
      <w:pPr>
        <w:snapToGrid w:val="0"/>
        <w:spacing w:line="360" w:lineRule="auto"/>
        <w:ind w:firstLine="4935" w:firstLineChars="2350"/>
        <w:rPr>
          <w:rFonts w:hint="eastAsia" w:ascii="仿宋" w:hAnsi="仿宋" w:eastAsia="仿宋" w:cs="仿宋"/>
          <w:szCs w:val="21"/>
          <w:highlight w:val="none"/>
        </w:rPr>
      </w:pPr>
    </w:p>
    <w:p w14:paraId="5B3E550D">
      <w:pPr>
        <w:snapToGrid w:val="0"/>
        <w:spacing w:line="360" w:lineRule="auto"/>
        <w:ind w:firstLine="4935" w:firstLineChars="2350"/>
        <w:rPr>
          <w:rFonts w:hint="eastAsia" w:ascii="仿宋" w:hAnsi="仿宋" w:eastAsia="仿宋" w:cs="仿宋"/>
          <w:szCs w:val="21"/>
          <w:highlight w:val="none"/>
        </w:rPr>
      </w:pPr>
    </w:p>
    <w:p w14:paraId="7312C5D4">
      <w:pPr>
        <w:spacing w:line="276" w:lineRule="auto"/>
        <w:ind w:firstLine="4320" w:firstLineChars="1800"/>
        <w:rPr>
          <w:rFonts w:hint="eastAsia" w:ascii="仿宋" w:hAnsi="仿宋" w:eastAsia="仿宋" w:cs="仿宋"/>
          <w:sz w:val="24"/>
          <w:highlight w:val="none"/>
        </w:rPr>
      </w:pPr>
      <w:r>
        <w:rPr>
          <w:rFonts w:hint="eastAsia" w:ascii="仿宋" w:hAnsi="仿宋" w:eastAsia="仿宋" w:cs="仿宋"/>
          <w:sz w:val="24"/>
          <w:highlight w:val="none"/>
        </w:rPr>
        <w:t>供应商名称（电子签章）：</w:t>
      </w:r>
    </w:p>
    <w:p w14:paraId="13E5653B">
      <w:pPr>
        <w:snapToGrid w:val="0"/>
        <w:spacing w:line="360" w:lineRule="auto"/>
        <w:jc w:val="center"/>
        <w:rPr>
          <w:rFonts w:hint="eastAsia" w:ascii="仿宋" w:hAnsi="仿宋" w:eastAsia="仿宋" w:cs="仿宋"/>
          <w:kern w:val="0"/>
          <w:sz w:val="24"/>
          <w:highlight w:val="none"/>
          <w:lang w:val="zh-CN"/>
        </w:rPr>
        <w:sectPr>
          <w:pgSz w:w="11905" w:h="16838"/>
          <w:pgMar w:top="1304" w:right="1304" w:bottom="1304" w:left="1304" w:header="720" w:footer="720" w:gutter="0"/>
          <w:pgNumType w:fmt="decimal"/>
          <w:cols w:space="720" w:num="1"/>
          <w:docGrid w:type="lines" w:linePitch="339" w:charSpace="0"/>
        </w:sectPr>
      </w:pPr>
      <w:r>
        <w:rPr>
          <w:rFonts w:hint="eastAsia" w:ascii="仿宋" w:hAnsi="仿宋" w:eastAsia="仿宋" w:cs="仿宋"/>
          <w:sz w:val="24"/>
          <w:highlight w:val="none"/>
        </w:rPr>
        <w:t xml:space="preserve">              日期：  年  月   日</w:t>
      </w:r>
    </w:p>
    <w:p w14:paraId="612BC7FA">
      <w:pPr>
        <w:snapToGrid w:val="0"/>
        <w:spacing w:before="169" w:beforeLines="50" w:after="50"/>
        <w:ind w:left="142"/>
        <w:jc w:val="center"/>
        <w:rPr>
          <w:rFonts w:hint="eastAsia" w:ascii="仿宋" w:hAnsi="仿宋" w:eastAsia="仿宋" w:cs="仿宋"/>
          <w:b/>
          <w:sz w:val="32"/>
          <w:szCs w:val="32"/>
          <w:highlight w:val="none"/>
        </w:rPr>
      </w:pPr>
      <w:bookmarkStart w:id="122" w:name="_Toc2485"/>
      <w:bookmarkStart w:id="123" w:name="_Toc19686839"/>
      <w:r>
        <w:rPr>
          <w:rFonts w:hint="eastAsia" w:ascii="仿宋" w:hAnsi="仿宋" w:eastAsia="仿宋" w:cs="仿宋"/>
          <w:b/>
          <w:sz w:val="32"/>
          <w:szCs w:val="32"/>
          <w:highlight w:val="none"/>
        </w:rPr>
        <w:t>七、项目实施人员一览表</w:t>
      </w:r>
    </w:p>
    <w:p w14:paraId="7EC18552">
      <w:pPr>
        <w:snapToGrid w:val="0"/>
        <w:spacing w:before="169" w:beforeLines="50" w:after="50"/>
        <w:jc w:val="center"/>
        <w:rPr>
          <w:rFonts w:hint="eastAsia" w:ascii="仿宋" w:hAnsi="仿宋" w:eastAsia="仿宋" w:cs="仿宋"/>
          <w:bCs/>
          <w:sz w:val="22"/>
          <w:szCs w:val="28"/>
          <w:highlight w:val="none"/>
        </w:rPr>
      </w:pPr>
      <w:r>
        <w:rPr>
          <w:rFonts w:hint="eastAsia" w:ascii="仿宋" w:hAnsi="仿宋" w:eastAsia="仿宋" w:cs="仿宋"/>
          <w:bCs/>
          <w:sz w:val="22"/>
          <w:szCs w:val="28"/>
          <w:highlight w:val="none"/>
        </w:rPr>
        <w:t>（由竞标供应商根据采购需求及采购文件要求编制）</w:t>
      </w:r>
    </w:p>
    <w:p w14:paraId="41B4E94D">
      <w:pPr>
        <w:rPr>
          <w:rFonts w:hint="eastAsia" w:ascii="仿宋" w:hAnsi="仿宋" w:eastAsia="仿宋" w:cs="仿宋"/>
          <w:sz w:val="24"/>
          <w:highlight w:val="none"/>
        </w:rPr>
      </w:pPr>
      <w:r>
        <w:rPr>
          <w:rFonts w:hint="eastAsia" w:ascii="仿宋" w:hAnsi="仿宋" w:eastAsia="仿宋" w:cs="仿宋"/>
          <w:sz w:val="24"/>
          <w:highlight w:val="none"/>
        </w:rPr>
        <w:t>所投分标：  分标</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4"/>
        <w:gridCol w:w="1164"/>
        <w:gridCol w:w="1932"/>
        <w:gridCol w:w="1165"/>
        <w:gridCol w:w="1932"/>
        <w:gridCol w:w="1930"/>
      </w:tblGrid>
      <w:tr w14:paraId="27E37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27" w:type="pct"/>
            <w:vAlign w:val="center"/>
          </w:tcPr>
          <w:p w14:paraId="4C4CD333">
            <w:pPr>
              <w:keepNext w:val="0"/>
              <w:keepLines w:val="0"/>
              <w:widowControl/>
              <w:suppressLineNumbers w:val="0"/>
              <w:spacing w:before="0" w:beforeAutospacing="0" w:after="0" w:afterAutospacing="0"/>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序号</w:t>
            </w:r>
          </w:p>
        </w:tc>
        <w:tc>
          <w:tcPr>
            <w:tcW w:w="627" w:type="pct"/>
            <w:vAlign w:val="center"/>
          </w:tcPr>
          <w:p w14:paraId="064924E4">
            <w:pPr>
              <w:keepNext w:val="0"/>
              <w:keepLines w:val="0"/>
              <w:widowControl/>
              <w:suppressLineNumbers w:val="0"/>
              <w:spacing w:before="0" w:beforeAutospacing="0" w:after="0" w:afterAutospacing="0"/>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姓名</w:t>
            </w:r>
          </w:p>
        </w:tc>
        <w:tc>
          <w:tcPr>
            <w:tcW w:w="1040" w:type="pct"/>
            <w:vAlign w:val="center"/>
          </w:tcPr>
          <w:p w14:paraId="07280732">
            <w:pPr>
              <w:keepNext w:val="0"/>
              <w:keepLines w:val="0"/>
              <w:widowControl/>
              <w:suppressLineNumbers w:val="0"/>
              <w:spacing w:before="0" w:beforeAutospacing="0" w:after="0" w:afterAutospacing="0"/>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本项目拟</w:t>
            </w:r>
          </w:p>
          <w:p w14:paraId="62480E12">
            <w:pPr>
              <w:keepNext w:val="0"/>
              <w:keepLines w:val="0"/>
              <w:widowControl/>
              <w:suppressLineNumbers w:val="0"/>
              <w:spacing w:before="0" w:beforeAutospacing="0" w:after="0" w:afterAutospacing="0"/>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担任职务</w:t>
            </w:r>
          </w:p>
        </w:tc>
        <w:tc>
          <w:tcPr>
            <w:tcW w:w="627" w:type="pct"/>
            <w:vAlign w:val="center"/>
          </w:tcPr>
          <w:p w14:paraId="1CEA1F9A">
            <w:pPr>
              <w:keepNext w:val="0"/>
              <w:keepLines w:val="0"/>
              <w:widowControl/>
              <w:suppressLineNumbers w:val="0"/>
              <w:spacing w:before="0" w:beforeAutospacing="0" w:after="0" w:afterAutospacing="0"/>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学历</w:t>
            </w:r>
          </w:p>
        </w:tc>
        <w:tc>
          <w:tcPr>
            <w:tcW w:w="1040" w:type="pct"/>
            <w:vAlign w:val="center"/>
          </w:tcPr>
          <w:p w14:paraId="126FB2A9">
            <w:pPr>
              <w:keepNext w:val="0"/>
              <w:keepLines w:val="0"/>
              <w:widowControl/>
              <w:suppressLineNumbers w:val="0"/>
              <w:spacing w:before="0" w:beforeAutospacing="0" w:after="0" w:afterAutospacing="0"/>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职称或职</w:t>
            </w:r>
          </w:p>
          <w:p w14:paraId="63551D62">
            <w:pPr>
              <w:keepNext w:val="0"/>
              <w:keepLines w:val="0"/>
              <w:widowControl/>
              <w:suppressLineNumbers w:val="0"/>
              <w:spacing w:before="0" w:beforeAutospacing="0" w:after="0" w:afterAutospacing="0"/>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业资格</w:t>
            </w:r>
          </w:p>
        </w:tc>
        <w:tc>
          <w:tcPr>
            <w:tcW w:w="1039" w:type="pct"/>
            <w:vAlign w:val="center"/>
          </w:tcPr>
          <w:p w14:paraId="5322C9A4">
            <w:pPr>
              <w:keepNext w:val="0"/>
              <w:keepLines w:val="0"/>
              <w:widowControl/>
              <w:suppressLineNumbers w:val="0"/>
              <w:spacing w:before="0" w:beforeAutospacing="0" w:after="0" w:afterAutospacing="0"/>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联系电话</w:t>
            </w:r>
          </w:p>
        </w:tc>
      </w:tr>
      <w:tr w14:paraId="0A706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vAlign w:val="center"/>
          </w:tcPr>
          <w:p w14:paraId="13B6925B">
            <w:pPr>
              <w:keepNext w:val="0"/>
              <w:keepLines w:val="0"/>
              <w:widowControl/>
              <w:numPr>
                <w:ilvl w:val="0"/>
                <w:numId w:val="2"/>
              </w:numPr>
              <w:suppressLineNumbers w:val="0"/>
              <w:spacing w:before="169" w:beforeLines="50" w:beforeAutospacing="0" w:after="169" w:afterLines="50" w:afterAutospacing="0"/>
              <w:ind w:right="0"/>
              <w:jc w:val="center"/>
              <w:rPr>
                <w:rFonts w:hint="eastAsia" w:ascii="仿宋" w:hAnsi="仿宋" w:eastAsia="仿宋" w:cs="仿宋"/>
                <w:szCs w:val="21"/>
                <w:highlight w:val="none"/>
              </w:rPr>
            </w:pPr>
          </w:p>
        </w:tc>
        <w:tc>
          <w:tcPr>
            <w:tcW w:w="627" w:type="pct"/>
            <w:vAlign w:val="center"/>
          </w:tcPr>
          <w:p w14:paraId="283DD256">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b/>
                <w:bCs/>
                <w:szCs w:val="21"/>
                <w:highlight w:val="none"/>
              </w:rPr>
            </w:pPr>
          </w:p>
        </w:tc>
        <w:tc>
          <w:tcPr>
            <w:tcW w:w="1040" w:type="pct"/>
            <w:vAlign w:val="center"/>
          </w:tcPr>
          <w:p w14:paraId="5066A854">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b/>
                <w:bCs/>
                <w:szCs w:val="21"/>
                <w:highlight w:val="none"/>
              </w:rPr>
            </w:pPr>
          </w:p>
        </w:tc>
        <w:tc>
          <w:tcPr>
            <w:tcW w:w="627" w:type="pct"/>
            <w:vAlign w:val="center"/>
          </w:tcPr>
          <w:p w14:paraId="5D11079A">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b/>
                <w:bCs/>
                <w:szCs w:val="21"/>
                <w:highlight w:val="none"/>
              </w:rPr>
            </w:pPr>
          </w:p>
        </w:tc>
        <w:tc>
          <w:tcPr>
            <w:tcW w:w="1040" w:type="pct"/>
            <w:vAlign w:val="center"/>
          </w:tcPr>
          <w:p w14:paraId="1BE79E72">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b/>
                <w:bCs/>
                <w:szCs w:val="21"/>
                <w:highlight w:val="none"/>
              </w:rPr>
            </w:pPr>
          </w:p>
        </w:tc>
        <w:tc>
          <w:tcPr>
            <w:tcW w:w="1039" w:type="pct"/>
            <w:vAlign w:val="center"/>
          </w:tcPr>
          <w:p w14:paraId="145BC474">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b/>
                <w:bCs/>
                <w:szCs w:val="21"/>
                <w:highlight w:val="none"/>
              </w:rPr>
            </w:pPr>
          </w:p>
        </w:tc>
      </w:tr>
      <w:tr w14:paraId="77307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vAlign w:val="center"/>
          </w:tcPr>
          <w:p w14:paraId="1016DE9C">
            <w:pPr>
              <w:keepNext w:val="0"/>
              <w:keepLines w:val="0"/>
              <w:widowControl/>
              <w:numPr>
                <w:ilvl w:val="0"/>
                <w:numId w:val="2"/>
              </w:numPr>
              <w:suppressLineNumbers w:val="0"/>
              <w:spacing w:before="169" w:beforeLines="50" w:beforeAutospacing="0" w:after="169" w:afterLines="50" w:afterAutospacing="0"/>
              <w:ind w:right="0"/>
              <w:jc w:val="center"/>
              <w:rPr>
                <w:rFonts w:hint="eastAsia" w:ascii="仿宋" w:hAnsi="仿宋" w:eastAsia="仿宋" w:cs="仿宋"/>
                <w:szCs w:val="21"/>
                <w:highlight w:val="none"/>
              </w:rPr>
            </w:pPr>
          </w:p>
        </w:tc>
        <w:tc>
          <w:tcPr>
            <w:tcW w:w="627" w:type="pct"/>
            <w:vAlign w:val="center"/>
          </w:tcPr>
          <w:p w14:paraId="51F02B51">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40" w:type="pct"/>
            <w:vAlign w:val="center"/>
          </w:tcPr>
          <w:p w14:paraId="195833E0">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627" w:type="pct"/>
            <w:vAlign w:val="center"/>
          </w:tcPr>
          <w:p w14:paraId="41B48B59">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40" w:type="pct"/>
            <w:vAlign w:val="center"/>
          </w:tcPr>
          <w:p w14:paraId="78ECB129">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39" w:type="pct"/>
            <w:vAlign w:val="center"/>
          </w:tcPr>
          <w:p w14:paraId="26CFAADE">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r>
      <w:tr w14:paraId="100FA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vAlign w:val="center"/>
          </w:tcPr>
          <w:p w14:paraId="12E1B5F9">
            <w:pPr>
              <w:keepNext w:val="0"/>
              <w:keepLines w:val="0"/>
              <w:widowControl/>
              <w:numPr>
                <w:ilvl w:val="0"/>
                <w:numId w:val="2"/>
              </w:numPr>
              <w:suppressLineNumbers w:val="0"/>
              <w:spacing w:before="169" w:beforeLines="50" w:beforeAutospacing="0" w:after="169" w:afterLines="50" w:afterAutospacing="0"/>
              <w:ind w:right="0"/>
              <w:jc w:val="center"/>
              <w:rPr>
                <w:rFonts w:hint="eastAsia" w:ascii="仿宋" w:hAnsi="仿宋" w:eastAsia="仿宋" w:cs="仿宋"/>
                <w:szCs w:val="21"/>
                <w:highlight w:val="none"/>
              </w:rPr>
            </w:pPr>
          </w:p>
        </w:tc>
        <w:tc>
          <w:tcPr>
            <w:tcW w:w="627" w:type="pct"/>
            <w:vAlign w:val="center"/>
          </w:tcPr>
          <w:p w14:paraId="78A25AC4">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40" w:type="pct"/>
            <w:vAlign w:val="center"/>
          </w:tcPr>
          <w:p w14:paraId="57FC79C3">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627" w:type="pct"/>
            <w:vAlign w:val="center"/>
          </w:tcPr>
          <w:p w14:paraId="70F271BB">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40" w:type="pct"/>
            <w:vAlign w:val="center"/>
          </w:tcPr>
          <w:p w14:paraId="588AA129">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39" w:type="pct"/>
            <w:vAlign w:val="center"/>
          </w:tcPr>
          <w:p w14:paraId="402774A7">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r>
      <w:tr w14:paraId="25361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vAlign w:val="center"/>
          </w:tcPr>
          <w:p w14:paraId="3C52105A">
            <w:pPr>
              <w:keepNext w:val="0"/>
              <w:keepLines w:val="0"/>
              <w:widowControl/>
              <w:numPr>
                <w:ilvl w:val="0"/>
                <w:numId w:val="2"/>
              </w:numPr>
              <w:suppressLineNumbers w:val="0"/>
              <w:spacing w:before="169" w:beforeLines="50" w:beforeAutospacing="0" w:after="169" w:afterLines="50" w:afterAutospacing="0"/>
              <w:ind w:right="0"/>
              <w:jc w:val="center"/>
              <w:rPr>
                <w:rFonts w:hint="eastAsia" w:ascii="仿宋" w:hAnsi="仿宋" w:eastAsia="仿宋" w:cs="仿宋"/>
                <w:szCs w:val="21"/>
                <w:highlight w:val="none"/>
              </w:rPr>
            </w:pPr>
          </w:p>
        </w:tc>
        <w:tc>
          <w:tcPr>
            <w:tcW w:w="627" w:type="pct"/>
            <w:vAlign w:val="center"/>
          </w:tcPr>
          <w:p w14:paraId="3EB23F72">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40" w:type="pct"/>
            <w:vAlign w:val="center"/>
          </w:tcPr>
          <w:p w14:paraId="1D916FB9">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627" w:type="pct"/>
            <w:vAlign w:val="center"/>
          </w:tcPr>
          <w:p w14:paraId="054C94A9">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40" w:type="pct"/>
            <w:vAlign w:val="center"/>
          </w:tcPr>
          <w:p w14:paraId="7B2748F3">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39" w:type="pct"/>
            <w:vAlign w:val="center"/>
          </w:tcPr>
          <w:p w14:paraId="4069CBE4">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r>
      <w:tr w14:paraId="4DA8B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vAlign w:val="center"/>
          </w:tcPr>
          <w:p w14:paraId="5C75A056">
            <w:pPr>
              <w:keepNext w:val="0"/>
              <w:keepLines w:val="0"/>
              <w:widowControl/>
              <w:numPr>
                <w:ilvl w:val="0"/>
                <w:numId w:val="2"/>
              </w:numPr>
              <w:suppressLineNumbers w:val="0"/>
              <w:spacing w:before="169" w:beforeLines="50" w:beforeAutospacing="0" w:after="169" w:afterLines="50" w:afterAutospacing="0"/>
              <w:ind w:right="0"/>
              <w:jc w:val="center"/>
              <w:rPr>
                <w:rFonts w:hint="eastAsia" w:ascii="仿宋" w:hAnsi="仿宋" w:eastAsia="仿宋" w:cs="仿宋"/>
                <w:szCs w:val="21"/>
                <w:highlight w:val="none"/>
              </w:rPr>
            </w:pPr>
          </w:p>
        </w:tc>
        <w:tc>
          <w:tcPr>
            <w:tcW w:w="627" w:type="pct"/>
            <w:vAlign w:val="center"/>
          </w:tcPr>
          <w:p w14:paraId="18896AD3">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40" w:type="pct"/>
            <w:vAlign w:val="center"/>
          </w:tcPr>
          <w:p w14:paraId="405F8E80">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627" w:type="pct"/>
            <w:vAlign w:val="center"/>
          </w:tcPr>
          <w:p w14:paraId="2A84A26F">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40" w:type="pct"/>
            <w:vAlign w:val="center"/>
          </w:tcPr>
          <w:p w14:paraId="56DDC542">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39" w:type="pct"/>
            <w:vAlign w:val="center"/>
          </w:tcPr>
          <w:p w14:paraId="2224DAFA">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r>
      <w:tr w14:paraId="0298F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vAlign w:val="center"/>
          </w:tcPr>
          <w:p w14:paraId="70ECCB1B">
            <w:pPr>
              <w:keepNext w:val="0"/>
              <w:keepLines w:val="0"/>
              <w:widowControl/>
              <w:numPr>
                <w:ilvl w:val="0"/>
                <w:numId w:val="2"/>
              </w:numPr>
              <w:suppressLineNumbers w:val="0"/>
              <w:spacing w:before="169" w:beforeLines="50" w:beforeAutospacing="0" w:after="169" w:afterLines="50" w:afterAutospacing="0"/>
              <w:ind w:right="0"/>
              <w:jc w:val="center"/>
              <w:rPr>
                <w:rFonts w:hint="eastAsia" w:ascii="仿宋" w:hAnsi="仿宋" w:eastAsia="仿宋" w:cs="仿宋"/>
                <w:szCs w:val="21"/>
                <w:highlight w:val="none"/>
              </w:rPr>
            </w:pPr>
          </w:p>
        </w:tc>
        <w:tc>
          <w:tcPr>
            <w:tcW w:w="627" w:type="pct"/>
            <w:vAlign w:val="center"/>
          </w:tcPr>
          <w:p w14:paraId="69D427CA">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40" w:type="pct"/>
            <w:vAlign w:val="center"/>
          </w:tcPr>
          <w:p w14:paraId="2D998940">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627" w:type="pct"/>
            <w:vAlign w:val="center"/>
          </w:tcPr>
          <w:p w14:paraId="055DC9B0">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40" w:type="pct"/>
            <w:vAlign w:val="center"/>
          </w:tcPr>
          <w:p w14:paraId="33975BFA">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39" w:type="pct"/>
            <w:vAlign w:val="center"/>
          </w:tcPr>
          <w:p w14:paraId="61CA0D59">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r>
      <w:tr w14:paraId="0C69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vAlign w:val="center"/>
          </w:tcPr>
          <w:p w14:paraId="212CE1E3">
            <w:pPr>
              <w:keepNext w:val="0"/>
              <w:keepLines w:val="0"/>
              <w:widowControl/>
              <w:numPr>
                <w:ilvl w:val="0"/>
                <w:numId w:val="2"/>
              </w:numPr>
              <w:suppressLineNumbers w:val="0"/>
              <w:spacing w:before="169" w:beforeLines="50" w:beforeAutospacing="0" w:after="169" w:afterLines="50" w:afterAutospacing="0"/>
              <w:ind w:right="0"/>
              <w:jc w:val="center"/>
              <w:rPr>
                <w:rFonts w:hint="eastAsia" w:ascii="仿宋" w:hAnsi="仿宋" w:eastAsia="仿宋" w:cs="仿宋"/>
                <w:szCs w:val="21"/>
                <w:highlight w:val="none"/>
              </w:rPr>
            </w:pPr>
          </w:p>
        </w:tc>
        <w:tc>
          <w:tcPr>
            <w:tcW w:w="627" w:type="pct"/>
            <w:vAlign w:val="center"/>
          </w:tcPr>
          <w:p w14:paraId="480F318E">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40" w:type="pct"/>
            <w:vAlign w:val="center"/>
          </w:tcPr>
          <w:p w14:paraId="5E59324B">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627" w:type="pct"/>
            <w:vAlign w:val="center"/>
          </w:tcPr>
          <w:p w14:paraId="24EA8E88">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40" w:type="pct"/>
            <w:vAlign w:val="center"/>
          </w:tcPr>
          <w:p w14:paraId="54803644">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39" w:type="pct"/>
            <w:vAlign w:val="center"/>
          </w:tcPr>
          <w:p w14:paraId="768D60A4">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r>
      <w:tr w14:paraId="4B727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vAlign w:val="center"/>
          </w:tcPr>
          <w:p w14:paraId="0DA4F03B">
            <w:pPr>
              <w:keepNext w:val="0"/>
              <w:keepLines w:val="0"/>
              <w:widowControl/>
              <w:numPr>
                <w:ilvl w:val="0"/>
                <w:numId w:val="2"/>
              </w:numPr>
              <w:suppressLineNumbers w:val="0"/>
              <w:spacing w:before="169" w:beforeLines="50" w:beforeAutospacing="0" w:after="169" w:afterLines="50" w:afterAutospacing="0"/>
              <w:ind w:right="0"/>
              <w:jc w:val="center"/>
              <w:rPr>
                <w:rFonts w:hint="eastAsia" w:ascii="仿宋" w:hAnsi="仿宋" w:eastAsia="仿宋" w:cs="仿宋"/>
                <w:szCs w:val="21"/>
                <w:highlight w:val="none"/>
              </w:rPr>
            </w:pPr>
          </w:p>
        </w:tc>
        <w:tc>
          <w:tcPr>
            <w:tcW w:w="627" w:type="pct"/>
            <w:vAlign w:val="center"/>
          </w:tcPr>
          <w:p w14:paraId="73C312DA">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40" w:type="pct"/>
            <w:vAlign w:val="center"/>
          </w:tcPr>
          <w:p w14:paraId="2A7DAB78">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627" w:type="pct"/>
            <w:vAlign w:val="center"/>
          </w:tcPr>
          <w:p w14:paraId="32EC04DD">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40" w:type="pct"/>
            <w:vAlign w:val="center"/>
          </w:tcPr>
          <w:p w14:paraId="35287BE6">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39" w:type="pct"/>
            <w:vAlign w:val="center"/>
          </w:tcPr>
          <w:p w14:paraId="5B718969">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r>
      <w:tr w14:paraId="33F25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vAlign w:val="center"/>
          </w:tcPr>
          <w:p w14:paraId="10C9754C">
            <w:pPr>
              <w:keepNext w:val="0"/>
              <w:keepLines w:val="0"/>
              <w:widowControl/>
              <w:numPr>
                <w:ilvl w:val="0"/>
                <w:numId w:val="2"/>
              </w:numPr>
              <w:suppressLineNumbers w:val="0"/>
              <w:spacing w:before="169" w:beforeLines="50" w:beforeAutospacing="0" w:after="169" w:afterLines="50" w:afterAutospacing="0"/>
              <w:ind w:right="0"/>
              <w:jc w:val="center"/>
              <w:rPr>
                <w:rFonts w:hint="eastAsia" w:ascii="仿宋" w:hAnsi="仿宋" w:eastAsia="仿宋" w:cs="仿宋"/>
                <w:szCs w:val="21"/>
                <w:highlight w:val="none"/>
              </w:rPr>
            </w:pPr>
          </w:p>
        </w:tc>
        <w:tc>
          <w:tcPr>
            <w:tcW w:w="627" w:type="pct"/>
            <w:vAlign w:val="center"/>
          </w:tcPr>
          <w:p w14:paraId="2EE56C2B">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40" w:type="pct"/>
            <w:vAlign w:val="center"/>
          </w:tcPr>
          <w:p w14:paraId="30502D38">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627" w:type="pct"/>
            <w:vAlign w:val="center"/>
          </w:tcPr>
          <w:p w14:paraId="3124AA94">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40" w:type="pct"/>
            <w:vAlign w:val="center"/>
          </w:tcPr>
          <w:p w14:paraId="6ED38379">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39" w:type="pct"/>
            <w:vAlign w:val="center"/>
          </w:tcPr>
          <w:p w14:paraId="233C1FAE">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r>
      <w:tr w14:paraId="7A041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vAlign w:val="center"/>
          </w:tcPr>
          <w:p w14:paraId="37709C6D">
            <w:pPr>
              <w:keepNext w:val="0"/>
              <w:keepLines w:val="0"/>
              <w:widowControl/>
              <w:numPr>
                <w:ilvl w:val="0"/>
                <w:numId w:val="2"/>
              </w:numPr>
              <w:suppressLineNumbers w:val="0"/>
              <w:spacing w:before="169" w:beforeLines="50" w:beforeAutospacing="0" w:after="169" w:afterLines="50" w:afterAutospacing="0"/>
              <w:ind w:right="0"/>
              <w:jc w:val="center"/>
              <w:rPr>
                <w:rFonts w:hint="eastAsia" w:ascii="仿宋" w:hAnsi="仿宋" w:eastAsia="仿宋" w:cs="仿宋"/>
                <w:szCs w:val="21"/>
                <w:highlight w:val="none"/>
              </w:rPr>
            </w:pPr>
          </w:p>
        </w:tc>
        <w:tc>
          <w:tcPr>
            <w:tcW w:w="627" w:type="pct"/>
            <w:vAlign w:val="center"/>
          </w:tcPr>
          <w:p w14:paraId="21778A7D">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40" w:type="pct"/>
            <w:vAlign w:val="center"/>
          </w:tcPr>
          <w:p w14:paraId="62E1251A">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627" w:type="pct"/>
            <w:vAlign w:val="center"/>
          </w:tcPr>
          <w:p w14:paraId="0F783596">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40" w:type="pct"/>
            <w:vAlign w:val="center"/>
          </w:tcPr>
          <w:p w14:paraId="585517E9">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39" w:type="pct"/>
            <w:vAlign w:val="center"/>
          </w:tcPr>
          <w:p w14:paraId="70CF0257">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r>
      <w:tr w14:paraId="0703D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vAlign w:val="center"/>
          </w:tcPr>
          <w:p w14:paraId="32BFFFF8">
            <w:pPr>
              <w:keepNext w:val="0"/>
              <w:keepLines w:val="0"/>
              <w:widowControl/>
              <w:suppressLineNumbers w:val="0"/>
              <w:tabs>
                <w:tab w:val="left" w:pos="420"/>
              </w:tabs>
              <w:spacing w:before="169" w:beforeLines="50" w:beforeAutospacing="0" w:after="169" w:afterLines="50" w:afterAutospacing="0"/>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w:t>
            </w:r>
          </w:p>
        </w:tc>
        <w:tc>
          <w:tcPr>
            <w:tcW w:w="627" w:type="pct"/>
            <w:vAlign w:val="center"/>
          </w:tcPr>
          <w:p w14:paraId="5CC9EDB2">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40" w:type="pct"/>
            <w:vAlign w:val="center"/>
          </w:tcPr>
          <w:p w14:paraId="60C4ECAF">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627" w:type="pct"/>
            <w:vAlign w:val="center"/>
          </w:tcPr>
          <w:p w14:paraId="441C95FB">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40" w:type="pct"/>
            <w:vAlign w:val="center"/>
          </w:tcPr>
          <w:p w14:paraId="26887169">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c>
          <w:tcPr>
            <w:tcW w:w="1039" w:type="pct"/>
            <w:vAlign w:val="center"/>
          </w:tcPr>
          <w:p w14:paraId="03A3DAEE">
            <w:pPr>
              <w:keepNext w:val="0"/>
              <w:keepLines w:val="0"/>
              <w:widowControl/>
              <w:suppressLineNumbers w:val="0"/>
              <w:spacing w:before="169" w:beforeLines="50" w:beforeAutospacing="0" w:after="169" w:afterLines="50" w:afterAutospacing="0"/>
              <w:ind w:left="0" w:right="0"/>
              <w:jc w:val="center"/>
              <w:rPr>
                <w:rFonts w:hint="eastAsia" w:ascii="仿宋" w:hAnsi="仿宋" w:eastAsia="仿宋" w:cs="仿宋"/>
                <w:szCs w:val="21"/>
                <w:highlight w:val="none"/>
              </w:rPr>
            </w:pPr>
          </w:p>
        </w:tc>
      </w:tr>
    </w:tbl>
    <w:p w14:paraId="3DCA472C">
      <w:pPr>
        <w:pStyle w:val="21"/>
        <w:rPr>
          <w:rFonts w:hint="eastAsia" w:ascii="仿宋" w:hAnsi="仿宋" w:eastAsia="仿宋" w:cs="仿宋"/>
          <w:highlight w:val="none"/>
        </w:rPr>
      </w:pPr>
    </w:p>
    <w:p w14:paraId="46B5696A">
      <w:pPr>
        <w:spacing w:line="360" w:lineRule="auto"/>
        <w:rPr>
          <w:rFonts w:hint="eastAsia" w:ascii="仿宋" w:hAnsi="仿宋" w:eastAsia="仿宋" w:cs="仿宋"/>
          <w:b/>
          <w:sz w:val="24"/>
          <w:highlight w:val="none"/>
        </w:rPr>
      </w:pPr>
    </w:p>
    <w:p w14:paraId="6868A0D7">
      <w:pPr>
        <w:spacing w:line="360" w:lineRule="auto"/>
        <w:rPr>
          <w:rFonts w:hint="eastAsia" w:ascii="仿宋" w:hAnsi="仿宋" w:eastAsia="仿宋" w:cs="仿宋"/>
          <w:b/>
          <w:sz w:val="24"/>
          <w:highlight w:val="none"/>
        </w:rPr>
      </w:pPr>
    </w:p>
    <w:p w14:paraId="72DB5990">
      <w:pPr>
        <w:snapToGrid w:val="0"/>
        <w:spacing w:line="360" w:lineRule="auto"/>
        <w:ind w:firstLine="4320" w:firstLineChars="1800"/>
        <w:rPr>
          <w:rFonts w:hint="eastAsia" w:ascii="仿宋" w:hAnsi="仿宋" w:eastAsia="仿宋" w:cs="仿宋"/>
          <w:kern w:val="0"/>
          <w:sz w:val="24"/>
          <w:highlight w:val="none"/>
        </w:rPr>
      </w:pPr>
      <w:r>
        <w:rPr>
          <w:rFonts w:hint="eastAsia" w:ascii="仿宋" w:hAnsi="仿宋" w:eastAsia="仿宋" w:cs="仿宋"/>
          <w:kern w:val="0"/>
          <w:sz w:val="24"/>
          <w:highlight w:val="none"/>
          <w:lang w:val="zh-CN"/>
        </w:rPr>
        <w:t>供应商名称(电子签章)：</w:t>
      </w:r>
    </w:p>
    <w:p w14:paraId="7C5FE2C1">
      <w:pPr>
        <w:autoSpaceDE w:val="0"/>
        <w:autoSpaceDN w:val="0"/>
        <w:spacing w:line="360" w:lineRule="auto"/>
        <w:ind w:firstLine="4320" w:firstLineChars="1800"/>
        <w:rPr>
          <w:rFonts w:hint="eastAsia" w:ascii="仿宋" w:hAnsi="仿宋" w:eastAsia="仿宋" w:cs="仿宋"/>
          <w:kern w:val="0"/>
          <w:sz w:val="24"/>
          <w:highlight w:val="none"/>
        </w:rPr>
      </w:pPr>
      <w:r>
        <w:rPr>
          <w:rFonts w:hint="eastAsia" w:ascii="仿宋" w:hAnsi="仿宋" w:eastAsia="仿宋" w:cs="仿宋"/>
          <w:kern w:val="0"/>
          <w:sz w:val="24"/>
          <w:highlight w:val="none"/>
          <w:lang w:val="zh-CN"/>
        </w:rPr>
        <w:t>日期：  年  月   日</w:t>
      </w:r>
    </w:p>
    <w:p w14:paraId="7AE72ADA">
      <w:pPr>
        <w:rPr>
          <w:rFonts w:hint="eastAsia" w:ascii="仿宋" w:hAnsi="仿宋" w:eastAsia="仿宋" w:cs="仿宋"/>
          <w:highlight w:val="none"/>
        </w:rPr>
      </w:pPr>
    </w:p>
    <w:p w14:paraId="1A43D1CF">
      <w:pPr>
        <w:ind w:firstLine="640" w:firstLineChars="200"/>
        <w:rPr>
          <w:rFonts w:hint="eastAsia" w:ascii="仿宋" w:hAnsi="仿宋" w:eastAsia="仿宋" w:cs="仿宋"/>
          <w:kern w:val="0"/>
          <w:sz w:val="32"/>
          <w:szCs w:val="20"/>
          <w:highlight w:val="none"/>
        </w:rPr>
      </w:pPr>
      <w:r>
        <w:rPr>
          <w:rFonts w:hint="eastAsia" w:ascii="仿宋" w:hAnsi="仿宋" w:eastAsia="仿宋" w:cs="仿宋"/>
          <w:kern w:val="0"/>
          <w:sz w:val="32"/>
          <w:szCs w:val="20"/>
          <w:highlight w:val="none"/>
        </w:rPr>
        <w:br w:type="page"/>
      </w:r>
    </w:p>
    <w:p w14:paraId="7D8F6DC1">
      <w:pPr>
        <w:jc w:val="center"/>
        <w:outlineLvl w:val="1"/>
        <w:rPr>
          <w:rFonts w:hint="eastAsia" w:ascii="仿宋" w:hAnsi="仿宋" w:eastAsia="仿宋" w:cs="仿宋"/>
          <w:b/>
          <w:bCs/>
          <w:sz w:val="28"/>
          <w:szCs w:val="28"/>
          <w:highlight w:val="none"/>
        </w:rPr>
      </w:pPr>
      <w:bookmarkStart w:id="124" w:name="_Toc127516338"/>
      <w:bookmarkStart w:id="125" w:name="_Toc5092"/>
      <w:r>
        <w:rPr>
          <w:rFonts w:hint="eastAsia" w:ascii="仿宋" w:hAnsi="仿宋" w:eastAsia="仿宋" w:cs="仿宋"/>
          <w:b/>
          <w:bCs/>
          <w:sz w:val="28"/>
          <w:szCs w:val="28"/>
          <w:highlight w:val="none"/>
        </w:rPr>
        <w:t>第四节 技术文件格式</w:t>
      </w:r>
      <w:bookmarkEnd w:id="122"/>
      <w:bookmarkEnd w:id="123"/>
      <w:bookmarkEnd w:id="124"/>
      <w:bookmarkEnd w:id="125"/>
    </w:p>
    <w:p w14:paraId="08472847">
      <w:pPr>
        <w:snapToGrid w:val="0"/>
        <w:spacing w:before="169" w:beforeLines="50" w:after="50"/>
        <w:rPr>
          <w:rFonts w:hint="eastAsia" w:ascii="仿宋" w:hAnsi="仿宋" w:eastAsia="仿宋" w:cs="仿宋"/>
          <w:bCs/>
          <w:sz w:val="32"/>
          <w:szCs w:val="20"/>
          <w:highlight w:val="none"/>
        </w:rPr>
      </w:pPr>
      <w:r>
        <w:rPr>
          <w:rFonts w:hint="eastAsia" w:ascii="仿宋" w:hAnsi="仿宋" w:eastAsia="仿宋" w:cs="仿宋"/>
          <w:bCs/>
          <w:highlight w:val="none"/>
        </w:rPr>
        <w:t>电子响应文件</w:t>
      </w:r>
    </w:p>
    <w:p w14:paraId="67CDE648">
      <w:pPr>
        <w:snapToGrid w:val="0"/>
        <w:spacing w:before="169" w:beforeLines="50" w:after="50"/>
        <w:rPr>
          <w:rFonts w:hint="eastAsia" w:ascii="仿宋" w:hAnsi="仿宋" w:eastAsia="仿宋" w:cs="仿宋"/>
          <w:sz w:val="24"/>
          <w:szCs w:val="20"/>
          <w:highlight w:val="none"/>
        </w:rPr>
      </w:pPr>
    </w:p>
    <w:p w14:paraId="0BC5BA12">
      <w:pPr>
        <w:snapToGrid w:val="0"/>
        <w:spacing w:before="169" w:beforeLines="50" w:after="50"/>
        <w:jc w:val="center"/>
        <w:rPr>
          <w:rFonts w:hint="eastAsia" w:ascii="仿宋" w:hAnsi="仿宋" w:eastAsia="仿宋" w:cs="仿宋"/>
          <w:b/>
          <w:bCs/>
          <w:sz w:val="32"/>
          <w:szCs w:val="32"/>
          <w:highlight w:val="none"/>
        </w:rPr>
      </w:pPr>
    </w:p>
    <w:p w14:paraId="0F44F2CB">
      <w:pPr>
        <w:snapToGrid w:val="0"/>
        <w:spacing w:before="169" w:beforeLines="50" w:after="50"/>
        <w:jc w:val="center"/>
        <w:rPr>
          <w:rFonts w:hint="eastAsia" w:ascii="仿宋" w:hAnsi="仿宋" w:eastAsia="仿宋" w:cs="仿宋"/>
          <w:b/>
          <w:bCs/>
          <w:sz w:val="32"/>
          <w:szCs w:val="32"/>
          <w:highlight w:val="none"/>
        </w:rPr>
      </w:pPr>
    </w:p>
    <w:p w14:paraId="2059B9D4">
      <w:pPr>
        <w:snapToGrid w:val="0"/>
        <w:spacing w:before="169" w:beforeLines="50" w:after="50"/>
        <w:jc w:val="center"/>
        <w:rPr>
          <w:rFonts w:hint="eastAsia" w:ascii="仿宋" w:hAnsi="仿宋" w:eastAsia="仿宋" w:cs="仿宋"/>
          <w:b/>
          <w:bCs/>
          <w:sz w:val="32"/>
          <w:szCs w:val="32"/>
          <w:highlight w:val="none"/>
        </w:rPr>
      </w:pPr>
    </w:p>
    <w:p w14:paraId="6F1314D3">
      <w:pPr>
        <w:snapToGrid w:val="0"/>
        <w:spacing w:before="169" w:beforeLines="50" w:after="50"/>
        <w:jc w:val="center"/>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技术文件（封面）</w:t>
      </w:r>
    </w:p>
    <w:p w14:paraId="750AFB09">
      <w:pPr>
        <w:snapToGrid w:val="0"/>
        <w:spacing w:before="169" w:beforeLines="50" w:after="50"/>
        <w:rPr>
          <w:rFonts w:hint="eastAsia" w:ascii="仿宋" w:hAnsi="仿宋" w:eastAsia="仿宋" w:cs="仿宋"/>
          <w:bCs/>
          <w:sz w:val="24"/>
          <w:szCs w:val="20"/>
          <w:highlight w:val="none"/>
        </w:rPr>
      </w:pPr>
    </w:p>
    <w:p w14:paraId="00154700">
      <w:pPr>
        <w:snapToGrid w:val="0"/>
        <w:spacing w:before="169" w:beforeLines="50" w:after="50" w:line="400" w:lineRule="exact"/>
        <w:ind w:firstLine="360" w:firstLineChars="150"/>
        <w:rPr>
          <w:rFonts w:hint="eastAsia" w:ascii="仿宋" w:hAnsi="仿宋" w:eastAsia="仿宋" w:cs="仿宋"/>
          <w:bCs/>
          <w:sz w:val="24"/>
          <w:szCs w:val="20"/>
          <w:highlight w:val="none"/>
        </w:rPr>
      </w:pPr>
      <w:r>
        <w:rPr>
          <w:rFonts w:hint="eastAsia" w:ascii="仿宋" w:hAnsi="仿宋" w:eastAsia="仿宋" w:cs="仿宋"/>
          <w:bCs/>
          <w:sz w:val="24"/>
          <w:highlight w:val="none"/>
        </w:rPr>
        <w:t xml:space="preserve">项目名称： </w:t>
      </w:r>
    </w:p>
    <w:p w14:paraId="662BFD1A">
      <w:pPr>
        <w:snapToGrid w:val="0"/>
        <w:spacing w:before="169" w:beforeLines="50" w:after="50" w:line="400" w:lineRule="exact"/>
        <w:ind w:firstLine="360" w:firstLineChars="150"/>
        <w:rPr>
          <w:rFonts w:hint="eastAsia" w:ascii="仿宋" w:hAnsi="仿宋" w:eastAsia="仿宋" w:cs="仿宋"/>
          <w:bCs/>
          <w:sz w:val="24"/>
          <w:highlight w:val="none"/>
        </w:rPr>
      </w:pPr>
      <w:r>
        <w:rPr>
          <w:rFonts w:hint="eastAsia" w:ascii="仿宋" w:hAnsi="仿宋" w:eastAsia="仿宋" w:cs="仿宋"/>
          <w:bCs/>
          <w:sz w:val="24"/>
          <w:highlight w:val="none"/>
        </w:rPr>
        <w:t xml:space="preserve">项目编号： </w:t>
      </w:r>
    </w:p>
    <w:p w14:paraId="0B47DA02">
      <w:pPr>
        <w:snapToGrid w:val="0"/>
        <w:spacing w:before="169" w:beforeLines="50" w:after="50" w:line="400" w:lineRule="exact"/>
        <w:ind w:firstLine="360" w:firstLineChars="150"/>
        <w:rPr>
          <w:rFonts w:hint="eastAsia" w:ascii="仿宋" w:hAnsi="仿宋" w:eastAsia="仿宋" w:cs="仿宋"/>
          <w:bCs/>
          <w:sz w:val="24"/>
          <w:highlight w:val="none"/>
        </w:rPr>
      </w:pPr>
      <w:r>
        <w:rPr>
          <w:rFonts w:hint="eastAsia" w:ascii="仿宋" w:hAnsi="仿宋" w:eastAsia="仿宋" w:cs="仿宋"/>
          <w:bCs/>
          <w:sz w:val="24"/>
          <w:highlight w:val="none"/>
        </w:rPr>
        <w:t>所投分标：</w:t>
      </w:r>
    </w:p>
    <w:p w14:paraId="3DA32251">
      <w:pPr>
        <w:snapToGrid w:val="0"/>
        <w:spacing w:before="169" w:beforeLines="50" w:after="50" w:line="400" w:lineRule="exact"/>
        <w:ind w:firstLine="360" w:firstLineChars="150"/>
        <w:rPr>
          <w:rFonts w:hint="eastAsia" w:ascii="仿宋" w:hAnsi="仿宋" w:eastAsia="仿宋" w:cs="仿宋"/>
          <w:bCs/>
          <w:sz w:val="24"/>
          <w:highlight w:val="none"/>
        </w:rPr>
      </w:pPr>
      <w:r>
        <w:rPr>
          <w:rFonts w:hint="eastAsia" w:ascii="仿宋" w:hAnsi="仿宋" w:eastAsia="仿宋" w:cs="仿宋"/>
          <w:bCs/>
          <w:sz w:val="24"/>
          <w:highlight w:val="none"/>
        </w:rPr>
        <w:t>供应商名称：</w:t>
      </w:r>
    </w:p>
    <w:p w14:paraId="56549502">
      <w:pPr>
        <w:snapToGrid w:val="0"/>
        <w:spacing w:before="169" w:beforeLines="50" w:after="50"/>
        <w:ind w:firstLine="645"/>
        <w:jc w:val="center"/>
        <w:rPr>
          <w:rFonts w:hint="eastAsia" w:ascii="仿宋" w:hAnsi="仿宋" w:eastAsia="仿宋" w:cs="仿宋"/>
          <w:sz w:val="24"/>
          <w:highlight w:val="none"/>
        </w:rPr>
      </w:pPr>
      <w:r>
        <w:rPr>
          <w:rFonts w:hint="eastAsia" w:ascii="仿宋" w:hAnsi="仿宋" w:eastAsia="仿宋" w:cs="仿宋"/>
          <w:sz w:val="24"/>
          <w:highlight w:val="none"/>
        </w:rPr>
        <w:t xml:space="preserve">                        年    月    日</w:t>
      </w:r>
    </w:p>
    <w:p w14:paraId="046FC61D">
      <w:pPr>
        <w:snapToGrid w:val="0"/>
        <w:spacing w:before="169" w:beforeLines="50" w:after="50"/>
        <w:ind w:firstLine="645"/>
        <w:jc w:val="center"/>
        <w:rPr>
          <w:rFonts w:hint="eastAsia" w:ascii="仿宋" w:hAnsi="仿宋" w:eastAsia="仿宋" w:cs="仿宋"/>
          <w:sz w:val="24"/>
          <w:szCs w:val="20"/>
          <w:highlight w:val="none"/>
        </w:rPr>
      </w:pPr>
    </w:p>
    <w:p w14:paraId="2061FA47">
      <w:pPr>
        <w:jc w:val="center"/>
        <w:rPr>
          <w:rFonts w:hint="eastAsia" w:ascii="仿宋" w:hAnsi="仿宋" w:eastAsia="仿宋" w:cs="仿宋"/>
          <w:b/>
          <w:kern w:val="0"/>
          <w:sz w:val="28"/>
          <w:szCs w:val="28"/>
          <w:highlight w:val="none"/>
        </w:rPr>
      </w:pPr>
      <w:r>
        <w:rPr>
          <w:rFonts w:hint="eastAsia" w:ascii="仿宋" w:hAnsi="仿宋" w:eastAsia="仿宋" w:cs="仿宋"/>
          <w:b/>
          <w:bCs/>
          <w:sz w:val="24"/>
          <w:highlight w:val="none"/>
        </w:rPr>
        <w:br w:type="page"/>
      </w:r>
      <w:r>
        <w:rPr>
          <w:rFonts w:hint="eastAsia" w:ascii="仿宋" w:hAnsi="仿宋" w:eastAsia="仿宋" w:cs="仿宋"/>
          <w:b/>
          <w:kern w:val="0"/>
          <w:sz w:val="28"/>
          <w:szCs w:val="28"/>
          <w:highlight w:val="none"/>
        </w:rPr>
        <w:t>技术文件目录</w:t>
      </w:r>
    </w:p>
    <w:p w14:paraId="48A6C0AB">
      <w:pPr>
        <w:adjustRightInd w:val="0"/>
        <w:spacing w:line="360" w:lineRule="auto"/>
        <w:ind w:left="2" w:firstLine="480" w:firstLineChars="200"/>
        <w:rPr>
          <w:rFonts w:hint="eastAsia" w:ascii="仿宋" w:hAnsi="仿宋" w:eastAsia="仿宋" w:cs="仿宋"/>
          <w:sz w:val="24"/>
          <w:highlight w:val="none"/>
        </w:rPr>
      </w:pPr>
      <w:r>
        <w:rPr>
          <w:rFonts w:hint="eastAsia" w:ascii="仿宋" w:hAnsi="仿宋" w:eastAsia="仿宋" w:cs="仿宋"/>
          <w:sz w:val="24"/>
          <w:highlight w:val="none"/>
        </w:rPr>
        <w:t>一、服务需求偏离表……………………………………………………………（页码）</w:t>
      </w:r>
    </w:p>
    <w:p w14:paraId="50211728">
      <w:pPr>
        <w:adjustRightInd w:val="0"/>
        <w:spacing w:line="360" w:lineRule="auto"/>
        <w:ind w:left="2" w:firstLine="480" w:firstLineChars="200"/>
        <w:rPr>
          <w:rFonts w:hint="eastAsia" w:ascii="仿宋" w:hAnsi="仿宋" w:eastAsia="仿宋" w:cs="仿宋"/>
          <w:sz w:val="24"/>
          <w:highlight w:val="none"/>
        </w:rPr>
      </w:pPr>
      <w:r>
        <w:rPr>
          <w:rFonts w:hint="eastAsia" w:ascii="仿宋" w:hAnsi="仿宋" w:eastAsia="仿宋" w:cs="仿宋"/>
          <w:sz w:val="24"/>
          <w:highlight w:val="none"/>
        </w:rPr>
        <w:t>二、服务方案……………………………………………………………………（页码）</w:t>
      </w:r>
    </w:p>
    <w:p w14:paraId="3E3F0B11">
      <w:pPr>
        <w:adjustRightInd w:val="0"/>
        <w:spacing w:line="360" w:lineRule="auto"/>
        <w:ind w:left="2" w:firstLine="480" w:firstLineChars="200"/>
        <w:rPr>
          <w:rFonts w:hint="eastAsia" w:ascii="仿宋" w:hAnsi="仿宋" w:eastAsia="仿宋" w:cs="仿宋"/>
          <w:sz w:val="24"/>
          <w:highlight w:val="none"/>
        </w:rPr>
      </w:pPr>
      <w:r>
        <w:rPr>
          <w:rFonts w:hint="eastAsia" w:ascii="仿宋" w:hAnsi="仿宋" w:eastAsia="仿宋" w:cs="仿宋"/>
          <w:sz w:val="24"/>
          <w:highlight w:val="none"/>
        </w:rPr>
        <w:t>三、售后服务承诺………………………………</w:t>
      </w:r>
      <w:r>
        <w:rPr>
          <w:rFonts w:hint="eastAsia" w:ascii="仿宋" w:hAnsi="仿宋" w:eastAsia="仿宋" w:cs="仿宋"/>
          <w:sz w:val="24"/>
          <w:highlight w:val="none"/>
          <w:lang w:val="zh-CN"/>
        </w:rPr>
        <w:t>………</w:t>
      </w:r>
      <w:r>
        <w:rPr>
          <w:rFonts w:hint="eastAsia" w:ascii="仿宋" w:hAnsi="仿宋" w:eastAsia="仿宋" w:cs="仿宋"/>
          <w:sz w:val="24"/>
          <w:highlight w:val="none"/>
        </w:rPr>
        <w:t>………………………（页码）</w:t>
      </w:r>
    </w:p>
    <w:p w14:paraId="7F7C0B4B">
      <w:pPr>
        <w:adjustRightInd w:val="0"/>
        <w:spacing w:line="360" w:lineRule="auto"/>
        <w:ind w:left="2" w:firstLine="480" w:firstLineChars="200"/>
        <w:rPr>
          <w:rFonts w:hint="eastAsia" w:ascii="仿宋" w:hAnsi="仿宋" w:eastAsia="仿宋" w:cs="仿宋"/>
          <w:sz w:val="24"/>
          <w:highlight w:val="none"/>
        </w:rPr>
      </w:pPr>
      <w:r>
        <w:rPr>
          <w:rFonts w:hint="eastAsia" w:ascii="仿宋" w:hAnsi="仿宋" w:eastAsia="仿宋" w:cs="仿宋"/>
          <w:sz w:val="24"/>
          <w:highlight w:val="none"/>
        </w:rPr>
        <w:t>四、对应采购需求的服务需求、商务条款提供的其他文件资料</w:t>
      </w:r>
      <w:r>
        <w:rPr>
          <w:rFonts w:hint="eastAsia" w:ascii="仿宋" w:hAnsi="仿宋" w:eastAsia="仿宋" w:cs="仿宋"/>
          <w:sz w:val="24"/>
          <w:highlight w:val="none"/>
          <w:lang w:val="zh-CN"/>
        </w:rPr>
        <w:t>………</w:t>
      </w:r>
      <w:r>
        <w:rPr>
          <w:rFonts w:hint="eastAsia" w:ascii="仿宋" w:hAnsi="仿宋" w:eastAsia="仿宋" w:cs="仿宋"/>
          <w:sz w:val="24"/>
          <w:highlight w:val="none"/>
        </w:rPr>
        <w:t>……（页码）</w:t>
      </w:r>
    </w:p>
    <w:p w14:paraId="32646C97">
      <w:pPr>
        <w:adjustRightInd w:val="0"/>
        <w:spacing w:line="360" w:lineRule="auto"/>
        <w:ind w:left="2" w:firstLine="480" w:firstLineChars="200"/>
        <w:rPr>
          <w:rFonts w:hint="eastAsia" w:ascii="仿宋" w:hAnsi="仿宋" w:eastAsia="仿宋" w:cs="仿宋"/>
          <w:sz w:val="24"/>
          <w:szCs w:val="21"/>
          <w:highlight w:val="none"/>
        </w:rPr>
      </w:pPr>
      <w:r>
        <w:rPr>
          <w:rFonts w:hint="eastAsia" w:ascii="仿宋" w:hAnsi="仿宋" w:eastAsia="仿宋" w:cs="仿宋"/>
          <w:sz w:val="24"/>
          <w:highlight w:val="none"/>
          <w:lang w:val="zh-CN"/>
        </w:rPr>
        <w:t>五、</w:t>
      </w:r>
      <w:r>
        <w:rPr>
          <w:rFonts w:hint="eastAsia" w:ascii="仿宋" w:hAnsi="仿宋" w:eastAsia="仿宋" w:cs="仿宋"/>
          <w:sz w:val="24"/>
          <w:szCs w:val="21"/>
          <w:highlight w:val="none"/>
        </w:rPr>
        <w:t>除采购文件规定必须提供以外，竞标供应商需要说明的其他文件和说明（格式自拟）</w:t>
      </w:r>
      <w:r>
        <w:rPr>
          <w:rFonts w:hint="eastAsia" w:ascii="仿宋" w:hAnsi="仿宋" w:eastAsia="仿宋" w:cs="仿宋"/>
          <w:sz w:val="24"/>
          <w:highlight w:val="none"/>
          <w:lang w:val="zh-CN"/>
        </w:rPr>
        <w:t>………………………………</w:t>
      </w:r>
      <w:r>
        <w:rPr>
          <w:rFonts w:hint="eastAsia" w:ascii="仿宋" w:hAnsi="仿宋" w:eastAsia="仿宋" w:cs="仿宋"/>
          <w:sz w:val="24"/>
          <w:highlight w:val="none"/>
        </w:rPr>
        <w:t>（页码）</w:t>
      </w:r>
    </w:p>
    <w:p w14:paraId="409D052C">
      <w:pPr>
        <w:spacing w:line="360" w:lineRule="auto"/>
        <w:rPr>
          <w:rFonts w:hint="eastAsia" w:ascii="仿宋" w:hAnsi="仿宋" w:eastAsia="仿宋" w:cs="仿宋"/>
          <w:b/>
          <w:bCs/>
          <w:sz w:val="24"/>
          <w:highlight w:val="none"/>
        </w:rPr>
      </w:pPr>
      <w:r>
        <w:rPr>
          <w:rFonts w:hint="eastAsia" w:ascii="仿宋" w:hAnsi="仿宋" w:eastAsia="仿宋" w:cs="仿宋"/>
          <w:b/>
          <w:bCs/>
          <w:sz w:val="24"/>
          <w:highlight w:val="none"/>
        </w:rPr>
        <w:t>注：以上目录是基本格式要求，各竞标供应商可根据自身情况进一步向下增加内容或细化。</w:t>
      </w:r>
    </w:p>
    <w:p w14:paraId="69552FD6">
      <w:pPr>
        <w:snapToGrid w:val="0"/>
        <w:spacing w:before="169" w:beforeLines="50" w:after="50"/>
        <w:ind w:left="143" w:leftChars="68" w:firstLine="472" w:firstLineChars="196"/>
        <w:jc w:val="left"/>
        <w:rPr>
          <w:rFonts w:hint="eastAsia" w:ascii="仿宋" w:hAnsi="仿宋" w:eastAsia="仿宋" w:cs="仿宋"/>
          <w:b/>
          <w:sz w:val="24"/>
          <w:highlight w:val="none"/>
        </w:rPr>
      </w:pPr>
    </w:p>
    <w:p w14:paraId="33F97738">
      <w:pPr>
        <w:snapToGrid w:val="0"/>
        <w:spacing w:before="169" w:beforeLines="50" w:after="50"/>
        <w:ind w:left="143" w:leftChars="68" w:firstLine="472" w:firstLineChars="196"/>
        <w:jc w:val="left"/>
        <w:rPr>
          <w:rFonts w:hint="eastAsia" w:ascii="仿宋" w:hAnsi="仿宋" w:eastAsia="仿宋" w:cs="仿宋"/>
          <w:b/>
          <w:sz w:val="24"/>
          <w:highlight w:val="none"/>
        </w:rPr>
      </w:pPr>
      <w:r>
        <w:rPr>
          <w:rFonts w:hint="eastAsia" w:ascii="仿宋" w:hAnsi="仿宋" w:eastAsia="仿宋" w:cs="仿宋"/>
          <w:b/>
          <w:sz w:val="24"/>
          <w:highlight w:val="none"/>
        </w:rPr>
        <w:br w:type="page"/>
      </w:r>
    </w:p>
    <w:p w14:paraId="48606DCF">
      <w:pPr>
        <w:spacing w:line="500" w:lineRule="exact"/>
        <w:jc w:val="center"/>
        <w:rPr>
          <w:rFonts w:hint="eastAsia" w:ascii="仿宋" w:hAnsi="仿宋" w:eastAsia="仿宋" w:cs="仿宋"/>
          <w:b/>
          <w:bCs/>
          <w:sz w:val="30"/>
          <w:szCs w:val="30"/>
          <w:highlight w:val="none"/>
        </w:rPr>
      </w:pPr>
      <w:r>
        <w:rPr>
          <w:rFonts w:hint="eastAsia" w:ascii="仿宋" w:hAnsi="仿宋" w:eastAsia="仿宋" w:cs="仿宋"/>
          <w:b/>
          <w:bCs/>
          <w:sz w:val="30"/>
          <w:szCs w:val="30"/>
          <w:highlight w:val="none"/>
        </w:rPr>
        <w:t>一、竞标服务技术需求偏离表</w:t>
      </w:r>
    </w:p>
    <w:p w14:paraId="446E9E34">
      <w:pPr>
        <w:spacing w:line="440" w:lineRule="exact"/>
        <w:ind w:firstLine="420" w:firstLineChars="200"/>
        <w:rPr>
          <w:rFonts w:hint="eastAsia" w:ascii="仿宋" w:hAnsi="仿宋" w:eastAsia="仿宋" w:cs="仿宋"/>
          <w:szCs w:val="20"/>
          <w:highlight w:val="none"/>
        </w:rPr>
      </w:pPr>
    </w:p>
    <w:p w14:paraId="2A650546">
      <w:pPr>
        <w:spacing w:line="60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请根据所投服务的实际技术参数，</w:t>
      </w:r>
      <w:r>
        <w:rPr>
          <w:rFonts w:hint="eastAsia" w:ascii="仿宋" w:hAnsi="仿宋" w:eastAsia="仿宋" w:cs="仿宋"/>
          <w:b/>
          <w:sz w:val="28"/>
          <w:szCs w:val="28"/>
          <w:highlight w:val="none"/>
        </w:rPr>
        <w:t>逐条对应</w:t>
      </w:r>
      <w:r>
        <w:rPr>
          <w:rFonts w:hint="eastAsia" w:ascii="仿宋" w:hAnsi="仿宋" w:eastAsia="仿宋" w:cs="仿宋"/>
          <w:sz w:val="24"/>
          <w:highlight w:val="none"/>
        </w:rPr>
        <w:t>本项目采购文件第二章“服务需求一览表”中项号“1”服务名称“</w:t>
      </w:r>
      <w:r>
        <w:rPr>
          <w:rFonts w:hint="eastAsia" w:ascii="仿宋" w:hAnsi="仿宋" w:eastAsia="仿宋" w:cs="仿宋"/>
          <w:b/>
          <w:bCs/>
          <w:sz w:val="24"/>
          <w:highlight w:val="none"/>
          <w:u w:val="single"/>
          <w:lang w:eastAsia="zh-CN"/>
        </w:rPr>
        <w:t>南宁市公交企业客运成本规制补贴第三方专项审计项目</w:t>
      </w:r>
      <w:r>
        <w:rPr>
          <w:rFonts w:hint="eastAsia" w:ascii="仿宋" w:hAnsi="仿宋" w:eastAsia="仿宋" w:cs="仿宋"/>
          <w:sz w:val="24"/>
          <w:highlight w:val="none"/>
        </w:rPr>
        <w:t>”中的“服务内容及要求”详细填写相应的具体内容。“偏离说明”一栏应当选择“正偏离”、“负偏离”或“无偏离”进行填写。</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260"/>
        <w:gridCol w:w="2310"/>
        <w:gridCol w:w="1516"/>
        <w:gridCol w:w="3297"/>
        <w:gridCol w:w="1168"/>
      </w:tblGrid>
      <w:tr w14:paraId="30BCD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634" w:type="dxa"/>
            <w:vMerge w:val="restart"/>
            <w:tcBorders>
              <w:top w:val="single" w:color="auto" w:sz="4" w:space="0"/>
              <w:left w:val="single" w:color="auto" w:sz="4" w:space="0"/>
              <w:bottom w:val="single" w:color="auto" w:sz="4" w:space="0"/>
              <w:right w:val="single" w:color="auto" w:sz="4" w:space="0"/>
            </w:tcBorders>
            <w:vAlign w:val="center"/>
          </w:tcPr>
          <w:p w14:paraId="65D60D35">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项号</w:t>
            </w:r>
          </w:p>
        </w:tc>
        <w:tc>
          <w:tcPr>
            <w:tcW w:w="3570" w:type="dxa"/>
            <w:gridSpan w:val="2"/>
            <w:tcBorders>
              <w:top w:val="single" w:color="auto" w:sz="4" w:space="0"/>
              <w:left w:val="single" w:color="auto" w:sz="4" w:space="0"/>
              <w:bottom w:val="single" w:color="auto" w:sz="4" w:space="0"/>
              <w:right w:val="single" w:color="auto" w:sz="4" w:space="0"/>
            </w:tcBorders>
            <w:vAlign w:val="center"/>
          </w:tcPr>
          <w:p w14:paraId="5BADB46B">
            <w:pPr>
              <w:keepNext w:val="0"/>
              <w:keepLines w:val="0"/>
              <w:suppressLineNumbers w:val="0"/>
              <w:spacing w:before="0" w:beforeAutospacing="0" w:after="0" w:afterAutospacing="0"/>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采购文件需求</w:t>
            </w:r>
          </w:p>
        </w:tc>
        <w:tc>
          <w:tcPr>
            <w:tcW w:w="4813" w:type="dxa"/>
            <w:gridSpan w:val="2"/>
            <w:tcBorders>
              <w:top w:val="single" w:color="auto" w:sz="4" w:space="0"/>
              <w:left w:val="single" w:color="auto" w:sz="4" w:space="0"/>
              <w:bottom w:val="single" w:color="auto" w:sz="4" w:space="0"/>
              <w:right w:val="single" w:color="auto" w:sz="4" w:space="0"/>
            </w:tcBorders>
            <w:vAlign w:val="center"/>
          </w:tcPr>
          <w:p w14:paraId="0F55445B">
            <w:pPr>
              <w:keepNext w:val="0"/>
              <w:keepLines w:val="0"/>
              <w:suppressLineNumbers w:val="0"/>
              <w:spacing w:before="0" w:beforeAutospacing="0" w:after="0" w:afterAutospacing="0"/>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响应文件承诺</w:t>
            </w:r>
          </w:p>
        </w:tc>
        <w:tc>
          <w:tcPr>
            <w:tcW w:w="1168" w:type="dxa"/>
            <w:vMerge w:val="restart"/>
            <w:tcBorders>
              <w:top w:val="single" w:color="auto" w:sz="4" w:space="0"/>
              <w:left w:val="single" w:color="auto" w:sz="4" w:space="0"/>
              <w:bottom w:val="single" w:color="auto" w:sz="4" w:space="0"/>
              <w:right w:val="single" w:color="auto" w:sz="4" w:space="0"/>
            </w:tcBorders>
            <w:vAlign w:val="center"/>
          </w:tcPr>
          <w:p w14:paraId="778D6D52">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偏离说明</w:t>
            </w:r>
          </w:p>
        </w:tc>
      </w:tr>
      <w:tr w14:paraId="22F0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634" w:type="dxa"/>
            <w:vMerge w:val="continue"/>
            <w:tcBorders>
              <w:top w:val="single" w:color="auto" w:sz="4" w:space="0"/>
              <w:left w:val="single" w:color="auto" w:sz="4" w:space="0"/>
              <w:bottom w:val="single" w:color="auto" w:sz="4" w:space="0"/>
              <w:right w:val="single" w:color="auto" w:sz="4" w:space="0"/>
            </w:tcBorders>
            <w:vAlign w:val="center"/>
          </w:tcPr>
          <w:p w14:paraId="43E0E858">
            <w:pPr>
              <w:keepNext w:val="0"/>
              <w:keepLines w:val="0"/>
              <w:widowControl/>
              <w:suppressLineNumbers w:val="0"/>
              <w:spacing w:before="0" w:beforeAutospacing="0" w:after="0" w:afterAutospacing="0"/>
              <w:ind w:left="0" w:right="0"/>
              <w:jc w:val="left"/>
              <w:rPr>
                <w:rFonts w:hint="eastAsia" w:ascii="仿宋" w:hAnsi="仿宋" w:eastAsia="仿宋" w:cs="仿宋"/>
                <w:szCs w:val="21"/>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5B7E0C52">
            <w:pPr>
              <w:keepNext w:val="0"/>
              <w:keepLines w:val="0"/>
              <w:suppressLineNumbers w:val="0"/>
              <w:spacing w:before="0" w:beforeAutospacing="0" w:after="0" w:afterAutospacing="0"/>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服务名称</w:t>
            </w:r>
          </w:p>
        </w:tc>
        <w:tc>
          <w:tcPr>
            <w:tcW w:w="2310" w:type="dxa"/>
            <w:tcBorders>
              <w:top w:val="single" w:color="auto" w:sz="4" w:space="0"/>
              <w:left w:val="single" w:color="auto" w:sz="4" w:space="0"/>
              <w:bottom w:val="single" w:color="auto" w:sz="4" w:space="0"/>
              <w:right w:val="single" w:color="auto" w:sz="4" w:space="0"/>
            </w:tcBorders>
            <w:vAlign w:val="center"/>
          </w:tcPr>
          <w:p w14:paraId="29072C55">
            <w:pPr>
              <w:keepNext w:val="0"/>
              <w:keepLines w:val="0"/>
              <w:suppressLineNumbers w:val="0"/>
              <w:spacing w:before="0" w:beforeAutospacing="0" w:after="0" w:afterAutospacing="0"/>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服务参数</w:t>
            </w:r>
          </w:p>
        </w:tc>
        <w:tc>
          <w:tcPr>
            <w:tcW w:w="1516" w:type="dxa"/>
            <w:tcBorders>
              <w:top w:val="single" w:color="auto" w:sz="4" w:space="0"/>
              <w:left w:val="single" w:color="auto" w:sz="4" w:space="0"/>
              <w:bottom w:val="single" w:color="auto" w:sz="4" w:space="0"/>
              <w:right w:val="single" w:color="auto" w:sz="4" w:space="0"/>
            </w:tcBorders>
            <w:vAlign w:val="center"/>
          </w:tcPr>
          <w:p w14:paraId="3972AF40">
            <w:pPr>
              <w:keepNext w:val="0"/>
              <w:keepLines w:val="0"/>
              <w:suppressLineNumbers w:val="0"/>
              <w:spacing w:before="0" w:beforeAutospacing="0" w:after="0" w:afterAutospacing="0"/>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服务名称</w:t>
            </w:r>
          </w:p>
        </w:tc>
        <w:tc>
          <w:tcPr>
            <w:tcW w:w="3297" w:type="dxa"/>
            <w:tcBorders>
              <w:top w:val="single" w:color="auto" w:sz="4" w:space="0"/>
              <w:left w:val="single" w:color="auto" w:sz="4" w:space="0"/>
              <w:bottom w:val="single" w:color="auto" w:sz="4" w:space="0"/>
              <w:right w:val="single" w:color="auto" w:sz="4" w:space="0"/>
            </w:tcBorders>
            <w:vAlign w:val="center"/>
          </w:tcPr>
          <w:p w14:paraId="2A9F314F">
            <w:pPr>
              <w:keepNext w:val="0"/>
              <w:keepLines w:val="0"/>
              <w:suppressLineNumbers w:val="0"/>
              <w:spacing w:before="0" w:beforeAutospacing="0" w:after="0" w:afterAutospacing="0"/>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所提供服务的内容</w:t>
            </w:r>
          </w:p>
        </w:tc>
        <w:tc>
          <w:tcPr>
            <w:tcW w:w="1168" w:type="dxa"/>
            <w:vMerge w:val="continue"/>
            <w:tcBorders>
              <w:top w:val="single" w:color="auto" w:sz="4" w:space="0"/>
              <w:left w:val="single" w:color="auto" w:sz="4" w:space="0"/>
              <w:bottom w:val="single" w:color="auto" w:sz="4" w:space="0"/>
              <w:right w:val="single" w:color="auto" w:sz="4" w:space="0"/>
            </w:tcBorders>
            <w:vAlign w:val="center"/>
          </w:tcPr>
          <w:p w14:paraId="4ECB9AB9">
            <w:pPr>
              <w:keepNext w:val="0"/>
              <w:keepLines w:val="0"/>
              <w:widowControl/>
              <w:suppressLineNumbers w:val="0"/>
              <w:spacing w:before="0" w:beforeAutospacing="0" w:after="0" w:afterAutospacing="0"/>
              <w:ind w:left="0" w:right="0"/>
              <w:jc w:val="left"/>
              <w:rPr>
                <w:rFonts w:hint="eastAsia" w:ascii="仿宋" w:hAnsi="仿宋" w:eastAsia="仿宋" w:cs="仿宋"/>
                <w:szCs w:val="21"/>
                <w:highlight w:val="none"/>
              </w:rPr>
            </w:pPr>
          </w:p>
        </w:tc>
      </w:tr>
      <w:tr w14:paraId="4045E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35134F1F">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1</w:t>
            </w:r>
          </w:p>
        </w:tc>
        <w:tc>
          <w:tcPr>
            <w:tcW w:w="1260" w:type="dxa"/>
            <w:tcBorders>
              <w:top w:val="single" w:color="auto" w:sz="4" w:space="0"/>
              <w:left w:val="single" w:color="auto" w:sz="4" w:space="0"/>
              <w:bottom w:val="single" w:color="auto" w:sz="4" w:space="0"/>
              <w:right w:val="single" w:color="auto" w:sz="4" w:space="0"/>
            </w:tcBorders>
            <w:vAlign w:val="center"/>
          </w:tcPr>
          <w:p w14:paraId="5F43B18B">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w:t>
            </w:r>
          </w:p>
        </w:tc>
        <w:tc>
          <w:tcPr>
            <w:tcW w:w="2310" w:type="dxa"/>
            <w:tcBorders>
              <w:top w:val="single" w:color="auto" w:sz="4" w:space="0"/>
              <w:left w:val="single" w:color="auto" w:sz="4" w:space="0"/>
              <w:bottom w:val="single" w:color="auto" w:sz="4" w:space="0"/>
              <w:right w:val="single" w:color="auto" w:sz="4" w:space="0"/>
            </w:tcBorders>
            <w:vAlign w:val="center"/>
          </w:tcPr>
          <w:p w14:paraId="7791E067">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1  ……</w:t>
            </w:r>
          </w:p>
          <w:p w14:paraId="14BF14B8">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2  ……</w:t>
            </w:r>
          </w:p>
          <w:p w14:paraId="20629E71">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3  ……</w:t>
            </w:r>
          </w:p>
          <w:p w14:paraId="3E22BE97">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w:t>
            </w:r>
          </w:p>
        </w:tc>
        <w:tc>
          <w:tcPr>
            <w:tcW w:w="1516" w:type="dxa"/>
            <w:tcBorders>
              <w:top w:val="single" w:color="auto" w:sz="4" w:space="0"/>
              <w:left w:val="single" w:color="auto" w:sz="4" w:space="0"/>
              <w:bottom w:val="single" w:color="auto" w:sz="4" w:space="0"/>
              <w:right w:val="single" w:color="auto" w:sz="4" w:space="0"/>
            </w:tcBorders>
            <w:vAlign w:val="center"/>
          </w:tcPr>
          <w:p w14:paraId="67D27D45">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w:t>
            </w:r>
          </w:p>
        </w:tc>
        <w:tc>
          <w:tcPr>
            <w:tcW w:w="3297" w:type="dxa"/>
            <w:tcBorders>
              <w:top w:val="single" w:color="auto" w:sz="4" w:space="0"/>
              <w:left w:val="single" w:color="auto" w:sz="4" w:space="0"/>
              <w:bottom w:val="single" w:color="auto" w:sz="4" w:space="0"/>
              <w:right w:val="single" w:color="auto" w:sz="4" w:space="0"/>
            </w:tcBorders>
            <w:vAlign w:val="center"/>
          </w:tcPr>
          <w:p w14:paraId="6C7D720C">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1  ……</w:t>
            </w:r>
          </w:p>
          <w:p w14:paraId="1E631A22">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2  ……</w:t>
            </w:r>
          </w:p>
          <w:p w14:paraId="7F7E71D8">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3  ……</w:t>
            </w:r>
          </w:p>
          <w:p w14:paraId="534D7BDC">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w:t>
            </w:r>
          </w:p>
        </w:tc>
        <w:tc>
          <w:tcPr>
            <w:tcW w:w="1168" w:type="dxa"/>
            <w:tcBorders>
              <w:top w:val="single" w:color="auto" w:sz="4" w:space="0"/>
              <w:left w:val="single" w:color="auto" w:sz="4" w:space="0"/>
              <w:bottom w:val="single" w:color="auto" w:sz="4" w:space="0"/>
              <w:right w:val="single" w:color="auto" w:sz="4" w:space="0"/>
            </w:tcBorders>
            <w:vAlign w:val="center"/>
          </w:tcPr>
          <w:p w14:paraId="1DFFDE19">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正偏离（负偏离或无偏离）</w:t>
            </w:r>
          </w:p>
        </w:tc>
      </w:tr>
      <w:tr w14:paraId="10625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3E13481F">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2</w:t>
            </w:r>
          </w:p>
        </w:tc>
        <w:tc>
          <w:tcPr>
            <w:tcW w:w="1260" w:type="dxa"/>
            <w:tcBorders>
              <w:top w:val="single" w:color="auto" w:sz="4" w:space="0"/>
              <w:left w:val="single" w:color="auto" w:sz="4" w:space="0"/>
              <w:bottom w:val="single" w:color="auto" w:sz="4" w:space="0"/>
              <w:right w:val="single" w:color="auto" w:sz="4" w:space="0"/>
            </w:tcBorders>
            <w:vAlign w:val="center"/>
          </w:tcPr>
          <w:p w14:paraId="53C9FB09">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w:t>
            </w:r>
          </w:p>
        </w:tc>
        <w:tc>
          <w:tcPr>
            <w:tcW w:w="2310" w:type="dxa"/>
            <w:tcBorders>
              <w:top w:val="single" w:color="auto" w:sz="4" w:space="0"/>
              <w:left w:val="single" w:color="auto" w:sz="4" w:space="0"/>
              <w:bottom w:val="single" w:color="auto" w:sz="4" w:space="0"/>
              <w:right w:val="single" w:color="auto" w:sz="4" w:space="0"/>
            </w:tcBorders>
            <w:vAlign w:val="center"/>
          </w:tcPr>
          <w:p w14:paraId="26F8134B">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1  ……</w:t>
            </w:r>
          </w:p>
          <w:p w14:paraId="6B5FC924">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2  ……</w:t>
            </w:r>
          </w:p>
          <w:p w14:paraId="7DAB2914">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3  ……</w:t>
            </w:r>
          </w:p>
          <w:p w14:paraId="30559A4A">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w:t>
            </w:r>
          </w:p>
        </w:tc>
        <w:tc>
          <w:tcPr>
            <w:tcW w:w="1516" w:type="dxa"/>
            <w:tcBorders>
              <w:top w:val="single" w:color="auto" w:sz="4" w:space="0"/>
              <w:left w:val="single" w:color="auto" w:sz="4" w:space="0"/>
              <w:bottom w:val="single" w:color="auto" w:sz="4" w:space="0"/>
              <w:right w:val="single" w:color="auto" w:sz="4" w:space="0"/>
            </w:tcBorders>
            <w:vAlign w:val="center"/>
          </w:tcPr>
          <w:p w14:paraId="47B8AF0F">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w:t>
            </w:r>
          </w:p>
        </w:tc>
        <w:tc>
          <w:tcPr>
            <w:tcW w:w="3297" w:type="dxa"/>
            <w:tcBorders>
              <w:top w:val="single" w:color="auto" w:sz="4" w:space="0"/>
              <w:left w:val="single" w:color="auto" w:sz="4" w:space="0"/>
              <w:bottom w:val="single" w:color="auto" w:sz="4" w:space="0"/>
              <w:right w:val="single" w:color="auto" w:sz="4" w:space="0"/>
            </w:tcBorders>
            <w:vAlign w:val="center"/>
          </w:tcPr>
          <w:p w14:paraId="75658131">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1  ……</w:t>
            </w:r>
          </w:p>
          <w:p w14:paraId="6C8EB39C">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2  ……</w:t>
            </w:r>
          </w:p>
          <w:p w14:paraId="32A4B764">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3  ……</w:t>
            </w:r>
          </w:p>
          <w:p w14:paraId="338CF12A">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w:t>
            </w:r>
          </w:p>
        </w:tc>
        <w:tc>
          <w:tcPr>
            <w:tcW w:w="1168" w:type="dxa"/>
            <w:tcBorders>
              <w:top w:val="single" w:color="auto" w:sz="4" w:space="0"/>
              <w:left w:val="single" w:color="auto" w:sz="4" w:space="0"/>
              <w:bottom w:val="single" w:color="auto" w:sz="4" w:space="0"/>
              <w:right w:val="single" w:color="auto" w:sz="4" w:space="0"/>
            </w:tcBorders>
            <w:vAlign w:val="center"/>
          </w:tcPr>
          <w:p w14:paraId="7A2C4183">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正偏离（负偏离或无偏离）</w:t>
            </w:r>
          </w:p>
        </w:tc>
      </w:tr>
      <w:tr w14:paraId="1538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51B93C2F">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rPr>
              <w:t>...</w:t>
            </w:r>
          </w:p>
        </w:tc>
        <w:tc>
          <w:tcPr>
            <w:tcW w:w="1260" w:type="dxa"/>
            <w:tcBorders>
              <w:top w:val="single" w:color="auto" w:sz="4" w:space="0"/>
              <w:left w:val="single" w:color="auto" w:sz="4" w:space="0"/>
              <w:bottom w:val="single" w:color="auto" w:sz="4" w:space="0"/>
              <w:right w:val="single" w:color="auto" w:sz="4" w:space="0"/>
            </w:tcBorders>
            <w:vAlign w:val="center"/>
          </w:tcPr>
          <w:p w14:paraId="2C6CC1DE">
            <w:pPr>
              <w:keepNext w:val="0"/>
              <w:keepLines w:val="0"/>
              <w:suppressLineNumbers w:val="0"/>
              <w:spacing w:before="0" w:beforeAutospacing="0" w:after="0" w:afterAutospacing="0"/>
              <w:ind w:left="0" w:right="0"/>
              <w:rPr>
                <w:rFonts w:hint="eastAsia" w:ascii="仿宋" w:hAnsi="仿宋" w:eastAsia="仿宋" w:cs="仿宋"/>
                <w:szCs w:val="21"/>
                <w:highlight w:val="none"/>
              </w:rPr>
            </w:pPr>
          </w:p>
        </w:tc>
        <w:tc>
          <w:tcPr>
            <w:tcW w:w="2310" w:type="dxa"/>
            <w:tcBorders>
              <w:top w:val="single" w:color="auto" w:sz="4" w:space="0"/>
              <w:left w:val="single" w:color="auto" w:sz="4" w:space="0"/>
              <w:bottom w:val="single" w:color="auto" w:sz="4" w:space="0"/>
              <w:right w:val="single" w:color="auto" w:sz="4" w:space="0"/>
            </w:tcBorders>
            <w:vAlign w:val="center"/>
          </w:tcPr>
          <w:p w14:paraId="644A09C0">
            <w:pPr>
              <w:keepNext w:val="0"/>
              <w:keepLines w:val="0"/>
              <w:suppressLineNumbers w:val="0"/>
              <w:spacing w:before="0" w:beforeAutospacing="0" w:after="0" w:afterAutospacing="0"/>
              <w:ind w:left="0" w:right="0"/>
              <w:rPr>
                <w:rFonts w:hint="eastAsia" w:ascii="仿宋" w:hAnsi="仿宋" w:eastAsia="仿宋" w:cs="仿宋"/>
                <w:szCs w:val="21"/>
                <w:highlight w:val="none"/>
              </w:rPr>
            </w:pPr>
          </w:p>
        </w:tc>
        <w:tc>
          <w:tcPr>
            <w:tcW w:w="1516" w:type="dxa"/>
            <w:tcBorders>
              <w:top w:val="single" w:color="auto" w:sz="4" w:space="0"/>
              <w:left w:val="single" w:color="auto" w:sz="4" w:space="0"/>
              <w:bottom w:val="single" w:color="auto" w:sz="4" w:space="0"/>
              <w:right w:val="single" w:color="auto" w:sz="4" w:space="0"/>
            </w:tcBorders>
            <w:vAlign w:val="center"/>
          </w:tcPr>
          <w:p w14:paraId="431F8D36">
            <w:pPr>
              <w:keepNext w:val="0"/>
              <w:keepLines w:val="0"/>
              <w:suppressLineNumbers w:val="0"/>
              <w:spacing w:before="0" w:beforeAutospacing="0" w:after="0" w:afterAutospacing="0"/>
              <w:ind w:left="0" w:right="0"/>
              <w:rPr>
                <w:rFonts w:hint="eastAsia" w:ascii="仿宋" w:hAnsi="仿宋" w:eastAsia="仿宋" w:cs="仿宋"/>
                <w:szCs w:val="21"/>
                <w:highlight w:val="none"/>
              </w:rPr>
            </w:pPr>
          </w:p>
        </w:tc>
        <w:tc>
          <w:tcPr>
            <w:tcW w:w="3297" w:type="dxa"/>
            <w:tcBorders>
              <w:top w:val="single" w:color="auto" w:sz="4" w:space="0"/>
              <w:left w:val="single" w:color="auto" w:sz="4" w:space="0"/>
              <w:bottom w:val="single" w:color="auto" w:sz="4" w:space="0"/>
              <w:right w:val="single" w:color="auto" w:sz="4" w:space="0"/>
            </w:tcBorders>
            <w:vAlign w:val="center"/>
          </w:tcPr>
          <w:p w14:paraId="276EF234">
            <w:pPr>
              <w:keepNext w:val="0"/>
              <w:keepLines w:val="0"/>
              <w:suppressLineNumbers w:val="0"/>
              <w:spacing w:before="0" w:beforeAutospacing="0" w:after="0" w:afterAutospacing="0"/>
              <w:ind w:left="0" w:right="0"/>
              <w:rPr>
                <w:rFonts w:hint="eastAsia" w:ascii="仿宋" w:hAnsi="仿宋" w:eastAsia="仿宋" w:cs="仿宋"/>
                <w:szCs w:val="21"/>
                <w:highlight w:val="none"/>
              </w:rPr>
            </w:pPr>
          </w:p>
        </w:tc>
        <w:tc>
          <w:tcPr>
            <w:tcW w:w="1168" w:type="dxa"/>
            <w:tcBorders>
              <w:top w:val="single" w:color="auto" w:sz="4" w:space="0"/>
              <w:left w:val="single" w:color="auto" w:sz="4" w:space="0"/>
              <w:bottom w:val="single" w:color="auto" w:sz="4" w:space="0"/>
              <w:right w:val="single" w:color="auto" w:sz="4" w:space="0"/>
            </w:tcBorders>
            <w:vAlign w:val="center"/>
          </w:tcPr>
          <w:p w14:paraId="2684BBF8">
            <w:pPr>
              <w:keepNext w:val="0"/>
              <w:keepLines w:val="0"/>
              <w:suppressLineNumbers w:val="0"/>
              <w:spacing w:before="0" w:beforeAutospacing="0" w:after="0" w:afterAutospacing="0"/>
              <w:ind w:left="0" w:right="0"/>
              <w:rPr>
                <w:rFonts w:hint="eastAsia" w:ascii="仿宋" w:hAnsi="仿宋" w:eastAsia="仿宋" w:cs="仿宋"/>
                <w:szCs w:val="21"/>
                <w:highlight w:val="none"/>
              </w:rPr>
            </w:pPr>
          </w:p>
        </w:tc>
      </w:tr>
      <w:tr w14:paraId="349F6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0185" w:type="dxa"/>
            <w:gridSpan w:val="6"/>
            <w:tcBorders>
              <w:top w:val="single" w:color="auto" w:sz="4" w:space="0"/>
              <w:left w:val="single" w:color="auto" w:sz="4" w:space="0"/>
              <w:bottom w:val="single" w:color="auto" w:sz="4" w:space="0"/>
              <w:right w:val="single" w:color="auto" w:sz="4" w:space="0"/>
            </w:tcBorders>
            <w:vAlign w:val="center"/>
          </w:tcPr>
          <w:p w14:paraId="04283FF1">
            <w:pPr>
              <w:keepNext w:val="0"/>
              <w:keepLines w:val="0"/>
              <w:suppressLineNumbers w:val="0"/>
              <w:spacing w:before="0" w:beforeAutospacing="0" w:after="0" w:afterAutospacing="0"/>
              <w:ind w:left="0" w:right="0"/>
              <w:rPr>
                <w:rFonts w:hint="eastAsia" w:ascii="仿宋" w:hAnsi="仿宋" w:eastAsia="仿宋" w:cs="仿宋"/>
                <w:szCs w:val="21"/>
                <w:highlight w:val="none"/>
              </w:rPr>
            </w:pPr>
            <w:r>
              <w:rPr>
                <w:rFonts w:hint="eastAsia" w:ascii="仿宋" w:hAnsi="仿宋" w:eastAsia="仿宋" w:cs="仿宋"/>
                <w:szCs w:val="21"/>
                <w:highlight w:val="none"/>
                <w:u w:val="single"/>
              </w:rPr>
              <w:t>　　</w:t>
            </w:r>
            <w:r>
              <w:rPr>
                <w:rFonts w:hint="eastAsia" w:ascii="仿宋" w:hAnsi="仿宋" w:eastAsia="仿宋" w:cs="仿宋"/>
                <w:szCs w:val="21"/>
                <w:highlight w:val="none"/>
              </w:rPr>
              <w:t>分标（此处有分标时填写具体分标号，无分标时填写“无”）</w:t>
            </w:r>
          </w:p>
        </w:tc>
      </w:tr>
    </w:tbl>
    <w:p w14:paraId="4B6CD944">
      <w:pPr>
        <w:spacing w:line="360" w:lineRule="auto"/>
        <w:rPr>
          <w:rFonts w:hint="eastAsia" w:ascii="仿宋" w:hAnsi="仿宋" w:eastAsia="仿宋" w:cs="仿宋"/>
          <w:szCs w:val="21"/>
          <w:highlight w:val="none"/>
        </w:rPr>
      </w:pPr>
      <w:r>
        <w:rPr>
          <w:rFonts w:hint="eastAsia" w:ascii="仿宋" w:hAnsi="仿宋" w:eastAsia="仿宋" w:cs="仿宋"/>
          <w:szCs w:val="21"/>
          <w:highlight w:val="none"/>
        </w:rPr>
        <w:t>注：</w:t>
      </w:r>
    </w:p>
    <w:p w14:paraId="2B6D0784">
      <w:pPr>
        <w:spacing w:line="360" w:lineRule="auto"/>
        <w:rPr>
          <w:rFonts w:hint="eastAsia" w:ascii="仿宋" w:hAnsi="仿宋" w:eastAsia="仿宋" w:cs="仿宋"/>
          <w:szCs w:val="21"/>
          <w:highlight w:val="none"/>
        </w:rPr>
      </w:pPr>
      <w:r>
        <w:rPr>
          <w:rFonts w:hint="eastAsia" w:ascii="仿宋" w:hAnsi="仿宋" w:eastAsia="仿宋" w:cs="仿宋"/>
          <w:szCs w:val="21"/>
          <w:highlight w:val="none"/>
        </w:rPr>
        <w:t>1.表格内容均需按要求填写并盖章，不得留空，</w:t>
      </w:r>
      <w:r>
        <w:rPr>
          <w:rFonts w:hint="eastAsia" w:ascii="仿宋" w:hAnsi="仿宋" w:eastAsia="仿宋" w:cs="仿宋"/>
          <w:bCs/>
          <w:szCs w:val="21"/>
          <w:highlight w:val="none"/>
        </w:rPr>
        <w:t>否则按竞标无效处理</w:t>
      </w:r>
      <w:r>
        <w:rPr>
          <w:rFonts w:hint="eastAsia" w:ascii="仿宋" w:hAnsi="仿宋" w:eastAsia="仿宋" w:cs="仿宋"/>
          <w:szCs w:val="21"/>
          <w:highlight w:val="none"/>
        </w:rPr>
        <w:t>。</w:t>
      </w:r>
    </w:p>
    <w:p w14:paraId="6C0F8ECB">
      <w:pPr>
        <w:spacing w:line="360" w:lineRule="auto"/>
        <w:rPr>
          <w:rFonts w:hint="eastAsia" w:ascii="仿宋" w:hAnsi="仿宋" w:eastAsia="仿宋" w:cs="仿宋"/>
          <w:szCs w:val="21"/>
          <w:highlight w:val="none"/>
        </w:rPr>
      </w:pPr>
      <w:r>
        <w:rPr>
          <w:rFonts w:hint="eastAsia" w:ascii="仿宋" w:hAnsi="仿宋" w:eastAsia="仿宋" w:cs="仿宋"/>
          <w:bCs/>
          <w:szCs w:val="21"/>
          <w:highlight w:val="none"/>
        </w:rPr>
        <w:t>2.当响应文件的服务内容低于采购文件要求时，竞标供应商应当如实写明“负偏离”，否则视为虚假应标。</w:t>
      </w:r>
    </w:p>
    <w:p w14:paraId="4BEB5061">
      <w:pPr>
        <w:spacing w:line="360" w:lineRule="auto"/>
        <w:rPr>
          <w:rFonts w:hint="eastAsia" w:ascii="仿宋" w:hAnsi="仿宋" w:eastAsia="仿宋" w:cs="仿宋"/>
          <w:szCs w:val="20"/>
          <w:highlight w:val="none"/>
        </w:rPr>
      </w:pPr>
      <w:r>
        <w:rPr>
          <w:rFonts w:hint="eastAsia" w:ascii="仿宋" w:hAnsi="仿宋" w:eastAsia="仿宋" w:cs="仿宋"/>
          <w:szCs w:val="20"/>
          <w:highlight w:val="none"/>
        </w:rPr>
        <w:t>3.</w:t>
      </w:r>
      <w:r>
        <w:rPr>
          <w:rFonts w:hint="eastAsia" w:ascii="仿宋" w:hAnsi="仿宋" w:eastAsia="仿宋" w:cs="仿宋"/>
          <w:szCs w:val="21"/>
          <w:highlight w:val="none"/>
        </w:rPr>
        <w:t>采购需求中带“▲”的条款，也要分别在本表“服务参数”、“所提供服务的内容”中标记。</w:t>
      </w:r>
    </w:p>
    <w:p w14:paraId="61206748">
      <w:pPr>
        <w:snapToGrid w:val="0"/>
        <w:spacing w:line="360" w:lineRule="auto"/>
        <w:ind w:firstLine="5640" w:firstLineChars="2350"/>
        <w:rPr>
          <w:rFonts w:hint="eastAsia" w:ascii="仿宋" w:hAnsi="仿宋" w:eastAsia="仿宋" w:cs="仿宋"/>
          <w:kern w:val="0"/>
          <w:sz w:val="24"/>
          <w:highlight w:val="none"/>
          <w:lang w:val="zh-CN"/>
        </w:rPr>
      </w:pPr>
    </w:p>
    <w:p w14:paraId="439055D2">
      <w:pPr>
        <w:snapToGrid w:val="0"/>
        <w:spacing w:line="360" w:lineRule="auto"/>
        <w:ind w:firstLine="4320" w:firstLineChars="1800"/>
        <w:rPr>
          <w:rFonts w:hint="eastAsia" w:ascii="仿宋" w:hAnsi="仿宋" w:eastAsia="仿宋" w:cs="仿宋"/>
          <w:kern w:val="0"/>
          <w:sz w:val="24"/>
          <w:highlight w:val="none"/>
        </w:rPr>
      </w:pPr>
      <w:r>
        <w:rPr>
          <w:rFonts w:hint="eastAsia" w:ascii="仿宋" w:hAnsi="仿宋" w:eastAsia="仿宋" w:cs="仿宋"/>
          <w:kern w:val="0"/>
          <w:sz w:val="24"/>
          <w:highlight w:val="none"/>
          <w:lang w:val="zh-CN"/>
        </w:rPr>
        <w:t>供应商名称(电子签章)：</w:t>
      </w:r>
    </w:p>
    <w:p w14:paraId="5F931F82">
      <w:pPr>
        <w:snapToGrid w:val="0"/>
        <w:spacing w:line="360" w:lineRule="auto"/>
        <w:ind w:firstLine="5160" w:firstLineChars="215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日期：  年  月   日</w:t>
      </w:r>
    </w:p>
    <w:p w14:paraId="56B7C85C">
      <w:pPr>
        <w:snapToGrid w:val="0"/>
        <w:spacing w:before="169" w:beforeLines="50" w:after="50"/>
        <w:ind w:left="143" w:leftChars="68" w:firstLine="600" w:firstLineChars="200"/>
        <w:jc w:val="left"/>
        <w:rPr>
          <w:rFonts w:hint="eastAsia" w:ascii="仿宋" w:hAnsi="仿宋" w:eastAsia="仿宋" w:cs="仿宋"/>
          <w:sz w:val="30"/>
          <w:szCs w:val="20"/>
          <w:highlight w:val="none"/>
        </w:rPr>
        <w:sectPr>
          <w:headerReference r:id="rId20" w:type="default"/>
          <w:footerReference r:id="rId21" w:type="default"/>
          <w:pgSz w:w="11905" w:h="16838"/>
          <w:pgMar w:top="1304" w:right="1304" w:bottom="1304" w:left="1304" w:header="720" w:footer="720" w:gutter="0"/>
          <w:pgNumType w:fmt="decimal"/>
          <w:cols w:space="720" w:num="1"/>
          <w:docGrid w:type="lines" w:linePitch="339" w:charSpace="0"/>
        </w:sectPr>
      </w:pPr>
    </w:p>
    <w:p w14:paraId="478B16A0">
      <w:pPr>
        <w:snapToGrid w:val="0"/>
        <w:spacing w:before="169" w:beforeLines="50" w:after="50"/>
        <w:jc w:val="center"/>
        <w:rPr>
          <w:rFonts w:hint="eastAsia" w:ascii="仿宋" w:hAnsi="仿宋" w:eastAsia="仿宋" w:cs="仿宋"/>
          <w:b/>
          <w:bCs/>
          <w:sz w:val="30"/>
          <w:szCs w:val="30"/>
          <w:highlight w:val="none"/>
        </w:rPr>
      </w:pPr>
      <w:r>
        <w:rPr>
          <w:rFonts w:hint="eastAsia" w:ascii="仿宋" w:hAnsi="仿宋" w:eastAsia="仿宋" w:cs="仿宋"/>
          <w:b/>
          <w:bCs/>
          <w:sz w:val="30"/>
          <w:szCs w:val="30"/>
          <w:highlight w:val="none"/>
        </w:rPr>
        <w:t>二、服务方案</w:t>
      </w:r>
    </w:p>
    <w:p w14:paraId="192EEDCE">
      <w:pPr>
        <w:autoSpaceDE w:val="0"/>
        <w:autoSpaceDN w:val="0"/>
        <w:spacing w:line="360" w:lineRule="auto"/>
        <w:jc w:val="center"/>
        <w:rPr>
          <w:rFonts w:hint="eastAsia" w:ascii="仿宋" w:hAnsi="仿宋" w:eastAsia="仿宋" w:cs="仿宋"/>
          <w:sz w:val="24"/>
          <w:highlight w:val="none"/>
        </w:rPr>
      </w:pPr>
      <w:r>
        <w:rPr>
          <w:rFonts w:hint="eastAsia" w:ascii="仿宋" w:hAnsi="仿宋" w:eastAsia="仿宋" w:cs="仿宋"/>
          <w:sz w:val="24"/>
          <w:highlight w:val="none"/>
        </w:rPr>
        <w:t>（由竞标供应商根据采购需求及采购文件要求编制）</w:t>
      </w:r>
    </w:p>
    <w:p w14:paraId="715C7326">
      <w:pPr>
        <w:snapToGrid w:val="0"/>
        <w:spacing w:line="360" w:lineRule="auto"/>
        <w:ind w:firstLine="4320" w:firstLineChars="1800"/>
        <w:rPr>
          <w:rFonts w:hint="eastAsia" w:ascii="仿宋" w:hAnsi="仿宋" w:eastAsia="仿宋" w:cs="仿宋"/>
          <w:kern w:val="0"/>
          <w:sz w:val="24"/>
          <w:highlight w:val="none"/>
          <w:lang w:val="zh-CN"/>
        </w:rPr>
      </w:pPr>
    </w:p>
    <w:p w14:paraId="7CBF6FEE">
      <w:pPr>
        <w:snapToGrid w:val="0"/>
        <w:spacing w:line="360" w:lineRule="auto"/>
        <w:ind w:firstLine="4320" w:firstLineChars="1800"/>
        <w:rPr>
          <w:rFonts w:hint="eastAsia" w:ascii="仿宋" w:hAnsi="仿宋" w:eastAsia="仿宋" w:cs="仿宋"/>
          <w:kern w:val="0"/>
          <w:sz w:val="24"/>
          <w:highlight w:val="none"/>
        </w:rPr>
      </w:pPr>
      <w:r>
        <w:rPr>
          <w:rFonts w:hint="eastAsia" w:ascii="仿宋" w:hAnsi="仿宋" w:eastAsia="仿宋" w:cs="仿宋"/>
          <w:kern w:val="0"/>
          <w:sz w:val="24"/>
          <w:highlight w:val="none"/>
          <w:lang w:val="zh-CN"/>
        </w:rPr>
        <w:t>供应商名称(电子签章)：</w:t>
      </w:r>
    </w:p>
    <w:p w14:paraId="4742C57F">
      <w:pPr>
        <w:snapToGrid w:val="0"/>
        <w:spacing w:line="360" w:lineRule="auto"/>
        <w:ind w:firstLine="5160" w:firstLineChars="2150"/>
        <w:rPr>
          <w:rFonts w:hint="eastAsia" w:ascii="仿宋" w:hAnsi="仿宋" w:eastAsia="仿宋" w:cs="仿宋"/>
          <w:b/>
          <w:bCs/>
          <w:sz w:val="32"/>
          <w:szCs w:val="32"/>
          <w:highlight w:val="none"/>
        </w:rPr>
      </w:pPr>
      <w:r>
        <w:rPr>
          <w:rFonts w:hint="eastAsia" w:ascii="仿宋" w:hAnsi="仿宋" w:eastAsia="仿宋" w:cs="仿宋"/>
          <w:kern w:val="0"/>
          <w:sz w:val="24"/>
          <w:highlight w:val="none"/>
          <w:lang w:val="zh-CN"/>
        </w:rPr>
        <w:t>日期：  年  月   日</w:t>
      </w:r>
    </w:p>
    <w:p w14:paraId="29DE974D">
      <w:pPr>
        <w:snapToGrid w:val="0"/>
        <w:spacing w:line="360" w:lineRule="auto"/>
        <w:ind w:firstLine="4935" w:firstLineChars="2350"/>
        <w:rPr>
          <w:rFonts w:hint="eastAsia" w:ascii="仿宋" w:hAnsi="仿宋" w:eastAsia="仿宋" w:cs="仿宋"/>
          <w:szCs w:val="21"/>
          <w:highlight w:val="none"/>
        </w:rPr>
      </w:pPr>
    </w:p>
    <w:p w14:paraId="0C87268B">
      <w:pPr>
        <w:snapToGrid w:val="0"/>
        <w:spacing w:line="360" w:lineRule="auto"/>
        <w:ind w:firstLine="4935" w:firstLineChars="2350"/>
        <w:rPr>
          <w:rFonts w:hint="eastAsia" w:ascii="仿宋" w:hAnsi="仿宋" w:eastAsia="仿宋" w:cs="仿宋"/>
          <w:szCs w:val="21"/>
          <w:highlight w:val="none"/>
        </w:rPr>
      </w:pPr>
    </w:p>
    <w:p w14:paraId="3D2EABF7">
      <w:pPr>
        <w:snapToGrid w:val="0"/>
        <w:spacing w:before="169" w:beforeLines="50" w:after="50"/>
        <w:jc w:val="center"/>
        <w:rPr>
          <w:rFonts w:hint="eastAsia" w:ascii="仿宋" w:hAnsi="仿宋" w:eastAsia="仿宋" w:cs="仿宋"/>
          <w:b/>
          <w:bCs/>
          <w:sz w:val="30"/>
          <w:szCs w:val="30"/>
          <w:highlight w:val="none"/>
        </w:rPr>
      </w:pPr>
      <w:r>
        <w:rPr>
          <w:rFonts w:hint="eastAsia" w:ascii="仿宋" w:hAnsi="仿宋" w:eastAsia="仿宋" w:cs="仿宋"/>
          <w:b/>
          <w:bCs/>
          <w:sz w:val="30"/>
          <w:szCs w:val="30"/>
          <w:highlight w:val="none"/>
        </w:rPr>
        <w:t>三、售后服务承诺</w:t>
      </w:r>
    </w:p>
    <w:p w14:paraId="6DFDBC81">
      <w:pPr>
        <w:autoSpaceDE w:val="0"/>
        <w:autoSpaceDN w:val="0"/>
        <w:spacing w:line="360" w:lineRule="auto"/>
        <w:jc w:val="center"/>
        <w:rPr>
          <w:rFonts w:hint="eastAsia" w:ascii="仿宋" w:hAnsi="仿宋" w:eastAsia="仿宋" w:cs="仿宋"/>
          <w:b/>
          <w:bCs/>
          <w:sz w:val="30"/>
          <w:szCs w:val="30"/>
          <w:highlight w:val="none"/>
        </w:rPr>
      </w:pPr>
      <w:r>
        <w:rPr>
          <w:rFonts w:hint="eastAsia" w:ascii="仿宋" w:hAnsi="仿宋" w:eastAsia="仿宋" w:cs="仿宋"/>
          <w:sz w:val="24"/>
          <w:highlight w:val="none"/>
        </w:rPr>
        <w:t>（由竞标供应商根据采购需求及采购文件要求编制）</w:t>
      </w:r>
    </w:p>
    <w:p w14:paraId="500C1D9E">
      <w:pPr>
        <w:snapToGrid w:val="0"/>
        <w:spacing w:before="169" w:beforeLines="50" w:line="360" w:lineRule="auto"/>
        <w:ind w:right="480" w:firstLine="3967" w:firstLineChars="1653"/>
        <w:rPr>
          <w:rFonts w:hint="eastAsia" w:ascii="仿宋" w:hAnsi="仿宋" w:eastAsia="仿宋" w:cs="仿宋"/>
          <w:sz w:val="24"/>
          <w:highlight w:val="none"/>
        </w:rPr>
      </w:pPr>
    </w:p>
    <w:p w14:paraId="7D5E24D9">
      <w:pPr>
        <w:snapToGrid w:val="0"/>
        <w:spacing w:line="360" w:lineRule="auto"/>
        <w:ind w:firstLine="4320" w:firstLineChars="1800"/>
        <w:rPr>
          <w:rFonts w:hint="eastAsia" w:ascii="仿宋" w:hAnsi="仿宋" w:eastAsia="仿宋" w:cs="仿宋"/>
          <w:kern w:val="0"/>
          <w:sz w:val="24"/>
          <w:highlight w:val="none"/>
        </w:rPr>
      </w:pPr>
      <w:r>
        <w:rPr>
          <w:rFonts w:hint="eastAsia" w:ascii="仿宋" w:hAnsi="仿宋" w:eastAsia="仿宋" w:cs="仿宋"/>
          <w:kern w:val="0"/>
          <w:sz w:val="24"/>
          <w:highlight w:val="none"/>
          <w:lang w:val="zh-CN"/>
        </w:rPr>
        <w:t>供应商名称(电子签章)：</w:t>
      </w:r>
    </w:p>
    <w:p w14:paraId="3883AACE">
      <w:pPr>
        <w:snapToGrid w:val="0"/>
        <w:spacing w:line="360" w:lineRule="auto"/>
        <w:ind w:firstLine="5160" w:firstLineChars="215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日期：  年  月   日</w:t>
      </w:r>
    </w:p>
    <w:p w14:paraId="172936E3">
      <w:pPr>
        <w:snapToGrid w:val="0"/>
        <w:spacing w:before="169" w:beforeLines="50" w:after="50"/>
        <w:ind w:left="142"/>
        <w:jc w:val="center"/>
        <w:rPr>
          <w:rFonts w:hint="eastAsia" w:ascii="仿宋" w:hAnsi="仿宋" w:eastAsia="仿宋" w:cs="仿宋"/>
          <w:b/>
          <w:sz w:val="32"/>
          <w:szCs w:val="32"/>
          <w:highlight w:val="none"/>
        </w:rPr>
      </w:pPr>
    </w:p>
    <w:p w14:paraId="08C1D51A">
      <w:pPr>
        <w:snapToGrid w:val="0"/>
        <w:spacing w:before="169" w:beforeLines="50" w:after="50"/>
        <w:ind w:left="142"/>
        <w:jc w:val="center"/>
        <w:rPr>
          <w:rFonts w:hint="eastAsia" w:ascii="仿宋" w:hAnsi="仿宋" w:eastAsia="仿宋" w:cs="仿宋"/>
          <w:b/>
          <w:sz w:val="32"/>
          <w:szCs w:val="32"/>
          <w:highlight w:val="none"/>
        </w:rPr>
      </w:pPr>
      <w:r>
        <w:rPr>
          <w:rFonts w:hint="eastAsia" w:ascii="仿宋" w:hAnsi="仿宋" w:eastAsia="仿宋" w:cs="仿宋"/>
          <w:b/>
          <w:sz w:val="32"/>
          <w:szCs w:val="32"/>
          <w:highlight w:val="none"/>
        </w:rPr>
        <w:t>四、对应采购需求的服务需求、商务条款提供的其他文件资料</w:t>
      </w:r>
    </w:p>
    <w:p w14:paraId="2FC0D31E">
      <w:pPr>
        <w:autoSpaceDE w:val="0"/>
        <w:autoSpaceDN w:val="0"/>
        <w:spacing w:line="360" w:lineRule="auto"/>
        <w:jc w:val="center"/>
        <w:rPr>
          <w:rFonts w:hint="eastAsia" w:ascii="仿宋" w:hAnsi="仿宋" w:eastAsia="仿宋" w:cs="仿宋"/>
          <w:b/>
          <w:bCs/>
          <w:sz w:val="30"/>
          <w:szCs w:val="30"/>
          <w:highlight w:val="none"/>
        </w:rPr>
      </w:pPr>
      <w:r>
        <w:rPr>
          <w:rFonts w:hint="eastAsia" w:ascii="仿宋" w:hAnsi="仿宋" w:eastAsia="仿宋" w:cs="仿宋"/>
          <w:sz w:val="24"/>
          <w:highlight w:val="none"/>
        </w:rPr>
        <w:t>（由竞标供应商根据采购需求及采购文件要求编制）</w:t>
      </w:r>
    </w:p>
    <w:p w14:paraId="64F797C8">
      <w:pPr>
        <w:snapToGrid w:val="0"/>
        <w:spacing w:line="360" w:lineRule="auto"/>
        <w:ind w:firstLine="4320" w:firstLineChars="1800"/>
        <w:rPr>
          <w:rFonts w:hint="eastAsia" w:ascii="仿宋" w:hAnsi="仿宋" w:eastAsia="仿宋" w:cs="仿宋"/>
          <w:kern w:val="0"/>
          <w:sz w:val="24"/>
          <w:highlight w:val="none"/>
          <w:lang w:val="zh-CN"/>
        </w:rPr>
      </w:pPr>
    </w:p>
    <w:p w14:paraId="29CFF9FD">
      <w:pPr>
        <w:snapToGrid w:val="0"/>
        <w:spacing w:line="360" w:lineRule="auto"/>
        <w:ind w:firstLine="4320" w:firstLineChars="1800"/>
        <w:rPr>
          <w:rFonts w:hint="eastAsia" w:ascii="仿宋" w:hAnsi="仿宋" w:eastAsia="仿宋" w:cs="仿宋"/>
          <w:kern w:val="0"/>
          <w:sz w:val="24"/>
          <w:highlight w:val="none"/>
        </w:rPr>
      </w:pPr>
      <w:r>
        <w:rPr>
          <w:rFonts w:hint="eastAsia" w:ascii="仿宋" w:hAnsi="仿宋" w:eastAsia="仿宋" w:cs="仿宋"/>
          <w:kern w:val="0"/>
          <w:sz w:val="24"/>
          <w:highlight w:val="none"/>
          <w:lang w:val="zh-CN"/>
        </w:rPr>
        <w:t>供应商名称(电子签章)：</w:t>
      </w:r>
    </w:p>
    <w:p w14:paraId="180059EA">
      <w:pPr>
        <w:autoSpaceDE w:val="0"/>
        <w:autoSpaceDN w:val="0"/>
        <w:spacing w:line="360" w:lineRule="auto"/>
        <w:jc w:val="right"/>
        <w:rPr>
          <w:rFonts w:hint="eastAsia" w:ascii="仿宋" w:hAnsi="仿宋" w:eastAsia="仿宋" w:cs="仿宋"/>
          <w:kern w:val="0"/>
          <w:sz w:val="24"/>
          <w:highlight w:val="none"/>
        </w:rPr>
      </w:pPr>
      <w:r>
        <w:rPr>
          <w:rFonts w:hint="eastAsia" w:ascii="仿宋" w:hAnsi="仿宋" w:eastAsia="仿宋" w:cs="仿宋"/>
          <w:kern w:val="0"/>
          <w:sz w:val="24"/>
          <w:highlight w:val="none"/>
          <w:lang w:val="zh-CN"/>
        </w:rPr>
        <w:t>日期：  年  月   日</w:t>
      </w:r>
    </w:p>
    <w:p w14:paraId="57CBF087">
      <w:pPr>
        <w:snapToGrid w:val="0"/>
        <w:spacing w:before="169" w:beforeLines="50" w:after="50"/>
        <w:ind w:left="142"/>
        <w:jc w:val="center"/>
        <w:rPr>
          <w:rFonts w:hint="eastAsia" w:ascii="仿宋" w:hAnsi="仿宋" w:eastAsia="仿宋" w:cs="仿宋"/>
          <w:b/>
          <w:sz w:val="24"/>
          <w:highlight w:val="none"/>
        </w:rPr>
      </w:pPr>
    </w:p>
    <w:p w14:paraId="1B02E334">
      <w:pPr>
        <w:snapToGrid w:val="0"/>
        <w:spacing w:before="169" w:beforeLines="50" w:after="50"/>
        <w:ind w:left="142"/>
        <w:jc w:val="center"/>
        <w:rPr>
          <w:rFonts w:hint="eastAsia" w:ascii="仿宋" w:hAnsi="仿宋" w:eastAsia="仿宋" w:cs="仿宋"/>
          <w:b/>
          <w:sz w:val="32"/>
          <w:szCs w:val="32"/>
          <w:highlight w:val="none"/>
        </w:rPr>
      </w:pPr>
      <w:r>
        <w:rPr>
          <w:rFonts w:hint="eastAsia" w:ascii="仿宋" w:hAnsi="仿宋" w:eastAsia="仿宋" w:cs="仿宋"/>
          <w:b/>
          <w:sz w:val="32"/>
          <w:szCs w:val="32"/>
          <w:highlight w:val="none"/>
        </w:rPr>
        <w:t>五、除采购文件规定必须提供以外，竞标供应商需要说明的其他文件和说明（格式自拟）</w:t>
      </w:r>
    </w:p>
    <w:p w14:paraId="146EAB6E">
      <w:pPr>
        <w:spacing w:line="360" w:lineRule="auto"/>
        <w:ind w:firstLine="4048" w:firstLineChars="1687"/>
        <w:rPr>
          <w:rFonts w:hint="eastAsia" w:ascii="仿宋" w:hAnsi="仿宋" w:eastAsia="仿宋" w:cs="仿宋"/>
          <w:szCs w:val="21"/>
          <w:highlight w:val="none"/>
        </w:rPr>
      </w:pPr>
      <w:r>
        <w:rPr>
          <w:rFonts w:hint="eastAsia" w:ascii="仿宋" w:hAnsi="仿宋" w:eastAsia="仿宋" w:cs="仿宋"/>
          <w:sz w:val="24"/>
          <w:highlight w:val="none"/>
        </w:rPr>
        <w:t>（格式自拟）</w:t>
      </w:r>
    </w:p>
    <w:p w14:paraId="481EEA93">
      <w:pPr>
        <w:snapToGrid w:val="0"/>
        <w:spacing w:line="360" w:lineRule="auto"/>
        <w:ind w:firstLine="4935" w:firstLineChars="2350"/>
        <w:rPr>
          <w:rFonts w:hint="eastAsia" w:ascii="仿宋" w:hAnsi="仿宋" w:eastAsia="仿宋" w:cs="仿宋"/>
          <w:szCs w:val="21"/>
          <w:highlight w:val="none"/>
        </w:rPr>
      </w:pPr>
    </w:p>
    <w:p w14:paraId="56B488E8">
      <w:pPr>
        <w:snapToGrid w:val="0"/>
        <w:spacing w:line="360" w:lineRule="auto"/>
        <w:ind w:firstLine="4320" w:firstLineChars="1800"/>
        <w:rPr>
          <w:rFonts w:hint="eastAsia" w:ascii="仿宋" w:hAnsi="仿宋" w:eastAsia="仿宋" w:cs="仿宋"/>
          <w:kern w:val="0"/>
          <w:sz w:val="24"/>
          <w:highlight w:val="none"/>
        </w:rPr>
      </w:pPr>
      <w:r>
        <w:rPr>
          <w:rFonts w:hint="eastAsia" w:ascii="仿宋" w:hAnsi="仿宋" w:eastAsia="仿宋" w:cs="仿宋"/>
          <w:kern w:val="0"/>
          <w:sz w:val="24"/>
          <w:highlight w:val="none"/>
          <w:lang w:val="zh-CN"/>
        </w:rPr>
        <w:t>供应商名称(电子签章)：</w:t>
      </w:r>
    </w:p>
    <w:p w14:paraId="5F691EEB">
      <w:pPr>
        <w:snapToGrid w:val="0"/>
        <w:spacing w:line="360" w:lineRule="auto"/>
        <w:ind w:firstLine="5160" w:firstLineChars="215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日期：  年  月   日</w:t>
      </w:r>
    </w:p>
    <w:p w14:paraId="1788361A">
      <w:pPr>
        <w:autoSpaceDE w:val="0"/>
        <w:autoSpaceDN w:val="0"/>
        <w:spacing w:line="360" w:lineRule="auto"/>
        <w:ind w:firstLine="120"/>
        <w:rPr>
          <w:rFonts w:hint="eastAsia" w:ascii="仿宋" w:hAnsi="仿宋" w:eastAsia="仿宋" w:cs="仿宋"/>
          <w:sz w:val="24"/>
          <w:highlight w:val="none"/>
        </w:rPr>
      </w:pPr>
    </w:p>
    <w:p w14:paraId="59C750FB">
      <w:pPr>
        <w:snapToGrid w:val="0"/>
        <w:spacing w:before="169" w:beforeLines="50" w:after="50"/>
        <w:ind w:left="142"/>
        <w:jc w:val="center"/>
        <w:rPr>
          <w:rFonts w:hint="eastAsia" w:ascii="仿宋" w:hAnsi="仿宋" w:eastAsia="仿宋" w:cs="仿宋"/>
          <w:b/>
          <w:sz w:val="32"/>
          <w:szCs w:val="32"/>
          <w:highlight w:val="none"/>
        </w:rPr>
      </w:pPr>
    </w:p>
    <w:p w14:paraId="74865ED2">
      <w:pPr>
        <w:snapToGrid w:val="0"/>
        <w:spacing w:before="169" w:beforeLines="50" w:after="50"/>
        <w:jc w:val="center"/>
        <w:rPr>
          <w:rFonts w:hint="eastAsia" w:ascii="仿宋" w:hAnsi="仿宋" w:eastAsia="仿宋" w:cs="仿宋"/>
          <w:b/>
          <w:bCs/>
          <w:sz w:val="24"/>
          <w:highlight w:val="none"/>
        </w:rPr>
        <w:sectPr>
          <w:pgSz w:w="11905" w:h="16838"/>
          <w:pgMar w:top="1304" w:right="1304" w:bottom="1304" w:left="1304" w:header="720" w:footer="720" w:gutter="0"/>
          <w:pgNumType w:fmt="decimal"/>
          <w:cols w:space="720" w:num="1"/>
          <w:docGrid w:type="lines" w:linePitch="339" w:charSpace="0"/>
        </w:sectPr>
      </w:pPr>
    </w:p>
    <w:p w14:paraId="167E6862">
      <w:pPr>
        <w:keepNext/>
        <w:keepLines/>
        <w:spacing w:before="260" w:after="260" w:line="416" w:lineRule="auto"/>
        <w:jc w:val="center"/>
        <w:outlineLvl w:val="1"/>
        <w:rPr>
          <w:rFonts w:hint="eastAsia" w:ascii="仿宋" w:hAnsi="仿宋" w:eastAsia="仿宋" w:cs="仿宋"/>
          <w:b/>
          <w:bCs/>
          <w:sz w:val="32"/>
          <w:szCs w:val="32"/>
          <w:highlight w:val="none"/>
        </w:rPr>
      </w:pPr>
      <w:bookmarkStart w:id="126" w:name="_Toc127516339"/>
      <w:bookmarkStart w:id="127" w:name="_Toc2947"/>
      <w:bookmarkStart w:id="128" w:name="_Toc80205941"/>
      <w:r>
        <w:rPr>
          <w:rFonts w:hint="eastAsia" w:ascii="仿宋" w:hAnsi="仿宋" w:eastAsia="仿宋" w:cs="仿宋"/>
          <w:b/>
          <w:bCs/>
          <w:sz w:val="32"/>
          <w:szCs w:val="32"/>
          <w:highlight w:val="none"/>
        </w:rPr>
        <w:t>第五节 报价文件格式</w:t>
      </w:r>
      <w:bookmarkEnd w:id="126"/>
      <w:bookmarkEnd w:id="127"/>
      <w:bookmarkEnd w:id="128"/>
    </w:p>
    <w:p w14:paraId="57F264C6">
      <w:pPr>
        <w:snapToGrid w:val="0"/>
        <w:spacing w:before="169" w:beforeLines="50" w:after="50"/>
        <w:rPr>
          <w:rFonts w:hint="eastAsia" w:ascii="仿宋" w:hAnsi="仿宋" w:eastAsia="仿宋" w:cs="仿宋"/>
          <w:bCs/>
          <w:sz w:val="32"/>
          <w:szCs w:val="20"/>
          <w:highlight w:val="none"/>
        </w:rPr>
      </w:pPr>
      <w:r>
        <w:rPr>
          <w:rFonts w:hint="eastAsia" w:ascii="仿宋" w:hAnsi="仿宋" w:eastAsia="仿宋" w:cs="仿宋"/>
          <w:bCs/>
          <w:highlight w:val="none"/>
        </w:rPr>
        <w:t>全流程电子文件</w:t>
      </w:r>
    </w:p>
    <w:p w14:paraId="5A65FE7C">
      <w:pPr>
        <w:snapToGrid w:val="0"/>
        <w:spacing w:before="169" w:beforeLines="50" w:after="50"/>
        <w:rPr>
          <w:rFonts w:hint="eastAsia" w:ascii="仿宋" w:hAnsi="仿宋" w:eastAsia="仿宋" w:cs="仿宋"/>
          <w:sz w:val="24"/>
          <w:szCs w:val="20"/>
          <w:highlight w:val="none"/>
        </w:rPr>
      </w:pPr>
    </w:p>
    <w:p w14:paraId="761BB1F0">
      <w:pPr>
        <w:snapToGrid w:val="0"/>
        <w:spacing w:before="169" w:beforeLines="50" w:after="50"/>
        <w:rPr>
          <w:rFonts w:hint="eastAsia" w:ascii="仿宋" w:hAnsi="仿宋" w:eastAsia="仿宋" w:cs="仿宋"/>
          <w:sz w:val="24"/>
          <w:szCs w:val="20"/>
          <w:highlight w:val="none"/>
        </w:rPr>
      </w:pPr>
    </w:p>
    <w:p w14:paraId="127B090C">
      <w:pPr>
        <w:snapToGrid w:val="0"/>
        <w:spacing w:before="169" w:beforeLines="50" w:after="50"/>
        <w:rPr>
          <w:rFonts w:hint="eastAsia" w:ascii="仿宋" w:hAnsi="仿宋" w:eastAsia="仿宋" w:cs="仿宋"/>
          <w:sz w:val="24"/>
          <w:szCs w:val="20"/>
          <w:highlight w:val="none"/>
        </w:rPr>
      </w:pPr>
    </w:p>
    <w:p w14:paraId="4BCA23F4">
      <w:pPr>
        <w:snapToGrid w:val="0"/>
        <w:spacing w:before="169" w:beforeLines="50" w:after="50"/>
        <w:jc w:val="center"/>
        <w:rPr>
          <w:rFonts w:hint="eastAsia" w:ascii="仿宋" w:hAnsi="仿宋" w:eastAsia="仿宋" w:cs="仿宋"/>
          <w:bCs/>
          <w:sz w:val="44"/>
          <w:szCs w:val="44"/>
          <w:highlight w:val="none"/>
        </w:rPr>
      </w:pPr>
      <w:r>
        <w:rPr>
          <w:rFonts w:hint="eastAsia" w:ascii="仿宋" w:hAnsi="仿宋" w:eastAsia="仿宋" w:cs="仿宋"/>
          <w:bCs/>
          <w:sz w:val="44"/>
          <w:szCs w:val="44"/>
          <w:highlight w:val="none"/>
        </w:rPr>
        <w:t>报价文件（封面）</w:t>
      </w:r>
    </w:p>
    <w:p w14:paraId="480EC392">
      <w:pPr>
        <w:snapToGrid w:val="0"/>
        <w:spacing w:before="169" w:beforeLines="50" w:after="50"/>
        <w:rPr>
          <w:rFonts w:hint="eastAsia" w:ascii="仿宋" w:hAnsi="仿宋" w:eastAsia="仿宋" w:cs="仿宋"/>
          <w:bCs/>
          <w:sz w:val="24"/>
          <w:szCs w:val="20"/>
          <w:highlight w:val="none"/>
        </w:rPr>
      </w:pPr>
    </w:p>
    <w:p w14:paraId="152FECBC">
      <w:pPr>
        <w:snapToGrid w:val="0"/>
        <w:spacing w:before="169" w:beforeLines="50" w:after="50"/>
        <w:rPr>
          <w:rFonts w:hint="eastAsia" w:ascii="仿宋" w:hAnsi="仿宋" w:eastAsia="仿宋" w:cs="仿宋"/>
          <w:bCs/>
          <w:sz w:val="24"/>
          <w:szCs w:val="20"/>
          <w:highlight w:val="none"/>
        </w:rPr>
      </w:pPr>
    </w:p>
    <w:p w14:paraId="36126180">
      <w:pPr>
        <w:snapToGrid w:val="0"/>
        <w:spacing w:before="169" w:beforeLines="50" w:after="50"/>
        <w:rPr>
          <w:rFonts w:hint="eastAsia" w:ascii="仿宋" w:hAnsi="仿宋" w:eastAsia="仿宋" w:cs="仿宋"/>
          <w:bCs/>
          <w:sz w:val="24"/>
          <w:szCs w:val="20"/>
          <w:highlight w:val="none"/>
        </w:rPr>
      </w:pPr>
    </w:p>
    <w:p w14:paraId="2198993E">
      <w:pPr>
        <w:snapToGrid w:val="0"/>
        <w:spacing w:before="169" w:beforeLines="50" w:after="50"/>
        <w:rPr>
          <w:rFonts w:hint="eastAsia" w:ascii="仿宋" w:hAnsi="仿宋" w:eastAsia="仿宋" w:cs="仿宋"/>
          <w:bCs/>
          <w:sz w:val="24"/>
          <w:szCs w:val="20"/>
          <w:highlight w:val="none"/>
        </w:rPr>
      </w:pPr>
    </w:p>
    <w:p w14:paraId="257F27F7">
      <w:pPr>
        <w:snapToGrid w:val="0"/>
        <w:spacing w:before="169" w:beforeLines="50" w:after="50"/>
        <w:rPr>
          <w:rFonts w:hint="eastAsia" w:ascii="仿宋" w:hAnsi="仿宋" w:eastAsia="仿宋" w:cs="仿宋"/>
          <w:bCs/>
          <w:sz w:val="24"/>
          <w:szCs w:val="20"/>
          <w:highlight w:val="none"/>
        </w:rPr>
      </w:pPr>
    </w:p>
    <w:p w14:paraId="6B20004E">
      <w:pPr>
        <w:snapToGrid w:val="0"/>
        <w:spacing w:before="169" w:beforeLines="50" w:after="50"/>
        <w:ind w:firstLine="640" w:firstLineChars="200"/>
        <w:rPr>
          <w:rFonts w:hint="eastAsia" w:ascii="仿宋" w:hAnsi="仿宋" w:eastAsia="仿宋" w:cs="仿宋"/>
          <w:bCs/>
          <w:sz w:val="32"/>
          <w:szCs w:val="32"/>
          <w:highlight w:val="none"/>
        </w:rPr>
      </w:pPr>
      <w:r>
        <w:rPr>
          <w:rFonts w:hint="eastAsia" w:ascii="仿宋" w:hAnsi="仿宋" w:eastAsia="仿宋" w:cs="仿宋"/>
          <w:bCs/>
          <w:sz w:val="32"/>
          <w:szCs w:val="32"/>
          <w:highlight w:val="none"/>
        </w:rPr>
        <w:t xml:space="preserve">项目名称： </w:t>
      </w:r>
    </w:p>
    <w:p w14:paraId="470A1BE7">
      <w:pPr>
        <w:snapToGrid w:val="0"/>
        <w:spacing w:before="169" w:beforeLines="50" w:after="50"/>
        <w:ind w:firstLine="720" w:firstLineChars="225"/>
        <w:rPr>
          <w:rFonts w:hint="eastAsia" w:ascii="仿宋" w:hAnsi="仿宋" w:eastAsia="仿宋" w:cs="仿宋"/>
          <w:bCs/>
          <w:sz w:val="32"/>
          <w:szCs w:val="32"/>
          <w:highlight w:val="none"/>
        </w:rPr>
      </w:pPr>
    </w:p>
    <w:p w14:paraId="0E089866">
      <w:pPr>
        <w:snapToGrid w:val="0"/>
        <w:spacing w:before="169" w:beforeLines="50" w:after="50"/>
        <w:ind w:firstLine="640" w:firstLineChars="200"/>
        <w:rPr>
          <w:rFonts w:hint="eastAsia" w:ascii="仿宋" w:hAnsi="仿宋" w:eastAsia="仿宋" w:cs="仿宋"/>
          <w:bCs/>
          <w:sz w:val="32"/>
          <w:szCs w:val="32"/>
          <w:highlight w:val="none"/>
        </w:rPr>
      </w:pPr>
      <w:r>
        <w:rPr>
          <w:rFonts w:hint="eastAsia" w:ascii="仿宋" w:hAnsi="仿宋" w:eastAsia="仿宋" w:cs="仿宋"/>
          <w:bCs/>
          <w:sz w:val="32"/>
          <w:szCs w:val="32"/>
          <w:highlight w:val="none"/>
        </w:rPr>
        <w:t xml:space="preserve">项目编号： </w:t>
      </w:r>
    </w:p>
    <w:p w14:paraId="64BD7554">
      <w:pPr>
        <w:snapToGrid w:val="0"/>
        <w:spacing w:before="169" w:beforeLines="50" w:after="50"/>
        <w:ind w:firstLine="720" w:firstLineChars="225"/>
        <w:rPr>
          <w:rFonts w:hint="eastAsia" w:ascii="仿宋" w:hAnsi="仿宋" w:eastAsia="仿宋" w:cs="仿宋"/>
          <w:bCs/>
          <w:sz w:val="32"/>
          <w:szCs w:val="32"/>
          <w:highlight w:val="none"/>
        </w:rPr>
      </w:pPr>
    </w:p>
    <w:p w14:paraId="57D2EC49">
      <w:pPr>
        <w:snapToGrid w:val="0"/>
        <w:spacing w:before="169" w:beforeLines="50" w:after="50"/>
        <w:ind w:firstLine="640" w:firstLineChars="200"/>
        <w:rPr>
          <w:rFonts w:hint="eastAsia" w:ascii="仿宋" w:hAnsi="仿宋" w:eastAsia="仿宋" w:cs="仿宋"/>
          <w:bCs/>
          <w:sz w:val="32"/>
          <w:szCs w:val="32"/>
          <w:highlight w:val="none"/>
        </w:rPr>
      </w:pPr>
      <w:r>
        <w:rPr>
          <w:rFonts w:hint="eastAsia" w:ascii="仿宋" w:hAnsi="仿宋" w:eastAsia="仿宋" w:cs="仿宋"/>
          <w:bCs/>
          <w:sz w:val="32"/>
          <w:szCs w:val="32"/>
          <w:highlight w:val="none"/>
        </w:rPr>
        <w:t>所竞分标（如有则填写，无分标时填写“无”或者留空）：</w:t>
      </w:r>
    </w:p>
    <w:p w14:paraId="2ABD3E3B">
      <w:pPr>
        <w:snapToGrid w:val="0"/>
        <w:spacing w:before="169" w:beforeLines="50" w:after="50"/>
        <w:ind w:firstLine="720" w:firstLineChars="225"/>
        <w:rPr>
          <w:rFonts w:hint="eastAsia" w:ascii="仿宋" w:hAnsi="仿宋" w:eastAsia="仿宋" w:cs="仿宋"/>
          <w:bCs/>
          <w:sz w:val="32"/>
          <w:szCs w:val="32"/>
          <w:highlight w:val="none"/>
        </w:rPr>
      </w:pPr>
    </w:p>
    <w:p w14:paraId="3FBDB709">
      <w:pPr>
        <w:snapToGrid w:val="0"/>
        <w:spacing w:before="50" w:after="50"/>
        <w:ind w:firstLine="640" w:firstLineChars="200"/>
        <w:rPr>
          <w:rFonts w:hint="eastAsia" w:ascii="仿宋" w:hAnsi="仿宋" w:eastAsia="仿宋" w:cs="仿宋"/>
          <w:bCs/>
          <w:sz w:val="32"/>
          <w:szCs w:val="32"/>
          <w:highlight w:val="none"/>
        </w:rPr>
      </w:pPr>
      <w:r>
        <w:rPr>
          <w:rFonts w:hint="eastAsia" w:ascii="仿宋" w:hAnsi="仿宋" w:eastAsia="仿宋" w:cs="仿宋"/>
          <w:bCs/>
          <w:sz w:val="32"/>
          <w:szCs w:val="32"/>
          <w:highlight w:val="none"/>
        </w:rPr>
        <w:t>供应商名称：</w:t>
      </w:r>
    </w:p>
    <w:p w14:paraId="4262A522">
      <w:pPr>
        <w:snapToGrid w:val="0"/>
        <w:spacing w:before="50" w:after="50"/>
        <w:ind w:firstLine="720" w:firstLineChars="225"/>
        <w:rPr>
          <w:rFonts w:hint="eastAsia" w:ascii="仿宋" w:hAnsi="仿宋" w:eastAsia="仿宋" w:cs="仿宋"/>
          <w:bCs/>
          <w:sz w:val="32"/>
          <w:szCs w:val="32"/>
          <w:highlight w:val="none"/>
        </w:rPr>
      </w:pPr>
    </w:p>
    <w:p w14:paraId="569549CB">
      <w:pPr>
        <w:snapToGrid w:val="0"/>
        <w:spacing w:before="50" w:after="50"/>
        <w:ind w:firstLine="720" w:firstLineChars="225"/>
        <w:rPr>
          <w:rFonts w:hint="eastAsia" w:ascii="仿宋" w:hAnsi="仿宋" w:eastAsia="仿宋" w:cs="仿宋"/>
          <w:bCs/>
          <w:sz w:val="32"/>
          <w:szCs w:val="32"/>
          <w:highlight w:val="none"/>
        </w:rPr>
      </w:pPr>
    </w:p>
    <w:p w14:paraId="44A09B0D">
      <w:pPr>
        <w:snapToGrid w:val="0"/>
        <w:spacing w:before="50" w:after="50"/>
        <w:ind w:firstLine="1280" w:firstLineChars="400"/>
        <w:rPr>
          <w:rFonts w:hint="eastAsia" w:ascii="仿宋" w:hAnsi="仿宋" w:eastAsia="仿宋" w:cs="仿宋"/>
          <w:bCs/>
          <w:sz w:val="32"/>
          <w:szCs w:val="32"/>
          <w:highlight w:val="none"/>
        </w:rPr>
      </w:pPr>
    </w:p>
    <w:p w14:paraId="3046932A">
      <w:pPr>
        <w:snapToGrid w:val="0"/>
        <w:spacing w:before="169" w:beforeLines="50" w:after="50"/>
        <w:jc w:val="center"/>
        <w:rPr>
          <w:rFonts w:hint="eastAsia" w:ascii="仿宋" w:hAnsi="仿宋" w:eastAsia="仿宋" w:cs="仿宋"/>
          <w:sz w:val="32"/>
          <w:szCs w:val="32"/>
          <w:highlight w:val="none"/>
        </w:rPr>
      </w:pPr>
      <w:r>
        <w:rPr>
          <w:rFonts w:hint="eastAsia" w:ascii="仿宋" w:hAnsi="仿宋" w:eastAsia="仿宋" w:cs="仿宋"/>
          <w:sz w:val="32"/>
          <w:szCs w:val="32"/>
          <w:highlight w:val="none"/>
        </w:rPr>
        <w:t>年    月    日</w:t>
      </w:r>
    </w:p>
    <w:p w14:paraId="1F0D4E40">
      <w:pPr>
        <w:snapToGrid w:val="0"/>
        <w:spacing w:before="169" w:beforeLines="50" w:after="50" w:line="400" w:lineRule="exact"/>
        <w:jc w:val="center"/>
        <w:rPr>
          <w:rFonts w:hint="eastAsia" w:ascii="仿宋" w:hAnsi="仿宋" w:eastAsia="仿宋" w:cs="仿宋"/>
          <w:b/>
          <w:bCs/>
          <w:sz w:val="32"/>
          <w:szCs w:val="32"/>
          <w:highlight w:val="none"/>
        </w:rPr>
      </w:pPr>
      <w:r>
        <w:rPr>
          <w:rFonts w:hint="eastAsia" w:ascii="仿宋" w:hAnsi="仿宋" w:eastAsia="仿宋" w:cs="仿宋"/>
          <w:sz w:val="24"/>
          <w:highlight w:val="none"/>
        </w:rPr>
        <w:br w:type="page"/>
      </w:r>
      <w:r>
        <w:rPr>
          <w:rFonts w:hint="eastAsia" w:ascii="仿宋" w:hAnsi="仿宋" w:eastAsia="仿宋" w:cs="仿宋"/>
          <w:b/>
          <w:bCs/>
          <w:sz w:val="32"/>
          <w:szCs w:val="32"/>
          <w:highlight w:val="none"/>
        </w:rPr>
        <w:t>报价文件目录</w:t>
      </w:r>
    </w:p>
    <w:p w14:paraId="1A0F9DE2">
      <w:pPr>
        <w:rPr>
          <w:rFonts w:hint="eastAsia" w:ascii="仿宋" w:hAnsi="仿宋" w:eastAsia="仿宋" w:cs="仿宋"/>
          <w:highlight w:val="none"/>
        </w:rPr>
      </w:pPr>
    </w:p>
    <w:p w14:paraId="22111676">
      <w:pPr>
        <w:rPr>
          <w:rFonts w:hint="eastAsia" w:ascii="仿宋" w:hAnsi="仿宋" w:eastAsia="仿宋" w:cs="仿宋"/>
          <w:kern w:val="0"/>
          <w:sz w:val="24"/>
          <w:highlight w:val="none"/>
        </w:rPr>
      </w:pPr>
      <w:r>
        <w:rPr>
          <w:rFonts w:hint="eastAsia" w:ascii="仿宋" w:hAnsi="仿宋" w:eastAsia="仿宋" w:cs="仿宋"/>
          <w:kern w:val="0"/>
          <w:sz w:val="24"/>
          <w:highlight w:val="none"/>
        </w:rPr>
        <w:t>一、响应函………………………………………………………（页码）</w:t>
      </w:r>
    </w:p>
    <w:p w14:paraId="1BA47FF1">
      <w:pPr>
        <w:rPr>
          <w:rFonts w:hint="eastAsia" w:ascii="仿宋" w:hAnsi="仿宋" w:eastAsia="仿宋" w:cs="仿宋"/>
          <w:kern w:val="0"/>
          <w:sz w:val="24"/>
          <w:highlight w:val="none"/>
        </w:rPr>
      </w:pPr>
      <w:r>
        <w:rPr>
          <w:rFonts w:hint="eastAsia" w:ascii="仿宋" w:hAnsi="仿宋" w:eastAsia="仿宋" w:cs="仿宋"/>
          <w:kern w:val="0"/>
          <w:sz w:val="24"/>
          <w:highlight w:val="none"/>
        </w:rPr>
        <w:t>二、响应报价表…………………………………………………（页码）</w:t>
      </w:r>
    </w:p>
    <w:p w14:paraId="4272E4DC">
      <w:pPr>
        <w:spacing w:line="360" w:lineRule="auto"/>
        <w:rPr>
          <w:rFonts w:hint="eastAsia" w:ascii="仿宋" w:hAnsi="仿宋" w:eastAsia="仿宋" w:cs="仿宋"/>
          <w:sz w:val="24"/>
          <w:highlight w:val="none"/>
        </w:rPr>
      </w:pPr>
      <w:r>
        <w:rPr>
          <w:rFonts w:hint="eastAsia" w:ascii="仿宋" w:hAnsi="仿宋" w:eastAsia="仿宋" w:cs="仿宋"/>
          <w:kern w:val="0"/>
          <w:sz w:val="24"/>
          <w:highlight w:val="none"/>
        </w:rPr>
        <w:t>三、中小企业声明函……………………………………………（页码）</w:t>
      </w:r>
    </w:p>
    <w:p w14:paraId="4F236866">
      <w:pPr>
        <w:snapToGrid w:val="0"/>
        <w:spacing w:before="169" w:beforeLines="50" w:after="50" w:line="360" w:lineRule="auto"/>
        <w:ind w:left="142" w:firstLine="640" w:firstLineChars="200"/>
        <w:jc w:val="left"/>
        <w:rPr>
          <w:rFonts w:hint="eastAsia" w:ascii="仿宋" w:hAnsi="仿宋" w:eastAsia="仿宋" w:cs="仿宋"/>
          <w:sz w:val="32"/>
          <w:szCs w:val="32"/>
          <w:highlight w:val="none"/>
        </w:rPr>
      </w:pPr>
    </w:p>
    <w:p w14:paraId="6F3B5D55">
      <w:pPr>
        <w:snapToGrid w:val="0"/>
        <w:spacing w:before="169" w:beforeLines="50" w:after="50" w:line="360" w:lineRule="auto"/>
        <w:ind w:left="142"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br w:type="page"/>
      </w:r>
      <w:r>
        <w:rPr>
          <w:rFonts w:hint="eastAsia" w:ascii="仿宋" w:hAnsi="仿宋" w:eastAsia="仿宋" w:cs="仿宋"/>
          <w:b/>
          <w:bCs/>
          <w:sz w:val="32"/>
          <w:szCs w:val="32"/>
          <w:highlight w:val="none"/>
        </w:rPr>
        <w:t>一、响应函</w:t>
      </w:r>
    </w:p>
    <w:p w14:paraId="5A037351">
      <w:pPr>
        <w:spacing w:line="500" w:lineRule="exact"/>
        <w:jc w:val="center"/>
        <w:rPr>
          <w:rFonts w:hint="eastAsia" w:ascii="仿宋" w:hAnsi="仿宋" w:eastAsia="仿宋" w:cs="仿宋"/>
          <w:b/>
          <w:bCs/>
          <w:kern w:val="0"/>
          <w:sz w:val="30"/>
          <w:szCs w:val="30"/>
          <w:highlight w:val="none"/>
        </w:rPr>
      </w:pPr>
      <w:r>
        <w:rPr>
          <w:rFonts w:hint="eastAsia" w:ascii="仿宋" w:hAnsi="仿宋" w:eastAsia="仿宋" w:cs="仿宋"/>
          <w:b/>
          <w:bCs/>
          <w:kern w:val="0"/>
          <w:sz w:val="30"/>
          <w:szCs w:val="30"/>
          <w:highlight w:val="none"/>
        </w:rPr>
        <w:t>响应函</w:t>
      </w:r>
    </w:p>
    <w:p w14:paraId="32EA8B8C">
      <w:pPr>
        <w:spacing w:line="400" w:lineRule="exact"/>
        <w:rPr>
          <w:rFonts w:hint="eastAsia" w:ascii="仿宋" w:hAnsi="仿宋" w:eastAsia="仿宋" w:cs="仿宋"/>
          <w:kern w:val="0"/>
          <w:sz w:val="24"/>
          <w:highlight w:val="none"/>
        </w:rPr>
      </w:pPr>
      <w:r>
        <w:rPr>
          <w:rFonts w:hint="eastAsia" w:ascii="仿宋" w:hAnsi="仿宋" w:eastAsia="仿宋" w:cs="仿宋"/>
          <w:kern w:val="0"/>
          <w:sz w:val="24"/>
          <w:highlight w:val="none"/>
        </w:rPr>
        <w:t>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u w:val="single"/>
          <w:lang w:eastAsia="zh-CN"/>
        </w:rPr>
        <w:t>采购代理机构</w:t>
      </w:r>
      <w:r>
        <w:rPr>
          <w:rFonts w:hint="eastAsia" w:ascii="仿宋" w:hAnsi="仿宋" w:eastAsia="仿宋" w:cs="仿宋"/>
          <w:kern w:val="0"/>
          <w:sz w:val="24"/>
          <w:highlight w:val="none"/>
          <w:u w:val="single"/>
        </w:rPr>
        <w:t>）</w:t>
      </w:r>
    </w:p>
    <w:p w14:paraId="66C2253B">
      <w:pPr>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我方已仔细阅读了贵方组织的</w:t>
      </w:r>
      <w:r>
        <w:rPr>
          <w:rFonts w:hint="eastAsia" w:ascii="仿宋" w:hAnsi="仿宋" w:eastAsia="仿宋" w:cs="仿宋"/>
          <w:kern w:val="0"/>
          <w:sz w:val="24"/>
          <w:highlight w:val="none"/>
          <w:u w:val="single"/>
        </w:rPr>
        <w:t xml:space="preserve"> 项目名称：    （项目编号：   ）</w:t>
      </w:r>
      <w:r>
        <w:rPr>
          <w:rFonts w:hint="eastAsia" w:ascii="仿宋" w:hAnsi="仿宋" w:eastAsia="仿宋" w:cs="仿宋"/>
          <w:kern w:val="0"/>
          <w:sz w:val="24"/>
          <w:highlight w:val="none"/>
        </w:rPr>
        <w:t xml:space="preserve">的竞争性磋商采购文件的全部内容，现正式递交下述文件参加贵方组织的本次政府采购活动： </w:t>
      </w:r>
    </w:p>
    <w:p w14:paraId="17BF5625">
      <w:pPr>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一、首次报价文件电子版份（包含按“第三章 供应商须知”提交的全部文件）；</w:t>
      </w:r>
    </w:p>
    <w:p w14:paraId="426588F4">
      <w:pPr>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二、资格证明文件电子版份（包含按“第三章 供应商须知”提交的全部文件）；商务技术文件电子版份（包含按“第三章 供应商须知”提交的全部文件）；（商务技术文件已合并装订成册）</w:t>
      </w:r>
    </w:p>
    <w:p w14:paraId="7C420EF9">
      <w:pPr>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据此函，签字人兹宣布：</w:t>
      </w:r>
    </w:p>
    <w:p w14:paraId="54CEEF6B">
      <w:pPr>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1、我方愿意以（大写）</w:t>
      </w:r>
      <w:r>
        <w:rPr>
          <w:rFonts w:hint="eastAsia" w:ascii="仿宋" w:hAnsi="仿宋" w:eastAsia="仿宋" w:cs="仿宋"/>
          <w:kern w:val="0"/>
          <w:sz w:val="24"/>
          <w:highlight w:val="none"/>
          <w:u w:val="single"/>
        </w:rPr>
        <w:t>人民币   （¥       元)</w:t>
      </w:r>
      <w:r>
        <w:rPr>
          <w:rFonts w:hint="eastAsia" w:ascii="仿宋" w:hAnsi="仿宋" w:eastAsia="仿宋" w:cs="仿宋"/>
          <w:kern w:val="0"/>
          <w:sz w:val="24"/>
          <w:highlight w:val="none"/>
        </w:rPr>
        <w:t>的竞标总报价，提供服务期（无分标时填写）：</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，提供本项目竞争性磋商采购文件第二章“服务需求一览表”中相应的采购内容。</w:t>
      </w:r>
    </w:p>
    <w:p w14:paraId="7AB44F8A">
      <w:pPr>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其中（有分标时填写）：</w:t>
      </w:r>
    </w:p>
    <w:p w14:paraId="0106A161">
      <w:pPr>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分标报价为（大写）人民币    (¥    元)，服务期：    ；</w:t>
      </w:r>
    </w:p>
    <w:p w14:paraId="7E60A1D3">
      <w:pPr>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分标报价为（大写）人民币    (¥    元)，服务期：    ；</w:t>
      </w:r>
    </w:p>
    <w:p w14:paraId="26D3D36E">
      <w:pPr>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w:t>
      </w:r>
    </w:p>
    <w:p w14:paraId="07B280B2">
      <w:pPr>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2、我方同意自本项目竞争性磋商采购文件采购公告规定的递交响应文件截止时间起遵循本响应函，并承诺在“第三章 供应商须知”规定的响应有效期内不修改、撤销响应文件。</w:t>
      </w:r>
    </w:p>
    <w:p w14:paraId="2B634974">
      <w:pPr>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3、我方在此声明，所递交的响应文件及有关资料内容完整、真实和准确。</w:t>
      </w:r>
    </w:p>
    <w:p w14:paraId="105A6F2C">
      <w:pPr>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4、如本项目采购内容涉及须符合国家强制规定的，我方承诺我方本次竞标均符合国家有关强制规定。</w:t>
      </w:r>
    </w:p>
    <w:p w14:paraId="2569E084">
      <w:pPr>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5、如我方成交，我方承诺在收到成交通知书后，在成交通知书规定的期限内，根据竞争性磋商采购文件、我方的响应文件及有关澄清承诺书的要求按第六章“合同文本”与采购人订立书面合同，并按照合同约定承担完成合同的责任和义务。</w:t>
      </w:r>
    </w:p>
    <w:p w14:paraId="30773233">
      <w:pPr>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6、我方已详细审核竞争性磋商采购文件，我方知道必须放弃提出含糊不清或误解问题的权利。</w:t>
      </w:r>
    </w:p>
    <w:p w14:paraId="747A4ED0">
      <w:pPr>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7、我方承诺满足竞争性磋商采购文件第六章“合同文本”的条款，承担完成合同的责任和义务。</w:t>
      </w:r>
    </w:p>
    <w:p w14:paraId="0659826E">
      <w:pPr>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8、我方同意应贵方要求提供与本竞标有关的任何数据或资料。若贵方需要，我方愿意提供我方作出的一切承诺的证明材料。</w:t>
      </w:r>
    </w:p>
    <w:p w14:paraId="56706C3B">
      <w:pPr>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9、我方完全理解贵方不一定接受响应报价最低的竞标人为成交供应商的行为。</w:t>
      </w:r>
    </w:p>
    <w:p w14:paraId="2AA1DD90">
      <w:pPr>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10、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3EE95935">
      <w:pPr>
        <w:tabs>
          <w:tab w:val="left" w:pos="945"/>
        </w:tabs>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（1）提供虚假材料谋取中标、成交的；</w:t>
      </w:r>
    </w:p>
    <w:p w14:paraId="6F826B32">
      <w:pPr>
        <w:tabs>
          <w:tab w:val="left" w:pos="945"/>
        </w:tabs>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（2）采取不正当手段诋毁、排挤其他供应商的；</w:t>
      </w:r>
    </w:p>
    <w:p w14:paraId="09D0E305">
      <w:pPr>
        <w:tabs>
          <w:tab w:val="left" w:pos="945"/>
        </w:tabs>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（3）与采购人、其他供应商或者采购代理机构恶意串通的；</w:t>
      </w:r>
    </w:p>
    <w:p w14:paraId="64AC1C16">
      <w:pPr>
        <w:tabs>
          <w:tab w:val="left" w:pos="945"/>
        </w:tabs>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（4）向采购人、采购代理机构行贿或者提供其他不正当利益的；</w:t>
      </w:r>
    </w:p>
    <w:p w14:paraId="2F672430">
      <w:pPr>
        <w:tabs>
          <w:tab w:val="left" w:pos="945"/>
        </w:tabs>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（5）在采购过程中与采购人进行协商谈判的；</w:t>
      </w:r>
    </w:p>
    <w:p w14:paraId="2C13DFBD">
      <w:pPr>
        <w:tabs>
          <w:tab w:val="left" w:pos="945"/>
        </w:tabs>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（6）拒绝有关部门监督检查或提供虚假情况的。</w:t>
      </w:r>
    </w:p>
    <w:p w14:paraId="37E4C230">
      <w:pPr>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11、与本磋商有关的一切正式往来信函请寄：</w:t>
      </w:r>
    </w:p>
    <w:p w14:paraId="208CF962">
      <w:pPr>
        <w:spacing w:line="400" w:lineRule="exact"/>
        <w:ind w:firstLine="480" w:firstLineChars="200"/>
        <w:rPr>
          <w:rFonts w:hint="default" w:ascii="仿宋" w:hAnsi="仿宋" w:eastAsia="仿宋" w:cs="仿宋"/>
          <w:kern w:val="0"/>
          <w:sz w:val="24"/>
          <w:highlight w:val="none"/>
          <w:lang w:val="en-US" w:eastAsia="zh-CN"/>
        </w:rPr>
      </w:pPr>
      <w:r>
        <w:rPr>
          <w:rFonts w:hint="eastAsia" w:ascii="仿宋" w:hAnsi="仿宋" w:eastAsia="仿宋" w:cs="仿宋"/>
          <w:kern w:val="0"/>
          <w:sz w:val="24"/>
          <w:highlight w:val="none"/>
        </w:rPr>
        <w:t>地址：</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u w:val="single"/>
          <w:lang w:val="en-US" w:eastAsia="zh-CN"/>
        </w:rPr>
        <w:t xml:space="preserve">    </w:t>
      </w:r>
    </w:p>
    <w:p w14:paraId="035BE755">
      <w:pPr>
        <w:spacing w:line="400" w:lineRule="exact"/>
        <w:ind w:firstLine="480" w:firstLineChars="200"/>
        <w:rPr>
          <w:rFonts w:hint="eastAsia" w:ascii="仿宋" w:hAnsi="仿宋" w:eastAsia="仿宋" w:cs="仿宋"/>
          <w:kern w:val="0"/>
          <w:sz w:val="24"/>
          <w:highlight w:val="none"/>
          <w:u w:val="single"/>
        </w:rPr>
      </w:pPr>
      <w:r>
        <w:rPr>
          <w:rFonts w:hint="eastAsia" w:ascii="仿宋" w:hAnsi="仿宋" w:eastAsia="仿宋" w:cs="仿宋"/>
          <w:kern w:val="0"/>
          <w:sz w:val="24"/>
          <w:highlight w:val="none"/>
        </w:rPr>
        <w:t>电话：</w:t>
      </w:r>
      <w:r>
        <w:rPr>
          <w:rFonts w:hint="eastAsia" w:ascii="仿宋" w:hAnsi="仿宋" w:eastAsia="仿宋" w:cs="仿宋"/>
          <w:kern w:val="0"/>
          <w:sz w:val="24"/>
          <w:highlight w:val="none"/>
          <w:u w:val="single"/>
        </w:rPr>
        <w:t xml:space="preserve">                                      　　　　　　　　　</w:t>
      </w:r>
    </w:p>
    <w:p w14:paraId="3C62E67B">
      <w:pPr>
        <w:spacing w:line="400" w:lineRule="exact"/>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传真：</w:t>
      </w:r>
      <w:r>
        <w:rPr>
          <w:rFonts w:hint="eastAsia" w:ascii="仿宋" w:hAnsi="仿宋" w:eastAsia="仿宋" w:cs="仿宋"/>
          <w:kern w:val="0"/>
          <w:sz w:val="24"/>
          <w:highlight w:val="none"/>
          <w:u w:val="single"/>
        </w:rPr>
        <w:t>　　　　　　　　　　　　　　　　　　　　　　　　　　　　</w:t>
      </w:r>
    </w:p>
    <w:p w14:paraId="6BF6B0B5">
      <w:pPr>
        <w:spacing w:line="400" w:lineRule="exact"/>
        <w:ind w:firstLine="480" w:firstLineChars="200"/>
        <w:rPr>
          <w:rFonts w:hint="eastAsia" w:ascii="仿宋" w:hAnsi="仿宋" w:eastAsia="仿宋" w:cs="仿宋"/>
          <w:kern w:val="0"/>
          <w:sz w:val="24"/>
          <w:highlight w:val="none"/>
          <w:u w:val="single"/>
        </w:rPr>
      </w:pPr>
      <w:r>
        <w:rPr>
          <w:rFonts w:hint="eastAsia" w:ascii="仿宋" w:hAnsi="仿宋" w:eastAsia="仿宋" w:cs="仿宋"/>
          <w:kern w:val="0"/>
          <w:sz w:val="24"/>
          <w:highlight w:val="none"/>
        </w:rPr>
        <w:t>邮政编码：</w:t>
      </w:r>
      <w:r>
        <w:rPr>
          <w:rFonts w:hint="eastAsia" w:ascii="仿宋" w:hAnsi="仿宋" w:eastAsia="仿宋" w:cs="仿宋"/>
          <w:kern w:val="0"/>
          <w:sz w:val="24"/>
          <w:highlight w:val="none"/>
          <w:u w:val="single"/>
        </w:rPr>
        <w:t xml:space="preserve">                                      　　　　　　　</w:t>
      </w:r>
    </w:p>
    <w:p w14:paraId="11E2BD0D">
      <w:pPr>
        <w:spacing w:line="400" w:lineRule="exact"/>
        <w:ind w:firstLine="480" w:firstLineChars="200"/>
        <w:rPr>
          <w:rFonts w:hint="eastAsia" w:ascii="仿宋" w:hAnsi="仿宋" w:eastAsia="仿宋" w:cs="仿宋"/>
          <w:kern w:val="0"/>
          <w:sz w:val="24"/>
          <w:highlight w:val="none"/>
          <w:u w:val="single"/>
        </w:rPr>
      </w:pPr>
      <w:r>
        <w:rPr>
          <w:rFonts w:hint="eastAsia" w:ascii="仿宋" w:hAnsi="仿宋" w:eastAsia="仿宋" w:cs="仿宋"/>
          <w:kern w:val="0"/>
          <w:sz w:val="24"/>
          <w:highlight w:val="none"/>
        </w:rPr>
        <w:t>开户名称：</w:t>
      </w:r>
      <w:r>
        <w:rPr>
          <w:rFonts w:hint="eastAsia" w:ascii="仿宋" w:hAnsi="仿宋" w:eastAsia="仿宋" w:cs="仿宋"/>
          <w:kern w:val="0"/>
          <w:sz w:val="24"/>
          <w:highlight w:val="none"/>
          <w:u w:val="single"/>
        </w:rPr>
        <w:t xml:space="preserve">                                      　　　　　　　</w:t>
      </w:r>
    </w:p>
    <w:p w14:paraId="4A175B8D">
      <w:pPr>
        <w:spacing w:line="400" w:lineRule="exact"/>
        <w:ind w:firstLine="480" w:firstLineChars="200"/>
        <w:rPr>
          <w:rFonts w:hint="eastAsia" w:ascii="仿宋" w:hAnsi="仿宋" w:eastAsia="仿宋" w:cs="仿宋"/>
          <w:kern w:val="0"/>
          <w:sz w:val="24"/>
          <w:highlight w:val="none"/>
          <w:u w:val="single"/>
        </w:rPr>
      </w:pPr>
      <w:r>
        <w:rPr>
          <w:rFonts w:hint="eastAsia" w:ascii="仿宋" w:hAnsi="仿宋" w:eastAsia="仿宋" w:cs="仿宋"/>
          <w:kern w:val="0"/>
          <w:sz w:val="24"/>
          <w:highlight w:val="none"/>
        </w:rPr>
        <w:t>开户银行：</w:t>
      </w:r>
      <w:r>
        <w:rPr>
          <w:rFonts w:hint="eastAsia" w:ascii="仿宋" w:hAnsi="仿宋" w:eastAsia="仿宋" w:cs="仿宋"/>
          <w:kern w:val="0"/>
          <w:sz w:val="24"/>
          <w:highlight w:val="none"/>
          <w:u w:val="single"/>
        </w:rPr>
        <w:t xml:space="preserve">                                      　　　　　　　</w:t>
      </w:r>
    </w:p>
    <w:p w14:paraId="36874FFA">
      <w:pPr>
        <w:spacing w:line="400" w:lineRule="exact"/>
        <w:ind w:firstLine="480" w:firstLineChars="200"/>
        <w:rPr>
          <w:rFonts w:hint="eastAsia" w:ascii="仿宋" w:hAnsi="仿宋" w:eastAsia="仿宋" w:cs="仿宋"/>
          <w:kern w:val="0"/>
          <w:sz w:val="24"/>
          <w:highlight w:val="none"/>
          <w:u w:val="single"/>
        </w:rPr>
      </w:pPr>
      <w:r>
        <w:rPr>
          <w:rFonts w:hint="eastAsia" w:ascii="仿宋" w:hAnsi="仿宋" w:eastAsia="仿宋" w:cs="仿宋"/>
          <w:kern w:val="0"/>
          <w:sz w:val="24"/>
          <w:highlight w:val="none"/>
        </w:rPr>
        <w:t>银行账号：</w:t>
      </w:r>
      <w:r>
        <w:rPr>
          <w:rFonts w:hint="eastAsia" w:ascii="仿宋" w:hAnsi="仿宋" w:eastAsia="仿宋" w:cs="仿宋"/>
          <w:kern w:val="0"/>
          <w:sz w:val="24"/>
          <w:highlight w:val="none"/>
          <w:u w:val="single"/>
        </w:rPr>
        <w:t xml:space="preserve">                                      　　　　　　　</w:t>
      </w:r>
    </w:p>
    <w:p w14:paraId="29E42710">
      <w:pPr>
        <w:spacing w:line="40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特此承诺。</w:t>
      </w:r>
    </w:p>
    <w:p w14:paraId="5B93B352">
      <w:pPr>
        <w:spacing w:line="400" w:lineRule="exact"/>
        <w:contextualSpacing/>
        <w:jc w:val="left"/>
        <w:rPr>
          <w:rFonts w:hint="eastAsia" w:ascii="仿宋" w:hAnsi="仿宋" w:eastAsia="仿宋" w:cs="仿宋"/>
          <w:sz w:val="24"/>
          <w:highlight w:val="none"/>
        </w:rPr>
      </w:pPr>
    </w:p>
    <w:p w14:paraId="3C6FF164">
      <w:pPr>
        <w:autoSpaceDE w:val="0"/>
        <w:autoSpaceDN w:val="0"/>
        <w:spacing w:line="400" w:lineRule="exact"/>
        <w:ind w:firstLine="6000" w:firstLineChars="2500"/>
        <w:rPr>
          <w:rFonts w:hint="eastAsia" w:ascii="仿宋" w:hAnsi="仿宋" w:eastAsia="仿宋" w:cs="仿宋"/>
          <w:kern w:val="0"/>
          <w:sz w:val="24"/>
          <w:highlight w:val="none"/>
        </w:rPr>
      </w:pPr>
      <w:r>
        <w:rPr>
          <w:rFonts w:hint="eastAsia" w:ascii="仿宋" w:hAnsi="仿宋" w:eastAsia="仿宋" w:cs="仿宋"/>
          <w:kern w:val="0"/>
          <w:sz w:val="24"/>
          <w:highlight w:val="none"/>
        </w:rPr>
        <w:t>供应商名称（电子签章）：</w:t>
      </w:r>
    </w:p>
    <w:p w14:paraId="448741A9">
      <w:pPr>
        <w:autoSpaceDE w:val="0"/>
        <w:autoSpaceDN w:val="0"/>
        <w:spacing w:line="400" w:lineRule="exact"/>
        <w:ind w:firstLine="6480" w:firstLineChars="2700"/>
        <w:rPr>
          <w:rFonts w:hint="eastAsia" w:ascii="仿宋" w:hAnsi="仿宋" w:eastAsia="仿宋" w:cs="仿宋"/>
          <w:kern w:val="0"/>
          <w:sz w:val="24"/>
          <w:highlight w:val="none"/>
          <w:lang w:val="zh-CN"/>
        </w:rPr>
        <w:sectPr>
          <w:pgSz w:w="11905" w:h="16838"/>
          <w:pgMar w:top="1304" w:right="1304" w:bottom="1304" w:left="1304" w:header="720" w:footer="720" w:gutter="0"/>
          <w:pgNumType w:fmt="decimal"/>
          <w:cols w:space="720" w:num="1"/>
          <w:docGrid w:type="lines" w:linePitch="339" w:charSpace="0"/>
        </w:sectPr>
      </w:pPr>
      <w:r>
        <w:rPr>
          <w:rFonts w:hint="eastAsia" w:ascii="仿宋" w:hAnsi="仿宋" w:eastAsia="仿宋" w:cs="仿宋"/>
          <w:kern w:val="0"/>
          <w:sz w:val="24"/>
          <w:highlight w:val="none"/>
          <w:lang w:val="zh-CN"/>
        </w:rPr>
        <w:t>日期：  年  月   日</w:t>
      </w:r>
    </w:p>
    <w:p w14:paraId="62DF0E48">
      <w:pPr>
        <w:numPr>
          <w:ilvl w:val="0"/>
          <w:numId w:val="3"/>
        </w:numPr>
        <w:spacing w:line="520" w:lineRule="exact"/>
        <w:ind w:firstLine="643" w:firstLineChars="200"/>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响应报价表</w:t>
      </w:r>
    </w:p>
    <w:p w14:paraId="7ECE523F">
      <w:pPr>
        <w:rPr>
          <w:rFonts w:hint="eastAsia" w:ascii="仿宋" w:hAnsi="仿宋" w:eastAsia="仿宋" w:cs="仿宋"/>
          <w:kern w:val="0"/>
          <w:sz w:val="32"/>
          <w:szCs w:val="20"/>
          <w:highlight w:val="none"/>
        </w:rPr>
      </w:pPr>
    </w:p>
    <w:p w14:paraId="40A3B495">
      <w:pPr>
        <w:snapToGrid w:val="0"/>
        <w:spacing w:before="50" w:after="50" w:line="360" w:lineRule="auto"/>
        <w:rPr>
          <w:rFonts w:hint="eastAsia" w:ascii="仿宋" w:hAnsi="仿宋" w:eastAsia="仿宋" w:cs="仿宋"/>
          <w:sz w:val="24"/>
          <w:highlight w:val="none"/>
          <w:u w:val="single"/>
        </w:rPr>
      </w:pPr>
      <w:r>
        <w:rPr>
          <w:rFonts w:hint="eastAsia" w:ascii="仿宋" w:hAnsi="仿宋" w:eastAsia="仿宋" w:cs="仿宋"/>
          <w:sz w:val="24"/>
          <w:highlight w:val="none"/>
        </w:rPr>
        <w:t>项目名称：              编号：         分标：</w:t>
      </w:r>
    </w:p>
    <w:p w14:paraId="19C9AF6B">
      <w:pPr>
        <w:snapToGrid w:val="0"/>
        <w:spacing w:before="50" w:after="50" w:line="360" w:lineRule="auto"/>
        <w:rPr>
          <w:rFonts w:hint="eastAsia" w:ascii="仿宋" w:hAnsi="仿宋" w:eastAsia="仿宋" w:cs="仿宋"/>
          <w:sz w:val="24"/>
          <w:highlight w:val="none"/>
          <w:u w:val="single"/>
        </w:rPr>
      </w:pPr>
      <w:r>
        <w:rPr>
          <w:rFonts w:hint="eastAsia" w:ascii="仿宋" w:hAnsi="仿宋" w:eastAsia="仿宋" w:cs="仿宋"/>
          <w:sz w:val="24"/>
          <w:highlight w:val="none"/>
        </w:rPr>
        <w:t>供应商名称：</w:t>
      </w:r>
    </w:p>
    <w:tbl>
      <w:tblPr>
        <w:tblStyle w:val="31"/>
        <w:tblW w:w="98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2064"/>
        <w:gridCol w:w="1080"/>
        <w:gridCol w:w="1260"/>
        <w:gridCol w:w="1516"/>
        <w:gridCol w:w="957"/>
        <w:gridCol w:w="957"/>
      </w:tblGrid>
      <w:tr w14:paraId="6DA2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33" w:hRule="atLeast"/>
        </w:trPr>
        <w:tc>
          <w:tcPr>
            <w:tcW w:w="719" w:type="dxa"/>
            <w:tcBorders>
              <w:top w:val="single" w:color="auto" w:sz="4" w:space="0"/>
              <w:left w:val="single" w:color="auto" w:sz="4" w:space="0"/>
              <w:bottom w:val="single" w:color="auto" w:sz="4" w:space="0"/>
              <w:right w:val="single" w:color="auto" w:sz="4" w:space="0"/>
            </w:tcBorders>
            <w:vAlign w:val="center"/>
          </w:tcPr>
          <w:p w14:paraId="1F90D2E2">
            <w:pPr>
              <w:keepNext w:val="0"/>
              <w:keepLines w:val="0"/>
              <w:suppressLineNumbers w:val="0"/>
              <w:spacing w:before="0" w:beforeAutospacing="0" w:after="0" w:afterAutospacing="0"/>
              <w:ind w:left="0" w:right="0"/>
              <w:jc w:val="center"/>
              <w:rPr>
                <w:rFonts w:hint="eastAsia" w:ascii="仿宋" w:hAnsi="仿宋" w:eastAsia="仿宋" w:cs="仿宋"/>
                <w:szCs w:val="22"/>
                <w:highlight w:val="none"/>
              </w:rPr>
            </w:pPr>
            <w:r>
              <w:rPr>
                <w:rFonts w:hint="eastAsia" w:ascii="仿宋" w:hAnsi="仿宋" w:eastAsia="仿宋" w:cs="仿宋"/>
                <w:szCs w:val="22"/>
                <w:highlight w:val="none"/>
              </w:rPr>
              <w:t>序号</w:t>
            </w:r>
          </w:p>
        </w:tc>
        <w:tc>
          <w:tcPr>
            <w:tcW w:w="1260" w:type="dxa"/>
            <w:tcBorders>
              <w:top w:val="single" w:color="auto" w:sz="4" w:space="0"/>
              <w:left w:val="single" w:color="auto" w:sz="4" w:space="0"/>
              <w:bottom w:val="single" w:color="auto" w:sz="4" w:space="0"/>
              <w:right w:val="single" w:color="auto" w:sz="4" w:space="0"/>
            </w:tcBorders>
            <w:vAlign w:val="center"/>
          </w:tcPr>
          <w:p w14:paraId="28F5A0FC">
            <w:pPr>
              <w:keepNext w:val="0"/>
              <w:keepLines w:val="0"/>
              <w:suppressLineNumbers w:val="0"/>
              <w:spacing w:before="0" w:beforeAutospacing="0" w:after="0" w:afterAutospacing="0"/>
              <w:ind w:left="0" w:right="0"/>
              <w:jc w:val="center"/>
              <w:rPr>
                <w:rFonts w:hint="eastAsia" w:ascii="仿宋" w:hAnsi="仿宋" w:eastAsia="仿宋" w:cs="仿宋"/>
                <w:szCs w:val="22"/>
                <w:highlight w:val="none"/>
              </w:rPr>
            </w:pPr>
            <w:r>
              <w:rPr>
                <w:rFonts w:hint="eastAsia" w:ascii="仿宋" w:hAnsi="仿宋" w:eastAsia="仿宋" w:cs="仿宋"/>
                <w:szCs w:val="22"/>
                <w:highlight w:val="none"/>
              </w:rPr>
              <w:t>服务名称</w:t>
            </w:r>
          </w:p>
        </w:tc>
        <w:tc>
          <w:tcPr>
            <w:tcW w:w="2064" w:type="dxa"/>
            <w:tcBorders>
              <w:top w:val="single" w:color="auto" w:sz="4" w:space="0"/>
              <w:left w:val="single" w:color="auto" w:sz="4" w:space="0"/>
              <w:bottom w:val="single" w:color="auto" w:sz="4" w:space="0"/>
              <w:right w:val="single" w:color="auto" w:sz="4" w:space="0"/>
            </w:tcBorders>
            <w:vAlign w:val="center"/>
          </w:tcPr>
          <w:p w14:paraId="1583D3BB">
            <w:pPr>
              <w:keepNext w:val="0"/>
              <w:keepLines w:val="0"/>
              <w:suppressLineNumbers w:val="0"/>
              <w:spacing w:before="0" w:beforeAutospacing="0" w:after="0" w:afterAutospacing="0"/>
              <w:ind w:left="0" w:right="0"/>
              <w:jc w:val="center"/>
              <w:rPr>
                <w:rFonts w:hint="eastAsia" w:ascii="仿宋" w:hAnsi="仿宋" w:eastAsia="仿宋" w:cs="仿宋"/>
                <w:szCs w:val="22"/>
                <w:highlight w:val="none"/>
              </w:rPr>
            </w:pPr>
            <w:r>
              <w:rPr>
                <w:rFonts w:hint="eastAsia" w:ascii="仿宋" w:hAnsi="仿宋" w:eastAsia="仿宋" w:cs="仿宋"/>
                <w:szCs w:val="22"/>
                <w:highlight w:val="none"/>
              </w:rPr>
              <w:t>具体服务内容</w:t>
            </w:r>
          </w:p>
        </w:tc>
        <w:tc>
          <w:tcPr>
            <w:tcW w:w="1080" w:type="dxa"/>
            <w:tcBorders>
              <w:top w:val="single" w:color="auto" w:sz="4" w:space="0"/>
              <w:left w:val="single" w:color="auto" w:sz="4" w:space="0"/>
              <w:bottom w:val="single" w:color="auto" w:sz="4" w:space="0"/>
              <w:right w:val="single" w:color="auto" w:sz="4" w:space="0"/>
            </w:tcBorders>
            <w:vAlign w:val="center"/>
          </w:tcPr>
          <w:p w14:paraId="3FFD24FA">
            <w:pPr>
              <w:keepNext w:val="0"/>
              <w:keepLines w:val="0"/>
              <w:suppressLineNumbers w:val="0"/>
              <w:spacing w:before="0" w:beforeAutospacing="0" w:after="0" w:afterAutospacing="0"/>
              <w:ind w:left="0" w:right="0"/>
              <w:jc w:val="center"/>
              <w:rPr>
                <w:rFonts w:hint="eastAsia" w:ascii="仿宋" w:hAnsi="仿宋" w:eastAsia="仿宋" w:cs="仿宋"/>
                <w:szCs w:val="22"/>
                <w:highlight w:val="none"/>
              </w:rPr>
            </w:pPr>
            <w:r>
              <w:rPr>
                <w:rFonts w:hint="eastAsia" w:ascii="仿宋" w:hAnsi="仿宋" w:eastAsia="仿宋" w:cs="仿宋"/>
                <w:szCs w:val="22"/>
                <w:highlight w:val="none"/>
              </w:rPr>
              <w:t>数量①</w:t>
            </w:r>
          </w:p>
        </w:tc>
        <w:tc>
          <w:tcPr>
            <w:tcW w:w="1260" w:type="dxa"/>
            <w:tcBorders>
              <w:top w:val="single" w:color="auto" w:sz="4" w:space="0"/>
              <w:left w:val="single" w:color="auto" w:sz="4" w:space="0"/>
              <w:bottom w:val="single" w:color="auto" w:sz="4" w:space="0"/>
              <w:right w:val="single" w:color="auto" w:sz="4" w:space="0"/>
            </w:tcBorders>
            <w:vAlign w:val="center"/>
          </w:tcPr>
          <w:p w14:paraId="3DAE1CF1">
            <w:pPr>
              <w:keepNext w:val="0"/>
              <w:keepLines w:val="0"/>
              <w:suppressLineNumbers w:val="0"/>
              <w:spacing w:before="0" w:beforeAutospacing="0" w:after="0" w:afterAutospacing="0"/>
              <w:ind w:left="0" w:right="0"/>
              <w:jc w:val="center"/>
              <w:rPr>
                <w:rFonts w:hint="eastAsia" w:ascii="仿宋" w:hAnsi="仿宋" w:eastAsia="仿宋" w:cs="仿宋"/>
                <w:szCs w:val="22"/>
                <w:highlight w:val="none"/>
              </w:rPr>
            </w:pPr>
            <w:r>
              <w:rPr>
                <w:rFonts w:hint="eastAsia" w:ascii="仿宋" w:hAnsi="仿宋" w:eastAsia="仿宋" w:cs="仿宋"/>
                <w:szCs w:val="22"/>
                <w:highlight w:val="none"/>
              </w:rPr>
              <w:t>单价(元)②</w:t>
            </w:r>
          </w:p>
        </w:tc>
        <w:tc>
          <w:tcPr>
            <w:tcW w:w="1516" w:type="dxa"/>
            <w:tcBorders>
              <w:top w:val="single" w:color="auto" w:sz="4" w:space="0"/>
              <w:left w:val="single" w:color="auto" w:sz="4" w:space="0"/>
              <w:bottom w:val="single" w:color="auto" w:sz="4" w:space="0"/>
              <w:right w:val="single" w:color="auto" w:sz="4" w:space="0"/>
            </w:tcBorders>
            <w:vAlign w:val="center"/>
          </w:tcPr>
          <w:p w14:paraId="2B57C501">
            <w:pPr>
              <w:keepNext w:val="0"/>
              <w:keepLines w:val="0"/>
              <w:suppressLineNumbers w:val="0"/>
              <w:spacing w:before="0" w:beforeAutospacing="0" w:after="0" w:afterAutospacing="0"/>
              <w:ind w:left="0" w:right="0"/>
              <w:jc w:val="center"/>
              <w:rPr>
                <w:rFonts w:hint="eastAsia" w:ascii="仿宋" w:hAnsi="仿宋" w:eastAsia="仿宋" w:cs="仿宋"/>
                <w:szCs w:val="22"/>
                <w:highlight w:val="none"/>
              </w:rPr>
            </w:pPr>
            <w:r>
              <w:rPr>
                <w:rFonts w:hint="eastAsia" w:ascii="仿宋" w:hAnsi="仿宋" w:eastAsia="仿宋" w:cs="仿宋"/>
                <w:szCs w:val="22"/>
                <w:highlight w:val="none"/>
              </w:rPr>
              <w:t>单项合价（元）</w:t>
            </w:r>
          </w:p>
          <w:p w14:paraId="75D54DFE">
            <w:pPr>
              <w:keepNext w:val="0"/>
              <w:keepLines w:val="0"/>
              <w:suppressLineNumbers w:val="0"/>
              <w:spacing w:before="0" w:beforeAutospacing="0" w:after="0" w:afterAutospacing="0"/>
              <w:ind w:left="0" w:right="0"/>
              <w:jc w:val="center"/>
              <w:rPr>
                <w:rFonts w:hint="eastAsia" w:ascii="仿宋" w:hAnsi="仿宋" w:eastAsia="仿宋" w:cs="仿宋"/>
                <w:szCs w:val="22"/>
                <w:highlight w:val="none"/>
              </w:rPr>
            </w:pPr>
            <w:r>
              <w:rPr>
                <w:rFonts w:hint="eastAsia" w:ascii="仿宋" w:hAnsi="仿宋" w:eastAsia="仿宋" w:cs="仿宋"/>
                <w:szCs w:val="22"/>
                <w:highlight w:val="none"/>
              </w:rPr>
              <w:t>③＝①×②</w:t>
            </w:r>
          </w:p>
        </w:tc>
        <w:tc>
          <w:tcPr>
            <w:tcW w:w="957" w:type="dxa"/>
            <w:tcBorders>
              <w:top w:val="single" w:color="auto" w:sz="4" w:space="0"/>
              <w:left w:val="single" w:color="auto" w:sz="4" w:space="0"/>
              <w:bottom w:val="single" w:color="auto" w:sz="4" w:space="0"/>
              <w:right w:val="single" w:color="auto" w:sz="4" w:space="0"/>
            </w:tcBorders>
          </w:tcPr>
          <w:p w14:paraId="652288F6">
            <w:pPr>
              <w:keepNext w:val="0"/>
              <w:keepLines w:val="0"/>
              <w:suppressLineNumbers w:val="0"/>
              <w:spacing w:before="0" w:beforeAutospacing="0" w:after="0" w:afterAutospacing="0" w:line="360" w:lineRule="auto"/>
              <w:ind w:left="0" w:right="0"/>
              <w:jc w:val="center"/>
              <w:rPr>
                <w:rFonts w:hint="eastAsia" w:ascii="仿宋" w:hAnsi="仿宋" w:eastAsia="仿宋" w:cs="仿宋"/>
                <w:szCs w:val="22"/>
                <w:highlight w:val="none"/>
              </w:rPr>
            </w:pPr>
            <w:r>
              <w:rPr>
                <w:rFonts w:hint="eastAsia" w:ascii="仿宋" w:hAnsi="仿宋" w:eastAsia="仿宋" w:cs="仿宋"/>
                <w:szCs w:val="22"/>
                <w:highlight w:val="none"/>
              </w:rPr>
              <w:t>服务要求（或服务期限）</w:t>
            </w:r>
          </w:p>
        </w:tc>
        <w:tc>
          <w:tcPr>
            <w:tcW w:w="957" w:type="dxa"/>
            <w:tcBorders>
              <w:top w:val="single" w:color="auto" w:sz="4" w:space="0"/>
              <w:left w:val="single" w:color="auto" w:sz="4" w:space="0"/>
              <w:bottom w:val="single" w:color="auto" w:sz="4" w:space="0"/>
              <w:right w:val="single" w:color="auto" w:sz="4" w:space="0"/>
            </w:tcBorders>
            <w:vAlign w:val="center"/>
          </w:tcPr>
          <w:p w14:paraId="303F7A81">
            <w:pPr>
              <w:keepNext w:val="0"/>
              <w:keepLines w:val="0"/>
              <w:suppressLineNumbers w:val="0"/>
              <w:spacing w:before="0" w:beforeAutospacing="0" w:after="0" w:afterAutospacing="0"/>
              <w:ind w:left="0" w:right="0"/>
              <w:jc w:val="center"/>
              <w:rPr>
                <w:rFonts w:hint="eastAsia" w:ascii="仿宋" w:hAnsi="仿宋" w:eastAsia="仿宋" w:cs="仿宋"/>
                <w:szCs w:val="22"/>
                <w:highlight w:val="none"/>
              </w:rPr>
            </w:pPr>
            <w:r>
              <w:rPr>
                <w:rFonts w:hint="eastAsia" w:ascii="仿宋" w:hAnsi="仿宋" w:eastAsia="仿宋" w:cs="仿宋"/>
                <w:szCs w:val="22"/>
                <w:highlight w:val="none"/>
              </w:rPr>
              <w:t>备注</w:t>
            </w:r>
          </w:p>
        </w:tc>
      </w:tr>
      <w:tr w14:paraId="20E1E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vAlign w:val="center"/>
          </w:tcPr>
          <w:p w14:paraId="4A51B0DA">
            <w:pPr>
              <w:keepNext w:val="0"/>
              <w:keepLines w:val="0"/>
              <w:suppressLineNumbers w:val="0"/>
              <w:spacing w:before="0" w:beforeAutospacing="0" w:after="0" w:afterAutospacing="0"/>
              <w:ind w:left="0" w:right="0"/>
              <w:rPr>
                <w:rFonts w:hint="eastAsia" w:ascii="仿宋" w:hAnsi="仿宋" w:eastAsia="仿宋" w:cs="仿宋"/>
                <w:szCs w:val="22"/>
                <w:highlight w:val="none"/>
              </w:rPr>
            </w:pPr>
            <w:r>
              <w:rPr>
                <w:rFonts w:hint="eastAsia" w:ascii="仿宋" w:hAnsi="仿宋" w:eastAsia="仿宋" w:cs="仿宋"/>
                <w:szCs w:val="22"/>
                <w:highlight w:val="none"/>
              </w:rPr>
              <w:t>1</w:t>
            </w:r>
          </w:p>
        </w:tc>
        <w:tc>
          <w:tcPr>
            <w:tcW w:w="1260" w:type="dxa"/>
            <w:tcBorders>
              <w:top w:val="single" w:color="auto" w:sz="4" w:space="0"/>
              <w:left w:val="single" w:color="auto" w:sz="4" w:space="0"/>
              <w:bottom w:val="single" w:color="auto" w:sz="4" w:space="0"/>
              <w:right w:val="single" w:color="auto" w:sz="4" w:space="0"/>
            </w:tcBorders>
            <w:vAlign w:val="center"/>
          </w:tcPr>
          <w:p w14:paraId="2E91CA5B">
            <w:pPr>
              <w:keepNext w:val="0"/>
              <w:keepLines w:val="0"/>
              <w:suppressLineNumbers w:val="0"/>
              <w:spacing w:before="0" w:beforeAutospacing="0" w:after="0" w:afterAutospacing="0"/>
              <w:ind w:left="0" w:right="0"/>
              <w:rPr>
                <w:rFonts w:hint="eastAsia" w:ascii="仿宋" w:hAnsi="仿宋" w:eastAsia="仿宋" w:cs="仿宋"/>
                <w:szCs w:val="22"/>
                <w:highlight w:val="none"/>
              </w:rPr>
            </w:pPr>
          </w:p>
        </w:tc>
        <w:tc>
          <w:tcPr>
            <w:tcW w:w="2064" w:type="dxa"/>
            <w:tcBorders>
              <w:top w:val="single" w:color="auto" w:sz="4" w:space="0"/>
              <w:left w:val="single" w:color="auto" w:sz="4" w:space="0"/>
              <w:bottom w:val="single" w:color="auto" w:sz="4" w:space="0"/>
              <w:right w:val="single" w:color="auto" w:sz="4" w:space="0"/>
            </w:tcBorders>
            <w:vAlign w:val="center"/>
          </w:tcPr>
          <w:p w14:paraId="55EC5446">
            <w:pPr>
              <w:keepNext w:val="0"/>
              <w:keepLines w:val="0"/>
              <w:suppressLineNumbers w:val="0"/>
              <w:spacing w:before="0" w:beforeAutospacing="0" w:after="0" w:afterAutospacing="0"/>
              <w:ind w:left="0" w:right="0"/>
              <w:rPr>
                <w:rFonts w:hint="eastAsia" w:ascii="仿宋" w:hAnsi="仿宋" w:eastAsia="仿宋" w:cs="仿宋"/>
                <w:szCs w:val="22"/>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508B2567">
            <w:pPr>
              <w:keepNext w:val="0"/>
              <w:keepLines w:val="0"/>
              <w:suppressLineNumbers w:val="0"/>
              <w:spacing w:before="0" w:beforeAutospacing="0" w:after="0" w:afterAutospacing="0"/>
              <w:ind w:left="0" w:right="0"/>
              <w:rPr>
                <w:rFonts w:hint="eastAsia" w:ascii="仿宋" w:hAnsi="仿宋" w:eastAsia="仿宋" w:cs="仿宋"/>
                <w:szCs w:val="22"/>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4DFD3078">
            <w:pPr>
              <w:keepNext w:val="0"/>
              <w:keepLines w:val="0"/>
              <w:suppressLineNumbers w:val="0"/>
              <w:spacing w:before="0" w:beforeAutospacing="0" w:after="0" w:afterAutospacing="0"/>
              <w:ind w:left="0" w:right="0"/>
              <w:rPr>
                <w:rFonts w:hint="eastAsia" w:ascii="仿宋" w:hAnsi="仿宋" w:eastAsia="仿宋" w:cs="仿宋"/>
                <w:szCs w:val="22"/>
                <w:highlight w:val="none"/>
              </w:rPr>
            </w:pPr>
          </w:p>
        </w:tc>
        <w:tc>
          <w:tcPr>
            <w:tcW w:w="1516" w:type="dxa"/>
            <w:tcBorders>
              <w:top w:val="single" w:color="auto" w:sz="4" w:space="0"/>
              <w:left w:val="single" w:color="auto" w:sz="4" w:space="0"/>
              <w:bottom w:val="single" w:color="auto" w:sz="4" w:space="0"/>
              <w:right w:val="single" w:color="auto" w:sz="4" w:space="0"/>
            </w:tcBorders>
            <w:vAlign w:val="center"/>
          </w:tcPr>
          <w:p w14:paraId="51C26869">
            <w:pPr>
              <w:keepNext w:val="0"/>
              <w:keepLines w:val="0"/>
              <w:suppressLineNumbers w:val="0"/>
              <w:spacing w:before="0" w:beforeAutospacing="0" w:after="0" w:afterAutospacing="0"/>
              <w:ind w:left="0" w:right="0"/>
              <w:rPr>
                <w:rFonts w:hint="eastAsia" w:ascii="仿宋" w:hAnsi="仿宋" w:eastAsia="仿宋" w:cs="仿宋"/>
                <w:szCs w:val="22"/>
                <w:highlight w:val="none"/>
              </w:rPr>
            </w:pPr>
          </w:p>
        </w:tc>
        <w:tc>
          <w:tcPr>
            <w:tcW w:w="957" w:type="dxa"/>
            <w:tcBorders>
              <w:top w:val="single" w:color="auto" w:sz="4" w:space="0"/>
              <w:left w:val="single" w:color="auto" w:sz="4" w:space="0"/>
              <w:bottom w:val="single" w:color="auto" w:sz="4" w:space="0"/>
              <w:right w:val="single" w:color="auto" w:sz="4" w:space="0"/>
            </w:tcBorders>
          </w:tcPr>
          <w:p w14:paraId="4DEBD52B">
            <w:pPr>
              <w:keepNext w:val="0"/>
              <w:keepLines w:val="0"/>
              <w:suppressLineNumbers w:val="0"/>
              <w:spacing w:before="0" w:beforeAutospacing="0" w:after="0" w:afterAutospacing="0"/>
              <w:ind w:left="0" w:right="0"/>
              <w:rPr>
                <w:rFonts w:hint="eastAsia" w:ascii="仿宋" w:hAnsi="仿宋" w:eastAsia="仿宋" w:cs="仿宋"/>
                <w:szCs w:val="22"/>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1C5D4BE0">
            <w:pPr>
              <w:keepNext w:val="0"/>
              <w:keepLines w:val="0"/>
              <w:suppressLineNumbers w:val="0"/>
              <w:spacing w:before="0" w:beforeAutospacing="0" w:after="0" w:afterAutospacing="0"/>
              <w:ind w:left="0" w:right="0"/>
              <w:rPr>
                <w:rFonts w:hint="eastAsia" w:ascii="仿宋" w:hAnsi="仿宋" w:eastAsia="仿宋" w:cs="仿宋"/>
                <w:szCs w:val="22"/>
                <w:highlight w:val="none"/>
              </w:rPr>
            </w:pPr>
          </w:p>
        </w:tc>
      </w:tr>
      <w:tr w14:paraId="68362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719" w:type="dxa"/>
            <w:tcBorders>
              <w:top w:val="single" w:color="auto" w:sz="4" w:space="0"/>
              <w:left w:val="single" w:color="auto" w:sz="4" w:space="0"/>
              <w:bottom w:val="single" w:color="auto" w:sz="4" w:space="0"/>
              <w:right w:val="single" w:color="auto" w:sz="4" w:space="0"/>
            </w:tcBorders>
            <w:vAlign w:val="center"/>
          </w:tcPr>
          <w:p w14:paraId="28A7E852">
            <w:pPr>
              <w:keepNext w:val="0"/>
              <w:keepLines w:val="0"/>
              <w:suppressLineNumbers w:val="0"/>
              <w:spacing w:before="0" w:beforeAutospacing="0" w:after="0" w:afterAutospacing="0"/>
              <w:ind w:left="0" w:right="0"/>
              <w:rPr>
                <w:rFonts w:hint="eastAsia" w:ascii="仿宋" w:hAnsi="仿宋" w:eastAsia="仿宋" w:cs="仿宋"/>
                <w:szCs w:val="22"/>
                <w:highlight w:val="none"/>
              </w:rPr>
            </w:pPr>
            <w:r>
              <w:rPr>
                <w:rFonts w:hint="eastAsia" w:ascii="仿宋" w:hAnsi="仿宋" w:eastAsia="仿宋" w:cs="仿宋"/>
                <w:szCs w:val="22"/>
                <w:highlight w:val="none"/>
              </w:rPr>
              <w:t>2</w:t>
            </w:r>
          </w:p>
        </w:tc>
        <w:tc>
          <w:tcPr>
            <w:tcW w:w="1260" w:type="dxa"/>
            <w:tcBorders>
              <w:top w:val="single" w:color="auto" w:sz="4" w:space="0"/>
              <w:left w:val="single" w:color="auto" w:sz="4" w:space="0"/>
              <w:bottom w:val="single" w:color="auto" w:sz="4" w:space="0"/>
              <w:right w:val="single" w:color="auto" w:sz="4" w:space="0"/>
            </w:tcBorders>
            <w:vAlign w:val="center"/>
          </w:tcPr>
          <w:p w14:paraId="6F456E77">
            <w:pPr>
              <w:keepNext w:val="0"/>
              <w:keepLines w:val="0"/>
              <w:suppressLineNumbers w:val="0"/>
              <w:spacing w:before="0" w:beforeAutospacing="0" w:after="0" w:afterAutospacing="0"/>
              <w:ind w:left="0" w:right="0"/>
              <w:rPr>
                <w:rFonts w:hint="eastAsia" w:ascii="仿宋" w:hAnsi="仿宋" w:eastAsia="仿宋" w:cs="仿宋"/>
                <w:szCs w:val="22"/>
                <w:highlight w:val="none"/>
              </w:rPr>
            </w:pPr>
          </w:p>
        </w:tc>
        <w:tc>
          <w:tcPr>
            <w:tcW w:w="2064" w:type="dxa"/>
            <w:tcBorders>
              <w:top w:val="single" w:color="auto" w:sz="4" w:space="0"/>
              <w:left w:val="single" w:color="auto" w:sz="4" w:space="0"/>
              <w:bottom w:val="single" w:color="auto" w:sz="4" w:space="0"/>
              <w:right w:val="single" w:color="auto" w:sz="4" w:space="0"/>
            </w:tcBorders>
            <w:vAlign w:val="center"/>
          </w:tcPr>
          <w:p w14:paraId="22BE55D2">
            <w:pPr>
              <w:keepNext w:val="0"/>
              <w:keepLines w:val="0"/>
              <w:suppressLineNumbers w:val="0"/>
              <w:spacing w:before="0" w:beforeAutospacing="0" w:after="0" w:afterAutospacing="0"/>
              <w:ind w:left="0" w:right="0"/>
              <w:rPr>
                <w:rFonts w:hint="eastAsia" w:ascii="仿宋" w:hAnsi="仿宋" w:eastAsia="仿宋" w:cs="仿宋"/>
                <w:szCs w:val="22"/>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76100F1B">
            <w:pPr>
              <w:keepNext w:val="0"/>
              <w:keepLines w:val="0"/>
              <w:suppressLineNumbers w:val="0"/>
              <w:spacing w:before="0" w:beforeAutospacing="0" w:after="0" w:afterAutospacing="0"/>
              <w:ind w:left="0" w:right="0"/>
              <w:rPr>
                <w:rFonts w:hint="eastAsia" w:ascii="仿宋" w:hAnsi="仿宋" w:eastAsia="仿宋" w:cs="仿宋"/>
                <w:szCs w:val="22"/>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643BF0CF">
            <w:pPr>
              <w:keepNext w:val="0"/>
              <w:keepLines w:val="0"/>
              <w:suppressLineNumbers w:val="0"/>
              <w:spacing w:before="0" w:beforeAutospacing="0" w:after="0" w:afterAutospacing="0"/>
              <w:ind w:left="0" w:right="0"/>
              <w:rPr>
                <w:rFonts w:hint="eastAsia" w:ascii="仿宋" w:hAnsi="仿宋" w:eastAsia="仿宋" w:cs="仿宋"/>
                <w:szCs w:val="22"/>
                <w:highlight w:val="none"/>
              </w:rPr>
            </w:pPr>
          </w:p>
        </w:tc>
        <w:tc>
          <w:tcPr>
            <w:tcW w:w="1516" w:type="dxa"/>
            <w:tcBorders>
              <w:top w:val="single" w:color="auto" w:sz="4" w:space="0"/>
              <w:left w:val="single" w:color="auto" w:sz="4" w:space="0"/>
              <w:bottom w:val="single" w:color="auto" w:sz="4" w:space="0"/>
              <w:right w:val="single" w:color="auto" w:sz="4" w:space="0"/>
            </w:tcBorders>
            <w:vAlign w:val="center"/>
          </w:tcPr>
          <w:p w14:paraId="2A27F3B4">
            <w:pPr>
              <w:keepNext w:val="0"/>
              <w:keepLines w:val="0"/>
              <w:suppressLineNumbers w:val="0"/>
              <w:spacing w:before="0" w:beforeAutospacing="0" w:after="0" w:afterAutospacing="0"/>
              <w:ind w:left="0" w:right="0"/>
              <w:rPr>
                <w:rFonts w:hint="eastAsia" w:ascii="仿宋" w:hAnsi="仿宋" w:eastAsia="仿宋" w:cs="仿宋"/>
                <w:szCs w:val="22"/>
                <w:highlight w:val="none"/>
              </w:rPr>
            </w:pPr>
          </w:p>
        </w:tc>
        <w:tc>
          <w:tcPr>
            <w:tcW w:w="957" w:type="dxa"/>
            <w:tcBorders>
              <w:top w:val="single" w:color="auto" w:sz="4" w:space="0"/>
              <w:left w:val="single" w:color="auto" w:sz="4" w:space="0"/>
              <w:bottom w:val="single" w:color="auto" w:sz="4" w:space="0"/>
              <w:right w:val="single" w:color="auto" w:sz="4" w:space="0"/>
            </w:tcBorders>
          </w:tcPr>
          <w:p w14:paraId="6807C1CB">
            <w:pPr>
              <w:keepNext w:val="0"/>
              <w:keepLines w:val="0"/>
              <w:suppressLineNumbers w:val="0"/>
              <w:spacing w:before="0" w:beforeAutospacing="0" w:after="0" w:afterAutospacing="0"/>
              <w:ind w:left="0" w:right="0"/>
              <w:rPr>
                <w:rFonts w:hint="eastAsia" w:ascii="仿宋" w:hAnsi="仿宋" w:eastAsia="仿宋" w:cs="仿宋"/>
                <w:szCs w:val="22"/>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72C81CF3">
            <w:pPr>
              <w:keepNext w:val="0"/>
              <w:keepLines w:val="0"/>
              <w:suppressLineNumbers w:val="0"/>
              <w:spacing w:before="0" w:beforeAutospacing="0" w:after="0" w:afterAutospacing="0"/>
              <w:ind w:left="0" w:right="0"/>
              <w:rPr>
                <w:rFonts w:hint="eastAsia" w:ascii="仿宋" w:hAnsi="仿宋" w:eastAsia="仿宋" w:cs="仿宋"/>
                <w:szCs w:val="22"/>
                <w:highlight w:val="none"/>
              </w:rPr>
            </w:pPr>
          </w:p>
        </w:tc>
      </w:tr>
      <w:tr w14:paraId="29534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9" w:type="dxa"/>
            <w:tcBorders>
              <w:top w:val="single" w:color="auto" w:sz="4" w:space="0"/>
              <w:left w:val="single" w:color="auto" w:sz="4" w:space="0"/>
              <w:bottom w:val="single" w:color="auto" w:sz="4" w:space="0"/>
              <w:right w:val="single" w:color="auto" w:sz="4" w:space="0"/>
            </w:tcBorders>
            <w:vAlign w:val="center"/>
          </w:tcPr>
          <w:p w14:paraId="3CD5B983">
            <w:pPr>
              <w:keepNext w:val="0"/>
              <w:keepLines w:val="0"/>
              <w:suppressLineNumbers w:val="0"/>
              <w:spacing w:before="0" w:beforeAutospacing="0" w:after="0" w:afterAutospacing="0"/>
              <w:ind w:left="0" w:right="0"/>
              <w:rPr>
                <w:rFonts w:hint="eastAsia" w:ascii="仿宋" w:hAnsi="仿宋" w:eastAsia="仿宋" w:cs="仿宋"/>
                <w:szCs w:val="22"/>
                <w:highlight w:val="none"/>
              </w:rPr>
            </w:pPr>
            <w:r>
              <w:rPr>
                <w:rFonts w:hint="eastAsia" w:ascii="仿宋" w:hAnsi="仿宋" w:eastAsia="仿宋" w:cs="仿宋"/>
                <w:szCs w:val="22"/>
                <w:highlight w:val="none"/>
              </w:rPr>
              <w:t>...</w:t>
            </w:r>
          </w:p>
        </w:tc>
        <w:tc>
          <w:tcPr>
            <w:tcW w:w="1260" w:type="dxa"/>
            <w:tcBorders>
              <w:top w:val="single" w:color="auto" w:sz="4" w:space="0"/>
              <w:left w:val="single" w:color="auto" w:sz="4" w:space="0"/>
              <w:bottom w:val="single" w:color="auto" w:sz="4" w:space="0"/>
              <w:right w:val="single" w:color="auto" w:sz="4" w:space="0"/>
            </w:tcBorders>
            <w:vAlign w:val="center"/>
          </w:tcPr>
          <w:p w14:paraId="20138816">
            <w:pPr>
              <w:keepNext w:val="0"/>
              <w:keepLines w:val="0"/>
              <w:suppressLineNumbers w:val="0"/>
              <w:spacing w:before="0" w:beforeAutospacing="0" w:after="0" w:afterAutospacing="0"/>
              <w:ind w:left="0" w:right="0"/>
              <w:rPr>
                <w:rFonts w:hint="eastAsia" w:ascii="仿宋" w:hAnsi="仿宋" w:eastAsia="仿宋" w:cs="仿宋"/>
                <w:szCs w:val="22"/>
                <w:highlight w:val="none"/>
              </w:rPr>
            </w:pPr>
          </w:p>
        </w:tc>
        <w:tc>
          <w:tcPr>
            <w:tcW w:w="2064" w:type="dxa"/>
            <w:tcBorders>
              <w:top w:val="single" w:color="auto" w:sz="4" w:space="0"/>
              <w:left w:val="single" w:color="auto" w:sz="4" w:space="0"/>
              <w:bottom w:val="single" w:color="auto" w:sz="4" w:space="0"/>
              <w:right w:val="single" w:color="auto" w:sz="4" w:space="0"/>
            </w:tcBorders>
            <w:vAlign w:val="center"/>
          </w:tcPr>
          <w:p w14:paraId="5D94FF2B">
            <w:pPr>
              <w:keepNext w:val="0"/>
              <w:keepLines w:val="0"/>
              <w:suppressLineNumbers w:val="0"/>
              <w:spacing w:before="0" w:beforeAutospacing="0" w:after="0" w:afterAutospacing="0"/>
              <w:ind w:left="0" w:right="0"/>
              <w:rPr>
                <w:rFonts w:hint="eastAsia" w:ascii="仿宋" w:hAnsi="仿宋" w:eastAsia="仿宋" w:cs="仿宋"/>
                <w:szCs w:val="22"/>
                <w:highlight w:val="none"/>
              </w:rPr>
            </w:pPr>
          </w:p>
        </w:tc>
        <w:tc>
          <w:tcPr>
            <w:tcW w:w="1080" w:type="dxa"/>
            <w:tcBorders>
              <w:top w:val="single" w:color="auto" w:sz="4" w:space="0"/>
              <w:left w:val="single" w:color="auto" w:sz="4" w:space="0"/>
              <w:bottom w:val="single" w:color="auto" w:sz="4" w:space="0"/>
              <w:right w:val="single" w:color="auto" w:sz="4" w:space="0"/>
            </w:tcBorders>
            <w:vAlign w:val="center"/>
          </w:tcPr>
          <w:p w14:paraId="5329294F">
            <w:pPr>
              <w:keepNext w:val="0"/>
              <w:keepLines w:val="0"/>
              <w:suppressLineNumbers w:val="0"/>
              <w:spacing w:before="0" w:beforeAutospacing="0" w:after="0" w:afterAutospacing="0"/>
              <w:ind w:left="0" w:right="0"/>
              <w:rPr>
                <w:rFonts w:hint="eastAsia" w:ascii="仿宋" w:hAnsi="仿宋" w:eastAsia="仿宋" w:cs="仿宋"/>
                <w:szCs w:val="22"/>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1D657849">
            <w:pPr>
              <w:keepNext w:val="0"/>
              <w:keepLines w:val="0"/>
              <w:suppressLineNumbers w:val="0"/>
              <w:spacing w:before="0" w:beforeAutospacing="0" w:after="0" w:afterAutospacing="0"/>
              <w:ind w:left="0" w:right="0"/>
              <w:rPr>
                <w:rFonts w:hint="eastAsia" w:ascii="仿宋" w:hAnsi="仿宋" w:eastAsia="仿宋" w:cs="仿宋"/>
                <w:szCs w:val="22"/>
                <w:highlight w:val="none"/>
              </w:rPr>
            </w:pPr>
          </w:p>
        </w:tc>
        <w:tc>
          <w:tcPr>
            <w:tcW w:w="1516" w:type="dxa"/>
            <w:tcBorders>
              <w:top w:val="single" w:color="auto" w:sz="4" w:space="0"/>
              <w:left w:val="single" w:color="auto" w:sz="4" w:space="0"/>
              <w:bottom w:val="single" w:color="auto" w:sz="4" w:space="0"/>
              <w:right w:val="single" w:color="auto" w:sz="4" w:space="0"/>
            </w:tcBorders>
            <w:vAlign w:val="center"/>
          </w:tcPr>
          <w:p w14:paraId="27B65CE8">
            <w:pPr>
              <w:keepNext w:val="0"/>
              <w:keepLines w:val="0"/>
              <w:suppressLineNumbers w:val="0"/>
              <w:spacing w:before="0" w:beforeAutospacing="0" w:after="0" w:afterAutospacing="0"/>
              <w:ind w:left="0" w:right="0"/>
              <w:rPr>
                <w:rFonts w:hint="eastAsia" w:ascii="仿宋" w:hAnsi="仿宋" w:eastAsia="仿宋" w:cs="仿宋"/>
                <w:szCs w:val="22"/>
                <w:highlight w:val="none"/>
              </w:rPr>
            </w:pPr>
          </w:p>
        </w:tc>
        <w:tc>
          <w:tcPr>
            <w:tcW w:w="957" w:type="dxa"/>
            <w:tcBorders>
              <w:top w:val="single" w:color="auto" w:sz="4" w:space="0"/>
              <w:left w:val="single" w:color="auto" w:sz="4" w:space="0"/>
              <w:bottom w:val="single" w:color="auto" w:sz="4" w:space="0"/>
              <w:right w:val="single" w:color="auto" w:sz="4" w:space="0"/>
            </w:tcBorders>
          </w:tcPr>
          <w:p w14:paraId="76CCA975">
            <w:pPr>
              <w:keepNext w:val="0"/>
              <w:keepLines w:val="0"/>
              <w:suppressLineNumbers w:val="0"/>
              <w:spacing w:before="0" w:beforeAutospacing="0" w:after="0" w:afterAutospacing="0"/>
              <w:ind w:left="0" w:right="0"/>
              <w:rPr>
                <w:rFonts w:hint="eastAsia" w:ascii="仿宋" w:hAnsi="仿宋" w:eastAsia="仿宋" w:cs="仿宋"/>
                <w:szCs w:val="22"/>
                <w:highlight w:val="none"/>
              </w:rPr>
            </w:pPr>
          </w:p>
        </w:tc>
        <w:tc>
          <w:tcPr>
            <w:tcW w:w="957" w:type="dxa"/>
            <w:tcBorders>
              <w:top w:val="single" w:color="auto" w:sz="4" w:space="0"/>
              <w:left w:val="single" w:color="auto" w:sz="4" w:space="0"/>
              <w:bottom w:val="single" w:color="auto" w:sz="4" w:space="0"/>
              <w:right w:val="single" w:color="auto" w:sz="4" w:space="0"/>
            </w:tcBorders>
            <w:vAlign w:val="center"/>
          </w:tcPr>
          <w:p w14:paraId="334CB6D7">
            <w:pPr>
              <w:keepNext w:val="0"/>
              <w:keepLines w:val="0"/>
              <w:suppressLineNumbers w:val="0"/>
              <w:spacing w:before="0" w:beforeAutospacing="0" w:after="0" w:afterAutospacing="0"/>
              <w:ind w:left="0" w:right="0"/>
              <w:rPr>
                <w:rFonts w:hint="eastAsia" w:ascii="仿宋" w:hAnsi="仿宋" w:eastAsia="仿宋" w:cs="仿宋"/>
                <w:szCs w:val="22"/>
                <w:highlight w:val="none"/>
              </w:rPr>
            </w:pPr>
          </w:p>
        </w:tc>
      </w:tr>
      <w:tr w14:paraId="4CFBE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vAlign w:val="center"/>
          </w:tcPr>
          <w:p w14:paraId="2182A540">
            <w:pPr>
              <w:keepNext w:val="0"/>
              <w:keepLines w:val="0"/>
              <w:suppressLineNumbers w:val="0"/>
              <w:spacing w:before="0" w:beforeAutospacing="0" w:after="0" w:afterAutospacing="0"/>
              <w:ind w:left="0" w:right="0"/>
              <w:rPr>
                <w:rFonts w:hint="eastAsia" w:ascii="仿宋" w:hAnsi="仿宋" w:eastAsia="仿宋" w:cs="仿宋"/>
                <w:szCs w:val="22"/>
                <w:highlight w:val="none"/>
              </w:rPr>
            </w:pPr>
            <w:r>
              <w:rPr>
                <w:rFonts w:hint="eastAsia" w:ascii="仿宋" w:hAnsi="仿宋" w:eastAsia="仿宋" w:cs="仿宋"/>
                <w:szCs w:val="22"/>
                <w:highlight w:val="none"/>
              </w:rPr>
              <w:t>报价合计（包含税费等所有费用）：（大写）人民币           （¥         元）</w:t>
            </w:r>
          </w:p>
        </w:tc>
      </w:tr>
      <w:tr w14:paraId="54952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vAlign w:val="center"/>
          </w:tcPr>
          <w:p w14:paraId="6E6BC1F3">
            <w:pPr>
              <w:keepNext w:val="0"/>
              <w:keepLines w:val="0"/>
              <w:suppressLineNumbers w:val="0"/>
              <w:spacing w:before="0" w:beforeAutospacing="0" w:after="0" w:afterAutospacing="0"/>
              <w:ind w:left="0" w:right="0"/>
              <w:rPr>
                <w:rFonts w:hint="eastAsia" w:ascii="仿宋" w:hAnsi="仿宋" w:eastAsia="仿宋" w:cs="仿宋"/>
                <w:szCs w:val="22"/>
                <w:highlight w:val="none"/>
              </w:rPr>
            </w:pPr>
            <w:r>
              <w:rPr>
                <w:rFonts w:hint="eastAsia" w:ascii="仿宋" w:hAnsi="仿宋" w:eastAsia="仿宋" w:cs="仿宋"/>
                <w:szCs w:val="21"/>
                <w:highlight w:val="none"/>
                <w:u w:val="single"/>
              </w:rPr>
              <w:t>　　</w:t>
            </w:r>
            <w:r>
              <w:rPr>
                <w:rFonts w:hint="eastAsia" w:ascii="仿宋" w:hAnsi="仿宋" w:eastAsia="仿宋" w:cs="仿宋"/>
                <w:szCs w:val="21"/>
                <w:highlight w:val="none"/>
              </w:rPr>
              <w:t>分标（此处有分标时填写具体分标号，无分标时填写“无”）</w:t>
            </w:r>
          </w:p>
        </w:tc>
      </w:tr>
      <w:tr w14:paraId="2F4A6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vAlign w:val="center"/>
          </w:tcPr>
          <w:p w14:paraId="24C1B96B">
            <w:pPr>
              <w:keepNext w:val="0"/>
              <w:keepLines w:val="0"/>
              <w:suppressLineNumbers w:val="0"/>
              <w:spacing w:before="0" w:beforeAutospacing="0" w:after="0" w:afterAutospacing="0"/>
              <w:ind w:left="0" w:right="0"/>
              <w:rPr>
                <w:rFonts w:hint="eastAsia" w:ascii="仿宋" w:hAnsi="仿宋" w:eastAsia="仿宋" w:cs="仿宋"/>
                <w:szCs w:val="22"/>
                <w:highlight w:val="none"/>
              </w:rPr>
            </w:pPr>
            <w:r>
              <w:rPr>
                <w:rFonts w:hint="eastAsia" w:ascii="仿宋" w:hAnsi="仿宋" w:eastAsia="仿宋" w:cs="仿宋"/>
                <w:szCs w:val="22"/>
                <w:highlight w:val="none"/>
              </w:rPr>
              <w:t>验收标准：</w:t>
            </w:r>
          </w:p>
        </w:tc>
      </w:tr>
      <w:tr w14:paraId="245A4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9813" w:type="dxa"/>
            <w:gridSpan w:val="8"/>
            <w:tcBorders>
              <w:top w:val="single" w:color="auto" w:sz="4" w:space="0"/>
              <w:left w:val="single" w:color="auto" w:sz="4" w:space="0"/>
              <w:bottom w:val="single" w:color="auto" w:sz="4" w:space="0"/>
              <w:right w:val="single" w:color="auto" w:sz="4" w:space="0"/>
            </w:tcBorders>
            <w:vAlign w:val="center"/>
          </w:tcPr>
          <w:p w14:paraId="62F50BC3">
            <w:pPr>
              <w:keepNext w:val="0"/>
              <w:keepLines w:val="0"/>
              <w:suppressLineNumbers w:val="0"/>
              <w:spacing w:before="0" w:beforeAutospacing="0" w:after="0" w:afterAutospacing="0"/>
              <w:ind w:left="0" w:right="0"/>
              <w:rPr>
                <w:rFonts w:hint="eastAsia" w:ascii="仿宋" w:hAnsi="仿宋" w:eastAsia="仿宋" w:cs="仿宋"/>
                <w:szCs w:val="22"/>
                <w:highlight w:val="none"/>
              </w:rPr>
            </w:pPr>
            <w:r>
              <w:rPr>
                <w:rFonts w:hint="eastAsia" w:ascii="仿宋" w:hAnsi="仿宋" w:eastAsia="仿宋" w:cs="仿宋"/>
                <w:szCs w:val="22"/>
                <w:highlight w:val="none"/>
              </w:rPr>
              <w:t>优惠及其它：</w:t>
            </w:r>
          </w:p>
        </w:tc>
      </w:tr>
    </w:tbl>
    <w:p w14:paraId="18DEDE1C">
      <w:pPr>
        <w:snapToGrid w:val="0"/>
        <w:spacing w:before="50" w:after="50"/>
        <w:ind w:firstLine="480" w:firstLineChars="200"/>
        <w:jc w:val="left"/>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 xml:space="preserve">注： </w:t>
      </w:r>
    </w:p>
    <w:p w14:paraId="121F737C">
      <w:pPr>
        <w:snapToGrid w:val="0"/>
        <w:spacing w:line="288"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1、供应商需按本表格式填写，不得自行更改，也不得留空, 如有多分标，按分标分别提供响应报价表</w:t>
      </w:r>
      <w:r>
        <w:rPr>
          <w:rFonts w:hint="eastAsia" w:ascii="仿宋" w:hAnsi="仿宋" w:eastAsia="仿宋" w:cs="仿宋"/>
          <w:b/>
          <w:kern w:val="0"/>
          <w:sz w:val="24"/>
          <w:highlight w:val="none"/>
          <w:lang w:val="zh-CN"/>
        </w:rPr>
        <w:t>。</w:t>
      </w:r>
    </w:p>
    <w:p w14:paraId="31C914F8">
      <w:pPr>
        <w:snapToGrid w:val="0"/>
        <w:spacing w:line="288" w:lineRule="auto"/>
        <w:ind w:firstLine="480" w:firstLineChars="200"/>
        <w:rPr>
          <w:rFonts w:hint="eastAsia" w:ascii="仿宋" w:hAnsi="仿宋" w:eastAsia="仿宋" w:cs="仿宋"/>
          <w:b/>
          <w:kern w:val="0"/>
          <w:sz w:val="24"/>
          <w:highlight w:val="none"/>
          <w:lang w:val="zh-CN"/>
        </w:rPr>
      </w:pPr>
      <w:r>
        <w:rPr>
          <w:rFonts w:hint="eastAsia" w:ascii="仿宋" w:hAnsi="仿宋" w:eastAsia="仿宋" w:cs="仿宋"/>
          <w:kern w:val="0"/>
          <w:sz w:val="24"/>
          <w:highlight w:val="none"/>
          <w:lang w:val="zh-CN"/>
        </w:rPr>
        <w:t>2、如为联合体响应的，“供应商名称”处必须列明联合体各方名称，并标注联合体牵头人名称，且盖章处须加盖联合体各方盖法人单位章或电子签章，</w:t>
      </w:r>
      <w:r>
        <w:rPr>
          <w:rFonts w:hint="eastAsia" w:ascii="仿宋" w:hAnsi="仿宋" w:eastAsia="仿宋" w:cs="仿宋"/>
          <w:b/>
          <w:kern w:val="0"/>
          <w:sz w:val="24"/>
          <w:highlight w:val="none"/>
          <w:lang w:val="zh-CN"/>
        </w:rPr>
        <w:t>否则其响应作无效响应处理。</w:t>
      </w:r>
    </w:p>
    <w:p w14:paraId="41867280">
      <w:pPr>
        <w:snapToGrid w:val="0"/>
        <w:spacing w:line="288" w:lineRule="auto"/>
        <w:ind w:firstLine="480" w:firstLineChars="200"/>
        <w:rPr>
          <w:rFonts w:hint="eastAsia" w:ascii="仿宋" w:hAnsi="仿宋" w:eastAsia="仿宋" w:cs="仿宋"/>
          <w:b/>
          <w:kern w:val="0"/>
          <w:sz w:val="24"/>
          <w:highlight w:val="none"/>
          <w:lang w:val="zh-CN"/>
        </w:rPr>
      </w:pPr>
      <w:r>
        <w:rPr>
          <w:rFonts w:hint="eastAsia" w:ascii="仿宋" w:hAnsi="仿宋" w:eastAsia="仿宋" w:cs="仿宋"/>
          <w:kern w:val="0"/>
          <w:sz w:val="24"/>
          <w:highlight w:val="none"/>
          <w:lang w:val="zh-CN"/>
        </w:rPr>
        <w:t>3、以上表格要求细分项目及报价，在“具体服务内容”一栏中，填写具体服务，，</w:t>
      </w:r>
      <w:r>
        <w:rPr>
          <w:rFonts w:hint="eastAsia" w:ascii="仿宋" w:hAnsi="仿宋" w:eastAsia="仿宋" w:cs="仿宋"/>
          <w:b/>
          <w:kern w:val="0"/>
          <w:sz w:val="24"/>
          <w:highlight w:val="none"/>
          <w:lang w:val="zh-CN"/>
        </w:rPr>
        <w:t>否则其响应作无效响应处理。</w:t>
      </w:r>
    </w:p>
    <w:p w14:paraId="2091C115">
      <w:pPr>
        <w:snapToGrid w:val="0"/>
        <w:spacing w:line="288"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4、特别提示：采购机构将对项目名称和项目编号，成交供应商名称、地址和成交金额，主要成交标的的名称、规格型号、数量、单价、服务要求等予以公示。</w:t>
      </w:r>
    </w:p>
    <w:p w14:paraId="1EECF564">
      <w:pPr>
        <w:snapToGrid w:val="0"/>
        <w:spacing w:line="288"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szCs w:val="22"/>
          <w:highlight w:val="none"/>
          <w:lang w:val="zh-CN"/>
        </w:rPr>
        <w:t>5、</w:t>
      </w:r>
      <w:r>
        <w:rPr>
          <w:rFonts w:hint="eastAsia" w:ascii="仿宋" w:hAnsi="仿宋" w:eastAsia="仿宋" w:cs="仿宋"/>
          <w:kern w:val="0"/>
          <w:sz w:val="24"/>
          <w:highlight w:val="none"/>
          <w:lang w:val="zh-CN"/>
        </w:rPr>
        <w:t>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4F5366D1">
      <w:pPr>
        <w:autoSpaceDE w:val="0"/>
        <w:autoSpaceDN w:val="0"/>
        <w:spacing w:line="360" w:lineRule="auto"/>
        <w:ind w:firstLine="5520" w:firstLineChars="2300"/>
        <w:rPr>
          <w:rFonts w:hint="eastAsia" w:ascii="仿宋" w:hAnsi="仿宋" w:eastAsia="仿宋" w:cs="仿宋"/>
          <w:kern w:val="0"/>
          <w:sz w:val="24"/>
          <w:highlight w:val="none"/>
        </w:rPr>
      </w:pPr>
      <w:r>
        <w:rPr>
          <w:rFonts w:hint="eastAsia" w:ascii="仿宋" w:hAnsi="仿宋" w:eastAsia="仿宋" w:cs="仿宋"/>
          <w:kern w:val="0"/>
          <w:sz w:val="24"/>
          <w:highlight w:val="none"/>
        </w:rPr>
        <w:t>供应商名称（电子签章）：</w:t>
      </w:r>
    </w:p>
    <w:p w14:paraId="673D3AA1">
      <w:pPr>
        <w:spacing w:line="500" w:lineRule="exact"/>
        <w:ind w:firstLine="6360" w:firstLineChars="2650"/>
        <w:rPr>
          <w:rFonts w:hint="eastAsia" w:ascii="仿宋" w:hAnsi="仿宋" w:eastAsia="仿宋" w:cs="仿宋"/>
          <w:kern w:val="0"/>
          <w:sz w:val="24"/>
          <w:szCs w:val="21"/>
          <w:highlight w:val="none"/>
          <w:lang w:val="zh-CN"/>
        </w:rPr>
        <w:sectPr>
          <w:pgSz w:w="11905" w:h="16838"/>
          <w:pgMar w:top="1304" w:right="1304" w:bottom="1304" w:left="1304" w:header="720" w:footer="720" w:gutter="0"/>
          <w:pgNumType w:fmt="decimal"/>
          <w:cols w:space="720" w:num="1"/>
          <w:docGrid w:type="lines" w:linePitch="339" w:charSpace="0"/>
        </w:sectPr>
      </w:pPr>
      <w:r>
        <w:rPr>
          <w:rFonts w:hint="eastAsia" w:ascii="仿宋" w:hAnsi="仿宋" w:eastAsia="仿宋" w:cs="仿宋"/>
          <w:kern w:val="0"/>
          <w:sz w:val="24"/>
          <w:szCs w:val="21"/>
          <w:highlight w:val="none"/>
          <w:lang w:val="zh-CN"/>
        </w:rPr>
        <w:t>日期：  年  月   日</w:t>
      </w:r>
    </w:p>
    <w:p w14:paraId="74707FC3">
      <w:pPr>
        <w:spacing w:line="500" w:lineRule="exact"/>
        <w:ind w:firstLine="602" w:firstLineChars="200"/>
        <w:rPr>
          <w:rFonts w:hint="eastAsia" w:ascii="仿宋" w:hAnsi="仿宋" w:eastAsia="仿宋" w:cs="仿宋"/>
          <w:b/>
          <w:sz w:val="30"/>
          <w:szCs w:val="30"/>
          <w:highlight w:val="none"/>
        </w:rPr>
      </w:pPr>
      <w:r>
        <w:rPr>
          <w:rFonts w:hint="eastAsia" w:ascii="仿宋" w:hAnsi="仿宋" w:eastAsia="仿宋" w:cs="仿宋"/>
          <w:b/>
          <w:sz w:val="30"/>
          <w:szCs w:val="30"/>
          <w:highlight w:val="none"/>
        </w:rPr>
        <w:t>三、中小企业声明函</w:t>
      </w:r>
    </w:p>
    <w:p w14:paraId="7CBAF824">
      <w:pPr>
        <w:rPr>
          <w:rFonts w:hint="eastAsia" w:ascii="仿宋" w:hAnsi="仿宋" w:eastAsia="仿宋" w:cs="仿宋"/>
          <w:highlight w:val="none"/>
        </w:rPr>
      </w:pPr>
    </w:p>
    <w:p w14:paraId="40242ACC">
      <w:pPr>
        <w:spacing w:line="500" w:lineRule="exact"/>
        <w:jc w:val="center"/>
        <w:rPr>
          <w:rFonts w:hint="eastAsia" w:ascii="仿宋" w:hAnsi="仿宋" w:eastAsia="仿宋" w:cs="仿宋"/>
          <w:b/>
          <w:bCs/>
          <w:kern w:val="0"/>
          <w:sz w:val="30"/>
          <w:szCs w:val="30"/>
          <w:highlight w:val="none"/>
        </w:rPr>
      </w:pPr>
      <w:r>
        <w:rPr>
          <w:rFonts w:hint="eastAsia" w:ascii="仿宋" w:hAnsi="仿宋" w:eastAsia="仿宋" w:cs="仿宋"/>
          <w:b/>
          <w:bCs/>
          <w:kern w:val="0"/>
          <w:sz w:val="30"/>
          <w:szCs w:val="30"/>
          <w:highlight w:val="none"/>
        </w:rPr>
        <w:t>中小企业声明函（服务）</w:t>
      </w:r>
    </w:p>
    <w:p w14:paraId="10DD2CBC">
      <w:pPr>
        <w:rPr>
          <w:rFonts w:hint="eastAsia" w:ascii="仿宋" w:hAnsi="仿宋" w:eastAsia="仿宋" w:cs="仿宋"/>
          <w:highlight w:val="none"/>
        </w:rPr>
      </w:pPr>
    </w:p>
    <w:p w14:paraId="7102FD16">
      <w:pPr>
        <w:tabs>
          <w:tab w:val="left" w:pos="1065"/>
          <w:tab w:val="left" w:pos="6477"/>
        </w:tabs>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本公司（联合体）郑重声明，根据《政府采购促进中小企业发展管理办法》（财库﹝2020﹞46号）的规定，本公司（联合体）参加</w:t>
      </w:r>
      <w:r>
        <w:rPr>
          <w:rFonts w:hint="eastAsia" w:ascii="仿宋" w:hAnsi="仿宋" w:eastAsia="仿宋" w:cs="仿宋"/>
          <w:sz w:val="24"/>
          <w:highlight w:val="none"/>
          <w:u w:val="single"/>
        </w:rPr>
        <w:t>    （单位名称）</w:t>
      </w:r>
      <w:r>
        <w:rPr>
          <w:rFonts w:hint="eastAsia" w:ascii="仿宋" w:hAnsi="仿宋" w:eastAsia="仿宋" w:cs="仿宋"/>
          <w:sz w:val="24"/>
          <w:highlight w:val="none"/>
        </w:rPr>
        <w:t>的</w:t>
      </w:r>
      <w:r>
        <w:rPr>
          <w:rFonts w:hint="eastAsia" w:ascii="仿宋" w:hAnsi="仿宋" w:eastAsia="仿宋" w:cs="仿宋"/>
          <w:sz w:val="24"/>
          <w:highlight w:val="none"/>
          <w:u w:val="single"/>
        </w:rPr>
        <w:t xml:space="preserve">    （项目名称） </w:t>
      </w:r>
      <w:r>
        <w:rPr>
          <w:rFonts w:hint="eastAsia" w:ascii="仿宋" w:hAnsi="仿宋" w:eastAsia="仿宋" w:cs="仿宋"/>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333686A3">
      <w:pPr>
        <w:tabs>
          <w:tab w:val="left" w:pos="1065"/>
          <w:tab w:val="left" w:pos="6477"/>
        </w:tabs>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1.</w:t>
      </w:r>
      <w:r>
        <w:rPr>
          <w:rFonts w:hint="eastAsia" w:ascii="仿宋" w:hAnsi="仿宋" w:eastAsia="仿宋" w:cs="仿宋"/>
          <w:sz w:val="24"/>
          <w:highlight w:val="none"/>
          <w:u w:val="single"/>
        </w:rPr>
        <w:t>   （标的名称）</w:t>
      </w:r>
      <w:r>
        <w:rPr>
          <w:rFonts w:hint="eastAsia" w:ascii="仿宋" w:hAnsi="仿宋" w:eastAsia="仿宋" w:cs="仿宋"/>
          <w:sz w:val="24"/>
          <w:highlight w:val="none"/>
        </w:rPr>
        <w:t>，属于</w:t>
      </w:r>
      <w:r>
        <w:rPr>
          <w:rFonts w:hint="eastAsia" w:ascii="仿宋" w:hAnsi="仿宋" w:eastAsia="仿宋" w:cs="仿宋"/>
          <w:sz w:val="24"/>
          <w:highlight w:val="none"/>
          <w:u w:val="single"/>
        </w:rPr>
        <w:t>    （采购文件中明确的所属行业）</w:t>
      </w:r>
      <w:r>
        <w:rPr>
          <w:rFonts w:hint="eastAsia" w:ascii="仿宋" w:hAnsi="仿宋" w:eastAsia="仿宋" w:cs="仿宋"/>
          <w:sz w:val="24"/>
          <w:highlight w:val="none"/>
        </w:rPr>
        <w:t>；承建（承接）企业为</w:t>
      </w:r>
      <w:r>
        <w:rPr>
          <w:rFonts w:hint="eastAsia" w:ascii="仿宋" w:hAnsi="仿宋" w:eastAsia="仿宋" w:cs="仿宋"/>
          <w:sz w:val="24"/>
          <w:highlight w:val="none"/>
          <w:u w:val="single"/>
        </w:rPr>
        <w:t>    （企业名称）</w:t>
      </w:r>
      <w:r>
        <w:rPr>
          <w:rFonts w:hint="eastAsia" w:ascii="仿宋" w:hAnsi="仿宋" w:eastAsia="仿宋" w:cs="仿宋"/>
          <w:sz w:val="24"/>
          <w:highlight w:val="none"/>
        </w:rPr>
        <w:t>，从业人员</w:t>
      </w:r>
      <w:r>
        <w:rPr>
          <w:rFonts w:hint="eastAsia" w:ascii="仿宋" w:hAnsi="仿宋" w:eastAsia="仿宋" w:cs="仿宋"/>
          <w:sz w:val="24"/>
          <w:highlight w:val="none"/>
          <w:u w:val="single"/>
        </w:rPr>
        <w:t>    </w:t>
      </w:r>
      <w:r>
        <w:rPr>
          <w:rFonts w:hint="eastAsia" w:ascii="仿宋" w:hAnsi="仿宋" w:eastAsia="仿宋" w:cs="仿宋"/>
          <w:sz w:val="24"/>
          <w:highlight w:val="none"/>
        </w:rPr>
        <w:t>人，营业收入为</w:t>
      </w:r>
      <w:r>
        <w:rPr>
          <w:rFonts w:hint="eastAsia" w:ascii="仿宋" w:hAnsi="仿宋" w:eastAsia="仿宋" w:cs="仿宋"/>
          <w:sz w:val="24"/>
          <w:highlight w:val="none"/>
          <w:u w:val="single"/>
        </w:rPr>
        <w:t>    </w:t>
      </w:r>
      <w:r>
        <w:rPr>
          <w:rFonts w:hint="eastAsia" w:ascii="仿宋" w:hAnsi="仿宋" w:eastAsia="仿宋" w:cs="仿宋"/>
          <w:sz w:val="24"/>
          <w:highlight w:val="none"/>
        </w:rPr>
        <w:t>万元，资产总额为</w:t>
      </w:r>
      <w:r>
        <w:rPr>
          <w:rFonts w:hint="eastAsia" w:ascii="仿宋" w:hAnsi="仿宋" w:eastAsia="仿宋" w:cs="仿宋"/>
          <w:sz w:val="24"/>
          <w:highlight w:val="none"/>
          <w:u w:val="single"/>
        </w:rPr>
        <w:t>    </w:t>
      </w:r>
      <w:r>
        <w:rPr>
          <w:rFonts w:hint="eastAsia" w:ascii="仿宋" w:hAnsi="仿宋" w:eastAsia="仿宋" w:cs="仿宋"/>
          <w:sz w:val="24"/>
          <w:highlight w:val="none"/>
        </w:rPr>
        <w:t>万元，属于</w:t>
      </w:r>
      <w:r>
        <w:rPr>
          <w:rFonts w:hint="eastAsia" w:ascii="仿宋" w:hAnsi="仿宋" w:eastAsia="仿宋" w:cs="仿宋"/>
          <w:sz w:val="24"/>
          <w:highlight w:val="none"/>
          <w:u w:val="single"/>
        </w:rPr>
        <w:t>     （中型企业、小型企业、微型企业）</w:t>
      </w:r>
      <w:r>
        <w:rPr>
          <w:rFonts w:hint="eastAsia" w:ascii="仿宋" w:hAnsi="仿宋" w:eastAsia="仿宋" w:cs="仿宋"/>
          <w:sz w:val="24"/>
          <w:highlight w:val="none"/>
        </w:rPr>
        <w:t>；</w:t>
      </w:r>
    </w:p>
    <w:p w14:paraId="690E33F3">
      <w:pPr>
        <w:tabs>
          <w:tab w:val="left" w:pos="1065"/>
          <w:tab w:val="left" w:pos="6477"/>
        </w:tabs>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2.</w:t>
      </w:r>
      <w:r>
        <w:rPr>
          <w:rFonts w:hint="eastAsia" w:ascii="仿宋" w:hAnsi="仿宋" w:eastAsia="仿宋" w:cs="仿宋"/>
          <w:sz w:val="24"/>
          <w:highlight w:val="none"/>
          <w:u w:val="single"/>
        </w:rPr>
        <w:t>     （标的名称）</w:t>
      </w:r>
      <w:r>
        <w:rPr>
          <w:rFonts w:hint="eastAsia" w:ascii="仿宋" w:hAnsi="仿宋" w:eastAsia="仿宋" w:cs="仿宋"/>
          <w:sz w:val="24"/>
          <w:highlight w:val="none"/>
        </w:rPr>
        <w:t>，属于</w:t>
      </w:r>
      <w:r>
        <w:rPr>
          <w:rFonts w:hint="eastAsia" w:ascii="仿宋" w:hAnsi="仿宋" w:eastAsia="仿宋" w:cs="仿宋"/>
          <w:sz w:val="24"/>
          <w:highlight w:val="none"/>
          <w:u w:val="single"/>
        </w:rPr>
        <w:t>     （采购文件中明确的所属行业）</w:t>
      </w:r>
      <w:r>
        <w:rPr>
          <w:rFonts w:hint="eastAsia" w:ascii="仿宋" w:hAnsi="仿宋" w:eastAsia="仿宋" w:cs="仿宋"/>
          <w:sz w:val="24"/>
          <w:highlight w:val="none"/>
        </w:rPr>
        <w:t>行业；制造商为</w:t>
      </w:r>
      <w:r>
        <w:rPr>
          <w:rFonts w:hint="eastAsia" w:ascii="仿宋" w:hAnsi="仿宋" w:eastAsia="仿宋" w:cs="仿宋"/>
          <w:sz w:val="24"/>
          <w:highlight w:val="none"/>
          <w:u w:val="single"/>
        </w:rPr>
        <w:t>       （企业名称）</w:t>
      </w:r>
      <w:r>
        <w:rPr>
          <w:rFonts w:hint="eastAsia" w:ascii="仿宋" w:hAnsi="仿宋" w:eastAsia="仿宋" w:cs="仿宋"/>
          <w:sz w:val="24"/>
          <w:highlight w:val="none"/>
        </w:rPr>
        <w:t>，从业人员</w:t>
      </w:r>
      <w:r>
        <w:rPr>
          <w:rFonts w:hint="eastAsia" w:ascii="仿宋" w:hAnsi="仿宋" w:eastAsia="仿宋" w:cs="仿宋"/>
          <w:sz w:val="24"/>
          <w:highlight w:val="none"/>
          <w:u w:val="single"/>
        </w:rPr>
        <w:t>    </w:t>
      </w:r>
      <w:r>
        <w:rPr>
          <w:rFonts w:hint="eastAsia" w:ascii="仿宋" w:hAnsi="仿宋" w:eastAsia="仿宋" w:cs="仿宋"/>
          <w:sz w:val="24"/>
          <w:highlight w:val="none"/>
        </w:rPr>
        <w:t>人，营业收入为</w:t>
      </w:r>
      <w:r>
        <w:rPr>
          <w:rFonts w:hint="eastAsia" w:ascii="仿宋" w:hAnsi="仿宋" w:eastAsia="仿宋" w:cs="仿宋"/>
          <w:sz w:val="24"/>
          <w:highlight w:val="none"/>
          <w:u w:val="single"/>
        </w:rPr>
        <w:t>    </w:t>
      </w:r>
      <w:r>
        <w:rPr>
          <w:rFonts w:hint="eastAsia" w:ascii="仿宋" w:hAnsi="仿宋" w:eastAsia="仿宋" w:cs="仿宋"/>
          <w:sz w:val="24"/>
          <w:highlight w:val="none"/>
        </w:rPr>
        <w:t>万元，资产总额为</w:t>
      </w:r>
      <w:r>
        <w:rPr>
          <w:rFonts w:hint="eastAsia" w:ascii="仿宋" w:hAnsi="仿宋" w:eastAsia="仿宋" w:cs="仿宋"/>
          <w:sz w:val="24"/>
          <w:highlight w:val="none"/>
          <w:u w:val="single"/>
        </w:rPr>
        <w:t>   </w:t>
      </w:r>
      <w:r>
        <w:rPr>
          <w:rFonts w:hint="eastAsia" w:ascii="仿宋" w:hAnsi="仿宋" w:eastAsia="仿宋" w:cs="仿宋"/>
          <w:sz w:val="24"/>
          <w:highlight w:val="none"/>
        </w:rPr>
        <w:t>万元，属于</w:t>
      </w:r>
      <w:r>
        <w:rPr>
          <w:rFonts w:hint="eastAsia" w:ascii="仿宋" w:hAnsi="仿宋" w:eastAsia="仿宋" w:cs="仿宋"/>
          <w:sz w:val="24"/>
          <w:highlight w:val="none"/>
          <w:u w:val="single"/>
        </w:rPr>
        <w:t>     （中型企业、小型企业、微型企业）</w:t>
      </w:r>
      <w:r>
        <w:rPr>
          <w:rFonts w:hint="eastAsia" w:ascii="仿宋" w:hAnsi="仿宋" w:eastAsia="仿宋" w:cs="仿宋"/>
          <w:sz w:val="24"/>
          <w:highlight w:val="none"/>
        </w:rPr>
        <w:t>；</w:t>
      </w:r>
    </w:p>
    <w:p w14:paraId="44BE059B">
      <w:pPr>
        <w:spacing w:line="360" w:lineRule="auto"/>
        <w:ind w:left="142" w:right="142"/>
        <w:contextualSpacing/>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0D51952D">
      <w:pPr>
        <w:spacing w:line="360" w:lineRule="auto"/>
        <w:ind w:left="-405" w:leftChars="-193" w:right="142" w:firstLine="453" w:firstLineChars="189"/>
        <w:contextualSpacing/>
        <w:rPr>
          <w:rFonts w:hint="eastAsia" w:ascii="仿宋" w:hAnsi="仿宋" w:eastAsia="仿宋" w:cs="仿宋"/>
          <w:sz w:val="24"/>
          <w:highlight w:val="none"/>
        </w:rPr>
      </w:pPr>
      <w:r>
        <w:rPr>
          <w:rFonts w:hint="eastAsia" w:ascii="仿宋" w:hAnsi="仿宋" w:eastAsia="仿宋" w:cs="仿宋"/>
          <w:sz w:val="24"/>
          <w:highlight w:val="none"/>
        </w:rPr>
        <w:t>以上企业，不属于大企业的分支机构，不存在控股股东为大企业的情形，也不存在与大企业的负责人为同一人的情形。</w:t>
      </w:r>
    </w:p>
    <w:p w14:paraId="6003CFC2">
      <w:pPr>
        <w:spacing w:line="360" w:lineRule="auto"/>
        <w:ind w:left="-426" w:right="142" w:firstLine="567"/>
        <w:contextualSpacing/>
        <w:rPr>
          <w:rFonts w:hint="eastAsia" w:ascii="仿宋" w:hAnsi="仿宋" w:eastAsia="仿宋" w:cs="仿宋"/>
          <w:sz w:val="24"/>
          <w:highlight w:val="none"/>
        </w:rPr>
      </w:pPr>
      <w:r>
        <w:rPr>
          <w:rFonts w:hint="eastAsia" w:ascii="仿宋" w:hAnsi="仿宋" w:eastAsia="仿宋" w:cs="仿宋"/>
          <w:sz w:val="24"/>
          <w:highlight w:val="none"/>
        </w:rPr>
        <w:t>本企业对上述声明内容的真实性负责。如有虚假，将依法承担相应责任。</w:t>
      </w:r>
    </w:p>
    <w:p w14:paraId="550752E7">
      <w:pPr>
        <w:autoSpaceDE w:val="0"/>
        <w:autoSpaceDN w:val="0"/>
        <w:spacing w:line="360" w:lineRule="auto"/>
        <w:ind w:left="4335" w:leftChars="1950" w:hanging="240" w:hangingChars="100"/>
        <w:rPr>
          <w:rFonts w:hint="eastAsia" w:ascii="仿宋" w:hAnsi="仿宋" w:eastAsia="仿宋" w:cs="仿宋"/>
          <w:kern w:val="0"/>
          <w:sz w:val="24"/>
          <w:highlight w:val="none"/>
        </w:rPr>
      </w:pPr>
    </w:p>
    <w:p w14:paraId="224CAC30">
      <w:pPr>
        <w:autoSpaceDE w:val="0"/>
        <w:autoSpaceDN w:val="0"/>
        <w:spacing w:line="360" w:lineRule="auto"/>
        <w:ind w:left="4335" w:leftChars="1950" w:hanging="240" w:hangingChars="100"/>
        <w:rPr>
          <w:rFonts w:hint="eastAsia" w:ascii="仿宋" w:hAnsi="仿宋" w:eastAsia="仿宋" w:cs="仿宋"/>
          <w:kern w:val="0"/>
          <w:sz w:val="24"/>
          <w:highlight w:val="none"/>
        </w:rPr>
      </w:pPr>
      <w:r>
        <w:rPr>
          <w:rFonts w:hint="eastAsia" w:ascii="仿宋" w:hAnsi="仿宋" w:eastAsia="仿宋" w:cs="仿宋"/>
          <w:kern w:val="0"/>
          <w:sz w:val="24"/>
          <w:highlight w:val="none"/>
        </w:rPr>
        <w:t>供应商名称（电子签章）：</w:t>
      </w:r>
    </w:p>
    <w:p w14:paraId="6DD593FE">
      <w:pPr>
        <w:autoSpaceDE w:val="0"/>
        <w:autoSpaceDN w:val="0"/>
        <w:spacing w:line="360" w:lineRule="auto"/>
        <w:ind w:firstLine="6480" w:firstLineChars="27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日期：  年  月   日</w:t>
      </w:r>
    </w:p>
    <w:p w14:paraId="2CE9771B">
      <w:pPr>
        <w:spacing w:line="360" w:lineRule="auto"/>
        <w:ind w:left="3960" w:right="1808"/>
        <w:contextualSpacing/>
        <w:rPr>
          <w:rFonts w:hint="eastAsia" w:ascii="仿宋" w:hAnsi="仿宋" w:eastAsia="仿宋" w:cs="仿宋"/>
          <w:highlight w:val="none"/>
        </w:rPr>
      </w:pPr>
    </w:p>
    <w:p w14:paraId="66E558F5">
      <w:pPr>
        <w:spacing w:line="360" w:lineRule="auto"/>
        <w:contextualSpacing/>
        <w:jc w:val="left"/>
        <w:rPr>
          <w:rFonts w:hint="eastAsia" w:ascii="仿宋" w:hAnsi="仿宋" w:eastAsia="仿宋" w:cs="仿宋"/>
          <w:kern w:val="0"/>
          <w:sz w:val="24"/>
          <w:highlight w:val="none"/>
        </w:rPr>
      </w:pPr>
      <w:r>
        <w:rPr>
          <w:rFonts w:hint="eastAsia" w:ascii="仿宋" w:hAnsi="仿宋" w:eastAsia="仿宋" w:cs="仿宋"/>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7141B8C7">
      <w:pPr>
        <w:snapToGrid w:val="0"/>
        <w:spacing w:before="169" w:beforeLines="50" w:after="50" w:line="360" w:lineRule="auto"/>
        <w:rPr>
          <w:rFonts w:hint="eastAsia" w:ascii="仿宋" w:hAnsi="仿宋" w:eastAsia="仿宋" w:cs="仿宋"/>
          <w:b/>
          <w:bCs/>
          <w:sz w:val="32"/>
          <w:szCs w:val="32"/>
          <w:highlight w:val="none"/>
        </w:rPr>
        <w:sectPr>
          <w:pgSz w:w="11905" w:h="16838"/>
          <w:pgMar w:top="1304" w:right="1304" w:bottom="1304" w:left="1304" w:header="720" w:footer="720" w:gutter="0"/>
          <w:pgNumType w:fmt="decimal"/>
          <w:cols w:space="720" w:num="1"/>
          <w:docGrid w:type="lines" w:linePitch="339" w:charSpace="0"/>
        </w:sectPr>
      </w:pPr>
      <w:bookmarkStart w:id="129" w:name="_Toc31728084"/>
      <w:bookmarkStart w:id="130" w:name="_Toc31723070"/>
      <w:bookmarkStart w:id="131" w:name="_Toc44229899"/>
      <w:bookmarkStart w:id="132" w:name="_Toc35611516"/>
      <w:bookmarkStart w:id="133" w:name="_Toc35611438"/>
    </w:p>
    <w:bookmarkEnd w:id="129"/>
    <w:bookmarkEnd w:id="130"/>
    <w:bookmarkEnd w:id="131"/>
    <w:bookmarkEnd w:id="132"/>
    <w:bookmarkEnd w:id="133"/>
    <w:p w14:paraId="38D339A2">
      <w:pPr>
        <w:keepNext/>
        <w:keepLines/>
        <w:spacing w:before="260" w:after="260" w:line="416" w:lineRule="auto"/>
        <w:jc w:val="center"/>
        <w:outlineLvl w:val="1"/>
        <w:rPr>
          <w:rFonts w:hint="eastAsia" w:ascii="仿宋" w:hAnsi="仿宋" w:eastAsia="仿宋" w:cs="仿宋"/>
          <w:bCs/>
          <w:sz w:val="32"/>
          <w:szCs w:val="32"/>
          <w:highlight w:val="none"/>
        </w:rPr>
      </w:pPr>
      <w:bookmarkStart w:id="134" w:name="_Toc80205942"/>
      <w:bookmarkStart w:id="135" w:name="_Toc28900"/>
      <w:bookmarkStart w:id="136" w:name="_Toc127516340"/>
      <w:r>
        <w:rPr>
          <w:rFonts w:hint="eastAsia" w:ascii="仿宋" w:hAnsi="仿宋" w:eastAsia="仿宋" w:cs="仿宋"/>
          <w:b/>
          <w:bCs/>
          <w:sz w:val="32"/>
          <w:szCs w:val="32"/>
          <w:highlight w:val="none"/>
        </w:rPr>
        <w:t>第六节 其他文书、文件格式</w:t>
      </w:r>
      <w:bookmarkEnd w:id="134"/>
      <w:bookmarkEnd w:id="135"/>
      <w:bookmarkEnd w:id="136"/>
    </w:p>
    <w:p w14:paraId="7DB34A5C">
      <w:pPr>
        <w:spacing w:line="520" w:lineRule="exact"/>
        <w:rPr>
          <w:rFonts w:hint="eastAsia" w:ascii="仿宋" w:hAnsi="仿宋" w:eastAsia="仿宋" w:cs="仿宋"/>
          <w:sz w:val="24"/>
          <w:highlight w:val="none"/>
        </w:rPr>
      </w:pPr>
    </w:p>
    <w:p w14:paraId="7DF14BE1">
      <w:pPr>
        <w:spacing w:line="500" w:lineRule="exact"/>
        <w:jc w:val="center"/>
        <w:rPr>
          <w:rFonts w:hint="eastAsia" w:ascii="仿宋" w:hAnsi="仿宋" w:eastAsia="仿宋" w:cs="仿宋"/>
          <w:b/>
          <w:bCs/>
          <w:kern w:val="0"/>
          <w:sz w:val="30"/>
          <w:szCs w:val="30"/>
          <w:highlight w:val="none"/>
        </w:rPr>
      </w:pPr>
      <w:r>
        <w:rPr>
          <w:rFonts w:hint="eastAsia" w:ascii="仿宋" w:hAnsi="仿宋" w:eastAsia="仿宋" w:cs="仿宋"/>
          <w:b/>
          <w:bCs/>
          <w:kern w:val="0"/>
          <w:sz w:val="30"/>
          <w:szCs w:val="30"/>
          <w:highlight w:val="none"/>
        </w:rPr>
        <w:t>残疾人福利性单位声明函</w:t>
      </w:r>
    </w:p>
    <w:p w14:paraId="20BFAF85">
      <w:pPr>
        <w:spacing w:line="520" w:lineRule="exact"/>
        <w:rPr>
          <w:rFonts w:hint="eastAsia" w:ascii="仿宋" w:hAnsi="仿宋" w:eastAsia="仿宋" w:cs="仿宋"/>
          <w:sz w:val="32"/>
          <w:szCs w:val="32"/>
          <w:highlight w:val="none"/>
        </w:rPr>
      </w:pPr>
    </w:p>
    <w:p w14:paraId="69A190D6">
      <w:pPr>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本单位郑重声明，根据《财政部 民政部 中国残疾人联合会关于促进残疾人就业政府采购政策的通知》（财库〔2017〕141号）的规定，本单位为符合条件的残疾人福利性单位，且本单位参加单位的项目采购活动由本单位提供服务。</w:t>
      </w:r>
    </w:p>
    <w:p w14:paraId="5C7BF8E7">
      <w:pPr>
        <w:spacing w:line="360" w:lineRule="auto"/>
        <w:ind w:firstLine="480" w:firstLineChars="200"/>
        <w:contextualSpacing/>
        <w:rPr>
          <w:rFonts w:hint="eastAsia" w:ascii="仿宋" w:hAnsi="仿宋" w:eastAsia="仿宋" w:cs="仿宋"/>
          <w:sz w:val="24"/>
          <w:highlight w:val="none"/>
        </w:rPr>
      </w:pPr>
      <w:r>
        <w:rPr>
          <w:rFonts w:hint="eastAsia" w:ascii="仿宋" w:hAnsi="仿宋" w:eastAsia="仿宋" w:cs="仿宋"/>
          <w:sz w:val="24"/>
          <w:highlight w:val="none"/>
        </w:rPr>
        <w:t>本单位对上述声明的真实性负责。如有虚假，将依法承担相应责任。</w:t>
      </w:r>
    </w:p>
    <w:p w14:paraId="290A67D6">
      <w:pPr>
        <w:spacing w:line="360" w:lineRule="auto"/>
        <w:contextualSpacing/>
        <w:rPr>
          <w:rFonts w:hint="eastAsia" w:ascii="仿宋" w:hAnsi="仿宋" w:eastAsia="仿宋" w:cs="仿宋"/>
          <w:sz w:val="24"/>
          <w:highlight w:val="none"/>
        </w:rPr>
      </w:pPr>
    </w:p>
    <w:p w14:paraId="22C25C9D">
      <w:pPr>
        <w:spacing w:line="360" w:lineRule="auto"/>
        <w:contextualSpacing/>
        <w:rPr>
          <w:rFonts w:hint="eastAsia" w:ascii="仿宋" w:hAnsi="仿宋" w:eastAsia="仿宋" w:cs="仿宋"/>
          <w:sz w:val="24"/>
          <w:highlight w:val="none"/>
        </w:rPr>
      </w:pPr>
    </w:p>
    <w:p w14:paraId="3687F416">
      <w:pPr>
        <w:spacing w:line="360" w:lineRule="auto"/>
        <w:contextualSpacing/>
        <w:rPr>
          <w:rFonts w:hint="eastAsia" w:ascii="仿宋" w:hAnsi="仿宋" w:eastAsia="仿宋" w:cs="仿宋"/>
          <w:sz w:val="24"/>
          <w:highlight w:val="none"/>
        </w:rPr>
      </w:pPr>
    </w:p>
    <w:p w14:paraId="5482A95E">
      <w:pPr>
        <w:spacing w:line="360" w:lineRule="auto"/>
        <w:ind w:firstLine="2400" w:firstLineChars="1000"/>
        <w:contextualSpacing/>
        <w:rPr>
          <w:rFonts w:hint="eastAsia" w:ascii="仿宋" w:hAnsi="仿宋" w:eastAsia="仿宋" w:cs="仿宋"/>
          <w:sz w:val="24"/>
          <w:highlight w:val="none"/>
        </w:rPr>
      </w:pPr>
      <w:r>
        <w:rPr>
          <w:rFonts w:hint="eastAsia" w:ascii="仿宋" w:hAnsi="仿宋" w:eastAsia="仿宋" w:cs="仿宋"/>
          <w:sz w:val="24"/>
          <w:highlight w:val="none"/>
        </w:rPr>
        <w:t>供应商名称（电子签章）：</w:t>
      </w:r>
    </w:p>
    <w:p w14:paraId="043B43E6">
      <w:pPr>
        <w:spacing w:line="360" w:lineRule="auto"/>
        <w:ind w:firstLine="4320" w:firstLineChars="1800"/>
        <w:contextualSpacing/>
        <w:rPr>
          <w:rFonts w:hint="eastAsia" w:ascii="仿宋" w:hAnsi="仿宋" w:eastAsia="仿宋" w:cs="仿宋"/>
          <w:sz w:val="24"/>
          <w:highlight w:val="none"/>
        </w:rPr>
      </w:pPr>
      <w:r>
        <w:rPr>
          <w:rFonts w:hint="eastAsia" w:ascii="仿宋" w:hAnsi="仿宋" w:eastAsia="仿宋" w:cs="仿宋"/>
          <w:sz w:val="24"/>
          <w:highlight w:val="none"/>
        </w:rPr>
        <w:t>日  期：     年   月   日</w:t>
      </w:r>
    </w:p>
    <w:p w14:paraId="6E8570AB">
      <w:pPr>
        <w:spacing w:line="360" w:lineRule="auto"/>
        <w:contextualSpacing/>
        <w:rPr>
          <w:rFonts w:hint="eastAsia" w:ascii="仿宋" w:hAnsi="仿宋" w:eastAsia="仿宋" w:cs="仿宋"/>
          <w:sz w:val="24"/>
          <w:highlight w:val="none"/>
        </w:rPr>
      </w:pPr>
    </w:p>
    <w:p w14:paraId="2E27AA95">
      <w:pPr>
        <w:spacing w:line="360" w:lineRule="auto"/>
        <w:contextualSpacing/>
        <w:rPr>
          <w:rFonts w:hint="eastAsia" w:ascii="仿宋" w:hAnsi="仿宋" w:eastAsia="仿宋" w:cs="仿宋"/>
          <w:sz w:val="24"/>
          <w:highlight w:val="none"/>
        </w:rPr>
      </w:pPr>
    </w:p>
    <w:p w14:paraId="477BFFC0">
      <w:pPr>
        <w:spacing w:line="360" w:lineRule="auto"/>
        <w:contextualSpacing/>
        <w:rPr>
          <w:rFonts w:hint="eastAsia" w:ascii="仿宋" w:hAnsi="仿宋" w:eastAsia="仿宋" w:cs="仿宋"/>
          <w:sz w:val="24"/>
          <w:highlight w:val="none"/>
        </w:rPr>
      </w:pPr>
    </w:p>
    <w:p w14:paraId="609A7F2D">
      <w:pPr>
        <w:spacing w:line="360" w:lineRule="auto"/>
        <w:contextualSpacing/>
        <w:rPr>
          <w:rFonts w:hint="eastAsia" w:ascii="仿宋" w:hAnsi="仿宋" w:eastAsia="仿宋" w:cs="仿宋"/>
          <w:sz w:val="24"/>
          <w:highlight w:val="none"/>
        </w:rPr>
      </w:pPr>
      <w:r>
        <w:rPr>
          <w:rFonts w:hint="eastAsia" w:ascii="仿宋" w:hAnsi="仿宋" w:eastAsia="仿宋" w:cs="仿宋"/>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040916F4">
      <w:pPr>
        <w:spacing w:line="360" w:lineRule="auto"/>
        <w:contextualSpacing/>
        <w:rPr>
          <w:rFonts w:hint="eastAsia" w:ascii="仿宋" w:hAnsi="仿宋" w:eastAsia="仿宋" w:cs="仿宋"/>
          <w:sz w:val="24"/>
          <w:highlight w:val="none"/>
        </w:rPr>
      </w:pPr>
    </w:p>
    <w:p w14:paraId="31CE51FE">
      <w:pPr>
        <w:spacing w:line="360" w:lineRule="auto"/>
        <w:contextualSpacing/>
        <w:rPr>
          <w:rFonts w:hint="eastAsia" w:ascii="仿宋" w:hAnsi="仿宋" w:eastAsia="仿宋" w:cs="仿宋"/>
          <w:sz w:val="24"/>
          <w:highlight w:val="none"/>
        </w:rPr>
        <w:sectPr>
          <w:headerReference r:id="rId22" w:type="default"/>
          <w:footerReference r:id="rId23" w:type="default"/>
          <w:pgSz w:w="11905" w:h="16838"/>
          <w:pgMar w:top="1304" w:right="1304" w:bottom="1304" w:left="1304" w:header="720" w:footer="720" w:gutter="0"/>
          <w:pgNumType w:fmt="decimal"/>
          <w:cols w:space="720" w:num="1"/>
          <w:docGrid w:type="lines" w:linePitch="339" w:charSpace="0"/>
        </w:sectPr>
      </w:pPr>
    </w:p>
    <w:p w14:paraId="4BF211DA">
      <w:pPr>
        <w:jc w:val="center"/>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知识产权合规性声明</w:t>
      </w:r>
    </w:p>
    <w:p w14:paraId="0747E073">
      <w:pPr>
        <w:rPr>
          <w:rFonts w:hint="eastAsia" w:ascii="仿宋" w:hAnsi="仿宋" w:eastAsia="仿宋" w:cs="仿宋"/>
          <w:sz w:val="30"/>
          <w:szCs w:val="30"/>
          <w:highlight w:val="none"/>
        </w:rPr>
      </w:pPr>
      <w:r>
        <w:rPr>
          <w:rFonts w:hint="eastAsia" w:ascii="仿宋" w:hAnsi="仿宋" w:eastAsia="仿宋" w:cs="仿宋"/>
          <w:sz w:val="30"/>
          <w:szCs w:val="30"/>
          <w:highlight w:val="none"/>
        </w:rPr>
        <w:t xml:space="preserve">    </w:t>
      </w:r>
    </w:p>
    <w:p w14:paraId="7850F1A9">
      <w:pPr>
        <w:spacing w:line="48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本企业（单位）自愿参与政府投资政府采购的</w:t>
      </w:r>
      <w:bookmarkStart w:id="137" w:name="PO_3000001868_PM002_14"/>
      <w:bookmarkEnd w:id="137"/>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项目，</w:t>
      </w:r>
      <w:r>
        <w:rPr>
          <w:rFonts w:hint="eastAsia" w:ascii="仿宋" w:hAnsi="仿宋" w:eastAsia="仿宋" w:cs="仿宋"/>
          <w:b/>
          <w:bCs/>
          <w:sz w:val="24"/>
          <w:highlight w:val="none"/>
        </w:rPr>
        <w:t>在此郑重承诺：</w:t>
      </w:r>
      <w:r>
        <w:rPr>
          <w:rFonts w:hint="eastAsia" w:ascii="仿宋" w:hAnsi="仿宋" w:eastAsia="仿宋" w:cs="仿宋"/>
          <w:sz w:val="24"/>
          <w:highlight w:val="none"/>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21CF324A">
      <w:pPr>
        <w:snapToGrid w:val="0"/>
        <w:spacing w:line="360" w:lineRule="auto"/>
        <w:ind w:left="5137" w:leftChars="1736" w:hanging="1491" w:hangingChars="825"/>
        <w:rPr>
          <w:rFonts w:hint="eastAsia" w:ascii="仿宋" w:hAnsi="仿宋" w:eastAsia="仿宋" w:cs="仿宋"/>
          <w:b/>
          <w:sz w:val="18"/>
          <w:szCs w:val="18"/>
          <w:highlight w:val="none"/>
        </w:rPr>
      </w:pPr>
      <w:r>
        <w:rPr>
          <w:rFonts w:hint="eastAsia" w:ascii="仿宋" w:hAnsi="仿宋" w:eastAsia="仿宋" w:cs="仿宋"/>
          <w:b/>
          <w:sz w:val="18"/>
          <w:szCs w:val="18"/>
          <w:highlight w:val="none"/>
        </w:rPr>
        <w:t xml:space="preserve">           </w:t>
      </w:r>
    </w:p>
    <w:p w14:paraId="7D2D777D">
      <w:pPr>
        <w:snapToGrid w:val="0"/>
        <w:spacing w:line="360" w:lineRule="auto"/>
        <w:ind w:left="5137" w:leftChars="1736" w:hanging="1491" w:hangingChars="825"/>
        <w:rPr>
          <w:rFonts w:hint="eastAsia" w:ascii="仿宋" w:hAnsi="仿宋" w:eastAsia="仿宋" w:cs="仿宋"/>
          <w:b/>
          <w:sz w:val="18"/>
          <w:szCs w:val="18"/>
          <w:highlight w:val="none"/>
        </w:rPr>
      </w:pPr>
      <w:r>
        <w:rPr>
          <w:rFonts w:hint="eastAsia" w:ascii="仿宋" w:hAnsi="仿宋" w:eastAsia="仿宋" w:cs="仿宋"/>
          <w:b/>
          <w:sz w:val="18"/>
          <w:szCs w:val="18"/>
          <w:highlight w:val="none"/>
        </w:rPr>
        <w:t xml:space="preserve"> </w:t>
      </w:r>
    </w:p>
    <w:p w14:paraId="0B926506">
      <w:pPr>
        <w:snapToGrid w:val="0"/>
        <w:spacing w:line="360" w:lineRule="auto"/>
        <w:ind w:left="5137" w:leftChars="1736" w:hanging="1491" w:hangingChars="825"/>
        <w:rPr>
          <w:rFonts w:hint="eastAsia" w:ascii="仿宋" w:hAnsi="仿宋" w:eastAsia="仿宋" w:cs="仿宋"/>
          <w:b/>
          <w:sz w:val="18"/>
          <w:szCs w:val="18"/>
          <w:highlight w:val="none"/>
        </w:rPr>
      </w:pPr>
      <w:r>
        <w:rPr>
          <w:rFonts w:hint="eastAsia" w:ascii="仿宋" w:hAnsi="仿宋" w:eastAsia="仿宋" w:cs="仿宋"/>
          <w:b/>
          <w:sz w:val="18"/>
          <w:szCs w:val="18"/>
          <w:highlight w:val="none"/>
        </w:rPr>
        <w:t xml:space="preserve"> </w:t>
      </w:r>
    </w:p>
    <w:p w14:paraId="16112DC3">
      <w:pPr>
        <w:snapToGrid w:val="0"/>
        <w:spacing w:line="360" w:lineRule="auto"/>
        <w:ind w:left="5137" w:leftChars="1736" w:hanging="1491" w:hangingChars="825"/>
        <w:rPr>
          <w:rFonts w:hint="eastAsia" w:ascii="仿宋" w:hAnsi="仿宋" w:eastAsia="仿宋" w:cs="仿宋"/>
          <w:b/>
          <w:sz w:val="18"/>
          <w:szCs w:val="18"/>
          <w:highlight w:val="none"/>
        </w:rPr>
      </w:pPr>
      <w:r>
        <w:rPr>
          <w:rFonts w:hint="eastAsia" w:ascii="仿宋" w:hAnsi="仿宋" w:eastAsia="仿宋" w:cs="仿宋"/>
          <w:b/>
          <w:sz w:val="18"/>
          <w:szCs w:val="18"/>
          <w:highlight w:val="none"/>
        </w:rPr>
        <w:t xml:space="preserve"> </w:t>
      </w:r>
    </w:p>
    <w:p w14:paraId="2CA1ADD5">
      <w:pPr>
        <w:spacing w:line="360" w:lineRule="auto"/>
        <w:ind w:firstLine="1807" w:firstLineChars="1000"/>
        <w:contextualSpacing/>
        <w:rPr>
          <w:rFonts w:hint="eastAsia" w:ascii="仿宋" w:hAnsi="仿宋" w:eastAsia="仿宋" w:cs="仿宋"/>
          <w:sz w:val="24"/>
          <w:highlight w:val="none"/>
        </w:rPr>
      </w:pPr>
      <w:r>
        <w:rPr>
          <w:rFonts w:hint="eastAsia" w:ascii="仿宋" w:hAnsi="仿宋" w:eastAsia="仿宋" w:cs="仿宋"/>
          <w:b/>
          <w:sz w:val="18"/>
          <w:szCs w:val="18"/>
          <w:highlight w:val="none"/>
        </w:rPr>
        <w:t xml:space="preserve">      </w:t>
      </w:r>
      <w:r>
        <w:rPr>
          <w:rFonts w:hint="eastAsia" w:ascii="仿宋" w:hAnsi="仿宋" w:eastAsia="仿宋" w:cs="仿宋"/>
          <w:sz w:val="24"/>
          <w:highlight w:val="none"/>
        </w:rPr>
        <w:t>供应商名称（电子签章）：</w:t>
      </w:r>
    </w:p>
    <w:p w14:paraId="6F5D89A9">
      <w:pPr>
        <w:snapToGrid w:val="0"/>
        <w:spacing w:line="360" w:lineRule="auto"/>
        <w:ind w:firstLine="5160" w:firstLineChars="2150"/>
        <w:rPr>
          <w:rFonts w:hint="eastAsia" w:ascii="仿宋" w:hAnsi="仿宋" w:eastAsia="仿宋" w:cs="仿宋"/>
          <w:sz w:val="24"/>
          <w:highlight w:val="none"/>
        </w:rPr>
      </w:pPr>
      <w:r>
        <w:rPr>
          <w:rFonts w:hint="eastAsia" w:ascii="仿宋" w:hAnsi="仿宋" w:eastAsia="仿宋" w:cs="仿宋"/>
          <w:sz w:val="24"/>
          <w:highlight w:val="none"/>
        </w:rPr>
        <w:t>日  期：     年   月   日</w:t>
      </w:r>
    </w:p>
    <w:p w14:paraId="7D8A52E7">
      <w:pPr>
        <w:spacing w:line="520" w:lineRule="exact"/>
        <w:jc w:val="center"/>
        <w:rPr>
          <w:rFonts w:hint="eastAsia" w:ascii="仿宋" w:hAnsi="仿宋" w:eastAsia="仿宋" w:cs="仿宋"/>
          <w:sz w:val="24"/>
          <w:highlight w:val="none"/>
        </w:rPr>
      </w:pPr>
    </w:p>
    <w:p w14:paraId="72CF7DDD">
      <w:pPr>
        <w:spacing w:line="520" w:lineRule="exact"/>
        <w:jc w:val="center"/>
        <w:rPr>
          <w:rFonts w:hint="eastAsia" w:ascii="仿宋" w:hAnsi="仿宋" w:eastAsia="仿宋" w:cs="仿宋"/>
          <w:sz w:val="24"/>
          <w:highlight w:val="none"/>
        </w:rPr>
      </w:pPr>
    </w:p>
    <w:p w14:paraId="1845F020">
      <w:pPr>
        <w:spacing w:line="520" w:lineRule="exact"/>
        <w:jc w:val="center"/>
        <w:rPr>
          <w:rFonts w:hint="eastAsia" w:ascii="仿宋" w:hAnsi="仿宋" w:eastAsia="仿宋" w:cs="仿宋"/>
          <w:sz w:val="24"/>
          <w:highlight w:val="none"/>
        </w:rPr>
      </w:pPr>
    </w:p>
    <w:p w14:paraId="4EF74462">
      <w:pPr>
        <w:spacing w:line="520" w:lineRule="exact"/>
        <w:jc w:val="center"/>
        <w:rPr>
          <w:rFonts w:hint="eastAsia" w:ascii="仿宋" w:hAnsi="仿宋" w:eastAsia="仿宋" w:cs="仿宋"/>
          <w:sz w:val="24"/>
          <w:highlight w:val="none"/>
        </w:rPr>
      </w:pPr>
    </w:p>
    <w:p w14:paraId="2292A1F5">
      <w:pPr>
        <w:spacing w:line="520" w:lineRule="exact"/>
        <w:jc w:val="center"/>
        <w:rPr>
          <w:rFonts w:hint="eastAsia" w:ascii="仿宋" w:hAnsi="仿宋" w:eastAsia="仿宋" w:cs="仿宋"/>
          <w:sz w:val="24"/>
          <w:highlight w:val="none"/>
        </w:rPr>
      </w:pPr>
    </w:p>
    <w:p w14:paraId="39C55FA6">
      <w:pPr>
        <w:spacing w:line="520" w:lineRule="exact"/>
        <w:jc w:val="center"/>
        <w:rPr>
          <w:rFonts w:hint="eastAsia" w:ascii="仿宋" w:hAnsi="仿宋" w:eastAsia="仿宋" w:cs="仿宋"/>
          <w:sz w:val="24"/>
          <w:highlight w:val="none"/>
        </w:rPr>
      </w:pPr>
    </w:p>
    <w:p w14:paraId="5E8350B2">
      <w:pPr>
        <w:spacing w:line="520" w:lineRule="exact"/>
        <w:jc w:val="center"/>
        <w:rPr>
          <w:rFonts w:hint="eastAsia" w:ascii="仿宋" w:hAnsi="仿宋" w:eastAsia="仿宋" w:cs="仿宋"/>
          <w:sz w:val="24"/>
          <w:highlight w:val="none"/>
        </w:rPr>
      </w:pPr>
    </w:p>
    <w:p w14:paraId="450D9DFF">
      <w:pPr>
        <w:spacing w:line="520" w:lineRule="exact"/>
        <w:jc w:val="center"/>
        <w:rPr>
          <w:rFonts w:hint="eastAsia" w:ascii="仿宋" w:hAnsi="仿宋" w:eastAsia="仿宋" w:cs="仿宋"/>
          <w:sz w:val="24"/>
          <w:highlight w:val="none"/>
        </w:rPr>
      </w:pPr>
    </w:p>
    <w:p w14:paraId="6ACA722A">
      <w:pPr>
        <w:spacing w:line="520" w:lineRule="exact"/>
        <w:jc w:val="center"/>
        <w:rPr>
          <w:rFonts w:hint="eastAsia" w:ascii="仿宋" w:hAnsi="仿宋" w:eastAsia="仿宋" w:cs="仿宋"/>
          <w:sz w:val="24"/>
          <w:highlight w:val="none"/>
        </w:rPr>
      </w:pPr>
    </w:p>
    <w:p w14:paraId="5B833802">
      <w:pPr>
        <w:spacing w:line="520" w:lineRule="exact"/>
        <w:jc w:val="center"/>
        <w:rPr>
          <w:rFonts w:hint="eastAsia" w:ascii="仿宋" w:hAnsi="仿宋" w:eastAsia="仿宋" w:cs="仿宋"/>
          <w:sz w:val="24"/>
          <w:highlight w:val="none"/>
        </w:rPr>
      </w:pPr>
    </w:p>
    <w:p w14:paraId="7DF59B4C">
      <w:pPr>
        <w:spacing w:line="520" w:lineRule="exact"/>
        <w:jc w:val="center"/>
        <w:rPr>
          <w:rFonts w:hint="eastAsia" w:ascii="仿宋" w:hAnsi="仿宋" w:eastAsia="仿宋" w:cs="仿宋"/>
          <w:sz w:val="24"/>
          <w:highlight w:val="none"/>
        </w:rPr>
      </w:pPr>
    </w:p>
    <w:p w14:paraId="3C3D5A83">
      <w:pPr>
        <w:spacing w:line="520" w:lineRule="exact"/>
        <w:jc w:val="center"/>
        <w:rPr>
          <w:rFonts w:hint="eastAsia" w:ascii="仿宋" w:hAnsi="仿宋" w:eastAsia="仿宋" w:cs="仿宋"/>
          <w:sz w:val="24"/>
          <w:highlight w:val="none"/>
        </w:rPr>
      </w:pPr>
    </w:p>
    <w:p w14:paraId="3D8E2DC7">
      <w:pPr>
        <w:spacing w:line="520" w:lineRule="exact"/>
        <w:jc w:val="center"/>
        <w:rPr>
          <w:rFonts w:hint="eastAsia" w:ascii="仿宋" w:hAnsi="仿宋" w:eastAsia="仿宋" w:cs="仿宋"/>
          <w:sz w:val="24"/>
          <w:highlight w:val="none"/>
        </w:rPr>
      </w:pPr>
    </w:p>
    <w:p w14:paraId="015B39F3">
      <w:pPr>
        <w:spacing w:line="520" w:lineRule="exact"/>
        <w:jc w:val="center"/>
        <w:rPr>
          <w:rFonts w:hint="eastAsia" w:ascii="仿宋" w:hAnsi="仿宋" w:eastAsia="仿宋" w:cs="仿宋"/>
          <w:sz w:val="24"/>
          <w:highlight w:val="none"/>
        </w:rPr>
      </w:pPr>
    </w:p>
    <w:p w14:paraId="1FDDF9BE">
      <w:pPr>
        <w:keepNext/>
        <w:keepLines/>
        <w:numPr>
          <w:ilvl w:val="0"/>
          <w:numId w:val="4"/>
        </w:numPr>
        <w:spacing w:before="340" w:after="330" w:line="578" w:lineRule="auto"/>
        <w:jc w:val="center"/>
        <w:outlineLvl w:val="0"/>
        <w:rPr>
          <w:rFonts w:hint="eastAsia" w:ascii="仿宋" w:hAnsi="仿宋" w:eastAsia="仿宋" w:cs="仿宋"/>
          <w:kern w:val="44"/>
          <w:sz w:val="44"/>
          <w:szCs w:val="44"/>
          <w:highlight w:val="none"/>
        </w:rPr>
      </w:pPr>
      <w:bookmarkStart w:id="138" w:name="_Toc24183"/>
      <w:bookmarkStart w:id="139" w:name="_Toc127516341"/>
      <w:r>
        <w:rPr>
          <w:rFonts w:hint="eastAsia" w:ascii="仿宋" w:hAnsi="仿宋" w:eastAsia="仿宋" w:cs="仿宋"/>
          <w:kern w:val="44"/>
          <w:sz w:val="44"/>
          <w:szCs w:val="44"/>
          <w:highlight w:val="none"/>
        </w:rPr>
        <w:t>合同文本</w:t>
      </w:r>
      <w:bookmarkEnd w:id="138"/>
      <w:bookmarkEnd w:id="139"/>
    </w:p>
    <w:p w14:paraId="2D034B38">
      <w:pPr>
        <w:pStyle w:val="3"/>
        <w:jc w:val="center"/>
        <w:rPr>
          <w:rFonts w:hint="eastAsia" w:ascii="仿宋" w:hAnsi="仿宋" w:eastAsia="仿宋" w:cs="仿宋"/>
          <w:b w:val="0"/>
          <w:bCs w:val="0"/>
          <w:highlight w:val="none"/>
        </w:rPr>
      </w:pPr>
      <w:r>
        <w:rPr>
          <w:rFonts w:hint="eastAsia" w:ascii="仿宋" w:hAnsi="仿宋" w:eastAsia="仿宋" w:cs="仿宋"/>
          <w:b w:val="0"/>
          <w:bCs w:val="0"/>
          <w:highlight w:val="none"/>
        </w:rPr>
        <w:br w:type="page"/>
      </w:r>
    </w:p>
    <w:p w14:paraId="6E2BAE69">
      <w:pPr>
        <w:rPr>
          <w:rFonts w:hint="eastAsia" w:ascii="仿宋" w:hAnsi="仿宋" w:eastAsia="仿宋" w:cs="仿宋"/>
          <w:sz w:val="24"/>
          <w:highlight w:val="none"/>
        </w:rPr>
      </w:pPr>
      <w:r>
        <w:rPr>
          <w:rFonts w:hint="eastAsia" w:ascii="仿宋" w:hAnsi="仿宋" w:eastAsia="仿宋" w:cs="仿宋"/>
          <w:sz w:val="24"/>
          <w:highlight w:val="none"/>
        </w:rPr>
        <w:t>“广西政府采购云”平台合同编号：</w:t>
      </w:r>
    </w:p>
    <w:p w14:paraId="4A319BEA">
      <w:pPr>
        <w:rPr>
          <w:rFonts w:hint="eastAsia" w:ascii="仿宋" w:hAnsi="仿宋" w:eastAsia="仿宋" w:cs="仿宋"/>
          <w:sz w:val="24"/>
          <w:highlight w:val="none"/>
        </w:rPr>
      </w:pPr>
    </w:p>
    <w:p w14:paraId="381E3BBE">
      <w:pPr>
        <w:rPr>
          <w:rFonts w:hint="eastAsia" w:ascii="仿宋" w:hAnsi="仿宋" w:eastAsia="仿宋" w:cs="仿宋"/>
          <w:sz w:val="24"/>
          <w:highlight w:val="none"/>
        </w:rPr>
      </w:pPr>
    </w:p>
    <w:p w14:paraId="4F9E2E83">
      <w:pPr>
        <w:spacing w:line="360" w:lineRule="auto"/>
        <w:jc w:val="center"/>
        <w:rPr>
          <w:rFonts w:hint="eastAsia" w:ascii="仿宋" w:hAnsi="仿宋" w:eastAsia="仿宋" w:cs="仿宋"/>
          <w:b/>
          <w:bCs/>
          <w:sz w:val="52"/>
          <w:highlight w:val="none"/>
        </w:rPr>
      </w:pPr>
      <w:r>
        <w:rPr>
          <w:rFonts w:hint="eastAsia" w:ascii="仿宋" w:hAnsi="仿宋" w:eastAsia="仿宋" w:cs="仿宋"/>
          <w:b/>
          <w:bCs/>
          <w:sz w:val="52"/>
          <w:highlight w:val="none"/>
        </w:rPr>
        <w:t>南 宁 市 政 府 采 购</w:t>
      </w:r>
    </w:p>
    <w:p w14:paraId="7DEF7D01">
      <w:pPr>
        <w:spacing w:line="360" w:lineRule="auto"/>
        <w:ind w:firstLine="420" w:firstLineChars="200"/>
        <w:rPr>
          <w:rFonts w:hint="eastAsia" w:ascii="仿宋" w:hAnsi="仿宋" w:eastAsia="仿宋" w:cs="仿宋"/>
          <w:highlight w:val="none"/>
        </w:rPr>
      </w:pPr>
    </w:p>
    <w:p w14:paraId="288CACFA">
      <w:pPr>
        <w:spacing w:line="360" w:lineRule="auto"/>
        <w:ind w:firstLine="420" w:firstLineChars="200"/>
        <w:rPr>
          <w:rFonts w:hint="eastAsia" w:ascii="仿宋" w:hAnsi="仿宋" w:eastAsia="仿宋" w:cs="仿宋"/>
          <w:highlight w:val="none"/>
        </w:rPr>
      </w:pPr>
      <w:r>
        <w:rPr>
          <w:rFonts w:hint="eastAsia" w:ascii="仿宋" w:hAnsi="仿宋" w:eastAsia="仿宋" w:cs="仿宋"/>
          <w:highlight w:val="none"/>
        </w:rPr>
        <w:t xml:space="preserve">                                                 </w:t>
      </w:r>
    </w:p>
    <w:p w14:paraId="7F9B3CD9">
      <w:pPr>
        <w:spacing w:line="360" w:lineRule="auto"/>
        <w:jc w:val="center"/>
        <w:rPr>
          <w:rFonts w:hint="eastAsia" w:ascii="仿宋" w:hAnsi="仿宋" w:eastAsia="仿宋" w:cs="仿宋"/>
          <w:b/>
          <w:bCs/>
          <w:sz w:val="44"/>
          <w:highlight w:val="none"/>
        </w:rPr>
      </w:pPr>
      <w:r>
        <w:rPr>
          <w:rFonts w:hint="eastAsia" w:ascii="仿宋" w:hAnsi="仿宋" w:eastAsia="仿宋" w:cs="仿宋"/>
          <w:b/>
          <w:bCs/>
          <w:sz w:val="44"/>
          <w:highlight w:val="none"/>
          <w:u w:val="single"/>
        </w:rPr>
        <w:t xml:space="preserve"> </w:t>
      </w:r>
      <w:r>
        <w:rPr>
          <w:rFonts w:hint="eastAsia" w:ascii="仿宋" w:hAnsi="仿宋" w:eastAsia="仿宋" w:cs="仿宋"/>
          <w:b/>
          <w:bCs/>
          <w:sz w:val="44"/>
          <w:highlight w:val="none"/>
          <w:u w:val="single"/>
          <w:lang w:eastAsia="zh-CN"/>
        </w:rPr>
        <w:t>南宁市公交企业客运成本规制补贴第三方专项审计项目</w:t>
      </w:r>
      <w:r>
        <w:rPr>
          <w:rFonts w:hint="eastAsia" w:ascii="仿宋" w:hAnsi="仿宋" w:eastAsia="仿宋" w:cs="仿宋"/>
          <w:b/>
          <w:bCs/>
          <w:sz w:val="44"/>
          <w:highlight w:val="none"/>
          <w:u w:val="single"/>
        </w:rPr>
        <w:t xml:space="preserve"> </w:t>
      </w:r>
      <w:r>
        <w:rPr>
          <w:rFonts w:hint="eastAsia" w:ascii="仿宋" w:hAnsi="仿宋" w:eastAsia="仿宋" w:cs="仿宋"/>
          <w:b/>
          <w:bCs/>
          <w:sz w:val="44"/>
          <w:highlight w:val="none"/>
        </w:rPr>
        <w:t>合同</w:t>
      </w:r>
    </w:p>
    <w:p w14:paraId="30C35EF7">
      <w:pPr>
        <w:spacing w:line="360" w:lineRule="auto"/>
        <w:jc w:val="center"/>
        <w:rPr>
          <w:rFonts w:hint="eastAsia" w:ascii="仿宋" w:hAnsi="仿宋" w:eastAsia="仿宋" w:cs="仿宋"/>
          <w:b/>
          <w:bCs/>
          <w:sz w:val="44"/>
          <w:highlight w:val="none"/>
        </w:rPr>
      </w:pPr>
    </w:p>
    <w:p w14:paraId="7CC86A34">
      <w:pPr>
        <w:spacing w:line="360" w:lineRule="auto"/>
        <w:ind w:firstLine="3507" w:firstLineChars="794"/>
        <w:rPr>
          <w:rFonts w:hint="eastAsia" w:ascii="仿宋" w:hAnsi="仿宋" w:eastAsia="仿宋" w:cs="仿宋"/>
          <w:b/>
          <w:bCs/>
          <w:sz w:val="44"/>
          <w:highlight w:val="none"/>
        </w:rPr>
      </w:pPr>
    </w:p>
    <w:p w14:paraId="2F239EC4">
      <w:pPr>
        <w:spacing w:line="360" w:lineRule="auto"/>
        <w:ind w:firstLine="3507" w:firstLineChars="794"/>
        <w:rPr>
          <w:rFonts w:hint="eastAsia" w:ascii="仿宋" w:hAnsi="仿宋" w:eastAsia="仿宋" w:cs="仿宋"/>
          <w:b/>
          <w:bCs/>
          <w:sz w:val="44"/>
          <w:highlight w:val="none"/>
        </w:rPr>
      </w:pPr>
    </w:p>
    <w:p w14:paraId="1980F5BE">
      <w:pPr>
        <w:ind w:firstLine="723" w:firstLineChars="200"/>
        <w:rPr>
          <w:rFonts w:hint="eastAsia" w:ascii="仿宋" w:hAnsi="仿宋" w:eastAsia="仿宋" w:cs="仿宋"/>
          <w:b/>
          <w:color w:val="auto"/>
          <w:sz w:val="36"/>
          <w:szCs w:val="36"/>
          <w:highlight w:val="none"/>
        </w:rPr>
      </w:pPr>
      <w:r>
        <w:rPr>
          <w:rFonts w:hint="eastAsia" w:ascii="仿宋" w:hAnsi="仿宋" w:eastAsia="仿宋" w:cs="仿宋"/>
          <w:b/>
          <w:sz w:val="36"/>
          <w:szCs w:val="36"/>
          <w:highlight w:val="none"/>
        </w:rPr>
        <w:t>采购项目编号：</w:t>
      </w:r>
      <w:r>
        <w:rPr>
          <w:rFonts w:hint="eastAsia" w:ascii="仿宋" w:hAnsi="仿宋" w:eastAsia="仿宋" w:cs="仿宋"/>
          <w:b/>
          <w:color w:val="auto"/>
          <w:sz w:val="36"/>
          <w:szCs w:val="36"/>
          <w:highlight w:val="none"/>
          <w:u w:val="single"/>
        </w:rPr>
        <w:t xml:space="preserve"> </w:t>
      </w:r>
      <w:r>
        <w:rPr>
          <w:rFonts w:hint="eastAsia" w:ascii="仿宋" w:hAnsi="仿宋" w:eastAsia="仿宋" w:cs="仿宋"/>
          <w:b/>
          <w:color w:val="auto"/>
          <w:sz w:val="36"/>
          <w:szCs w:val="36"/>
          <w:highlight w:val="none"/>
          <w:u w:val="single"/>
          <w:lang w:eastAsia="zh-CN"/>
        </w:rPr>
        <w:t>NNZC2026-C3-990390-GXZX</w:t>
      </w:r>
      <w:r>
        <w:rPr>
          <w:rFonts w:hint="eastAsia" w:ascii="仿宋" w:hAnsi="仿宋" w:eastAsia="仿宋" w:cs="仿宋"/>
          <w:b/>
          <w:color w:val="auto"/>
          <w:sz w:val="36"/>
          <w:szCs w:val="36"/>
          <w:highlight w:val="none"/>
          <w:u w:val="single"/>
        </w:rPr>
        <w:t xml:space="preserve"> </w:t>
      </w:r>
    </w:p>
    <w:p w14:paraId="5A268FEE">
      <w:pPr>
        <w:ind w:firstLine="723" w:firstLineChars="200"/>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采购计划编号：</w:t>
      </w:r>
      <w:r>
        <w:rPr>
          <w:rFonts w:hint="eastAsia" w:ascii="仿宋" w:hAnsi="仿宋" w:eastAsia="仿宋" w:cs="仿宋"/>
          <w:b/>
          <w:color w:val="auto"/>
          <w:sz w:val="36"/>
          <w:szCs w:val="36"/>
          <w:highlight w:val="none"/>
          <w:u w:val="single"/>
        </w:rPr>
        <w:t xml:space="preserve"> </w:t>
      </w:r>
      <w:r>
        <w:rPr>
          <w:rFonts w:hint="eastAsia" w:ascii="仿宋" w:hAnsi="仿宋" w:eastAsia="仿宋" w:cs="仿宋"/>
          <w:b/>
          <w:color w:val="auto"/>
          <w:sz w:val="36"/>
          <w:szCs w:val="36"/>
          <w:highlight w:val="none"/>
          <w:u w:val="single"/>
          <w:lang w:val="en-US" w:eastAsia="zh-CN"/>
        </w:rPr>
        <w:t>NNZC[2026]    号</w:t>
      </w:r>
      <w:r>
        <w:rPr>
          <w:rFonts w:hint="eastAsia" w:ascii="仿宋" w:hAnsi="仿宋" w:eastAsia="仿宋" w:cs="仿宋"/>
          <w:b/>
          <w:color w:val="auto"/>
          <w:sz w:val="36"/>
          <w:szCs w:val="36"/>
          <w:highlight w:val="none"/>
          <w:u w:val="single"/>
        </w:rPr>
        <w:t xml:space="preserve"> </w:t>
      </w:r>
    </w:p>
    <w:p w14:paraId="6CF21937">
      <w:pPr>
        <w:ind w:firstLine="1308" w:firstLineChars="545"/>
        <w:rPr>
          <w:rFonts w:hint="eastAsia" w:ascii="仿宋" w:hAnsi="仿宋" w:eastAsia="仿宋" w:cs="仿宋"/>
          <w:sz w:val="24"/>
          <w:highlight w:val="none"/>
        </w:rPr>
      </w:pPr>
    </w:p>
    <w:p w14:paraId="1346AAFF">
      <w:pPr>
        <w:ind w:firstLine="1995" w:firstLineChars="552"/>
        <w:rPr>
          <w:rFonts w:hint="eastAsia" w:ascii="仿宋" w:hAnsi="仿宋" w:eastAsia="仿宋" w:cs="仿宋"/>
          <w:b/>
          <w:sz w:val="36"/>
          <w:szCs w:val="36"/>
          <w:highlight w:val="none"/>
          <w:u w:val="single"/>
        </w:rPr>
      </w:pPr>
    </w:p>
    <w:p w14:paraId="29ACED12">
      <w:pPr>
        <w:ind w:firstLine="1995" w:firstLineChars="552"/>
        <w:rPr>
          <w:rFonts w:hint="eastAsia" w:ascii="仿宋" w:hAnsi="仿宋" w:eastAsia="仿宋" w:cs="仿宋"/>
          <w:b/>
          <w:sz w:val="36"/>
          <w:szCs w:val="36"/>
          <w:highlight w:val="none"/>
          <w:u w:val="single"/>
        </w:rPr>
      </w:pPr>
    </w:p>
    <w:p w14:paraId="2DE053E1">
      <w:pPr>
        <w:tabs>
          <w:tab w:val="left" w:pos="7200"/>
        </w:tabs>
        <w:spacing w:line="360" w:lineRule="auto"/>
        <w:ind w:firstLine="1995" w:firstLineChars="552"/>
        <w:rPr>
          <w:rFonts w:hint="eastAsia" w:ascii="仿宋" w:hAnsi="仿宋" w:eastAsia="仿宋" w:cs="仿宋"/>
          <w:b/>
          <w:sz w:val="36"/>
          <w:szCs w:val="36"/>
          <w:highlight w:val="none"/>
          <w:u w:val="single"/>
        </w:rPr>
      </w:pPr>
      <w:r>
        <w:rPr>
          <w:rFonts w:hint="eastAsia" w:ascii="仿宋" w:hAnsi="仿宋" w:eastAsia="仿宋" w:cs="仿宋"/>
          <w:b/>
          <w:sz w:val="36"/>
          <w:szCs w:val="36"/>
          <w:highlight w:val="none"/>
        </w:rPr>
        <w:t>采购人：</w:t>
      </w:r>
      <w:r>
        <w:rPr>
          <w:rFonts w:hint="eastAsia" w:ascii="仿宋" w:hAnsi="仿宋" w:eastAsia="仿宋" w:cs="仿宋"/>
          <w:b/>
          <w:sz w:val="36"/>
          <w:szCs w:val="36"/>
          <w:highlight w:val="none"/>
          <w:u w:val="single"/>
        </w:rPr>
        <w:t xml:space="preserve">                       </w:t>
      </w:r>
    </w:p>
    <w:p w14:paraId="49C18027">
      <w:pPr>
        <w:tabs>
          <w:tab w:val="left" w:pos="7380"/>
        </w:tabs>
        <w:spacing w:line="360" w:lineRule="auto"/>
        <w:ind w:firstLine="1995" w:firstLineChars="552"/>
        <w:rPr>
          <w:rFonts w:hint="eastAsia" w:ascii="仿宋" w:hAnsi="仿宋" w:eastAsia="仿宋" w:cs="仿宋"/>
          <w:b/>
          <w:bCs/>
          <w:sz w:val="44"/>
          <w:highlight w:val="none"/>
        </w:rPr>
      </w:pPr>
      <w:r>
        <w:rPr>
          <w:rFonts w:hint="eastAsia" w:ascii="仿宋" w:hAnsi="仿宋" w:eastAsia="仿宋" w:cs="仿宋"/>
          <w:b/>
          <w:sz w:val="36"/>
          <w:szCs w:val="36"/>
          <w:highlight w:val="none"/>
        </w:rPr>
        <w:t>成交供应商：</w:t>
      </w:r>
      <w:r>
        <w:rPr>
          <w:rFonts w:hint="eastAsia" w:ascii="仿宋" w:hAnsi="仿宋" w:eastAsia="仿宋" w:cs="仿宋"/>
          <w:b/>
          <w:sz w:val="36"/>
          <w:szCs w:val="36"/>
          <w:highlight w:val="none"/>
          <w:u w:val="single"/>
        </w:rPr>
        <w:t xml:space="preserve">                   </w:t>
      </w:r>
    </w:p>
    <w:p w14:paraId="1DB13B16">
      <w:pPr>
        <w:tabs>
          <w:tab w:val="left" w:pos="7380"/>
        </w:tabs>
        <w:spacing w:line="360" w:lineRule="auto"/>
        <w:rPr>
          <w:rFonts w:hint="eastAsia" w:ascii="仿宋" w:hAnsi="仿宋" w:eastAsia="仿宋" w:cs="仿宋"/>
          <w:b/>
          <w:bCs/>
          <w:sz w:val="44"/>
          <w:highlight w:val="none"/>
        </w:rPr>
      </w:pPr>
    </w:p>
    <w:p w14:paraId="0F7D66DF">
      <w:pPr>
        <w:tabs>
          <w:tab w:val="left" w:pos="7380"/>
        </w:tabs>
        <w:spacing w:line="360" w:lineRule="auto"/>
        <w:rPr>
          <w:rFonts w:hint="eastAsia" w:ascii="仿宋" w:hAnsi="仿宋" w:eastAsia="仿宋" w:cs="仿宋"/>
          <w:b/>
          <w:bCs/>
          <w:sz w:val="44"/>
          <w:highlight w:val="none"/>
        </w:rPr>
      </w:pPr>
    </w:p>
    <w:p w14:paraId="6C31268E">
      <w:pPr>
        <w:tabs>
          <w:tab w:val="left" w:pos="7380"/>
        </w:tabs>
        <w:spacing w:line="360" w:lineRule="auto"/>
        <w:rPr>
          <w:rFonts w:hint="eastAsia" w:ascii="仿宋" w:hAnsi="仿宋" w:eastAsia="仿宋" w:cs="仿宋"/>
          <w:b/>
          <w:bCs/>
          <w:sz w:val="44"/>
          <w:highlight w:val="none"/>
        </w:rPr>
      </w:pPr>
    </w:p>
    <w:p w14:paraId="4A8041F4">
      <w:pPr>
        <w:tabs>
          <w:tab w:val="left" w:pos="7380"/>
        </w:tabs>
        <w:spacing w:line="360" w:lineRule="auto"/>
        <w:ind w:firstLine="3360" w:firstLineChars="1400"/>
        <w:rPr>
          <w:rFonts w:hint="eastAsia" w:ascii="仿宋" w:hAnsi="仿宋" w:eastAsia="仿宋" w:cs="仿宋"/>
          <w:sz w:val="24"/>
          <w:highlight w:val="none"/>
          <w:lang w:val="zh-CN"/>
        </w:rPr>
      </w:pPr>
      <w:r>
        <w:rPr>
          <w:rFonts w:hint="eastAsia" w:ascii="仿宋" w:hAnsi="仿宋" w:eastAsia="仿宋" w:cs="仿宋"/>
          <w:sz w:val="24"/>
          <w:highlight w:val="none"/>
          <w:lang w:val="zh-CN"/>
        </w:rPr>
        <w:t>签订时间：</w:t>
      </w:r>
      <w:r>
        <w:rPr>
          <w:rFonts w:hint="eastAsia" w:ascii="仿宋" w:hAnsi="仿宋" w:eastAsia="仿宋" w:cs="仿宋"/>
          <w:sz w:val="24"/>
          <w:highlight w:val="none"/>
          <w:u w:val="single"/>
          <w:lang w:val="zh-CN"/>
        </w:rPr>
        <w:t xml:space="preserve">     </w:t>
      </w:r>
      <w:r>
        <w:rPr>
          <w:rFonts w:hint="eastAsia" w:ascii="仿宋" w:hAnsi="仿宋" w:eastAsia="仿宋" w:cs="仿宋"/>
          <w:sz w:val="24"/>
          <w:highlight w:val="none"/>
          <w:lang w:val="zh-CN"/>
        </w:rPr>
        <w:t>年</w:t>
      </w:r>
      <w:r>
        <w:rPr>
          <w:rFonts w:hint="eastAsia" w:ascii="仿宋" w:hAnsi="仿宋" w:eastAsia="仿宋" w:cs="仿宋"/>
          <w:sz w:val="24"/>
          <w:highlight w:val="none"/>
          <w:u w:val="single"/>
          <w:lang w:val="zh-CN"/>
        </w:rPr>
        <w:t xml:space="preserve">    </w:t>
      </w:r>
      <w:r>
        <w:rPr>
          <w:rFonts w:hint="eastAsia" w:ascii="仿宋" w:hAnsi="仿宋" w:eastAsia="仿宋" w:cs="仿宋"/>
          <w:sz w:val="24"/>
          <w:highlight w:val="none"/>
          <w:lang w:val="zh-CN"/>
        </w:rPr>
        <w:t>月</w:t>
      </w:r>
      <w:r>
        <w:rPr>
          <w:rFonts w:hint="eastAsia" w:ascii="仿宋" w:hAnsi="仿宋" w:eastAsia="仿宋" w:cs="仿宋"/>
          <w:sz w:val="24"/>
          <w:highlight w:val="none"/>
          <w:u w:val="single"/>
          <w:lang w:val="zh-CN"/>
        </w:rPr>
        <w:t xml:space="preserve">    </w:t>
      </w:r>
      <w:r>
        <w:rPr>
          <w:rFonts w:hint="eastAsia" w:ascii="仿宋" w:hAnsi="仿宋" w:eastAsia="仿宋" w:cs="仿宋"/>
          <w:sz w:val="24"/>
          <w:highlight w:val="none"/>
          <w:lang w:val="zh-CN"/>
        </w:rPr>
        <w:t>日</w:t>
      </w:r>
    </w:p>
    <w:p w14:paraId="333AF824">
      <w:pPr>
        <w:snapToGrid w:val="0"/>
        <w:spacing w:line="360" w:lineRule="auto"/>
        <w:jc w:val="center"/>
        <w:rPr>
          <w:rFonts w:hint="eastAsia" w:ascii="仿宋" w:hAnsi="仿宋" w:eastAsia="仿宋" w:cs="仿宋"/>
          <w:b/>
          <w:sz w:val="24"/>
          <w:highlight w:val="none"/>
        </w:rPr>
      </w:pPr>
      <w:r>
        <w:rPr>
          <w:rFonts w:hint="eastAsia" w:ascii="仿宋" w:hAnsi="仿宋" w:eastAsia="仿宋" w:cs="仿宋"/>
          <w:b/>
          <w:bCs/>
          <w:sz w:val="44"/>
          <w:highlight w:val="none"/>
        </w:rPr>
        <w:br w:type="page"/>
      </w:r>
      <w:r>
        <w:rPr>
          <w:rFonts w:hint="eastAsia" w:ascii="仿宋" w:hAnsi="仿宋" w:eastAsia="仿宋" w:cs="仿宋"/>
          <w:b/>
          <w:sz w:val="24"/>
          <w:highlight w:val="none"/>
        </w:rPr>
        <w:t>合同目录</w:t>
      </w:r>
    </w:p>
    <w:p w14:paraId="5B77F252">
      <w:pPr>
        <w:snapToGrid w:val="0"/>
        <w:spacing w:line="360" w:lineRule="auto"/>
        <w:jc w:val="center"/>
        <w:rPr>
          <w:rFonts w:hint="eastAsia" w:ascii="仿宋" w:hAnsi="仿宋" w:eastAsia="仿宋" w:cs="仿宋"/>
          <w:b/>
          <w:bCs/>
          <w:sz w:val="44"/>
          <w:highlight w:val="none"/>
        </w:rPr>
      </w:pPr>
    </w:p>
    <w:p w14:paraId="761C8843">
      <w:pPr>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一、</w:t>
      </w:r>
      <w:r>
        <w:rPr>
          <w:rFonts w:hint="eastAsia" w:ascii="仿宋" w:hAnsi="仿宋" w:eastAsia="仿宋" w:cs="仿宋"/>
          <w:sz w:val="24"/>
          <w:highlight w:val="none"/>
        </w:rPr>
        <w:t>第一部分 合同书</w:t>
      </w:r>
      <w:r>
        <w:rPr>
          <w:rFonts w:hint="eastAsia" w:ascii="仿宋" w:hAnsi="仿宋" w:eastAsia="仿宋" w:cs="仿宋"/>
          <w:kern w:val="0"/>
          <w:sz w:val="24"/>
          <w:highlight w:val="none"/>
        </w:rPr>
        <w:t>……………………………………………………………（页码）</w:t>
      </w:r>
    </w:p>
    <w:p w14:paraId="71E4747A">
      <w:pPr>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二、第二部分 合同一般条款……………………………………………………（页码）</w:t>
      </w:r>
    </w:p>
    <w:p w14:paraId="644C6D04">
      <w:pPr>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三、第三部分 合同专用条款……………………………………………………（页码）</w:t>
      </w:r>
    </w:p>
    <w:p w14:paraId="457ECA83">
      <w:pPr>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四、</w:t>
      </w:r>
      <w:r>
        <w:rPr>
          <w:rFonts w:hint="eastAsia" w:ascii="仿宋" w:hAnsi="仿宋" w:eastAsia="仿宋" w:cs="仿宋"/>
          <w:sz w:val="24"/>
          <w:highlight w:val="none"/>
        </w:rPr>
        <w:t>第四部分 合同附件</w:t>
      </w:r>
      <w:r>
        <w:rPr>
          <w:rFonts w:hint="eastAsia" w:ascii="仿宋" w:hAnsi="仿宋" w:eastAsia="仿宋" w:cs="仿宋"/>
          <w:kern w:val="0"/>
          <w:sz w:val="24"/>
          <w:highlight w:val="none"/>
        </w:rPr>
        <w:t>…………………………………………………………（页码）</w:t>
      </w:r>
    </w:p>
    <w:p w14:paraId="3DD3B814">
      <w:pPr>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4.1成交通知书 …………………………………………………………………（页码）</w:t>
      </w:r>
    </w:p>
    <w:p w14:paraId="12B8C2FE">
      <w:pPr>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4.2采购文件服务需求一览表 …………………………………………………（页码）</w:t>
      </w:r>
    </w:p>
    <w:p w14:paraId="69FB88E2">
      <w:pPr>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4.3采购文件的更改通知（如有） ……………………………………………（页码）</w:t>
      </w:r>
    </w:p>
    <w:p w14:paraId="203D3BF8">
      <w:pPr>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4.4响应函 ………………………………………………………………………（页码）</w:t>
      </w:r>
    </w:p>
    <w:p w14:paraId="17258CCE">
      <w:pPr>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4.5响应报价表 …………………………………………………………………（页码）</w:t>
      </w:r>
    </w:p>
    <w:p w14:paraId="2725E6A0">
      <w:pPr>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4.6响应服务技术资料表 ………………………………………………………（页码）</w:t>
      </w:r>
    </w:p>
    <w:p w14:paraId="242F300D">
      <w:pPr>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4.7商务条款偏离表 ……………………………………………………………（页码）</w:t>
      </w:r>
    </w:p>
    <w:p w14:paraId="075BF774">
      <w:pPr>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4.8成交供应商澄清函（如有请提供） ………………………………………（页码）</w:t>
      </w:r>
    </w:p>
    <w:p w14:paraId="4BCB0BE3">
      <w:pPr>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4.9其他与本合同相关的资料（如有请提供） ………………………………（页码）</w:t>
      </w:r>
    </w:p>
    <w:p w14:paraId="503D6D61">
      <w:pPr>
        <w:snapToGrid w:val="0"/>
        <w:spacing w:line="360" w:lineRule="auto"/>
        <w:rPr>
          <w:rFonts w:hint="eastAsia" w:ascii="仿宋" w:hAnsi="仿宋" w:eastAsia="仿宋" w:cs="仿宋"/>
          <w:kern w:val="0"/>
          <w:sz w:val="24"/>
          <w:highlight w:val="none"/>
        </w:rPr>
      </w:pPr>
    </w:p>
    <w:p w14:paraId="48F61BF3">
      <w:pPr>
        <w:widowControl/>
        <w:jc w:val="left"/>
        <w:rPr>
          <w:rFonts w:hint="eastAsia" w:ascii="仿宋" w:hAnsi="仿宋" w:eastAsia="仿宋" w:cs="仿宋"/>
          <w:kern w:val="0"/>
          <w:sz w:val="32"/>
          <w:szCs w:val="20"/>
          <w:highlight w:val="none"/>
        </w:rPr>
        <w:sectPr>
          <w:pgSz w:w="11905" w:h="16838"/>
          <w:pgMar w:top="1304" w:right="1304" w:bottom="1304" w:left="1304" w:header="720" w:footer="720" w:gutter="0"/>
          <w:pgNumType w:fmt="decimal"/>
          <w:cols w:space="720" w:num="1"/>
          <w:docGrid w:type="lines" w:linePitch="339" w:charSpace="0"/>
        </w:sectPr>
      </w:pPr>
    </w:p>
    <w:p w14:paraId="24CF505A">
      <w:pPr>
        <w:pStyle w:val="84"/>
        <w:ind w:firstLine="562"/>
        <w:jc w:val="center"/>
        <w:outlineLvl w:val="1"/>
        <w:rPr>
          <w:rFonts w:hint="eastAsia" w:ascii="仿宋" w:hAnsi="仿宋" w:eastAsia="仿宋" w:cs="仿宋"/>
          <w:b/>
          <w:sz w:val="28"/>
          <w:szCs w:val="28"/>
          <w:highlight w:val="none"/>
        </w:rPr>
      </w:pPr>
      <w:bookmarkStart w:id="140" w:name="_Toc30027"/>
      <w:bookmarkStart w:id="141" w:name="_Toc4565"/>
      <w:bookmarkStart w:id="142" w:name="_Toc80205944"/>
      <w:r>
        <w:rPr>
          <w:rFonts w:hint="eastAsia" w:ascii="仿宋" w:hAnsi="仿宋" w:eastAsia="仿宋" w:cs="仿宋"/>
          <w:b/>
          <w:sz w:val="28"/>
          <w:szCs w:val="28"/>
          <w:highlight w:val="none"/>
        </w:rPr>
        <w:t>第一部分 合同书</w:t>
      </w:r>
      <w:bookmarkEnd w:id="140"/>
      <w:bookmarkEnd w:id="141"/>
      <w:bookmarkEnd w:id="142"/>
    </w:p>
    <w:p w14:paraId="455EE6D7">
      <w:pPr>
        <w:wordWrap w:val="0"/>
        <w:spacing w:line="560" w:lineRule="exact"/>
        <w:ind w:firstLine="480" w:firstLineChars="200"/>
        <w:rPr>
          <w:rFonts w:hint="eastAsia" w:ascii="仿宋_GB2312" w:hAnsi="楷体" w:eastAsia="仿宋_GB2312"/>
          <w:sz w:val="24"/>
        </w:rPr>
      </w:pPr>
      <w:r>
        <w:rPr>
          <w:rFonts w:hint="eastAsia" w:ascii="仿宋" w:hAnsi="仿宋" w:eastAsia="仿宋" w:cs="仿宋"/>
          <w:sz w:val="24"/>
          <w:szCs w:val="24"/>
          <w:highlight w:val="none"/>
          <w:u w:val="single" w:color="auto"/>
          <w:lang w:val="en-US" w:eastAsia="zh-CN"/>
        </w:rPr>
        <w:t>2026</w:t>
      </w:r>
      <w:r>
        <w:rPr>
          <w:rFonts w:hint="eastAsia" w:ascii="仿宋" w:hAnsi="仿宋" w:eastAsia="仿宋" w:cs="仿宋"/>
          <w:spacing w:val="-88"/>
          <w:sz w:val="24"/>
          <w:szCs w:val="24"/>
          <w:highlight w:val="none"/>
        </w:rPr>
        <w:t xml:space="preserve"> </w:t>
      </w:r>
      <w:r>
        <w:rPr>
          <w:rFonts w:hint="eastAsia" w:ascii="仿宋" w:hAnsi="仿宋" w:eastAsia="仿宋" w:cs="仿宋"/>
          <w:spacing w:val="-3"/>
          <w:sz w:val="24"/>
          <w:szCs w:val="24"/>
          <w:highlight w:val="none"/>
        </w:rPr>
        <w:t>年</w:t>
      </w:r>
      <w:r>
        <w:rPr>
          <w:rFonts w:hint="eastAsia" w:ascii="仿宋" w:hAnsi="仿宋" w:eastAsia="仿宋" w:cs="仿宋"/>
          <w:spacing w:val="-111"/>
          <w:sz w:val="24"/>
          <w:szCs w:val="24"/>
          <w:highlight w:val="none"/>
        </w:rPr>
        <w:t xml:space="preserve"> </w:t>
      </w:r>
      <w:r>
        <w:rPr>
          <w:rFonts w:hint="eastAsia" w:ascii="仿宋" w:hAnsi="仿宋" w:eastAsia="仿宋" w:cs="仿宋"/>
          <w:spacing w:val="8"/>
          <w:sz w:val="24"/>
          <w:szCs w:val="24"/>
          <w:highlight w:val="none"/>
          <w:u w:val="single" w:color="auto"/>
        </w:rPr>
        <w:t xml:space="preserve"> </w:t>
      </w:r>
      <w:r>
        <w:rPr>
          <w:rFonts w:hint="eastAsia" w:ascii="仿宋" w:hAnsi="仿宋" w:eastAsia="仿宋" w:cs="仿宋"/>
          <w:spacing w:val="8"/>
          <w:sz w:val="24"/>
          <w:szCs w:val="24"/>
          <w:highlight w:val="none"/>
          <w:u w:val="single" w:color="auto"/>
          <w:lang w:val="en-US" w:eastAsia="zh-CN"/>
        </w:rPr>
        <w:t xml:space="preserve"> </w:t>
      </w:r>
      <w:r>
        <w:rPr>
          <w:rFonts w:hint="eastAsia" w:ascii="仿宋" w:hAnsi="仿宋" w:eastAsia="仿宋" w:cs="仿宋"/>
          <w:spacing w:val="8"/>
          <w:sz w:val="24"/>
          <w:szCs w:val="24"/>
          <w:highlight w:val="none"/>
          <w:u w:val="single" w:color="auto"/>
        </w:rPr>
        <w:t xml:space="preserve"> </w:t>
      </w:r>
      <w:r>
        <w:rPr>
          <w:rFonts w:hint="eastAsia" w:ascii="仿宋" w:hAnsi="仿宋" w:eastAsia="仿宋" w:cs="仿宋"/>
          <w:spacing w:val="-91"/>
          <w:sz w:val="24"/>
          <w:szCs w:val="24"/>
          <w:highlight w:val="none"/>
        </w:rPr>
        <w:t xml:space="preserve"> </w:t>
      </w:r>
      <w:r>
        <w:rPr>
          <w:rFonts w:hint="eastAsia" w:ascii="仿宋" w:hAnsi="仿宋" w:eastAsia="仿宋" w:cs="仿宋"/>
          <w:spacing w:val="-3"/>
          <w:sz w:val="24"/>
          <w:szCs w:val="24"/>
          <w:highlight w:val="none"/>
        </w:rPr>
        <w:t>月</w:t>
      </w:r>
      <w:r>
        <w:rPr>
          <w:rFonts w:hint="eastAsia" w:ascii="仿宋" w:hAnsi="仿宋" w:eastAsia="仿宋" w:cs="仿宋"/>
          <w:spacing w:val="-111"/>
          <w:sz w:val="24"/>
          <w:szCs w:val="24"/>
          <w:highlight w:val="none"/>
        </w:rPr>
        <w:t xml:space="preserve"> </w:t>
      </w:r>
      <w:r>
        <w:rPr>
          <w:rFonts w:hint="eastAsia" w:ascii="仿宋" w:hAnsi="仿宋" w:eastAsia="仿宋" w:cs="仿宋"/>
          <w:spacing w:val="8"/>
          <w:sz w:val="24"/>
          <w:szCs w:val="24"/>
          <w:highlight w:val="none"/>
          <w:u w:val="single" w:color="auto"/>
        </w:rPr>
        <w:t xml:space="preserve">    </w:t>
      </w:r>
      <w:r>
        <w:rPr>
          <w:rFonts w:hint="eastAsia" w:ascii="仿宋" w:hAnsi="仿宋" w:eastAsia="仿宋" w:cs="仿宋"/>
          <w:spacing w:val="-3"/>
          <w:sz w:val="24"/>
          <w:szCs w:val="24"/>
          <w:highlight w:val="none"/>
        </w:rPr>
        <w:t>日，</w:t>
      </w:r>
      <w:r>
        <w:rPr>
          <w:rFonts w:hint="eastAsia" w:ascii="仿宋" w:hAnsi="仿宋" w:eastAsia="仿宋" w:cs="仿宋"/>
          <w:spacing w:val="9"/>
          <w:sz w:val="24"/>
          <w:szCs w:val="24"/>
          <w:highlight w:val="none"/>
          <w:u w:val="single" w:color="auto"/>
        </w:rPr>
        <w:t xml:space="preserve"> </w:t>
      </w:r>
      <w:r>
        <w:rPr>
          <w:rFonts w:hint="eastAsia" w:ascii="仿宋" w:hAnsi="仿宋" w:eastAsia="仿宋" w:cs="仿宋"/>
          <w:spacing w:val="9"/>
          <w:sz w:val="24"/>
          <w:szCs w:val="24"/>
          <w:highlight w:val="none"/>
          <w:u w:val="single" w:color="auto"/>
          <w:lang w:eastAsia="zh-CN"/>
        </w:rPr>
        <w:t>南宁市交通运输局</w:t>
      </w:r>
      <w:r>
        <w:rPr>
          <w:rFonts w:hint="eastAsia" w:ascii="仿宋" w:hAnsi="仿宋" w:eastAsia="仿宋" w:cs="仿宋"/>
          <w:spacing w:val="9"/>
          <w:sz w:val="24"/>
          <w:szCs w:val="24"/>
          <w:highlight w:val="none"/>
          <w:u w:val="single" w:color="auto"/>
        </w:rPr>
        <w:t xml:space="preserve"> </w:t>
      </w:r>
      <w:r>
        <w:rPr>
          <w:rFonts w:hint="eastAsia" w:ascii="仿宋" w:hAnsi="仿宋" w:eastAsia="仿宋" w:cs="仿宋"/>
          <w:spacing w:val="-80"/>
          <w:sz w:val="24"/>
          <w:szCs w:val="24"/>
          <w:highlight w:val="none"/>
        </w:rPr>
        <w:t xml:space="preserve"> </w:t>
      </w:r>
      <w:r>
        <w:rPr>
          <w:rFonts w:hint="eastAsia" w:ascii="仿宋" w:hAnsi="仿宋" w:eastAsia="仿宋" w:cs="仿宋"/>
          <w:spacing w:val="-3"/>
          <w:sz w:val="24"/>
          <w:szCs w:val="24"/>
          <w:highlight w:val="none"/>
        </w:rPr>
        <w:t>以</w:t>
      </w:r>
      <w:r>
        <w:rPr>
          <w:rFonts w:hint="eastAsia" w:ascii="仿宋" w:hAnsi="仿宋" w:eastAsia="仿宋" w:cs="仿宋"/>
          <w:spacing w:val="-113"/>
          <w:sz w:val="24"/>
          <w:szCs w:val="24"/>
          <w:highlight w:val="none"/>
        </w:rPr>
        <w:t xml:space="preserve"> </w:t>
      </w:r>
      <w:r>
        <w:rPr>
          <w:rFonts w:hint="eastAsia" w:ascii="仿宋" w:hAnsi="仿宋" w:eastAsia="仿宋" w:cs="仿宋"/>
          <w:spacing w:val="15"/>
          <w:sz w:val="24"/>
          <w:szCs w:val="24"/>
          <w:highlight w:val="none"/>
          <w:u w:val="single" w:color="auto"/>
        </w:rPr>
        <w:t xml:space="preserve"> </w:t>
      </w:r>
      <w:r>
        <w:rPr>
          <w:rFonts w:hint="eastAsia" w:ascii="仿宋" w:hAnsi="仿宋" w:eastAsia="仿宋" w:cs="仿宋"/>
          <w:spacing w:val="15"/>
          <w:sz w:val="24"/>
          <w:szCs w:val="24"/>
          <w:highlight w:val="none"/>
          <w:u w:val="single" w:color="auto"/>
          <w:lang w:val="en-US" w:eastAsia="zh-CN"/>
        </w:rPr>
        <w:t>竞争性磋商采购方式</w:t>
      </w:r>
      <w:r>
        <w:rPr>
          <w:rFonts w:hint="eastAsia" w:ascii="仿宋" w:hAnsi="仿宋" w:eastAsia="仿宋" w:cs="仿宋"/>
          <w:spacing w:val="-3"/>
          <w:sz w:val="24"/>
          <w:szCs w:val="24"/>
          <w:highlight w:val="none"/>
          <w:u w:val="single" w:color="auto"/>
        </w:rPr>
        <w:t xml:space="preserve"> </w:t>
      </w:r>
      <w:r>
        <w:rPr>
          <w:rFonts w:hint="eastAsia" w:ascii="仿宋" w:hAnsi="仿宋" w:eastAsia="仿宋" w:cs="仿宋"/>
          <w:spacing w:val="-99"/>
          <w:sz w:val="24"/>
          <w:szCs w:val="24"/>
          <w:highlight w:val="none"/>
        </w:rPr>
        <w:t xml:space="preserve"> </w:t>
      </w:r>
      <w:r>
        <w:rPr>
          <w:rFonts w:hint="eastAsia" w:ascii="仿宋" w:hAnsi="仿宋" w:eastAsia="仿宋" w:cs="仿宋"/>
          <w:spacing w:val="-3"/>
          <w:sz w:val="24"/>
          <w:szCs w:val="24"/>
          <w:highlight w:val="none"/>
        </w:rPr>
        <w:t>对</w:t>
      </w:r>
      <w:r>
        <w:rPr>
          <w:rFonts w:hint="eastAsia" w:ascii="仿宋" w:hAnsi="仿宋" w:eastAsia="仿宋" w:cs="仿宋"/>
          <w:spacing w:val="8"/>
          <w:sz w:val="24"/>
          <w:szCs w:val="24"/>
          <w:highlight w:val="none"/>
          <w:u w:val="single" w:color="auto"/>
        </w:rPr>
        <w:t xml:space="preserve"> </w:t>
      </w:r>
      <w:r>
        <w:rPr>
          <w:rFonts w:hint="eastAsia" w:ascii="仿宋" w:hAnsi="仿宋" w:eastAsia="仿宋" w:cs="仿宋"/>
          <w:spacing w:val="8"/>
          <w:sz w:val="24"/>
          <w:szCs w:val="24"/>
          <w:highlight w:val="none"/>
          <w:u w:val="single" w:color="auto"/>
          <w:lang w:eastAsia="zh-CN"/>
        </w:rPr>
        <w:t>南宁市公交企业客运成本规制补贴第三方专项审计项目</w:t>
      </w:r>
      <w:r>
        <w:rPr>
          <w:rFonts w:hint="eastAsia" w:ascii="仿宋" w:hAnsi="仿宋" w:eastAsia="仿宋" w:cs="仿宋"/>
          <w:spacing w:val="8"/>
          <w:sz w:val="24"/>
          <w:szCs w:val="24"/>
          <w:highlight w:val="none"/>
          <w:u w:val="single" w:color="auto"/>
        </w:rPr>
        <w:t xml:space="preserve"> </w:t>
      </w:r>
      <w:r>
        <w:rPr>
          <w:rFonts w:hint="eastAsia" w:ascii="仿宋" w:hAnsi="仿宋" w:eastAsia="仿宋" w:cs="仿宋"/>
          <w:spacing w:val="-99"/>
          <w:sz w:val="24"/>
          <w:szCs w:val="24"/>
          <w:highlight w:val="none"/>
        </w:rPr>
        <w:t xml:space="preserve"> </w:t>
      </w:r>
      <w:r>
        <w:rPr>
          <w:rFonts w:hint="eastAsia" w:ascii="仿宋" w:hAnsi="仿宋" w:eastAsia="仿宋" w:cs="仿宋"/>
          <w:spacing w:val="-3"/>
          <w:sz w:val="24"/>
          <w:szCs w:val="24"/>
          <w:highlight w:val="none"/>
        </w:rPr>
        <w:t>项目进行了采购。经</w:t>
      </w:r>
      <w:r>
        <w:rPr>
          <w:rFonts w:hint="eastAsia" w:ascii="仿宋" w:hAnsi="仿宋" w:eastAsia="仿宋" w:cs="仿宋"/>
          <w:spacing w:val="-3"/>
          <w:sz w:val="24"/>
          <w:szCs w:val="24"/>
          <w:highlight w:val="none"/>
          <w:u w:val="single"/>
          <w:lang w:val="en-US" w:eastAsia="zh-CN"/>
        </w:rPr>
        <w:t xml:space="preserve"> </w:t>
      </w:r>
      <w:r>
        <w:rPr>
          <w:rFonts w:hint="eastAsia" w:ascii="仿宋" w:hAnsi="仿宋" w:eastAsia="仿宋" w:cs="仿宋"/>
          <w:spacing w:val="8"/>
          <w:sz w:val="24"/>
          <w:szCs w:val="24"/>
          <w:highlight w:val="none"/>
          <w:u w:val="single" w:color="auto"/>
          <w:lang w:eastAsia="zh-CN"/>
        </w:rPr>
        <w:t>南宁市公交企业客运成本规制补贴第三方专项审计项目</w:t>
      </w:r>
      <w:r>
        <w:rPr>
          <w:rFonts w:hint="eastAsia" w:ascii="仿宋_GB2312" w:hAnsi="楷体" w:eastAsia="仿宋_GB2312"/>
          <w:sz w:val="24"/>
          <w:u w:val="single"/>
        </w:rPr>
        <w:t>磋商</w:t>
      </w:r>
      <w:r>
        <w:rPr>
          <w:rFonts w:hint="eastAsia" w:ascii="仿宋" w:hAnsi="仿宋" w:eastAsia="仿宋" w:cs="仿宋"/>
          <w:spacing w:val="8"/>
          <w:sz w:val="24"/>
          <w:szCs w:val="24"/>
          <w:highlight w:val="none"/>
          <w:u w:val="single" w:color="auto"/>
          <w:lang w:val="en-US" w:eastAsia="zh-CN"/>
        </w:rPr>
        <w:t>小组</w:t>
      </w:r>
      <w:r>
        <w:rPr>
          <w:rFonts w:hint="eastAsia" w:ascii="仿宋" w:hAnsi="仿宋" w:eastAsia="仿宋" w:cs="仿宋"/>
          <w:spacing w:val="-1"/>
          <w:sz w:val="24"/>
          <w:szCs w:val="24"/>
          <w:highlight w:val="none"/>
          <w:u w:val="single" w:color="auto"/>
        </w:rPr>
        <w:t xml:space="preserve"> </w:t>
      </w:r>
      <w:r>
        <w:rPr>
          <w:rFonts w:hint="eastAsia" w:ascii="仿宋" w:hAnsi="仿宋" w:eastAsia="仿宋" w:cs="仿宋"/>
          <w:spacing w:val="-102"/>
          <w:sz w:val="24"/>
          <w:szCs w:val="24"/>
          <w:highlight w:val="none"/>
        </w:rPr>
        <w:t xml:space="preserve"> </w:t>
      </w:r>
      <w:r>
        <w:rPr>
          <w:rFonts w:hint="eastAsia" w:ascii="仿宋" w:hAnsi="仿宋" w:eastAsia="仿宋" w:cs="仿宋"/>
          <w:spacing w:val="-1"/>
          <w:sz w:val="24"/>
          <w:szCs w:val="24"/>
          <w:highlight w:val="none"/>
        </w:rPr>
        <w:t>评定</w:t>
      </w:r>
      <w:r>
        <w:rPr>
          <w:rFonts w:hint="eastAsia" w:ascii="仿宋_GB2312" w:hAnsi="楷体" w:eastAsia="仿宋_GB2312"/>
          <w:sz w:val="24"/>
        </w:rPr>
        <w:t>，</w:t>
      </w:r>
      <w:r>
        <w:rPr>
          <w:rFonts w:hint="eastAsia" w:ascii="仿宋" w:hAnsi="仿宋" w:eastAsia="仿宋" w:cs="仿宋"/>
          <w:spacing w:val="1"/>
          <w:sz w:val="24"/>
          <w:szCs w:val="24"/>
          <w:highlight w:val="none"/>
          <w:u w:val="single" w:color="auto"/>
        </w:rPr>
        <w:t xml:space="preserve"> </w:t>
      </w:r>
      <w:r>
        <w:rPr>
          <w:rFonts w:hint="eastAsia" w:ascii="仿宋" w:hAnsi="仿宋" w:eastAsia="仿宋" w:cs="仿宋"/>
          <w:spacing w:val="-34"/>
          <w:sz w:val="24"/>
          <w:szCs w:val="24"/>
          <w:highlight w:val="none"/>
          <w:u w:val="single" w:color="auto"/>
        </w:rPr>
        <w:t>（</w:t>
      </w:r>
      <w:r>
        <w:rPr>
          <w:rFonts w:hint="eastAsia" w:ascii="仿宋" w:hAnsi="仿宋" w:eastAsia="仿宋" w:cs="仿宋"/>
          <w:spacing w:val="-1"/>
          <w:sz w:val="24"/>
          <w:szCs w:val="24"/>
          <w:highlight w:val="none"/>
          <w:u w:val="single" w:color="auto"/>
          <w:lang w:eastAsia="zh-CN"/>
        </w:rPr>
        <w:t>成交供应商</w:t>
      </w:r>
      <w:r>
        <w:rPr>
          <w:rFonts w:hint="eastAsia" w:ascii="仿宋" w:hAnsi="仿宋" w:eastAsia="仿宋" w:cs="仿宋"/>
          <w:spacing w:val="-1"/>
          <w:sz w:val="24"/>
          <w:szCs w:val="24"/>
          <w:highlight w:val="none"/>
          <w:u w:val="single" w:color="auto"/>
        </w:rPr>
        <w:t>名称）</w:t>
      </w:r>
      <w:r>
        <w:rPr>
          <w:rFonts w:hint="eastAsia" w:ascii="仿宋" w:hAnsi="仿宋" w:eastAsia="仿宋" w:cs="仿宋"/>
          <w:spacing w:val="-1"/>
          <w:sz w:val="24"/>
          <w:szCs w:val="24"/>
          <w:highlight w:val="none"/>
          <w:u w:val="single" w:color="auto"/>
          <w:lang w:val="en-US" w:eastAsia="zh-CN"/>
        </w:rPr>
        <w:t xml:space="preserve"> </w:t>
      </w:r>
      <w:r>
        <w:rPr>
          <w:rFonts w:hint="eastAsia" w:ascii="仿宋_GB2312" w:hAnsi="楷体" w:eastAsia="仿宋_GB2312"/>
          <w:sz w:val="24"/>
        </w:rPr>
        <w:t>为该项目乙方。现于成交通知书发出之日起</w:t>
      </w:r>
      <w:r>
        <w:rPr>
          <w:rFonts w:hint="eastAsia" w:ascii="仿宋_GB2312" w:hAnsi="楷体" w:eastAsia="仿宋_GB2312"/>
          <w:sz w:val="24"/>
          <w:u w:val="single"/>
        </w:rPr>
        <w:t xml:space="preserve"> 25 </w:t>
      </w:r>
      <w:r>
        <w:rPr>
          <w:rFonts w:hint="eastAsia" w:ascii="仿宋_GB2312" w:hAnsi="楷体" w:eastAsia="仿宋_GB2312"/>
          <w:sz w:val="24"/>
        </w:rPr>
        <w:t>日内，按照采购文件确定的事项签订本合同。</w:t>
      </w:r>
    </w:p>
    <w:p w14:paraId="64CAAFAD">
      <w:pPr>
        <w:wordWrap w:val="0"/>
        <w:spacing w:line="560" w:lineRule="exact"/>
        <w:ind w:firstLine="480" w:firstLineChars="200"/>
        <w:rPr>
          <w:rFonts w:hint="eastAsia" w:ascii="仿宋_GB2312" w:hAnsi="楷体" w:eastAsia="仿宋_GB2312"/>
          <w:sz w:val="24"/>
        </w:rPr>
      </w:pPr>
      <w:r>
        <w:rPr>
          <w:rFonts w:hint="eastAsia" w:ascii="仿宋_GB2312" w:hAnsi="楷体" w:eastAsia="仿宋_GB2312"/>
          <w:sz w:val="24"/>
          <w:u w:val="none"/>
          <w:lang w:val="zh-CN"/>
        </w:rPr>
        <w:t>根据</w:t>
      </w:r>
      <w:r>
        <w:rPr>
          <w:rFonts w:hint="eastAsia" w:ascii="仿宋_GB2312" w:hAnsi="楷体" w:eastAsia="仿宋_GB2312"/>
          <w:sz w:val="24"/>
          <w:lang w:val="zh-CN"/>
        </w:rPr>
        <w:t>《中华人民共和国民法典》《中华人民共和国政府采购法》等相关法律法规之规定，按照平等、自愿、公平和诚实信用的原则，经</w:t>
      </w:r>
      <w:r>
        <w:rPr>
          <w:rFonts w:hint="eastAsia" w:ascii="仿宋_GB2312" w:hAnsi="楷体" w:eastAsia="仿宋_GB2312"/>
          <w:sz w:val="24"/>
          <w:u w:val="single"/>
        </w:rPr>
        <w:t xml:space="preserve"> 南宁市交通运输局 </w:t>
      </w:r>
      <w:r>
        <w:rPr>
          <w:rFonts w:hint="eastAsia" w:ascii="仿宋_GB2312" w:hAnsi="楷体" w:eastAsia="仿宋_GB2312"/>
          <w:sz w:val="24"/>
          <w:lang w:val="zh-CN"/>
        </w:rPr>
        <w:t>(以下简称：甲方)和</w:t>
      </w:r>
      <w:r>
        <w:rPr>
          <w:rFonts w:hint="eastAsia" w:ascii="仿宋" w:hAnsi="仿宋" w:eastAsia="仿宋" w:cs="仿宋"/>
          <w:spacing w:val="1"/>
          <w:sz w:val="24"/>
          <w:szCs w:val="24"/>
          <w:highlight w:val="none"/>
          <w:u w:val="single" w:color="auto"/>
        </w:rPr>
        <w:t xml:space="preserve"> </w:t>
      </w:r>
      <w:r>
        <w:rPr>
          <w:rFonts w:hint="eastAsia" w:ascii="仿宋" w:hAnsi="仿宋" w:eastAsia="仿宋" w:cs="仿宋"/>
          <w:spacing w:val="-34"/>
          <w:sz w:val="24"/>
          <w:szCs w:val="24"/>
          <w:highlight w:val="none"/>
          <w:u w:val="single" w:color="auto"/>
        </w:rPr>
        <w:t>（</w:t>
      </w:r>
      <w:r>
        <w:rPr>
          <w:rFonts w:hint="eastAsia" w:ascii="仿宋" w:hAnsi="仿宋" w:eastAsia="仿宋" w:cs="仿宋"/>
          <w:spacing w:val="-1"/>
          <w:sz w:val="24"/>
          <w:szCs w:val="24"/>
          <w:highlight w:val="none"/>
          <w:u w:val="single" w:color="auto"/>
          <w:lang w:eastAsia="zh-CN"/>
        </w:rPr>
        <w:t>成交供应商</w:t>
      </w:r>
      <w:r>
        <w:rPr>
          <w:rFonts w:hint="eastAsia" w:ascii="仿宋" w:hAnsi="仿宋" w:eastAsia="仿宋" w:cs="仿宋"/>
          <w:spacing w:val="-1"/>
          <w:sz w:val="24"/>
          <w:szCs w:val="24"/>
          <w:highlight w:val="none"/>
          <w:u w:val="single" w:color="auto"/>
        </w:rPr>
        <w:t>名称）</w:t>
      </w:r>
      <w:r>
        <w:rPr>
          <w:rFonts w:hint="eastAsia" w:ascii="仿宋" w:hAnsi="仿宋" w:eastAsia="仿宋" w:cs="仿宋"/>
          <w:spacing w:val="-1"/>
          <w:sz w:val="24"/>
          <w:szCs w:val="24"/>
          <w:highlight w:val="none"/>
          <w:u w:val="single" w:color="auto"/>
          <w:lang w:val="en-US" w:eastAsia="zh-CN"/>
        </w:rPr>
        <w:t xml:space="preserve"> </w:t>
      </w:r>
      <w:r>
        <w:rPr>
          <w:rFonts w:hint="eastAsia" w:ascii="仿宋_GB2312" w:hAnsi="楷体" w:eastAsia="仿宋_GB2312"/>
          <w:sz w:val="24"/>
          <w:lang w:val="zh-CN"/>
        </w:rPr>
        <w:t>(以下简称：乙方)协商一致，约定以下合同</w:t>
      </w:r>
      <w:r>
        <w:rPr>
          <w:rFonts w:hint="eastAsia" w:ascii="仿宋_GB2312" w:hAnsi="楷体" w:eastAsia="仿宋_GB2312"/>
          <w:sz w:val="24"/>
        </w:rPr>
        <w:t>条款，以兹共同遵守、全面履行。</w:t>
      </w:r>
    </w:p>
    <w:p w14:paraId="4EC27D6D">
      <w:pPr>
        <w:spacing w:line="360" w:lineRule="auto"/>
        <w:ind w:firstLine="482" w:firstLineChars="200"/>
        <w:rPr>
          <w:rFonts w:hint="eastAsia" w:ascii="仿宋_GB2312" w:hAnsi="楷体" w:eastAsia="仿宋_GB2312"/>
          <w:b/>
          <w:sz w:val="24"/>
        </w:rPr>
      </w:pPr>
      <w:bookmarkStart w:id="143" w:name="_Toc24059"/>
      <w:bookmarkStart w:id="144" w:name="_Toc2232"/>
      <w:bookmarkStart w:id="145" w:name="_Toc3029"/>
      <w:r>
        <w:rPr>
          <w:rFonts w:hint="eastAsia" w:ascii="仿宋_GB2312" w:hAnsi="楷体" w:eastAsia="仿宋_GB2312"/>
          <w:b/>
          <w:sz w:val="24"/>
        </w:rPr>
        <w:t>1.1 合同组成部分</w:t>
      </w:r>
      <w:bookmarkEnd w:id="143"/>
      <w:bookmarkEnd w:id="144"/>
      <w:bookmarkEnd w:id="145"/>
    </w:p>
    <w:p w14:paraId="1652A8EC">
      <w:pPr>
        <w:wordWrap w:val="0"/>
        <w:spacing w:line="560" w:lineRule="exact"/>
        <w:ind w:firstLine="480" w:firstLineChars="200"/>
        <w:rPr>
          <w:rFonts w:hint="eastAsia" w:ascii="仿宋_GB2312" w:hAnsi="楷体" w:eastAsia="仿宋_GB2312"/>
          <w:sz w:val="24"/>
        </w:rPr>
      </w:pPr>
      <w:r>
        <w:rPr>
          <w:rFonts w:hint="eastAsia" w:ascii="仿宋_GB2312" w:hAnsi="楷体" w:eastAsia="仿宋_GB2312"/>
          <w:sz w:val="24"/>
        </w:rPr>
        <w:t>下列文件为本合同的组成部分，并构成一个整体，需综合解释、相互补充。如果下列文件内容出现不一致的情形，在保证按照采购文件确定的事项的前提下，组成本合同的多份文件的优先适用顺序如下：</w:t>
      </w:r>
    </w:p>
    <w:p w14:paraId="7C2735E8">
      <w:pPr>
        <w:wordWrap w:val="0"/>
        <w:spacing w:line="560" w:lineRule="exact"/>
        <w:ind w:firstLine="480" w:firstLineChars="200"/>
        <w:rPr>
          <w:rFonts w:hint="eastAsia" w:ascii="仿宋_GB2312" w:hAnsi="楷体" w:eastAsia="仿宋_GB2312"/>
          <w:sz w:val="24"/>
        </w:rPr>
      </w:pPr>
      <w:r>
        <w:rPr>
          <w:rFonts w:hint="eastAsia" w:ascii="仿宋_GB2312" w:hAnsi="楷体" w:eastAsia="仿宋_GB2312"/>
          <w:sz w:val="24"/>
        </w:rPr>
        <w:t>1.1.1 本合同及其补充合同、变更协议；</w:t>
      </w:r>
    </w:p>
    <w:p w14:paraId="074BECC3">
      <w:pPr>
        <w:wordWrap w:val="0"/>
        <w:spacing w:line="560" w:lineRule="exact"/>
        <w:ind w:firstLine="480" w:firstLineChars="200"/>
        <w:rPr>
          <w:rFonts w:hint="eastAsia" w:ascii="仿宋_GB2312" w:hAnsi="楷体" w:eastAsia="仿宋_GB2312"/>
          <w:sz w:val="24"/>
        </w:rPr>
      </w:pPr>
      <w:r>
        <w:rPr>
          <w:rFonts w:hint="eastAsia" w:ascii="仿宋_GB2312" w:hAnsi="楷体" w:eastAsia="仿宋_GB2312"/>
          <w:sz w:val="24"/>
        </w:rPr>
        <w:t>1.1.2 成交通知书；</w:t>
      </w:r>
    </w:p>
    <w:p w14:paraId="06C6A27A">
      <w:pPr>
        <w:wordWrap w:val="0"/>
        <w:spacing w:line="560" w:lineRule="exact"/>
        <w:ind w:firstLine="480" w:firstLineChars="200"/>
        <w:rPr>
          <w:rFonts w:hint="eastAsia" w:ascii="仿宋_GB2312" w:hAnsi="楷体" w:eastAsia="仿宋_GB2312"/>
          <w:sz w:val="24"/>
        </w:rPr>
      </w:pPr>
      <w:r>
        <w:rPr>
          <w:rFonts w:hint="eastAsia" w:ascii="仿宋_GB2312" w:hAnsi="楷体" w:eastAsia="仿宋_GB2312"/>
          <w:sz w:val="24"/>
        </w:rPr>
        <w:t>1.1.3 采购文件及“响应报价”（含澄清或者说明文件）；</w:t>
      </w:r>
    </w:p>
    <w:p w14:paraId="0D53C730">
      <w:pPr>
        <w:wordWrap w:val="0"/>
        <w:spacing w:line="560" w:lineRule="exact"/>
        <w:ind w:firstLine="480" w:firstLineChars="200"/>
        <w:rPr>
          <w:rFonts w:hint="eastAsia" w:ascii="仿宋_GB2312" w:hAnsi="楷体" w:eastAsia="仿宋_GB2312"/>
          <w:sz w:val="24"/>
        </w:rPr>
      </w:pPr>
      <w:r>
        <w:rPr>
          <w:rFonts w:hint="eastAsia" w:ascii="仿宋_GB2312" w:hAnsi="楷体" w:eastAsia="仿宋_GB2312"/>
          <w:sz w:val="24"/>
        </w:rPr>
        <w:t>1.1.4 采购文件（含澄清或者修改文件）；</w:t>
      </w:r>
    </w:p>
    <w:p w14:paraId="620D3DFF">
      <w:pPr>
        <w:wordWrap w:val="0"/>
        <w:spacing w:line="560" w:lineRule="exact"/>
        <w:ind w:firstLine="480" w:firstLineChars="200"/>
        <w:rPr>
          <w:rFonts w:hint="eastAsia" w:ascii="仿宋_GB2312" w:hAnsi="楷体" w:eastAsia="仿宋_GB2312"/>
          <w:sz w:val="24"/>
        </w:rPr>
      </w:pPr>
      <w:r>
        <w:rPr>
          <w:rFonts w:hint="eastAsia" w:ascii="仿宋_GB2312" w:hAnsi="楷体" w:eastAsia="仿宋_GB2312"/>
          <w:sz w:val="24"/>
        </w:rPr>
        <w:t>1.1.5 其他相关采购文件。</w:t>
      </w:r>
    </w:p>
    <w:p w14:paraId="31105D5E">
      <w:pPr>
        <w:spacing w:line="360" w:lineRule="auto"/>
        <w:ind w:firstLine="482" w:firstLineChars="200"/>
        <w:rPr>
          <w:rFonts w:hint="eastAsia" w:ascii="仿宋_GB2312" w:hAnsi="楷体" w:eastAsia="仿宋_GB2312"/>
          <w:b/>
          <w:sz w:val="24"/>
        </w:rPr>
      </w:pPr>
      <w:bookmarkStart w:id="146" w:name="_Toc21295"/>
      <w:bookmarkStart w:id="147" w:name="_Toc24300"/>
      <w:bookmarkStart w:id="148" w:name="_Toc27126"/>
      <w:r>
        <w:rPr>
          <w:rFonts w:hint="eastAsia" w:ascii="仿宋_GB2312" w:hAnsi="楷体" w:eastAsia="仿宋_GB2312"/>
          <w:b/>
          <w:sz w:val="24"/>
        </w:rPr>
        <w:t>1.2 标的物</w:t>
      </w:r>
      <w:bookmarkEnd w:id="146"/>
      <w:bookmarkEnd w:id="147"/>
      <w:bookmarkEnd w:id="148"/>
    </w:p>
    <w:p w14:paraId="5BDAB10B">
      <w:pPr>
        <w:wordWrap w:val="0"/>
        <w:spacing w:line="560" w:lineRule="exact"/>
        <w:ind w:firstLine="480" w:firstLineChars="200"/>
        <w:rPr>
          <w:rFonts w:hint="eastAsia" w:ascii="仿宋_GB2312" w:hAnsi="楷体" w:eastAsia="仿宋_GB2312"/>
          <w:sz w:val="24"/>
        </w:rPr>
      </w:pPr>
      <w:r>
        <w:rPr>
          <w:rFonts w:hint="eastAsia" w:ascii="仿宋_GB2312" w:hAnsi="楷体" w:eastAsia="仿宋_GB2312"/>
          <w:sz w:val="24"/>
        </w:rPr>
        <w:t>1.2.1 标的物1信息</w:t>
      </w:r>
    </w:p>
    <w:p w14:paraId="6FC6E14A">
      <w:pPr>
        <w:wordWrap w:val="0"/>
        <w:spacing w:line="560" w:lineRule="exact"/>
        <w:ind w:firstLine="480" w:firstLineChars="200"/>
        <w:rPr>
          <w:rFonts w:hint="eastAsia" w:ascii="仿宋_GB2312" w:hAnsi="楷体" w:eastAsia="仿宋_GB2312"/>
          <w:sz w:val="24"/>
          <w:u w:val="single"/>
        </w:rPr>
      </w:pPr>
      <w:r>
        <w:rPr>
          <w:rFonts w:hint="eastAsia" w:ascii="仿宋_GB2312" w:hAnsi="楷体" w:eastAsia="仿宋_GB2312"/>
          <w:sz w:val="24"/>
        </w:rPr>
        <w:t>1.2.1.1名称：</w:t>
      </w:r>
      <w:r>
        <w:rPr>
          <w:rFonts w:hint="eastAsia" w:ascii="仿宋_GB2312" w:hAnsi="楷体" w:eastAsia="仿宋_GB2312"/>
          <w:b/>
          <w:sz w:val="24"/>
          <w:u w:val="single"/>
          <w:lang w:eastAsia="zh-CN"/>
        </w:rPr>
        <w:t>南宁市公交企业客运成本规制补贴第三方专项审计项目磋商小组</w:t>
      </w:r>
      <w:r>
        <w:rPr>
          <w:rFonts w:hint="eastAsia" w:ascii="仿宋_GB2312" w:hAnsi="楷体" w:eastAsia="仿宋_GB2312"/>
          <w:sz w:val="24"/>
        </w:rPr>
        <w:t>；</w:t>
      </w:r>
    </w:p>
    <w:p w14:paraId="3BBDBC1C">
      <w:pPr>
        <w:wordWrap w:val="0"/>
        <w:spacing w:line="560" w:lineRule="exact"/>
        <w:ind w:firstLine="480" w:firstLineChars="200"/>
        <w:rPr>
          <w:rFonts w:hint="eastAsia" w:ascii="仿宋_GB2312" w:hAnsi="楷体" w:eastAsia="仿宋_GB2312"/>
          <w:sz w:val="24"/>
          <w:u w:val="single"/>
        </w:rPr>
      </w:pPr>
      <w:r>
        <w:rPr>
          <w:rFonts w:hint="eastAsia" w:ascii="仿宋_GB2312" w:hAnsi="楷体" w:eastAsia="仿宋_GB2312"/>
          <w:sz w:val="24"/>
        </w:rPr>
        <w:t>1.2.1.2数量：</w:t>
      </w:r>
      <w:r>
        <w:rPr>
          <w:rFonts w:hint="eastAsia" w:ascii="仿宋_GB2312" w:hAnsi="楷体" w:eastAsia="仿宋_GB2312"/>
          <w:b/>
          <w:bCs/>
          <w:sz w:val="24"/>
          <w:u w:val="single"/>
        </w:rPr>
        <w:t>1项</w:t>
      </w:r>
      <w:r>
        <w:rPr>
          <w:rFonts w:hint="eastAsia" w:ascii="仿宋_GB2312" w:hAnsi="楷体" w:eastAsia="仿宋_GB2312"/>
          <w:sz w:val="24"/>
          <w:u w:val="single"/>
        </w:rPr>
        <w:t xml:space="preserve">                                    </w:t>
      </w:r>
      <w:r>
        <w:rPr>
          <w:rFonts w:hint="eastAsia" w:ascii="仿宋_GB2312" w:hAnsi="楷体" w:eastAsia="仿宋_GB2312"/>
          <w:sz w:val="24"/>
        </w:rPr>
        <w:t>；</w:t>
      </w:r>
    </w:p>
    <w:p w14:paraId="78E64B1F">
      <w:pPr>
        <w:wordWrap w:val="0"/>
        <w:spacing w:line="560" w:lineRule="exact"/>
        <w:ind w:firstLine="480" w:firstLineChars="200"/>
        <w:rPr>
          <w:rFonts w:hint="eastAsia" w:ascii="仿宋_GB2312" w:hAnsi="楷体" w:eastAsia="仿宋_GB2312"/>
          <w:sz w:val="24"/>
        </w:rPr>
      </w:pPr>
      <w:r>
        <w:rPr>
          <w:rFonts w:hint="eastAsia" w:ascii="仿宋_GB2312" w:hAnsi="楷体" w:eastAsia="仿宋_GB2312"/>
          <w:sz w:val="24"/>
        </w:rPr>
        <w:t>1.2.1.3质量：</w:t>
      </w:r>
      <w:r>
        <w:rPr>
          <w:rFonts w:hint="eastAsia" w:ascii="仿宋_GB2312" w:hAnsi="楷体" w:eastAsia="仿宋_GB2312"/>
          <w:bCs/>
          <w:sz w:val="24"/>
          <w:u w:val="single"/>
        </w:rPr>
        <w:t>符合国家法律法规、地方有关现行条例制度要求。</w:t>
      </w:r>
    </w:p>
    <w:p w14:paraId="35DCD302">
      <w:pPr>
        <w:spacing w:line="360" w:lineRule="auto"/>
        <w:ind w:firstLine="482" w:firstLineChars="200"/>
        <w:rPr>
          <w:rFonts w:hint="eastAsia" w:ascii="仿宋_GB2312" w:hAnsi="楷体" w:eastAsia="仿宋_GB2312"/>
          <w:b/>
          <w:sz w:val="24"/>
        </w:rPr>
      </w:pPr>
      <w:bookmarkStart w:id="149" w:name="_Toc23292"/>
      <w:bookmarkStart w:id="150" w:name="_Toc21631"/>
      <w:bookmarkStart w:id="151" w:name="_Toc21551"/>
      <w:r>
        <w:rPr>
          <w:rFonts w:hint="eastAsia" w:ascii="仿宋_GB2312" w:hAnsi="楷体" w:eastAsia="仿宋_GB2312"/>
          <w:b/>
          <w:sz w:val="24"/>
        </w:rPr>
        <w:t>1.3 价款</w:t>
      </w:r>
      <w:bookmarkEnd w:id="149"/>
      <w:bookmarkEnd w:id="150"/>
      <w:bookmarkEnd w:id="151"/>
    </w:p>
    <w:p w14:paraId="7397B92F">
      <w:pPr>
        <w:wordWrap w:val="0"/>
        <w:spacing w:line="560" w:lineRule="exact"/>
        <w:ind w:firstLine="480" w:firstLineChars="200"/>
        <w:rPr>
          <w:rFonts w:hint="eastAsia" w:ascii="仿宋_GB2312" w:hAnsi="楷体" w:eastAsia="仿宋_GB2312"/>
          <w:sz w:val="24"/>
        </w:rPr>
      </w:pPr>
      <w:r>
        <w:rPr>
          <w:rFonts w:hint="eastAsia" w:ascii="仿宋_GB2312" w:hAnsi="楷体" w:eastAsia="仿宋_GB2312"/>
          <w:sz w:val="24"/>
        </w:rPr>
        <w:t>本合同总价为：人民币</w:t>
      </w:r>
      <w:r>
        <w:rPr>
          <w:rFonts w:hint="eastAsia" w:ascii="仿宋_GB2312" w:hAnsi="楷体" w:eastAsia="仿宋_GB2312"/>
          <w:sz w:val="24"/>
          <w:u w:val="single"/>
        </w:rPr>
        <w:t xml:space="preserve"> </w:t>
      </w:r>
      <w:r>
        <w:rPr>
          <w:rFonts w:hint="eastAsia" w:ascii="仿宋_GB2312" w:hAnsi="楷体" w:eastAsia="仿宋_GB2312"/>
          <w:sz w:val="24"/>
          <w:u w:val="single"/>
          <w:lang w:val="en-US" w:eastAsia="zh-CN"/>
        </w:rPr>
        <w:t xml:space="preserve">          </w:t>
      </w:r>
      <w:r>
        <w:rPr>
          <w:rFonts w:hint="eastAsia" w:ascii="仿宋_GB2312" w:hAnsi="楷体" w:eastAsia="仿宋_GB2312"/>
          <w:sz w:val="24"/>
        </w:rPr>
        <w:t>元（大写：人民币</w:t>
      </w:r>
      <w:r>
        <w:rPr>
          <w:rFonts w:hint="eastAsia" w:ascii="仿宋_GB2312" w:hAnsi="楷体" w:eastAsia="仿宋_GB2312"/>
          <w:sz w:val="24"/>
          <w:u w:val="single"/>
          <w:lang w:val="en-US" w:eastAsia="zh-CN"/>
        </w:rPr>
        <w:t xml:space="preserve">              </w:t>
      </w:r>
      <w:r>
        <w:rPr>
          <w:rFonts w:hint="eastAsia" w:ascii="仿宋_GB2312" w:hAnsi="楷体" w:eastAsia="仿宋_GB2312"/>
          <w:sz w:val="24"/>
        </w:rPr>
        <w:t>整，含税）。</w:t>
      </w:r>
    </w:p>
    <w:p w14:paraId="1EA82887">
      <w:pPr>
        <w:spacing w:line="360" w:lineRule="auto"/>
        <w:ind w:firstLine="480" w:firstLineChars="200"/>
        <w:rPr>
          <w:rFonts w:hint="eastAsia" w:ascii="仿宋_GB2312" w:hAnsi="楷体" w:eastAsia="仿宋_GB2312"/>
          <w:sz w:val="24"/>
          <w:u w:val="single"/>
        </w:rPr>
      </w:pPr>
      <w:r>
        <w:rPr>
          <w:rFonts w:hint="eastAsia" w:ascii="仿宋_GB2312" w:hAnsi="楷体" w:eastAsia="仿宋_GB2312"/>
          <w:sz w:val="24"/>
        </w:rPr>
        <w:t>分项价格：</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7F5B4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34277E9D">
            <w:pPr>
              <w:keepNext w:val="0"/>
              <w:keepLines w:val="0"/>
              <w:suppressLineNumbers w:val="0"/>
              <w:spacing w:before="0" w:beforeAutospacing="0" w:after="0" w:afterAutospacing="0" w:line="360" w:lineRule="auto"/>
              <w:ind w:left="0" w:right="0"/>
              <w:jc w:val="center"/>
              <w:rPr>
                <w:rFonts w:hint="eastAsia" w:ascii="仿宋_GB2312" w:hAnsi="楷体" w:eastAsia="仿宋_GB2312"/>
                <w:sz w:val="24"/>
              </w:rPr>
            </w:pPr>
            <w:r>
              <w:rPr>
                <w:rFonts w:hint="eastAsia" w:ascii="仿宋_GB2312" w:hAnsi="楷体" w:eastAsia="仿宋_GB2312"/>
                <w:sz w:val="24"/>
              </w:rPr>
              <w:t>序号</w:t>
            </w:r>
          </w:p>
        </w:tc>
        <w:tc>
          <w:tcPr>
            <w:tcW w:w="3402" w:type="dxa"/>
            <w:tcBorders>
              <w:top w:val="single" w:color="auto" w:sz="4" w:space="0"/>
              <w:left w:val="single" w:color="auto" w:sz="4" w:space="0"/>
              <w:bottom w:val="single" w:color="auto" w:sz="4" w:space="0"/>
              <w:right w:val="single" w:color="auto" w:sz="4" w:space="0"/>
            </w:tcBorders>
            <w:vAlign w:val="center"/>
          </w:tcPr>
          <w:p w14:paraId="6A311005">
            <w:pPr>
              <w:keepNext w:val="0"/>
              <w:keepLines w:val="0"/>
              <w:suppressLineNumbers w:val="0"/>
              <w:spacing w:before="0" w:beforeAutospacing="0" w:after="0" w:afterAutospacing="0" w:line="360" w:lineRule="auto"/>
              <w:ind w:left="0" w:right="0"/>
              <w:jc w:val="center"/>
              <w:rPr>
                <w:rFonts w:hint="eastAsia" w:ascii="仿宋_GB2312" w:hAnsi="楷体" w:eastAsia="仿宋_GB2312"/>
                <w:sz w:val="24"/>
              </w:rPr>
            </w:pPr>
            <w:r>
              <w:rPr>
                <w:rFonts w:hint="eastAsia" w:ascii="仿宋_GB2312" w:hAnsi="楷体" w:eastAsia="仿宋_GB2312"/>
                <w:sz w:val="24"/>
              </w:rPr>
              <w:t>分项名称</w:t>
            </w:r>
          </w:p>
        </w:tc>
        <w:tc>
          <w:tcPr>
            <w:tcW w:w="2552" w:type="dxa"/>
            <w:tcBorders>
              <w:top w:val="single" w:color="auto" w:sz="4" w:space="0"/>
              <w:left w:val="single" w:color="auto" w:sz="4" w:space="0"/>
              <w:bottom w:val="single" w:color="auto" w:sz="4" w:space="0"/>
              <w:right w:val="single" w:color="auto" w:sz="4" w:space="0"/>
            </w:tcBorders>
            <w:vAlign w:val="center"/>
          </w:tcPr>
          <w:p w14:paraId="7740787D">
            <w:pPr>
              <w:keepNext w:val="0"/>
              <w:keepLines w:val="0"/>
              <w:suppressLineNumbers w:val="0"/>
              <w:spacing w:before="0" w:beforeAutospacing="0" w:after="0" w:afterAutospacing="0" w:line="360" w:lineRule="auto"/>
              <w:ind w:left="0" w:right="0"/>
              <w:jc w:val="center"/>
              <w:rPr>
                <w:rFonts w:hint="eastAsia" w:ascii="仿宋_GB2312" w:hAnsi="楷体" w:eastAsia="仿宋_GB2312"/>
                <w:sz w:val="24"/>
              </w:rPr>
            </w:pPr>
            <w:r>
              <w:rPr>
                <w:rFonts w:hint="eastAsia" w:ascii="仿宋_GB2312" w:hAnsi="楷体" w:eastAsia="仿宋_GB2312"/>
                <w:sz w:val="24"/>
              </w:rPr>
              <w:t>分项价格</w:t>
            </w:r>
          </w:p>
        </w:tc>
      </w:tr>
      <w:tr w14:paraId="77262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cBorders>
            <w:vAlign w:val="center"/>
          </w:tcPr>
          <w:p w14:paraId="6C367021">
            <w:pPr>
              <w:keepNext w:val="0"/>
              <w:keepLines w:val="0"/>
              <w:suppressLineNumbers w:val="0"/>
              <w:spacing w:before="0" w:beforeAutospacing="0" w:after="0" w:afterAutospacing="0" w:line="360" w:lineRule="auto"/>
              <w:ind w:left="0" w:right="0"/>
              <w:jc w:val="center"/>
              <w:rPr>
                <w:rFonts w:hint="eastAsia" w:ascii="仿宋_GB2312" w:hAnsi="楷体" w:eastAsia="仿宋_GB2312"/>
                <w:sz w:val="24"/>
              </w:rPr>
            </w:pPr>
          </w:p>
        </w:tc>
        <w:tc>
          <w:tcPr>
            <w:tcW w:w="3402" w:type="dxa"/>
            <w:tcBorders>
              <w:top w:val="single" w:color="auto" w:sz="4" w:space="0"/>
              <w:left w:val="single" w:color="auto" w:sz="4" w:space="0"/>
              <w:bottom w:val="single" w:color="auto" w:sz="4" w:space="0"/>
              <w:right w:val="single" w:color="auto" w:sz="4" w:space="0"/>
            </w:tcBorders>
            <w:vAlign w:val="center"/>
          </w:tcPr>
          <w:p w14:paraId="7F78941A">
            <w:pPr>
              <w:keepNext w:val="0"/>
              <w:keepLines w:val="0"/>
              <w:suppressLineNumbers w:val="0"/>
              <w:spacing w:before="0" w:beforeAutospacing="0" w:after="0" w:afterAutospacing="0" w:line="360" w:lineRule="auto"/>
              <w:ind w:left="0" w:right="0"/>
              <w:jc w:val="center"/>
              <w:rPr>
                <w:rFonts w:hint="eastAsia" w:ascii="仿宋_GB2312" w:hAnsi="楷体" w:eastAsia="仿宋_GB2312"/>
                <w:sz w:val="24"/>
              </w:rPr>
            </w:pPr>
          </w:p>
        </w:tc>
        <w:tc>
          <w:tcPr>
            <w:tcW w:w="2552" w:type="dxa"/>
            <w:tcBorders>
              <w:top w:val="single" w:color="auto" w:sz="4" w:space="0"/>
              <w:left w:val="single" w:color="auto" w:sz="4" w:space="0"/>
              <w:bottom w:val="single" w:color="auto" w:sz="4" w:space="0"/>
              <w:right w:val="single" w:color="auto" w:sz="4" w:space="0"/>
            </w:tcBorders>
            <w:vAlign w:val="center"/>
          </w:tcPr>
          <w:p w14:paraId="4FD69BDC">
            <w:pPr>
              <w:keepNext w:val="0"/>
              <w:keepLines w:val="0"/>
              <w:suppressLineNumbers w:val="0"/>
              <w:spacing w:before="0" w:beforeAutospacing="0" w:after="0" w:afterAutospacing="0" w:line="360" w:lineRule="auto"/>
              <w:ind w:left="0" w:right="0"/>
              <w:jc w:val="center"/>
              <w:rPr>
                <w:rFonts w:hint="eastAsia" w:ascii="仿宋_GB2312" w:hAnsi="楷体" w:eastAsia="仿宋_GB2312"/>
                <w:sz w:val="24"/>
              </w:rPr>
            </w:pPr>
          </w:p>
        </w:tc>
      </w:tr>
      <w:tr w14:paraId="044DD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tcBorders>
              <w:top w:val="single" w:color="auto" w:sz="4" w:space="0"/>
              <w:left w:val="single" w:color="auto" w:sz="4" w:space="0"/>
              <w:bottom w:val="single" w:color="auto" w:sz="4" w:space="0"/>
              <w:right w:val="single" w:color="auto" w:sz="4" w:space="0"/>
            </w:tcBorders>
            <w:vAlign w:val="center"/>
          </w:tcPr>
          <w:p w14:paraId="0EE01234">
            <w:pPr>
              <w:keepNext w:val="0"/>
              <w:keepLines w:val="0"/>
              <w:suppressLineNumbers w:val="0"/>
              <w:spacing w:before="0" w:beforeAutospacing="0" w:after="0" w:afterAutospacing="0" w:line="360" w:lineRule="auto"/>
              <w:ind w:left="0" w:right="0"/>
              <w:jc w:val="center"/>
              <w:rPr>
                <w:rFonts w:hint="eastAsia" w:ascii="仿宋_GB2312" w:hAnsi="楷体" w:eastAsia="仿宋_GB2312"/>
                <w:sz w:val="24"/>
              </w:rPr>
            </w:pPr>
            <w:r>
              <w:rPr>
                <w:rFonts w:hint="eastAsia" w:ascii="仿宋_GB2312" w:hAnsi="楷体" w:eastAsia="仿宋_GB2312"/>
                <w:sz w:val="24"/>
              </w:rPr>
              <w:t>总价</w:t>
            </w:r>
          </w:p>
        </w:tc>
        <w:tc>
          <w:tcPr>
            <w:tcW w:w="2552" w:type="dxa"/>
            <w:tcBorders>
              <w:top w:val="single" w:color="auto" w:sz="4" w:space="0"/>
              <w:left w:val="single" w:color="auto" w:sz="4" w:space="0"/>
              <w:bottom w:val="single" w:color="auto" w:sz="4" w:space="0"/>
              <w:right w:val="single" w:color="auto" w:sz="4" w:space="0"/>
            </w:tcBorders>
            <w:vAlign w:val="center"/>
          </w:tcPr>
          <w:p w14:paraId="45270093">
            <w:pPr>
              <w:keepNext w:val="0"/>
              <w:keepLines w:val="0"/>
              <w:suppressLineNumbers w:val="0"/>
              <w:spacing w:before="0" w:beforeAutospacing="0" w:after="0" w:afterAutospacing="0" w:line="360" w:lineRule="auto"/>
              <w:ind w:left="0" w:right="0"/>
              <w:jc w:val="center"/>
              <w:rPr>
                <w:rFonts w:hint="eastAsia" w:ascii="仿宋_GB2312" w:hAnsi="楷体" w:eastAsia="仿宋_GB2312"/>
                <w:sz w:val="24"/>
              </w:rPr>
            </w:pPr>
          </w:p>
        </w:tc>
      </w:tr>
    </w:tbl>
    <w:p w14:paraId="3A2E800D">
      <w:pPr>
        <w:spacing w:line="360" w:lineRule="auto"/>
        <w:ind w:firstLine="482" w:firstLineChars="200"/>
        <w:rPr>
          <w:rFonts w:hint="eastAsia" w:ascii="仿宋_GB2312" w:hAnsi="楷体" w:eastAsia="仿宋_GB2312"/>
          <w:b/>
          <w:sz w:val="24"/>
        </w:rPr>
      </w:pPr>
      <w:bookmarkStart w:id="152" w:name="_Toc1814"/>
      <w:bookmarkStart w:id="153" w:name="_Toc10340"/>
      <w:bookmarkStart w:id="154" w:name="_Toc22618"/>
      <w:r>
        <w:rPr>
          <w:rFonts w:hint="eastAsia" w:ascii="仿宋_GB2312" w:hAnsi="楷体" w:eastAsia="仿宋_GB2312"/>
          <w:b/>
          <w:sz w:val="24"/>
        </w:rPr>
        <w:t>1.4 付款方式和发票开具方式</w:t>
      </w:r>
      <w:bookmarkEnd w:id="152"/>
      <w:bookmarkEnd w:id="153"/>
      <w:bookmarkEnd w:id="154"/>
    </w:p>
    <w:p w14:paraId="24F3405A">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宋体" w:eastAsia="仿宋_GB2312" w:cs="宋体"/>
          <w:sz w:val="24"/>
          <w:u w:val="single"/>
        </w:rPr>
      </w:pPr>
      <w:r>
        <w:rPr>
          <w:rFonts w:hint="eastAsia" w:ascii="仿宋_GB2312" w:hAnsi="楷体" w:eastAsia="仿宋_GB2312"/>
          <w:sz w:val="24"/>
        </w:rPr>
        <w:t>1.4.1 付款方式：</w:t>
      </w:r>
      <w:r>
        <w:rPr>
          <w:rFonts w:hint="eastAsia" w:ascii="仿宋_GB2312" w:hAnsi="宋体" w:eastAsia="仿宋_GB2312" w:cs="宋体"/>
          <w:sz w:val="24"/>
          <w:u w:val="single"/>
        </w:rPr>
        <w:t>本项目无预付款，乙方所提交的服务经甲方验收合格后，按项目进度内容支付合同款：</w:t>
      </w:r>
    </w:p>
    <w:p w14:paraId="20795982">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宋体" w:eastAsia="仿宋_GB2312" w:cs="宋体"/>
          <w:sz w:val="24"/>
          <w:u w:val="single"/>
          <w:lang w:val="en-US" w:eastAsia="zh-CN"/>
        </w:rPr>
      </w:pPr>
      <w:bookmarkStart w:id="155" w:name="_Hlk213414745"/>
      <w:r>
        <w:rPr>
          <w:rFonts w:hint="eastAsia" w:ascii="仿宋_GB2312" w:hAnsi="宋体" w:eastAsia="仿宋_GB2312" w:cs="宋体"/>
          <w:sz w:val="24"/>
          <w:u w:val="single"/>
          <w:lang w:val="en-US" w:eastAsia="zh-CN"/>
        </w:rPr>
        <w:t>（一）提交2026年度南宁市公交财政补贴、南宁市（含县份）公交企业节能与新能源公交车推广应用情况审计工作实施方案，</w:t>
      </w:r>
      <w:r>
        <w:rPr>
          <w:rFonts w:hint="eastAsia" w:ascii="仿宋_GB2312" w:hAnsi="宋体" w:eastAsia="仿宋_GB2312" w:cs="宋体"/>
          <w:sz w:val="24"/>
          <w:u w:val="single"/>
        </w:rPr>
        <w:t>经甲方认可</w:t>
      </w:r>
      <w:r>
        <w:rPr>
          <w:rFonts w:hint="eastAsia" w:ascii="仿宋_GB2312" w:hAnsi="宋体" w:eastAsia="仿宋_GB2312" w:cs="宋体"/>
          <w:sz w:val="24"/>
          <w:u w:val="single"/>
          <w:lang w:val="en-US" w:eastAsia="zh-CN"/>
        </w:rPr>
        <w:t>后一个月内，</w:t>
      </w:r>
      <w:r>
        <w:rPr>
          <w:rFonts w:hint="eastAsia" w:ascii="仿宋_GB2312" w:hAnsi="宋体" w:eastAsia="仿宋_GB2312" w:cs="宋体"/>
          <w:sz w:val="24"/>
          <w:u w:val="single"/>
        </w:rPr>
        <w:t>甲方</w:t>
      </w:r>
      <w:r>
        <w:rPr>
          <w:rFonts w:hint="eastAsia" w:ascii="仿宋_GB2312" w:hAnsi="宋体" w:eastAsia="仿宋_GB2312" w:cs="宋体"/>
          <w:sz w:val="24"/>
          <w:u w:val="single"/>
          <w:lang w:val="en-US" w:eastAsia="zh-CN"/>
        </w:rPr>
        <w:t>支付乙方50%合同金额；</w:t>
      </w:r>
    </w:p>
    <w:p w14:paraId="4A629F88">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宋体" w:eastAsia="仿宋_GB2312" w:cs="宋体"/>
          <w:sz w:val="24"/>
          <w:u w:val="single"/>
          <w:lang w:val="en-US" w:eastAsia="zh-CN"/>
        </w:rPr>
      </w:pPr>
      <w:r>
        <w:rPr>
          <w:rFonts w:hint="eastAsia" w:ascii="仿宋_GB2312" w:hAnsi="宋体" w:eastAsia="仿宋_GB2312" w:cs="宋体"/>
          <w:sz w:val="24"/>
          <w:u w:val="single"/>
          <w:lang w:val="en-US" w:eastAsia="zh-CN"/>
        </w:rPr>
        <w:t>（二）提交2026年南宁市（含县份）公交企业节能与新能源公交车推广应用情况专项审计报告、2026年度南宁市公交财政补贴审计报告，</w:t>
      </w:r>
      <w:r>
        <w:rPr>
          <w:rFonts w:hint="eastAsia" w:ascii="仿宋_GB2312" w:hAnsi="宋体" w:eastAsia="仿宋_GB2312" w:cs="宋体"/>
          <w:sz w:val="24"/>
          <w:u w:val="single"/>
        </w:rPr>
        <w:t>经甲方</w:t>
      </w:r>
      <w:r>
        <w:rPr>
          <w:rFonts w:hint="eastAsia" w:ascii="仿宋_GB2312" w:hAnsi="宋体" w:eastAsia="仿宋_GB2312" w:cs="宋体"/>
          <w:sz w:val="24"/>
          <w:u w:val="single"/>
          <w:lang w:val="en-US" w:eastAsia="zh-CN"/>
        </w:rPr>
        <w:t>组织评审通过后一个月内，</w:t>
      </w:r>
      <w:r>
        <w:rPr>
          <w:rFonts w:hint="eastAsia" w:ascii="仿宋_GB2312" w:hAnsi="宋体" w:eastAsia="仿宋_GB2312" w:cs="宋体"/>
          <w:sz w:val="24"/>
          <w:u w:val="single"/>
        </w:rPr>
        <w:t>甲方</w:t>
      </w:r>
      <w:r>
        <w:rPr>
          <w:rFonts w:hint="eastAsia" w:ascii="仿宋_GB2312" w:hAnsi="宋体" w:eastAsia="仿宋_GB2312" w:cs="宋体"/>
          <w:sz w:val="24"/>
          <w:u w:val="single"/>
          <w:lang w:val="en-US" w:eastAsia="zh-CN"/>
        </w:rPr>
        <w:t>支付乙方50%合同金额；</w:t>
      </w:r>
    </w:p>
    <w:p w14:paraId="63D7295C">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宋体" w:eastAsia="仿宋_GB2312" w:cs="宋体"/>
          <w:sz w:val="24"/>
          <w:u w:val="single"/>
        </w:rPr>
      </w:pPr>
      <w:r>
        <w:rPr>
          <w:rFonts w:hint="eastAsia" w:ascii="仿宋_GB2312" w:hAnsi="宋体" w:eastAsia="仿宋_GB2312" w:cs="宋体"/>
          <w:sz w:val="24"/>
          <w:u w:val="single"/>
        </w:rPr>
        <w:t>（三）甲方在支付合同金额时，如因国库支付管理系统关闭，暂时无法支付费用的，付款期限顺延至财政国库支付系统开通后的7个工作日内支付。</w:t>
      </w:r>
    </w:p>
    <w:bookmarkEnd w:id="155"/>
    <w:p w14:paraId="505A9F1D">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楷体" w:eastAsia="仿宋_GB2312"/>
          <w:sz w:val="24"/>
        </w:rPr>
      </w:pPr>
      <w:r>
        <w:rPr>
          <w:rFonts w:hint="eastAsia" w:ascii="仿宋_GB2312" w:hAnsi="楷体" w:eastAsia="仿宋_GB2312"/>
          <w:sz w:val="24"/>
        </w:rPr>
        <w:t>1.4.2 发票开具方式：</w:t>
      </w:r>
      <w:r>
        <w:rPr>
          <w:rFonts w:hint="eastAsia" w:ascii="仿宋_GB2312" w:hAnsi="楷体" w:eastAsia="仿宋_GB2312"/>
          <w:sz w:val="24"/>
          <w:u w:val="single"/>
        </w:rPr>
        <w:t>增值税专用发票或普票</w:t>
      </w:r>
      <w:r>
        <w:rPr>
          <w:rFonts w:hint="eastAsia" w:ascii="仿宋_GB2312" w:hAnsi="楷体" w:eastAsia="仿宋_GB2312"/>
          <w:sz w:val="24"/>
        </w:rPr>
        <w:t>。</w:t>
      </w:r>
    </w:p>
    <w:p w14:paraId="3F96FC91">
      <w:pPr>
        <w:wordWrap w:val="0"/>
        <w:spacing w:line="560" w:lineRule="exact"/>
        <w:ind w:firstLine="482" w:firstLineChars="200"/>
        <w:rPr>
          <w:rFonts w:hint="eastAsia" w:ascii="仿宋_GB2312" w:hAnsi="楷体" w:eastAsia="仿宋_GB2312"/>
          <w:b/>
          <w:sz w:val="24"/>
        </w:rPr>
      </w:pPr>
      <w:bookmarkStart w:id="156" w:name="_Toc19304"/>
      <w:bookmarkStart w:id="157" w:name="_Toc2846"/>
      <w:bookmarkStart w:id="158" w:name="_Toc32071"/>
      <w:r>
        <w:rPr>
          <w:rFonts w:hint="eastAsia" w:ascii="仿宋_GB2312" w:hAnsi="楷体" w:eastAsia="仿宋_GB2312"/>
          <w:b/>
          <w:sz w:val="24"/>
        </w:rPr>
        <w:t>1.5 标的物交付期限、地点、方式</w:t>
      </w:r>
      <w:bookmarkEnd w:id="156"/>
      <w:bookmarkEnd w:id="157"/>
      <w:bookmarkEnd w:id="158"/>
      <w:r>
        <w:rPr>
          <w:rFonts w:hint="eastAsia" w:ascii="仿宋_GB2312" w:hAnsi="楷体" w:eastAsia="仿宋_GB2312"/>
          <w:b/>
          <w:sz w:val="24"/>
        </w:rPr>
        <w:t>和服务期限</w:t>
      </w:r>
    </w:p>
    <w:p w14:paraId="1E642922">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楷体" w:eastAsia="仿宋_GB2312"/>
          <w:sz w:val="24"/>
          <w:u w:val="single"/>
        </w:rPr>
      </w:pPr>
      <w:r>
        <w:rPr>
          <w:rFonts w:hint="eastAsia" w:ascii="仿宋_GB2312" w:hAnsi="楷体" w:eastAsia="仿宋_GB2312"/>
          <w:sz w:val="24"/>
        </w:rPr>
        <w:t>1.5.1 交付期限：</w:t>
      </w:r>
      <w:r>
        <w:rPr>
          <w:rFonts w:hint="eastAsia" w:ascii="仿宋_GB2312" w:hAnsi="楷体" w:eastAsia="仿宋_GB2312"/>
          <w:sz w:val="24"/>
          <w:u w:val="single"/>
          <w:lang w:val="en-US" w:eastAsia="zh-CN"/>
        </w:rPr>
        <w:t>（一）2026年</w:t>
      </w:r>
      <w:r>
        <w:rPr>
          <w:rFonts w:hint="eastAsia" w:ascii="仿宋_GB2312" w:hAnsi="楷体" w:eastAsia="仿宋_GB2312"/>
          <w:sz w:val="24"/>
          <w:u w:val="single"/>
          <w:lang w:val="en-US" w:eastAsia="zh"/>
        </w:rPr>
        <w:t>11</w:t>
      </w:r>
      <w:r>
        <w:rPr>
          <w:rFonts w:hint="eastAsia" w:ascii="仿宋_GB2312" w:hAnsi="楷体" w:eastAsia="仿宋_GB2312"/>
          <w:sz w:val="24"/>
          <w:u w:val="single"/>
          <w:lang w:val="en-US" w:eastAsia="zh-CN"/>
        </w:rPr>
        <w:t>月</w:t>
      </w:r>
      <w:r>
        <w:rPr>
          <w:rFonts w:hint="eastAsia" w:ascii="仿宋_GB2312" w:hAnsi="楷体" w:eastAsia="仿宋_GB2312"/>
          <w:sz w:val="24"/>
          <w:u w:val="single"/>
          <w:lang w:val="en-US" w:eastAsia="zh"/>
        </w:rPr>
        <w:t>1</w:t>
      </w:r>
      <w:r>
        <w:rPr>
          <w:rFonts w:hint="eastAsia" w:ascii="仿宋_GB2312" w:hAnsi="楷体" w:eastAsia="仿宋_GB2312"/>
          <w:sz w:val="24"/>
          <w:u w:val="single"/>
          <w:lang w:val="en-US" w:eastAsia="zh-CN"/>
        </w:rPr>
        <w:t>0日前，提交2026年度南宁市公交财政补贴、南宁市（含县份）公交企业节能与新能源公交车推广应用情况专项审计工作实施方案；（二）2027年2月28日前，提交2026年度南宁市（含县份）公交企业节能与新能源公交车推广应用情况专项审计报告；（三）2027年</w:t>
      </w:r>
      <w:r>
        <w:rPr>
          <w:rFonts w:hint="eastAsia" w:ascii="仿宋_GB2312" w:hAnsi="楷体" w:eastAsia="仿宋_GB2312"/>
          <w:sz w:val="24"/>
          <w:u w:val="single"/>
          <w:lang w:val="en-US" w:eastAsia="zh"/>
        </w:rPr>
        <w:t>5</w:t>
      </w:r>
      <w:r>
        <w:rPr>
          <w:rFonts w:hint="eastAsia" w:ascii="仿宋_GB2312" w:hAnsi="楷体" w:eastAsia="仿宋_GB2312"/>
          <w:sz w:val="24"/>
          <w:u w:val="single"/>
          <w:lang w:val="en-US" w:eastAsia="zh-CN"/>
        </w:rPr>
        <w:t>月30日前，提交2026年度南宁市公交财政补贴审计报告</w:t>
      </w:r>
      <w:r>
        <w:rPr>
          <w:rFonts w:hint="eastAsia" w:ascii="仿宋_GB2312" w:hAnsi="宋体" w:eastAsia="仿宋_GB2312" w:cs="宋体"/>
          <w:sz w:val="24"/>
          <w:u w:val="single"/>
        </w:rPr>
        <w:t>。</w:t>
      </w:r>
    </w:p>
    <w:p w14:paraId="038ACAC2">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楷体" w:eastAsia="仿宋_GB2312"/>
          <w:sz w:val="24"/>
        </w:rPr>
      </w:pPr>
      <w:r>
        <w:rPr>
          <w:rFonts w:hint="eastAsia" w:ascii="仿宋_GB2312" w:hAnsi="楷体" w:eastAsia="仿宋_GB2312"/>
          <w:sz w:val="24"/>
        </w:rPr>
        <w:t>1.5.2 交付地点：</w:t>
      </w:r>
      <w:r>
        <w:rPr>
          <w:rFonts w:hint="eastAsia" w:ascii="仿宋_GB2312" w:hAnsi="楷体" w:eastAsia="仿宋_GB2312"/>
          <w:sz w:val="24"/>
          <w:u w:val="single"/>
        </w:rPr>
        <w:t>南宁市</w:t>
      </w:r>
      <w:r>
        <w:rPr>
          <w:rFonts w:hint="eastAsia" w:ascii="仿宋_GB2312" w:hAnsi="楷体" w:eastAsia="仿宋_GB2312"/>
          <w:sz w:val="24"/>
        </w:rPr>
        <w:t>；</w:t>
      </w:r>
    </w:p>
    <w:p w14:paraId="7E9119F0">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楷体" w:eastAsia="仿宋_GB2312"/>
          <w:sz w:val="24"/>
        </w:rPr>
      </w:pPr>
      <w:r>
        <w:rPr>
          <w:rFonts w:hint="eastAsia" w:ascii="仿宋_GB2312" w:hAnsi="楷体" w:eastAsia="仿宋_GB2312"/>
          <w:sz w:val="24"/>
        </w:rPr>
        <w:t>1.5.3 交付方式：</w:t>
      </w:r>
      <w:r>
        <w:rPr>
          <w:rFonts w:hint="eastAsia" w:ascii="仿宋_GB2312" w:hAnsi="楷体" w:eastAsia="仿宋_GB2312"/>
          <w:bCs/>
          <w:sz w:val="24"/>
          <w:u w:val="single"/>
        </w:rPr>
        <w:t>根据响应时提交的《工作时间计划表》，</w:t>
      </w:r>
      <w:bookmarkStart w:id="159" w:name="_Hlk175580436"/>
      <w:r>
        <w:rPr>
          <w:rFonts w:hint="eastAsia" w:ascii="仿宋_GB2312" w:hAnsi="楷体" w:eastAsia="仿宋_GB2312"/>
          <w:bCs/>
          <w:sz w:val="24"/>
          <w:u w:val="single"/>
        </w:rPr>
        <w:t>列明完成各阶段工作的工作时间、工作内容以及责任主体。在本项目咨询服务实施时，乙方根据《工作时间计划表》提交相应的阶段性成果文件。项目完成时将系统的全部有关文件、资料等文档汇集成册交付甲方。</w:t>
      </w:r>
      <w:bookmarkEnd w:id="159"/>
      <w:r>
        <w:rPr>
          <w:rFonts w:hint="eastAsia" w:ascii="仿宋_GB2312" w:hAnsi="楷体" w:eastAsia="仿宋_GB2312"/>
          <w:bCs/>
          <w:sz w:val="24"/>
          <w:u w:val="single"/>
        </w:rPr>
        <w:t>服务期工作报告与服务成果清单作为甲方支付合同款的依据。成果文件一式二十份</w:t>
      </w:r>
      <w:r>
        <w:rPr>
          <w:rFonts w:hint="eastAsia" w:ascii="仿宋_GB2312" w:hAnsi="楷体" w:eastAsia="仿宋_GB2312"/>
          <w:sz w:val="24"/>
        </w:rPr>
        <w:t>；</w:t>
      </w:r>
    </w:p>
    <w:p w14:paraId="1F9D0580">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楷体" w:eastAsia="仿宋_GB2312"/>
          <w:bCs/>
          <w:sz w:val="24"/>
          <w:u w:val="single"/>
        </w:rPr>
      </w:pPr>
      <w:r>
        <w:rPr>
          <w:rFonts w:hint="eastAsia" w:ascii="仿宋_GB2312" w:hAnsi="楷体" w:eastAsia="仿宋_GB2312"/>
          <w:sz w:val="24"/>
        </w:rPr>
        <w:t>1.5.4 服务及质保期限：</w:t>
      </w:r>
      <w:r>
        <w:rPr>
          <w:rFonts w:hint="eastAsia" w:ascii="仿宋_GB2312" w:hAnsi="楷体" w:eastAsia="仿宋_GB2312"/>
          <w:bCs/>
          <w:sz w:val="24"/>
          <w:u w:val="single"/>
        </w:rPr>
        <w:t>1．质量保证期：符合国家法律法规、地方有关现行条例制度要求（1年）。</w:t>
      </w:r>
    </w:p>
    <w:p w14:paraId="65E8B5F9">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楷体" w:eastAsia="仿宋_GB2312"/>
          <w:bCs/>
          <w:sz w:val="24"/>
          <w:u w:val="single"/>
        </w:rPr>
      </w:pPr>
      <w:r>
        <w:rPr>
          <w:rFonts w:hint="eastAsia" w:ascii="仿宋_GB2312" w:hAnsi="楷体" w:eastAsia="仿宋_GB2312"/>
          <w:bCs/>
          <w:sz w:val="24"/>
          <w:u w:val="single"/>
        </w:rPr>
        <w:t>2．乙方将进驻企业、</w:t>
      </w:r>
      <w:bookmarkStart w:id="160" w:name="OLE_LINK18"/>
      <w:r>
        <w:rPr>
          <w:rFonts w:hint="eastAsia" w:ascii="仿宋_GB2312" w:hAnsi="楷体" w:eastAsia="仿宋_GB2312"/>
          <w:bCs/>
          <w:sz w:val="24"/>
          <w:u w:val="single"/>
        </w:rPr>
        <w:t>公交线路各站点</w:t>
      </w:r>
      <w:bookmarkEnd w:id="160"/>
      <w:r>
        <w:rPr>
          <w:rFonts w:hint="eastAsia" w:ascii="仿宋_GB2312" w:hAnsi="楷体" w:eastAsia="仿宋_GB2312"/>
          <w:bCs/>
          <w:sz w:val="24"/>
          <w:u w:val="single"/>
        </w:rPr>
        <w:t>开展审计工作。</w:t>
      </w:r>
    </w:p>
    <w:p w14:paraId="2B99ED52">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楷体" w:eastAsia="仿宋_GB2312"/>
          <w:bCs/>
          <w:sz w:val="24"/>
          <w:u w:val="single"/>
        </w:rPr>
      </w:pPr>
      <w:r>
        <w:rPr>
          <w:rFonts w:hint="eastAsia" w:ascii="仿宋_GB2312" w:hAnsi="楷体" w:eastAsia="仿宋_GB2312"/>
          <w:bCs/>
          <w:sz w:val="24"/>
          <w:u w:val="single"/>
        </w:rPr>
        <w:t>3．处理问题响应时间：在服务期内，乙方接到甲方通知后2小时内到达指定地点并切实有效解决问题。</w:t>
      </w:r>
    </w:p>
    <w:p w14:paraId="4B3230CA">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楷体" w:eastAsia="仿宋_GB2312"/>
          <w:bCs/>
          <w:sz w:val="24"/>
          <w:u w:val="single"/>
        </w:rPr>
      </w:pPr>
      <w:r>
        <w:rPr>
          <w:rFonts w:hint="eastAsia" w:ascii="仿宋_GB2312" w:hAnsi="楷体" w:eastAsia="仿宋_GB2312"/>
          <w:bCs/>
          <w:sz w:val="24"/>
          <w:u w:val="single"/>
        </w:rPr>
        <w:t>4．乙方对拟投入项目组人员辞退或者离职或者调整的应提前1个月书面通知甲方，对拟投入项目组人员调动的应提前1个月书面通知甲方且获得书面同意后方可调动，并对以上情况及时补充相应人员，同时确保人员在离岗前完成交接手续。</w:t>
      </w:r>
    </w:p>
    <w:p w14:paraId="5F869298">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楷体" w:eastAsia="仿宋_GB2312"/>
          <w:sz w:val="24"/>
          <w:u w:val="single"/>
        </w:rPr>
      </w:pPr>
      <w:r>
        <w:rPr>
          <w:rFonts w:hint="eastAsia" w:ascii="仿宋_GB2312" w:hAnsi="楷体" w:eastAsia="仿宋_GB2312"/>
          <w:sz w:val="24"/>
          <w:u w:val="single"/>
        </w:rPr>
        <w:t>5</w:t>
      </w:r>
      <w:r>
        <w:rPr>
          <w:rFonts w:hint="eastAsia" w:ascii="仿宋_GB2312" w:hAnsi="楷体" w:eastAsia="仿宋_GB2312"/>
          <w:bCs/>
          <w:sz w:val="24"/>
          <w:u w:val="single"/>
        </w:rPr>
        <w:t>．</w:t>
      </w:r>
      <w:r>
        <w:rPr>
          <w:rFonts w:hint="eastAsia" w:ascii="仿宋_GB2312" w:hAnsi="楷体" w:eastAsia="仿宋_GB2312"/>
          <w:sz w:val="24"/>
          <w:u w:val="single"/>
        </w:rPr>
        <w:t>成果归属：成果通过验收后，版权和使用权归甲方所有。未经同意，乙方不得擅自对外公开发表或向他人提供成果。</w:t>
      </w:r>
    </w:p>
    <w:p w14:paraId="48B2A98F">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楷体" w:eastAsia="仿宋_GB2312"/>
          <w:sz w:val="24"/>
          <w:u w:val="single"/>
        </w:rPr>
      </w:pPr>
      <w:r>
        <w:rPr>
          <w:rFonts w:hint="eastAsia" w:ascii="仿宋_GB2312" w:hAnsi="楷体" w:eastAsia="仿宋_GB2312"/>
          <w:bCs/>
          <w:sz w:val="24"/>
          <w:u w:val="single"/>
        </w:rPr>
        <w:t>6．</w:t>
      </w:r>
      <w:r>
        <w:rPr>
          <w:rFonts w:hint="eastAsia" w:ascii="仿宋_GB2312" w:hAnsi="楷体" w:eastAsia="仿宋_GB2312"/>
          <w:sz w:val="24"/>
          <w:u w:val="single"/>
        </w:rPr>
        <w:t>验收标准：乙方必须在所响应的《工作时间计划表》规定时间内按竞争性磋商文件要求、响应文件响应及时间要求提交符合甲方要求的成果材料。</w:t>
      </w:r>
    </w:p>
    <w:p w14:paraId="091FB2B6">
      <w:pPr>
        <w:wordWrap w:val="0"/>
        <w:spacing w:line="560" w:lineRule="exact"/>
        <w:ind w:firstLine="482" w:firstLineChars="200"/>
        <w:rPr>
          <w:rFonts w:hint="eastAsia" w:ascii="仿宋_GB2312" w:hAnsi="楷体" w:eastAsia="仿宋_GB2312"/>
          <w:b/>
          <w:sz w:val="24"/>
        </w:rPr>
      </w:pPr>
      <w:bookmarkStart w:id="161" w:name="_Toc19554"/>
      <w:bookmarkStart w:id="162" w:name="_Toc21423"/>
      <w:bookmarkStart w:id="163" w:name="_Toc27250"/>
      <w:r>
        <w:rPr>
          <w:rFonts w:hint="eastAsia" w:ascii="仿宋_GB2312" w:hAnsi="楷体" w:eastAsia="仿宋_GB2312"/>
          <w:b/>
          <w:sz w:val="24"/>
        </w:rPr>
        <w:t>1.6 违约责任</w:t>
      </w:r>
      <w:bookmarkEnd w:id="161"/>
      <w:bookmarkEnd w:id="162"/>
      <w:bookmarkEnd w:id="163"/>
    </w:p>
    <w:p w14:paraId="2017A8D7">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楷体" w:eastAsia="仿宋_GB2312"/>
          <w:sz w:val="24"/>
        </w:rPr>
      </w:pPr>
      <w:r>
        <w:rPr>
          <w:rFonts w:hint="eastAsia" w:ascii="仿宋_GB2312" w:hAnsi="楷体" w:eastAsia="仿宋_GB2312"/>
          <w:sz w:val="24"/>
        </w:rPr>
        <w:t>1.6.1 除不可抗力外，如果乙方没有按照本合同约定的期限、地点和方式交付标的物，甲方可要求乙方支付违约金，违约金按每迟延交付标的物一日的应交付而未交付标的物价格的</w:t>
      </w:r>
      <w:r>
        <w:rPr>
          <w:rFonts w:hint="eastAsia" w:ascii="仿宋_GB2312" w:hAnsi="楷体" w:eastAsia="仿宋_GB2312"/>
          <w:sz w:val="24"/>
          <w:u w:val="single"/>
        </w:rPr>
        <w:t>万分之五</w:t>
      </w:r>
      <w:r>
        <w:rPr>
          <w:rFonts w:hint="eastAsia" w:ascii="仿宋_GB2312" w:hAnsi="楷体" w:eastAsia="仿宋_GB2312"/>
          <w:sz w:val="24"/>
        </w:rPr>
        <w:t>计算，最高限额为本合同总价的</w:t>
      </w:r>
      <w:r>
        <w:rPr>
          <w:rFonts w:hint="eastAsia" w:ascii="仿宋_GB2312" w:hAnsi="楷体" w:eastAsia="仿宋_GB2312"/>
          <w:sz w:val="24"/>
          <w:u w:val="single"/>
        </w:rPr>
        <w:t xml:space="preserve"> 20 </w:t>
      </w:r>
      <w:r>
        <w:rPr>
          <w:rFonts w:hint="eastAsia" w:ascii="仿宋_GB2312" w:hAnsi="楷体" w:eastAsia="仿宋_GB2312"/>
          <w:sz w:val="24"/>
        </w:rPr>
        <w:t>%；迟延超过【30】日的，或乙方提交研究成果经甲方组织评审2次不通过，甲方有权在要求乙方支付违约金的同时，书面通知乙方解除本合同，乙方应退回全部已收取的合同价款并按合同总金额的</w:t>
      </w:r>
      <w:r>
        <w:rPr>
          <w:rFonts w:hint="eastAsia" w:ascii="仿宋_GB2312" w:hAnsi="楷体" w:eastAsia="仿宋_GB2312"/>
          <w:sz w:val="24"/>
          <w:u w:val="single"/>
        </w:rPr>
        <w:t xml:space="preserve"> 20 </w:t>
      </w:r>
      <w:r>
        <w:rPr>
          <w:rFonts w:hint="eastAsia" w:ascii="仿宋_GB2312" w:hAnsi="楷体" w:eastAsia="仿宋_GB2312"/>
          <w:sz w:val="24"/>
        </w:rPr>
        <w:t>%向甲方支付违约金；</w:t>
      </w:r>
    </w:p>
    <w:p w14:paraId="46B506D6">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楷体" w:eastAsia="仿宋_GB2312"/>
          <w:sz w:val="24"/>
        </w:rPr>
      </w:pPr>
      <w:r>
        <w:rPr>
          <w:rFonts w:hint="eastAsia" w:ascii="仿宋_GB2312" w:hAnsi="楷体" w:eastAsia="仿宋_GB2312"/>
          <w:sz w:val="24"/>
        </w:rPr>
        <w:t>1.6.2 除不可抗力外，如果甲方没有按照本合同约定的付款方式付款，乙方可要求甲方支付违约金，违约金按每迟延付款一日的应付而未付款的</w:t>
      </w:r>
      <w:r>
        <w:rPr>
          <w:rFonts w:hint="eastAsia" w:ascii="仿宋_GB2312" w:hAnsi="楷体" w:eastAsia="仿宋_GB2312"/>
          <w:sz w:val="24"/>
          <w:u w:val="single"/>
        </w:rPr>
        <w:t>万分之五</w:t>
      </w:r>
      <w:r>
        <w:rPr>
          <w:rFonts w:hint="eastAsia" w:ascii="仿宋_GB2312" w:hAnsi="楷体" w:eastAsia="仿宋_GB2312"/>
          <w:sz w:val="24"/>
        </w:rPr>
        <w:t>计算，最高限额为欠付金额的</w:t>
      </w:r>
      <w:r>
        <w:rPr>
          <w:rFonts w:hint="eastAsia" w:ascii="仿宋_GB2312" w:hAnsi="楷体" w:eastAsia="仿宋_GB2312"/>
          <w:sz w:val="24"/>
          <w:u w:val="single"/>
        </w:rPr>
        <w:t xml:space="preserve"> 20 </w:t>
      </w:r>
      <w:r>
        <w:rPr>
          <w:rFonts w:hint="eastAsia" w:ascii="仿宋_GB2312" w:hAnsi="楷体" w:eastAsia="仿宋_GB2312"/>
          <w:sz w:val="24"/>
        </w:rPr>
        <w:t>%；迟延付款的违约金计算数额达到前述最高限额之日起，乙方有权在要求甲方支付违约金的同时，书面通知甲方解除本合同；</w:t>
      </w:r>
    </w:p>
    <w:p w14:paraId="29D42B91">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楷体" w:eastAsia="仿宋_GB2312"/>
          <w:sz w:val="24"/>
        </w:rPr>
      </w:pPr>
      <w:r>
        <w:rPr>
          <w:rFonts w:hint="eastAsia" w:ascii="仿宋_GB2312" w:hAnsi="楷体" w:eastAsia="仿宋_GB2312"/>
          <w:sz w:val="24"/>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B981BC3">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仿宋" w:eastAsia="仿宋_GB2312" w:cs="仿宋"/>
          <w:sz w:val="24"/>
        </w:rPr>
      </w:pPr>
      <w:r>
        <w:rPr>
          <w:rFonts w:hint="eastAsia" w:ascii="仿宋_GB2312" w:hAnsi="楷体" w:eastAsia="仿宋_GB2312"/>
          <w:sz w:val="24"/>
        </w:rPr>
        <w:t>1.6.4乙方在质保期内未按承诺提供售后等服务的，每发生一次向甲方支付</w:t>
      </w:r>
      <w:r>
        <w:rPr>
          <w:rFonts w:hint="eastAsia" w:ascii="仿宋_GB2312" w:hAnsi="仿宋" w:eastAsia="仿宋_GB2312" w:cs="仿宋"/>
          <w:sz w:val="24"/>
          <w:u w:val="single"/>
        </w:rPr>
        <w:t xml:space="preserve"> 2000 </w:t>
      </w:r>
      <w:r>
        <w:rPr>
          <w:rFonts w:hint="eastAsia" w:ascii="仿宋_GB2312" w:hAnsi="楷体" w:eastAsia="仿宋_GB2312"/>
          <w:sz w:val="24"/>
        </w:rPr>
        <w:t>元的违约金。</w:t>
      </w:r>
    </w:p>
    <w:p w14:paraId="256DE9A0">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楷体" w:eastAsia="仿宋_GB2312"/>
          <w:sz w:val="24"/>
        </w:rPr>
      </w:pPr>
      <w:r>
        <w:rPr>
          <w:rFonts w:hint="eastAsia" w:ascii="仿宋_GB2312" w:hAnsi="楷体" w:eastAsia="仿宋_GB2312"/>
          <w:sz w:val="24"/>
        </w:rPr>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04A8542E">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楷体" w:eastAsia="仿宋_GB2312"/>
          <w:sz w:val="24"/>
        </w:rPr>
      </w:pPr>
      <w:r>
        <w:rPr>
          <w:rFonts w:hint="eastAsia" w:ascii="仿宋_GB2312" w:hAnsi="楷体" w:eastAsia="仿宋_GB2312"/>
          <w:sz w:val="24"/>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8B20CE7">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楷体" w:eastAsia="仿宋_GB2312"/>
          <w:sz w:val="24"/>
        </w:rPr>
      </w:pPr>
      <w:r>
        <w:rPr>
          <w:rFonts w:hint="eastAsia" w:ascii="仿宋_GB2312" w:hAnsi="楷体" w:eastAsia="仿宋_GB2312"/>
          <w:sz w:val="24"/>
        </w:rPr>
        <w:t>1.6.7 如果出现政府采购监督管理部门在处理投诉事项期间，书面通知甲方暂停采购活动的情形，或者询问或质疑事项可能影响成交结果的，导致甲方中止履行合同的情形，均不视为甲方违约。</w:t>
      </w:r>
    </w:p>
    <w:p w14:paraId="71A5C97D">
      <w:pPr>
        <w:wordWrap w:val="0"/>
        <w:spacing w:line="580" w:lineRule="exact"/>
        <w:ind w:firstLine="482" w:firstLineChars="200"/>
        <w:rPr>
          <w:rFonts w:hint="eastAsia" w:ascii="仿宋_GB2312" w:hAnsi="楷体" w:eastAsia="仿宋_GB2312"/>
          <w:b/>
          <w:sz w:val="24"/>
        </w:rPr>
      </w:pPr>
      <w:bookmarkStart w:id="164" w:name="_Toc28375"/>
      <w:bookmarkStart w:id="165" w:name="_Toc15583"/>
      <w:bookmarkStart w:id="166" w:name="_Toc16021"/>
      <w:r>
        <w:rPr>
          <w:rFonts w:hint="eastAsia" w:ascii="仿宋_GB2312" w:hAnsi="楷体" w:eastAsia="仿宋_GB2312"/>
          <w:b/>
          <w:sz w:val="24"/>
        </w:rPr>
        <w:t>1.7 合同争议的解决</w:t>
      </w:r>
      <w:bookmarkEnd w:id="164"/>
      <w:bookmarkEnd w:id="165"/>
      <w:bookmarkEnd w:id="166"/>
    </w:p>
    <w:p w14:paraId="002FBCDF">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楷体" w:eastAsia="仿宋_GB2312"/>
          <w:sz w:val="24"/>
        </w:rPr>
      </w:pPr>
      <w:r>
        <w:rPr>
          <w:rFonts w:hint="eastAsia" w:ascii="仿宋_GB2312" w:hAnsi="楷体" w:eastAsia="仿宋_GB2312"/>
          <w:sz w:val="24"/>
        </w:rPr>
        <w:t>本合同履行过程中发生的任何争议，双方当事人均可通过和解或者调解解决；不愿和解、调解或者和解、调解不成的，可以选择下列第</w:t>
      </w:r>
      <w:r>
        <w:rPr>
          <w:rFonts w:hint="eastAsia" w:ascii="仿宋_GB2312" w:hAnsi="楷体" w:eastAsia="仿宋_GB2312"/>
          <w:sz w:val="24"/>
          <w:u w:val="single"/>
        </w:rPr>
        <w:t xml:space="preserve"> 1.7.2 </w:t>
      </w:r>
      <w:r>
        <w:rPr>
          <w:rFonts w:hint="eastAsia" w:ascii="仿宋_GB2312" w:hAnsi="楷体" w:eastAsia="仿宋_GB2312"/>
          <w:sz w:val="24"/>
        </w:rPr>
        <w:t>种方式解决：</w:t>
      </w:r>
    </w:p>
    <w:p w14:paraId="426D5F40">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楷体" w:eastAsia="仿宋_GB2312"/>
          <w:sz w:val="24"/>
        </w:rPr>
      </w:pPr>
      <w:r>
        <w:rPr>
          <w:rFonts w:hint="eastAsia" w:ascii="仿宋_GB2312" w:hAnsi="楷体" w:eastAsia="仿宋_GB2312"/>
          <w:sz w:val="24"/>
        </w:rPr>
        <w:t>1.7.1 将争议提交</w:t>
      </w:r>
      <w:r>
        <w:rPr>
          <w:rFonts w:hint="eastAsia" w:ascii="仿宋_GB2312" w:hAnsi="楷体" w:eastAsia="仿宋_GB2312"/>
          <w:sz w:val="24"/>
          <w:u w:val="single"/>
        </w:rPr>
        <w:t>南宁</w:t>
      </w:r>
      <w:r>
        <w:rPr>
          <w:rFonts w:hint="eastAsia" w:ascii="仿宋_GB2312" w:hAnsi="楷体" w:eastAsia="仿宋_GB2312"/>
          <w:sz w:val="24"/>
        </w:rPr>
        <w:t>仲裁委员会依申请仲裁时其现行有效的仲裁规则裁决；</w:t>
      </w:r>
    </w:p>
    <w:p w14:paraId="78EBE27B">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楷体" w:eastAsia="仿宋_GB2312"/>
          <w:sz w:val="24"/>
        </w:rPr>
      </w:pPr>
      <w:r>
        <w:rPr>
          <w:rFonts w:hint="eastAsia" w:ascii="仿宋_GB2312" w:hAnsi="楷体" w:eastAsia="仿宋_GB2312"/>
          <w:sz w:val="24"/>
        </w:rPr>
        <w:t>1.7.2 向</w:t>
      </w:r>
      <w:r>
        <w:rPr>
          <w:rFonts w:hint="eastAsia" w:ascii="仿宋_GB2312" w:hAnsi="楷体" w:eastAsia="仿宋_GB2312"/>
          <w:sz w:val="24"/>
          <w:u w:val="single"/>
        </w:rPr>
        <w:t xml:space="preserve">  甲方所在地  </w:t>
      </w:r>
      <w:r>
        <w:rPr>
          <w:rFonts w:hint="eastAsia" w:ascii="仿宋_GB2312" w:hAnsi="楷体" w:eastAsia="仿宋_GB2312"/>
          <w:sz w:val="24"/>
        </w:rPr>
        <w:t>人民法院起诉。</w:t>
      </w:r>
    </w:p>
    <w:p w14:paraId="0C5C74CF">
      <w:pPr>
        <w:wordWrap w:val="0"/>
        <w:spacing w:line="580" w:lineRule="exact"/>
        <w:ind w:firstLine="482" w:firstLineChars="200"/>
        <w:rPr>
          <w:rFonts w:hint="eastAsia" w:ascii="仿宋_GB2312" w:hAnsi="楷体" w:eastAsia="仿宋_GB2312"/>
          <w:b/>
          <w:sz w:val="24"/>
        </w:rPr>
      </w:pPr>
      <w:bookmarkStart w:id="167" w:name="_Toc15322"/>
      <w:bookmarkStart w:id="168" w:name="_Toc7245"/>
      <w:bookmarkStart w:id="169" w:name="_Toc11173"/>
      <w:r>
        <w:rPr>
          <w:rFonts w:hint="eastAsia" w:ascii="仿宋_GB2312" w:hAnsi="楷体" w:eastAsia="仿宋_GB2312"/>
          <w:b/>
          <w:sz w:val="24"/>
        </w:rPr>
        <w:t>1.8 合同生效</w:t>
      </w:r>
      <w:bookmarkEnd w:id="167"/>
      <w:bookmarkEnd w:id="168"/>
      <w:bookmarkEnd w:id="169"/>
    </w:p>
    <w:p w14:paraId="51F9E0DF">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楷体" w:eastAsia="仿宋_GB2312"/>
          <w:sz w:val="24"/>
        </w:rPr>
      </w:pPr>
      <w:r>
        <w:rPr>
          <w:rFonts w:hint="eastAsia" w:ascii="仿宋_GB2312" w:hAnsi="楷体" w:eastAsia="仿宋_GB2312"/>
          <w:sz w:val="24"/>
        </w:rPr>
        <w:t>本合同自双方当事人加盖有效公章时生效。</w:t>
      </w:r>
    </w:p>
    <w:p w14:paraId="0A2D79C3">
      <w:pPr>
        <w:pStyle w:val="2"/>
        <w:jc w:val="center"/>
        <w:rPr>
          <w:rFonts w:hint="eastAsia" w:eastAsia="仿宋_GB2312"/>
          <w:lang w:eastAsia="zh-CN"/>
        </w:rPr>
      </w:pPr>
      <w:r>
        <w:rPr>
          <w:rFonts w:hint="eastAsia" w:ascii="仿宋_GB2312" w:hAnsi="楷体" w:eastAsia="仿宋_GB2312"/>
          <w:sz w:val="24"/>
          <w:lang w:eastAsia="zh-CN"/>
        </w:rPr>
        <w:t>（</w:t>
      </w:r>
      <w:r>
        <w:rPr>
          <w:rFonts w:hint="eastAsia" w:ascii="仿宋_GB2312" w:hAnsi="楷体" w:eastAsia="仿宋_GB2312"/>
          <w:sz w:val="24"/>
          <w:lang w:val="en-US" w:eastAsia="zh-CN"/>
        </w:rPr>
        <w:t>以下无正文</w:t>
      </w:r>
      <w:r>
        <w:rPr>
          <w:rFonts w:hint="eastAsia" w:ascii="仿宋_GB2312" w:hAnsi="楷体" w:eastAsia="仿宋_GB2312"/>
          <w:sz w:val="24"/>
          <w:lang w:eastAsia="zh-CN"/>
        </w:rPr>
        <w:t>）</w:t>
      </w:r>
    </w:p>
    <w:p w14:paraId="4DC55339">
      <w:pPr>
        <w:pStyle w:val="2"/>
        <w:rPr>
          <w:rFonts w:hint="eastAsia" w:ascii="仿宋_GB2312" w:hAnsi="楷体" w:eastAsia="仿宋_GB2312"/>
          <w:sz w:val="24"/>
        </w:rPr>
      </w:pPr>
    </w:p>
    <w:p w14:paraId="0BF5928F">
      <w:pPr>
        <w:rPr>
          <w:rFonts w:hint="eastAsia" w:ascii="仿宋_GB2312" w:hAnsi="楷体" w:eastAsia="仿宋_GB2312"/>
          <w:sz w:val="24"/>
        </w:rPr>
      </w:pPr>
      <w:r>
        <w:rPr>
          <w:rFonts w:hint="eastAsia" w:ascii="仿宋_GB2312" w:hAnsi="楷体" w:eastAsia="仿宋_GB2312"/>
          <w:sz w:val="24"/>
        </w:rPr>
        <w:br w:type="page"/>
      </w:r>
    </w:p>
    <w:p w14:paraId="14A7144F">
      <w:pPr>
        <w:pStyle w:val="14"/>
        <w:keepNext w:val="0"/>
        <w:keepLines w:val="0"/>
        <w:pageBreakBefore w:val="0"/>
        <w:widowControl/>
        <w:kinsoku w:val="0"/>
        <w:wordWrap/>
        <w:overflowPunct/>
        <w:topLinePunct w:val="0"/>
        <w:autoSpaceDE w:val="0"/>
        <w:autoSpaceDN w:val="0"/>
        <w:bidi w:val="0"/>
        <w:adjustRightInd w:val="0"/>
        <w:snapToGrid w:val="0"/>
        <w:spacing w:line="440" w:lineRule="atLeast"/>
        <w:ind w:left="0" w:right="0" w:firstLine="472" w:firstLineChars="200"/>
        <w:jc w:val="center"/>
        <w:textAlignment w:val="baseline"/>
        <w:rPr>
          <w:rFonts w:hint="eastAsia" w:ascii="仿宋_GB2312" w:hAnsi="楷体" w:eastAsia="仿宋_GB2312"/>
          <w:sz w:val="24"/>
        </w:rPr>
      </w:pPr>
      <w:r>
        <w:rPr>
          <w:rFonts w:hint="eastAsia" w:ascii="仿宋" w:hAnsi="仿宋" w:eastAsia="仿宋" w:cs="仿宋"/>
          <w:spacing w:val="-2"/>
          <w:sz w:val="24"/>
          <w:szCs w:val="24"/>
          <w:highlight w:val="none"/>
        </w:rPr>
        <w:t>（本页为签</w:t>
      </w:r>
      <w:r>
        <w:rPr>
          <w:rFonts w:hint="eastAsia" w:ascii="仿宋" w:hAnsi="仿宋" w:eastAsia="仿宋" w:cs="仿宋"/>
          <w:spacing w:val="-2"/>
          <w:sz w:val="24"/>
          <w:szCs w:val="24"/>
          <w:highlight w:val="none"/>
          <w:lang w:val="en-US" w:eastAsia="zh-CN"/>
        </w:rPr>
        <w:t>章</w:t>
      </w:r>
      <w:r>
        <w:rPr>
          <w:rFonts w:hint="eastAsia" w:ascii="仿宋" w:hAnsi="仿宋" w:eastAsia="仿宋" w:cs="仿宋"/>
          <w:spacing w:val="-2"/>
          <w:sz w:val="24"/>
          <w:szCs w:val="24"/>
          <w:highlight w:val="none"/>
        </w:rPr>
        <w:t>页）</w:t>
      </w:r>
    </w:p>
    <w:tbl>
      <w:tblPr>
        <w:tblStyle w:val="31"/>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04"/>
        <w:gridCol w:w="4605"/>
      </w:tblGrid>
      <w:tr w14:paraId="5BBE3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604" w:type="dxa"/>
            <w:noWrap/>
            <w:vAlign w:val="center"/>
          </w:tcPr>
          <w:p w14:paraId="7A34A346">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甲方：南宁市交通运输局</w:t>
            </w:r>
          </w:p>
        </w:tc>
        <w:tc>
          <w:tcPr>
            <w:tcW w:w="4605" w:type="dxa"/>
            <w:noWrap/>
            <w:vAlign w:val="center"/>
          </w:tcPr>
          <w:p w14:paraId="5068B395">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乙方：</w:t>
            </w:r>
          </w:p>
        </w:tc>
      </w:tr>
      <w:tr w14:paraId="1643C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604" w:type="dxa"/>
            <w:noWrap/>
            <w:vAlign w:val="center"/>
          </w:tcPr>
          <w:p w14:paraId="2C6D0F79">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统一社会信用代码：</w:t>
            </w:r>
          </w:p>
          <w:p w14:paraId="6EF759D0">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114501000075755958</w:t>
            </w:r>
          </w:p>
        </w:tc>
        <w:tc>
          <w:tcPr>
            <w:tcW w:w="4605" w:type="dxa"/>
            <w:noWrap/>
            <w:vAlign w:val="center"/>
          </w:tcPr>
          <w:p w14:paraId="223D7DFF">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统一社会信用代码或身份证号码：</w:t>
            </w:r>
          </w:p>
          <w:p w14:paraId="2C1755D0">
            <w:pPr>
              <w:pStyle w:val="2"/>
              <w:keepNext w:val="0"/>
              <w:keepLines w:val="0"/>
              <w:suppressLineNumbers w:val="0"/>
              <w:spacing w:before="0" w:beforeAutospacing="0" w:after="0" w:afterAutospacing="0" w:line="360" w:lineRule="auto"/>
              <w:ind w:left="0" w:leftChars="0" w:right="0" w:firstLine="0" w:firstLineChars="0"/>
              <w:rPr>
                <w:rFonts w:hint="eastAsia" w:ascii="仿宋_GB2312" w:hAnsi="宋体" w:eastAsia="仿宋_GB2312" w:cs="宋体"/>
                <w:color w:val="000000"/>
                <w:kern w:val="0"/>
                <w:sz w:val="24"/>
              </w:rPr>
            </w:pPr>
          </w:p>
        </w:tc>
      </w:tr>
      <w:tr w14:paraId="1A8E1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jc w:val="center"/>
        </w:trPr>
        <w:tc>
          <w:tcPr>
            <w:tcW w:w="4604" w:type="dxa"/>
            <w:noWrap/>
          </w:tcPr>
          <w:p w14:paraId="420B1BB5">
            <w:pPr>
              <w:keepNext w:val="0"/>
              <w:keepLines w:val="0"/>
              <w:widowControl/>
              <w:suppressLineNumbers w:val="0"/>
              <w:spacing w:before="0" w:beforeAutospacing="0" w:after="0" w:afterAutospacing="0" w:line="360" w:lineRule="auto"/>
              <w:ind w:left="0" w:right="0"/>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住所：</w:t>
            </w:r>
            <w:r>
              <w:rPr>
                <w:rFonts w:hint="eastAsia" w:ascii="仿宋_GB2312" w:hAnsi="宋体" w:eastAsia="仿宋_GB2312" w:cs="宋体"/>
                <w:color w:val="000000"/>
                <w:kern w:val="0"/>
                <w:sz w:val="24"/>
                <w:lang w:eastAsia="zh-CN"/>
              </w:rPr>
              <w:t>南宁市青秀区滨湖路 80号</w:t>
            </w:r>
          </w:p>
        </w:tc>
        <w:tc>
          <w:tcPr>
            <w:tcW w:w="4605" w:type="dxa"/>
            <w:noWrap/>
            <w:vAlign w:val="top"/>
          </w:tcPr>
          <w:p w14:paraId="3F32CA77">
            <w:pPr>
              <w:keepNext w:val="0"/>
              <w:keepLines w:val="0"/>
              <w:widowControl/>
              <w:suppressLineNumbers w:val="0"/>
              <w:spacing w:before="0" w:beforeAutospacing="0" w:after="0" w:afterAutospacing="0" w:line="360" w:lineRule="auto"/>
              <w:ind w:left="0" w:right="0"/>
              <w:jc w:val="both"/>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住所：</w:t>
            </w:r>
          </w:p>
        </w:tc>
      </w:tr>
      <w:tr w14:paraId="1D55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604" w:type="dxa"/>
            <w:vAlign w:val="center"/>
          </w:tcPr>
          <w:p w14:paraId="59149B7C">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法定代表人或授权代表（签字或盖章）：</w:t>
            </w:r>
          </w:p>
          <w:p w14:paraId="069DBBA4">
            <w:pPr>
              <w:pStyle w:val="2"/>
              <w:keepNext w:val="0"/>
              <w:keepLines w:val="0"/>
              <w:suppressLineNumbers w:val="0"/>
              <w:spacing w:before="0" w:beforeAutospacing="0" w:after="0" w:afterAutospacing="0" w:line="360" w:lineRule="auto"/>
              <w:ind w:left="0" w:leftChars="0" w:right="0"/>
              <w:rPr>
                <w:rFonts w:hint="default" w:ascii="仿宋_GB2312" w:eastAsia="仿宋_GB2312"/>
              </w:rPr>
            </w:pPr>
          </w:p>
          <w:p w14:paraId="6C344304">
            <w:pPr>
              <w:pStyle w:val="2"/>
              <w:keepNext w:val="0"/>
              <w:keepLines w:val="0"/>
              <w:suppressLineNumbers w:val="0"/>
              <w:spacing w:before="0" w:beforeAutospacing="0" w:after="0" w:afterAutospacing="0" w:line="360" w:lineRule="auto"/>
              <w:ind w:left="0" w:leftChars="0" w:right="0"/>
              <w:rPr>
                <w:rFonts w:hint="default" w:ascii="仿宋_GB2312" w:eastAsia="仿宋_GB2312"/>
              </w:rPr>
            </w:pPr>
          </w:p>
          <w:p w14:paraId="2BFBD263">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p>
        </w:tc>
        <w:tc>
          <w:tcPr>
            <w:tcW w:w="4605" w:type="dxa"/>
          </w:tcPr>
          <w:p w14:paraId="76C2E306">
            <w:pPr>
              <w:keepNext w:val="0"/>
              <w:keepLines w:val="0"/>
              <w:widowControl/>
              <w:suppressLineNumbers w:val="0"/>
              <w:spacing w:before="0" w:beforeAutospacing="0" w:after="0" w:afterAutospacing="0" w:line="360" w:lineRule="auto"/>
              <w:ind w:left="0" w:right="0"/>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法定代表人或授权代表（签字或盖章）：</w:t>
            </w:r>
          </w:p>
          <w:p w14:paraId="2D8C4CD3">
            <w:pPr>
              <w:pStyle w:val="2"/>
              <w:keepNext w:val="0"/>
              <w:keepLines w:val="0"/>
              <w:suppressLineNumbers w:val="0"/>
              <w:spacing w:before="0" w:beforeAutospacing="0" w:after="0" w:afterAutospacing="0" w:line="360" w:lineRule="auto"/>
              <w:ind w:left="0" w:leftChars="0" w:right="0"/>
              <w:rPr>
                <w:rFonts w:hint="default" w:ascii="仿宋_GB2312" w:eastAsia="仿宋_GB2312"/>
              </w:rPr>
            </w:pPr>
          </w:p>
          <w:p w14:paraId="7A6C0700">
            <w:pPr>
              <w:pStyle w:val="2"/>
              <w:keepNext w:val="0"/>
              <w:keepLines w:val="0"/>
              <w:suppressLineNumbers w:val="0"/>
              <w:spacing w:before="0" w:beforeAutospacing="0" w:after="0" w:afterAutospacing="0" w:line="360" w:lineRule="auto"/>
              <w:ind w:left="0" w:leftChars="0" w:right="0"/>
              <w:rPr>
                <w:rFonts w:hint="eastAsia" w:ascii="仿宋_GB2312" w:hAnsi="宋体" w:eastAsia="仿宋_GB2312" w:cs="宋体"/>
                <w:color w:val="000000"/>
                <w:kern w:val="0"/>
                <w:sz w:val="24"/>
              </w:rPr>
            </w:pPr>
          </w:p>
        </w:tc>
      </w:tr>
      <w:tr w14:paraId="61052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604" w:type="dxa"/>
            <w:noWrap/>
            <w:vAlign w:val="center"/>
          </w:tcPr>
          <w:p w14:paraId="765135A2">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lang w:eastAsia="zh-CN"/>
              </w:rPr>
            </w:pPr>
            <w:r>
              <w:rPr>
                <w:rFonts w:hint="eastAsia" w:ascii="仿宋_GB2312" w:hAnsi="宋体" w:eastAsia="仿宋_GB2312" w:cs="宋体"/>
                <w:color w:val="000000"/>
                <w:kern w:val="0"/>
                <w:sz w:val="24"/>
              </w:rPr>
              <w:t>联系人：</w:t>
            </w:r>
          </w:p>
        </w:tc>
        <w:tc>
          <w:tcPr>
            <w:tcW w:w="4605" w:type="dxa"/>
            <w:noWrap/>
            <w:vAlign w:val="center"/>
          </w:tcPr>
          <w:p w14:paraId="24836D4E">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联系人：</w:t>
            </w:r>
          </w:p>
        </w:tc>
      </w:tr>
      <w:tr w14:paraId="7C804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604" w:type="dxa"/>
            <w:noWrap/>
            <w:vAlign w:val="center"/>
          </w:tcPr>
          <w:p w14:paraId="1CD2CAA5">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约定送达地址：</w:t>
            </w:r>
          </w:p>
        </w:tc>
        <w:tc>
          <w:tcPr>
            <w:tcW w:w="4605" w:type="dxa"/>
            <w:noWrap/>
            <w:vAlign w:val="center"/>
          </w:tcPr>
          <w:p w14:paraId="5DB4CF44">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约定送达地址：</w:t>
            </w:r>
          </w:p>
        </w:tc>
      </w:tr>
      <w:tr w14:paraId="7E06E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604" w:type="dxa"/>
            <w:noWrap/>
            <w:vAlign w:val="center"/>
          </w:tcPr>
          <w:p w14:paraId="6135931A">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邮政编码：530022</w:t>
            </w:r>
          </w:p>
        </w:tc>
        <w:tc>
          <w:tcPr>
            <w:tcW w:w="4605" w:type="dxa"/>
            <w:noWrap/>
            <w:vAlign w:val="center"/>
          </w:tcPr>
          <w:p w14:paraId="5F59405C">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邮政编码：</w:t>
            </w:r>
          </w:p>
        </w:tc>
      </w:tr>
      <w:tr w14:paraId="1ECB9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604" w:type="dxa"/>
            <w:noWrap/>
            <w:vAlign w:val="center"/>
          </w:tcPr>
          <w:p w14:paraId="69467324">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电话:0771-5857665</w:t>
            </w:r>
          </w:p>
        </w:tc>
        <w:tc>
          <w:tcPr>
            <w:tcW w:w="4605" w:type="dxa"/>
            <w:noWrap/>
            <w:vAlign w:val="center"/>
          </w:tcPr>
          <w:p w14:paraId="4EBC09AA">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电话:</w:t>
            </w:r>
            <w:bookmarkStart w:id="170" w:name="_Hlk133488292"/>
            <w:r>
              <w:rPr>
                <w:rFonts w:hint="eastAsia" w:ascii="仿宋_GB2312" w:eastAsia="仿宋_GB2312" w:hAnsiTheme="minorEastAsia" w:cstheme="minorEastAsia"/>
                <w:sz w:val="28"/>
                <w:szCs w:val="28"/>
              </w:rPr>
              <w:t xml:space="preserve"> </w:t>
            </w:r>
            <w:bookmarkEnd w:id="170"/>
          </w:p>
        </w:tc>
      </w:tr>
      <w:tr w14:paraId="1480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604" w:type="dxa"/>
            <w:noWrap/>
            <w:vAlign w:val="center"/>
          </w:tcPr>
          <w:p w14:paraId="02E95FEC">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传真:</w:t>
            </w:r>
          </w:p>
        </w:tc>
        <w:tc>
          <w:tcPr>
            <w:tcW w:w="4605" w:type="dxa"/>
            <w:noWrap/>
            <w:vAlign w:val="center"/>
          </w:tcPr>
          <w:p w14:paraId="4E119B54">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传真:</w:t>
            </w:r>
          </w:p>
        </w:tc>
      </w:tr>
      <w:tr w14:paraId="5530F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604" w:type="dxa"/>
            <w:noWrap/>
            <w:vAlign w:val="center"/>
          </w:tcPr>
          <w:p w14:paraId="2A792BE4">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电子邮箱：</w:t>
            </w:r>
          </w:p>
        </w:tc>
        <w:tc>
          <w:tcPr>
            <w:tcW w:w="4605" w:type="dxa"/>
            <w:noWrap/>
            <w:vAlign w:val="center"/>
          </w:tcPr>
          <w:p w14:paraId="05958C38">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电子邮箱：</w:t>
            </w:r>
          </w:p>
        </w:tc>
      </w:tr>
      <w:tr w14:paraId="1C916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604" w:type="dxa"/>
            <w:noWrap/>
            <w:vAlign w:val="center"/>
          </w:tcPr>
          <w:p w14:paraId="51A4D55B">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开户银行：工行南宁市金禄支行</w:t>
            </w:r>
          </w:p>
        </w:tc>
        <w:tc>
          <w:tcPr>
            <w:tcW w:w="4605" w:type="dxa"/>
            <w:noWrap/>
            <w:vAlign w:val="center"/>
          </w:tcPr>
          <w:p w14:paraId="3B99F67A">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开户银行：行</w:t>
            </w:r>
          </w:p>
        </w:tc>
      </w:tr>
      <w:tr w14:paraId="6F0DF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604" w:type="dxa"/>
            <w:noWrap/>
          </w:tcPr>
          <w:p w14:paraId="1148409A">
            <w:pPr>
              <w:keepNext w:val="0"/>
              <w:keepLines w:val="0"/>
              <w:widowControl/>
              <w:suppressLineNumbers w:val="0"/>
              <w:spacing w:before="0" w:beforeAutospacing="0" w:after="0" w:afterAutospacing="0" w:line="360" w:lineRule="auto"/>
              <w:ind w:left="0" w:right="0"/>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开户名称：南宁市交通运输局</w:t>
            </w:r>
          </w:p>
        </w:tc>
        <w:tc>
          <w:tcPr>
            <w:tcW w:w="4605" w:type="dxa"/>
            <w:noWrap/>
            <w:vAlign w:val="center"/>
          </w:tcPr>
          <w:p w14:paraId="1BE3039A">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开户名称：</w:t>
            </w:r>
          </w:p>
        </w:tc>
      </w:tr>
      <w:tr w14:paraId="2E24A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4604" w:type="dxa"/>
            <w:noWrap/>
            <w:vAlign w:val="center"/>
          </w:tcPr>
          <w:p w14:paraId="051D0440">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开户账号：2102112309301083662</w:t>
            </w:r>
          </w:p>
        </w:tc>
        <w:tc>
          <w:tcPr>
            <w:tcW w:w="4605" w:type="dxa"/>
            <w:noWrap/>
            <w:vAlign w:val="center"/>
          </w:tcPr>
          <w:p w14:paraId="4538C685">
            <w:pPr>
              <w:keepNext w:val="0"/>
              <w:keepLines w:val="0"/>
              <w:widowControl/>
              <w:suppressLineNumbers w:val="0"/>
              <w:spacing w:before="0" w:beforeAutospacing="0" w:after="0" w:afterAutospacing="0" w:line="360" w:lineRule="auto"/>
              <w:ind w:left="0" w:right="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开户账号：</w:t>
            </w:r>
          </w:p>
        </w:tc>
      </w:tr>
    </w:tbl>
    <w:p w14:paraId="1FDD609B">
      <w:pPr>
        <w:rPr>
          <w:rFonts w:hint="eastAsia"/>
        </w:rPr>
      </w:pPr>
    </w:p>
    <w:p w14:paraId="64F9418A">
      <w:pPr>
        <w:pStyle w:val="84"/>
        <w:ind w:firstLine="482"/>
        <w:jc w:val="center"/>
        <w:outlineLvl w:val="1"/>
        <w:rPr>
          <w:rFonts w:hint="eastAsia" w:ascii="仿宋" w:hAnsi="仿宋" w:eastAsia="仿宋" w:cs="仿宋"/>
          <w:b/>
          <w:sz w:val="28"/>
          <w:szCs w:val="28"/>
          <w:highlight w:val="none"/>
        </w:rPr>
      </w:pPr>
      <w:r>
        <w:rPr>
          <w:rFonts w:hint="eastAsia" w:ascii="仿宋" w:hAnsi="仿宋" w:eastAsia="仿宋" w:cs="仿宋"/>
          <w:b/>
          <w:highlight w:val="none"/>
        </w:rPr>
        <w:br w:type="page"/>
      </w:r>
      <w:bookmarkStart w:id="171" w:name="_Toc331685783"/>
      <w:bookmarkStart w:id="172" w:name="_Toc4455"/>
      <w:bookmarkStart w:id="173" w:name="_Toc10263"/>
      <w:bookmarkStart w:id="174" w:name="_Toc80205945"/>
      <w:r>
        <w:rPr>
          <w:rFonts w:hint="eastAsia" w:ascii="仿宋" w:hAnsi="仿宋" w:eastAsia="仿宋" w:cs="仿宋"/>
          <w:b/>
          <w:sz w:val="28"/>
          <w:szCs w:val="28"/>
          <w:highlight w:val="none"/>
        </w:rPr>
        <w:t>第二部分 合同一般条款</w:t>
      </w:r>
      <w:bookmarkEnd w:id="171"/>
      <w:bookmarkEnd w:id="172"/>
      <w:bookmarkEnd w:id="173"/>
      <w:bookmarkEnd w:id="174"/>
    </w:p>
    <w:p w14:paraId="047EB511">
      <w:pPr>
        <w:spacing w:line="360" w:lineRule="auto"/>
        <w:ind w:firstLine="482" w:firstLineChars="200"/>
        <w:rPr>
          <w:rFonts w:hint="eastAsia" w:ascii="仿宋" w:hAnsi="仿宋" w:eastAsia="仿宋" w:cs="仿宋"/>
          <w:b/>
          <w:sz w:val="24"/>
          <w:highlight w:val="none"/>
        </w:rPr>
      </w:pPr>
      <w:bookmarkStart w:id="175" w:name="_Toc279701240"/>
      <w:bookmarkStart w:id="176" w:name="_Toc19614"/>
      <w:bookmarkStart w:id="177" w:name="_Ref467378404"/>
      <w:bookmarkStart w:id="178" w:name="_Ref467379205"/>
      <w:bookmarkStart w:id="179" w:name="_Ref467379101"/>
      <w:bookmarkStart w:id="180" w:name="_Ref467379225"/>
      <w:bookmarkStart w:id="181" w:name="_Toc487900349"/>
      <w:bookmarkStart w:id="182" w:name="_Ref467378499"/>
      <w:bookmarkStart w:id="183" w:name="_Ref467378463"/>
      <w:bookmarkStart w:id="184" w:name="_Ref467379109"/>
      <w:bookmarkStart w:id="185" w:name="_Ref467379094"/>
      <w:bookmarkStart w:id="186" w:name="_Ref467379214"/>
      <w:bookmarkStart w:id="187" w:name="_Toc259093669"/>
      <w:bookmarkStart w:id="188" w:name="_Toc16917"/>
      <w:bookmarkStart w:id="189" w:name="_Toc28763"/>
      <w:bookmarkStart w:id="190" w:name="_Ref467379195"/>
      <w:r>
        <w:rPr>
          <w:rFonts w:hint="eastAsia" w:ascii="仿宋" w:hAnsi="仿宋" w:eastAsia="仿宋" w:cs="仿宋"/>
          <w:b/>
          <w:sz w:val="24"/>
          <w:highlight w:val="none"/>
        </w:rPr>
        <w:t>2.1 定义</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14:paraId="014AC61A">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本合同中的下列词语应按以下内容进行解释：</w:t>
      </w:r>
    </w:p>
    <w:p w14:paraId="4EAF6C33">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2.1.1 “合同”系指采购人和成交人签订的载明双方当事人所达成的协议，并包括所有的附件、附录和构成合同的其他文件。</w:t>
      </w:r>
    </w:p>
    <w:p w14:paraId="1CCC3864">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2.1.2 “合同价”系指根据合同约定，成交人在完全履行合同义务后，采购人应支付给成交人的价格。</w:t>
      </w:r>
    </w:p>
    <w:p w14:paraId="23B34D88">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2.1.3 “标的物”系指成交人根据合同约定应向采购人交付的一切各种形态和种类的货物、服务和工程，包括但不限于原材料、燃料、设备、机械、仪表、备件、计算机软件、信息化系统、信息化维保、物业服务、产品等，并包括工具、手册等其他相关资料。</w:t>
      </w:r>
    </w:p>
    <w:p w14:paraId="58C94686">
      <w:pPr>
        <w:spacing w:line="360" w:lineRule="auto"/>
        <w:ind w:firstLine="480" w:firstLineChars="200"/>
        <w:rPr>
          <w:rFonts w:hint="eastAsia" w:ascii="仿宋" w:hAnsi="仿宋" w:eastAsia="仿宋" w:cs="仿宋"/>
          <w:sz w:val="24"/>
          <w:highlight w:val="none"/>
        </w:rPr>
      </w:pPr>
      <w:bookmarkStart w:id="191" w:name="_Ref467378840"/>
      <w:r>
        <w:rPr>
          <w:rFonts w:hint="eastAsia" w:ascii="仿宋" w:hAnsi="仿宋" w:eastAsia="仿宋" w:cs="仿宋"/>
          <w:sz w:val="24"/>
          <w:highlight w:val="none"/>
        </w:rPr>
        <w:t>2.1.4 “甲方”系指与成交人签署合同的采购人</w:t>
      </w:r>
      <w:bookmarkEnd w:id="191"/>
      <w:r>
        <w:rPr>
          <w:rFonts w:hint="eastAsia" w:ascii="仿宋" w:hAnsi="仿宋" w:eastAsia="仿宋" w:cs="仿宋"/>
          <w:sz w:val="24"/>
          <w:highlight w:val="none"/>
        </w:rPr>
        <w:t>；采购人委托采购机构代表其与乙方签订合同的，采购人的授权委托书作为合同附件。</w:t>
      </w:r>
    </w:p>
    <w:p w14:paraId="3728AD4B">
      <w:pPr>
        <w:spacing w:line="360" w:lineRule="auto"/>
        <w:ind w:firstLine="480" w:firstLineChars="200"/>
        <w:rPr>
          <w:rFonts w:hint="eastAsia" w:ascii="仿宋" w:hAnsi="仿宋" w:eastAsia="仿宋" w:cs="仿宋"/>
          <w:sz w:val="24"/>
          <w:highlight w:val="none"/>
        </w:rPr>
      </w:pPr>
      <w:bookmarkStart w:id="192" w:name="_Ref467379400"/>
      <w:r>
        <w:rPr>
          <w:rFonts w:hint="eastAsia" w:ascii="仿宋" w:hAnsi="仿宋" w:eastAsia="仿宋" w:cs="仿宋"/>
          <w:sz w:val="24"/>
          <w:highlight w:val="none"/>
        </w:rPr>
        <w:t>2.1.5 “乙方”系指根据合同约定交付标的物的</w:t>
      </w:r>
      <w:bookmarkEnd w:id="192"/>
      <w:r>
        <w:rPr>
          <w:rFonts w:hint="eastAsia" w:ascii="仿宋" w:hAnsi="仿宋" w:eastAsia="仿宋" w:cs="仿宋"/>
          <w:sz w:val="24"/>
          <w:highlight w:val="none"/>
        </w:rPr>
        <w:t>成交人；两个以上的自然人、法人或者其他组织组成一个联合体，以一个供应商的身份共同参加政府采购的，联合体各方均应为乙方或者与乙方相同地位的合同当事人，并就合同约定的事项对甲方承担连带责任。</w:t>
      </w:r>
    </w:p>
    <w:p w14:paraId="1BC1033C">
      <w:pPr>
        <w:spacing w:line="360" w:lineRule="auto"/>
        <w:ind w:firstLine="480" w:firstLineChars="200"/>
        <w:rPr>
          <w:rFonts w:hint="eastAsia" w:ascii="仿宋" w:hAnsi="仿宋" w:eastAsia="仿宋" w:cs="仿宋"/>
          <w:sz w:val="24"/>
          <w:highlight w:val="none"/>
        </w:rPr>
      </w:pPr>
      <w:bookmarkStart w:id="193" w:name="_Ref467379436"/>
      <w:r>
        <w:rPr>
          <w:rFonts w:hint="eastAsia" w:ascii="仿宋" w:hAnsi="仿宋" w:eastAsia="仿宋" w:cs="仿宋"/>
          <w:sz w:val="24"/>
          <w:highlight w:val="none"/>
        </w:rPr>
        <w:t>2.1.6 “现场”系指合同约定标的物将要运至或者实施或者安装的地点。</w:t>
      </w:r>
      <w:bookmarkEnd w:id="193"/>
    </w:p>
    <w:p w14:paraId="651BE8E9">
      <w:pPr>
        <w:spacing w:line="360" w:lineRule="auto"/>
        <w:ind w:firstLine="482" w:firstLineChars="200"/>
        <w:rPr>
          <w:rFonts w:hint="eastAsia" w:ascii="仿宋" w:hAnsi="仿宋" w:eastAsia="仿宋" w:cs="仿宋"/>
          <w:b/>
          <w:sz w:val="24"/>
          <w:highlight w:val="none"/>
        </w:rPr>
      </w:pPr>
      <w:bookmarkStart w:id="194" w:name="_Toc27635"/>
      <w:bookmarkStart w:id="195" w:name="_Toc32504"/>
      <w:bookmarkStart w:id="196" w:name="_Toc13336"/>
      <w:bookmarkStart w:id="197" w:name="_Toc487900350"/>
      <w:bookmarkStart w:id="198" w:name="_Toc279701241"/>
      <w:bookmarkStart w:id="199" w:name="_Toc259093670"/>
      <w:r>
        <w:rPr>
          <w:rFonts w:hint="eastAsia" w:ascii="仿宋" w:hAnsi="仿宋" w:eastAsia="仿宋" w:cs="仿宋"/>
          <w:b/>
          <w:sz w:val="24"/>
          <w:highlight w:val="none"/>
        </w:rPr>
        <w:t>2.2 技术规范</w:t>
      </w:r>
      <w:bookmarkEnd w:id="194"/>
      <w:bookmarkEnd w:id="195"/>
      <w:bookmarkEnd w:id="196"/>
      <w:bookmarkEnd w:id="197"/>
      <w:bookmarkEnd w:id="198"/>
      <w:bookmarkEnd w:id="199"/>
    </w:p>
    <w:p w14:paraId="323A83DD">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14:paraId="3301D3D4">
      <w:pPr>
        <w:spacing w:line="360" w:lineRule="auto"/>
        <w:ind w:firstLine="482" w:firstLineChars="200"/>
        <w:rPr>
          <w:rFonts w:hint="eastAsia" w:ascii="仿宋" w:hAnsi="仿宋" w:eastAsia="仿宋" w:cs="仿宋"/>
          <w:b/>
          <w:sz w:val="24"/>
          <w:highlight w:val="none"/>
        </w:rPr>
      </w:pPr>
      <w:bookmarkStart w:id="200" w:name="_Toc487900351"/>
      <w:bookmarkStart w:id="201" w:name="_Toc27853"/>
      <w:bookmarkStart w:id="202" w:name="_Toc259093671"/>
      <w:bookmarkStart w:id="203" w:name="_Toc9829"/>
      <w:bookmarkStart w:id="204" w:name="_Toc31634"/>
      <w:bookmarkStart w:id="205" w:name="_Toc279701242"/>
      <w:r>
        <w:rPr>
          <w:rFonts w:hint="eastAsia" w:ascii="仿宋" w:hAnsi="仿宋" w:eastAsia="仿宋" w:cs="仿宋"/>
          <w:b/>
          <w:sz w:val="24"/>
          <w:highlight w:val="none"/>
        </w:rPr>
        <w:t>2.3 知识产权</w:t>
      </w:r>
      <w:bookmarkEnd w:id="200"/>
      <w:bookmarkEnd w:id="201"/>
      <w:bookmarkEnd w:id="202"/>
      <w:bookmarkEnd w:id="203"/>
      <w:bookmarkEnd w:id="204"/>
      <w:bookmarkEnd w:id="205"/>
    </w:p>
    <w:p w14:paraId="7F3D7639">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14:paraId="0D6FBC96">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2.3.2具有知识产权的计算机软件等标的物的知识产权归属，详见</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w:t>
      </w:r>
    </w:p>
    <w:p w14:paraId="76115C77">
      <w:pPr>
        <w:spacing w:line="360" w:lineRule="auto"/>
        <w:ind w:firstLine="482" w:firstLineChars="200"/>
        <w:rPr>
          <w:rFonts w:hint="eastAsia" w:ascii="仿宋" w:hAnsi="仿宋" w:eastAsia="仿宋" w:cs="仿宋"/>
          <w:b/>
          <w:sz w:val="24"/>
          <w:highlight w:val="none"/>
        </w:rPr>
      </w:pPr>
      <w:bookmarkStart w:id="206" w:name="_Toc11932"/>
      <w:bookmarkStart w:id="207" w:name="_Toc4194"/>
      <w:bookmarkStart w:id="208" w:name="_Toc29149"/>
      <w:r>
        <w:rPr>
          <w:rFonts w:hint="eastAsia" w:ascii="仿宋" w:hAnsi="仿宋" w:eastAsia="仿宋" w:cs="仿宋"/>
          <w:b/>
          <w:sz w:val="24"/>
          <w:highlight w:val="none"/>
        </w:rPr>
        <w:t>2.4 包装和装运</w:t>
      </w:r>
      <w:bookmarkEnd w:id="206"/>
      <w:bookmarkEnd w:id="207"/>
      <w:bookmarkEnd w:id="208"/>
    </w:p>
    <w:p w14:paraId="77991D78">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2.4.1除</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14:paraId="7EC42BAD">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2.4.2 装运标的物的要求和通知，详见</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w:t>
      </w:r>
    </w:p>
    <w:p w14:paraId="55212F5D">
      <w:pPr>
        <w:spacing w:line="360" w:lineRule="auto"/>
        <w:ind w:firstLine="482" w:firstLineChars="200"/>
        <w:rPr>
          <w:rFonts w:hint="eastAsia" w:ascii="仿宋" w:hAnsi="仿宋" w:eastAsia="仿宋" w:cs="仿宋"/>
          <w:b/>
          <w:sz w:val="24"/>
          <w:highlight w:val="none"/>
        </w:rPr>
      </w:pPr>
      <w:bookmarkStart w:id="209" w:name="_Ref467379536"/>
      <w:bookmarkStart w:id="210" w:name="_Toc259093674"/>
      <w:bookmarkStart w:id="211" w:name="_Toc487900354"/>
      <w:bookmarkStart w:id="212" w:name="_Ref467379542"/>
      <w:bookmarkStart w:id="213" w:name="_Ref467379527"/>
      <w:bookmarkStart w:id="214" w:name="_Ref467378541"/>
      <w:bookmarkStart w:id="215" w:name="_Toc279701245"/>
      <w:bookmarkStart w:id="216" w:name="_Ref467378591"/>
      <w:bookmarkStart w:id="217" w:name="_Toc26182"/>
      <w:bookmarkStart w:id="218" w:name="_Toc30272"/>
      <w:bookmarkStart w:id="219" w:name="_Toc19074"/>
      <w:r>
        <w:rPr>
          <w:rFonts w:hint="eastAsia" w:ascii="仿宋" w:hAnsi="仿宋" w:eastAsia="仿宋" w:cs="仿宋"/>
          <w:b/>
          <w:sz w:val="24"/>
          <w:highlight w:val="none"/>
        </w:rPr>
        <w:t>2.</w:t>
      </w:r>
      <w:bookmarkEnd w:id="209"/>
      <w:bookmarkEnd w:id="210"/>
      <w:bookmarkEnd w:id="211"/>
      <w:bookmarkEnd w:id="212"/>
      <w:bookmarkEnd w:id="213"/>
      <w:bookmarkEnd w:id="214"/>
      <w:bookmarkEnd w:id="215"/>
      <w:bookmarkEnd w:id="216"/>
      <w:r>
        <w:rPr>
          <w:rFonts w:hint="eastAsia" w:ascii="仿宋" w:hAnsi="仿宋" w:eastAsia="仿宋" w:cs="仿宋"/>
          <w:b/>
          <w:sz w:val="24"/>
          <w:highlight w:val="none"/>
        </w:rPr>
        <w:t>5 履约检查和问题反馈</w:t>
      </w:r>
      <w:bookmarkEnd w:id="217"/>
      <w:bookmarkEnd w:id="218"/>
      <w:bookmarkEnd w:id="219"/>
    </w:p>
    <w:p w14:paraId="2BC48888">
      <w:pPr>
        <w:spacing w:line="360" w:lineRule="auto"/>
        <w:ind w:firstLine="480" w:firstLineChars="200"/>
        <w:rPr>
          <w:rFonts w:hint="eastAsia" w:ascii="仿宋" w:hAnsi="仿宋" w:eastAsia="仿宋" w:cs="仿宋"/>
          <w:sz w:val="24"/>
          <w:highlight w:val="none"/>
        </w:rPr>
      </w:pPr>
      <w:bookmarkStart w:id="220" w:name="_Ref467379657"/>
      <w:r>
        <w:rPr>
          <w:rFonts w:hint="eastAsia" w:ascii="仿宋" w:hAnsi="仿宋" w:eastAsia="仿宋" w:cs="仿宋"/>
          <w:sz w:val="24"/>
          <w:highlight w:val="none"/>
        </w:rPr>
        <w:t>2.5.1</w:t>
      </w:r>
      <w:bookmarkEnd w:id="220"/>
      <w:bookmarkStart w:id="221" w:name="_Toc186431854"/>
      <w:bookmarkStart w:id="222" w:name="_Toc279701247"/>
      <w:bookmarkStart w:id="223" w:name="_Ref467379807"/>
      <w:bookmarkStart w:id="224" w:name="_Ref467379793"/>
      <w:bookmarkStart w:id="225" w:name="_Toc259093676"/>
      <w:bookmarkStart w:id="226" w:name="_Toc487900357"/>
      <w:r>
        <w:rPr>
          <w:rFonts w:hint="eastAsia" w:ascii="仿宋" w:hAnsi="仿宋" w:eastAsia="仿宋" w:cs="仿宋"/>
          <w:sz w:val="24"/>
          <w:highlight w:val="none"/>
        </w:rPr>
        <w:t>甲方有权在其认为必要时，对乙方是否能够按照合同约定交付标的物进行履约检查，以确保乙方所交付的标的物能够依约满足甲方之项目需求，但不得因履约检查妨碍乙方的正常工作，乙方应予积极配合；</w:t>
      </w:r>
    </w:p>
    <w:p w14:paraId="7F3F56BE">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2.5.2 合同履行期间，甲方有权将履行过程中出现的问题反馈给乙方，双方当事人应以书面形式约定需要完善和改进的内容</w:t>
      </w:r>
      <w:bookmarkEnd w:id="221"/>
      <w:bookmarkStart w:id="227" w:name="_Toc186431855"/>
      <w:r>
        <w:rPr>
          <w:rFonts w:hint="eastAsia" w:ascii="仿宋" w:hAnsi="仿宋" w:eastAsia="仿宋" w:cs="仿宋"/>
          <w:sz w:val="24"/>
          <w:highlight w:val="none"/>
        </w:rPr>
        <w:t>。</w:t>
      </w:r>
    </w:p>
    <w:bookmarkEnd w:id="227"/>
    <w:p w14:paraId="7877ADAB">
      <w:pPr>
        <w:spacing w:line="360" w:lineRule="auto"/>
        <w:ind w:firstLine="482" w:firstLineChars="200"/>
        <w:rPr>
          <w:rFonts w:hint="eastAsia" w:ascii="仿宋" w:hAnsi="仿宋" w:eastAsia="仿宋" w:cs="仿宋"/>
          <w:b/>
          <w:sz w:val="24"/>
          <w:highlight w:val="none"/>
        </w:rPr>
      </w:pPr>
      <w:bookmarkStart w:id="228" w:name="_Toc19219"/>
      <w:bookmarkStart w:id="229" w:name="_Toc28451"/>
      <w:bookmarkStart w:id="230" w:name="_Toc7836"/>
      <w:r>
        <w:rPr>
          <w:rFonts w:hint="eastAsia" w:ascii="仿宋" w:hAnsi="仿宋" w:eastAsia="仿宋" w:cs="仿宋"/>
          <w:b/>
          <w:sz w:val="24"/>
          <w:highlight w:val="none"/>
        </w:rPr>
        <w:t>2.6 结算方式和付款条件</w:t>
      </w:r>
      <w:bookmarkEnd w:id="222"/>
      <w:bookmarkEnd w:id="223"/>
      <w:bookmarkEnd w:id="224"/>
      <w:bookmarkEnd w:id="225"/>
      <w:bookmarkEnd w:id="226"/>
      <w:bookmarkEnd w:id="228"/>
      <w:bookmarkEnd w:id="229"/>
      <w:bookmarkEnd w:id="230"/>
    </w:p>
    <w:p w14:paraId="2F46BDEC">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详见</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w:t>
      </w:r>
    </w:p>
    <w:p w14:paraId="038E5D3D">
      <w:pPr>
        <w:spacing w:line="360" w:lineRule="auto"/>
        <w:ind w:firstLine="482" w:firstLineChars="200"/>
        <w:rPr>
          <w:rFonts w:hint="eastAsia" w:ascii="仿宋" w:hAnsi="仿宋" w:eastAsia="仿宋" w:cs="仿宋"/>
          <w:b/>
          <w:sz w:val="24"/>
          <w:highlight w:val="none"/>
        </w:rPr>
      </w:pPr>
      <w:bookmarkStart w:id="231" w:name="_Toc487900358"/>
      <w:bookmarkStart w:id="232" w:name="_Toc279701248"/>
      <w:bookmarkStart w:id="233" w:name="_Toc259093677"/>
      <w:bookmarkStart w:id="234" w:name="_Ref467379852"/>
      <w:bookmarkStart w:id="235" w:name="_Ref467379863"/>
      <w:bookmarkStart w:id="236" w:name="_Ref467379923"/>
      <w:bookmarkStart w:id="237" w:name="_Toc16110"/>
      <w:bookmarkStart w:id="238" w:name="_Toc774"/>
      <w:bookmarkStart w:id="239" w:name="_Toc3225"/>
      <w:r>
        <w:rPr>
          <w:rFonts w:hint="eastAsia" w:ascii="仿宋" w:hAnsi="仿宋" w:eastAsia="仿宋" w:cs="仿宋"/>
          <w:b/>
          <w:sz w:val="24"/>
          <w:highlight w:val="none"/>
        </w:rPr>
        <w:t>2.7 技术资料</w:t>
      </w:r>
      <w:bookmarkEnd w:id="231"/>
      <w:bookmarkEnd w:id="232"/>
      <w:bookmarkEnd w:id="233"/>
      <w:bookmarkEnd w:id="234"/>
      <w:bookmarkEnd w:id="235"/>
      <w:bookmarkEnd w:id="236"/>
      <w:r>
        <w:rPr>
          <w:rFonts w:hint="eastAsia" w:ascii="仿宋" w:hAnsi="仿宋" w:eastAsia="仿宋" w:cs="仿宋"/>
          <w:b/>
          <w:sz w:val="24"/>
          <w:highlight w:val="none"/>
        </w:rPr>
        <w:t>和保密义务</w:t>
      </w:r>
      <w:bookmarkEnd w:id="237"/>
      <w:bookmarkEnd w:id="238"/>
      <w:bookmarkEnd w:id="239"/>
    </w:p>
    <w:p w14:paraId="5CCF84AE">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2.7.1 乙方有权依据合同约定和项目需要，向甲方了解有关情况，调阅有关资料等，甲方应予积极配合；</w:t>
      </w:r>
    </w:p>
    <w:p w14:paraId="2888A87B">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2.7.2 乙方有义务妥善保管和保护由甲方提供的前款信息和资料等；</w:t>
      </w:r>
    </w:p>
    <w:p w14:paraId="063AF013">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方接触到对方当事人的上述保密信息和资料。</w:t>
      </w:r>
    </w:p>
    <w:p w14:paraId="0F38EF91">
      <w:pPr>
        <w:spacing w:line="360" w:lineRule="auto"/>
        <w:ind w:firstLine="482" w:firstLineChars="200"/>
        <w:rPr>
          <w:rFonts w:hint="eastAsia" w:ascii="仿宋" w:hAnsi="仿宋" w:eastAsia="仿宋" w:cs="仿宋"/>
          <w:b/>
          <w:sz w:val="24"/>
          <w:highlight w:val="none"/>
        </w:rPr>
      </w:pPr>
      <w:bookmarkStart w:id="240" w:name="_Toc7860"/>
      <w:r>
        <w:rPr>
          <w:rFonts w:hint="eastAsia" w:ascii="仿宋" w:hAnsi="仿宋" w:eastAsia="仿宋" w:cs="仿宋"/>
          <w:b/>
          <w:sz w:val="24"/>
          <w:highlight w:val="none"/>
        </w:rPr>
        <w:t>2.8 质量保证</w:t>
      </w:r>
      <w:bookmarkEnd w:id="240"/>
    </w:p>
    <w:p w14:paraId="4D7F474B">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2.8.1 乙方应建立和完善履行合同的内部质量保证体系，并提供相关内部规章制度给甲方，以便甲方进行监督检查；</w:t>
      </w:r>
    </w:p>
    <w:p w14:paraId="381D4E88">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2.8.2 乙方应保证履行合同的人员数量和素质、软件和硬件设备的配置、场地、环境和设施等满足全面履行合同的要求，并应接受甲方的监督检查。</w:t>
      </w:r>
    </w:p>
    <w:p w14:paraId="379FB7DA">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sz w:val="24"/>
          <w:highlight w:val="none"/>
        </w:rPr>
        <w:t>2.8.3乙方应确保项目技术人员的数量和水平与响应文件一致。未经甲方书面同意，乙方不得擅自更换响应文件中注明的项目经理和技术负责人。否则</w:t>
      </w:r>
      <w:r>
        <w:rPr>
          <w:rFonts w:hint="eastAsia" w:ascii="仿宋" w:hAnsi="仿宋" w:eastAsia="仿宋" w:cs="仿宋"/>
          <w:kern w:val="0"/>
          <w:sz w:val="24"/>
          <w:highlight w:val="none"/>
        </w:rPr>
        <w:t>甲方有权放弃或终止合同。</w:t>
      </w:r>
    </w:p>
    <w:p w14:paraId="1E4EE16C">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2.8.4因乙方原因造成甲方其他系统不能正常运行，酿成重大事故（工作日系统中断一天以上）的，乙方应承担全部法律责任，并赔偿经济损失，赔偿金额为项目总价的</w:t>
      </w:r>
      <w:r>
        <w:rPr>
          <w:rFonts w:hint="eastAsia" w:ascii="仿宋" w:hAnsi="仿宋" w:eastAsia="仿宋" w:cs="仿宋"/>
          <w:sz w:val="24"/>
          <w:highlight w:val="none"/>
          <w:u w:val="single"/>
        </w:rPr>
        <w:t>30%</w:t>
      </w:r>
      <w:r>
        <w:rPr>
          <w:rFonts w:hint="eastAsia" w:ascii="仿宋" w:hAnsi="仿宋" w:eastAsia="仿宋" w:cs="仿宋"/>
          <w:sz w:val="24"/>
          <w:highlight w:val="none"/>
        </w:rPr>
        <w:t>（根据项目实际情况填写，一般为30%）。</w:t>
      </w:r>
    </w:p>
    <w:p w14:paraId="325F70CC">
      <w:pPr>
        <w:spacing w:line="360" w:lineRule="auto"/>
        <w:ind w:firstLine="482" w:firstLineChars="200"/>
        <w:rPr>
          <w:rFonts w:hint="eastAsia" w:ascii="仿宋" w:hAnsi="仿宋" w:eastAsia="仿宋" w:cs="仿宋"/>
          <w:b/>
          <w:sz w:val="24"/>
          <w:highlight w:val="none"/>
        </w:rPr>
      </w:pPr>
      <w:bookmarkStart w:id="241" w:name="_Toc17244"/>
      <w:bookmarkStart w:id="242" w:name="_Toc279701252"/>
      <w:bookmarkStart w:id="243" w:name="_Toc259093681"/>
      <w:bookmarkStart w:id="244" w:name="_Toc487900362"/>
      <w:r>
        <w:rPr>
          <w:rFonts w:hint="eastAsia" w:ascii="仿宋" w:hAnsi="仿宋" w:eastAsia="仿宋" w:cs="仿宋"/>
          <w:b/>
          <w:sz w:val="24"/>
          <w:highlight w:val="none"/>
        </w:rPr>
        <w:t>2.9 标的物的风险负担</w:t>
      </w:r>
      <w:bookmarkEnd w:id="241"/>
    </w:p>
    <w:p w14:paraId="06A5054F">
      <w:pPr>
        <w:spacing w:line="360" w:lineRule="auto"/>
        <w:ind w:firstLine="480" w:firstLineChars="200"/>
        <w:rPr>
          <w:rFonts w:hint="eastAsia" w:ascii="仿宋" w:hAnsi="仿宋" w:eastAsia="仿宋" w:cs="仿宋"/>
          <w:b/>
          <w:sz w:val="24"/>
          <w:highlight w:val="none"/>
        </w:rPr>
      </w:pPr>
      <w:r>
        <w:rPr>
          <w:rFonts w:hint="eastAsia" w:ascii="仿宋" w:hAnsi="仿宋" w:eastAsia="仿宋" w:cs="仿宋"/>
          <w:sz w:val="24"/>
          <w:highlight w:val="none"/>
        </w:rPr>
        <w:t>标的物或者在途标的物或者交付给第一承运人后的标的物毁损、灭失的风险负担详见</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w:t>
      </w:r>
    </w:p>
    <w:p w14:paraId="141A6E47">
      <w:pPr>
        <w:spacing w:line="360" w:lineRule="auto"/>
        <w:ind w:firstLine="482" w:firstLineChars="200"/>
        <w:rPr>
          <w:rFonts w:hint="eastAsia" w:ascii="仿宋" w:hAnsi="仿宋" w:eastAsia="仿宋" w:cs="仿宋"/>
          <w:b/>
          <w:sz w:val="24"/>
          <w:highlight w:val="none"/>
        </w:rPr>
      </w:pPr>
      <w:bookmarkStart w:id="245" w:name="_Toc14055"/>
      <w:r>
        <w:rPr>
          <w:rFonts w:hint="eastAsia" w:ascii="仿宋" w:hAnsi="仿宋" w:eastAsia="仿宋" w:cs="仿宋"/>
          <w:b/>
          <w:sz w:val="24"/>
          <w:highlight w:val="none"/>
        </w:rPr>
        <w:t>2.10 延迟交货</w:t>
      </w:r>
      <w:bookmarkEnd w:id="242"/>
      <w:bookmarkEnd w:id="243"/>
      <w:bookmarkEnd w:id="244"/>
      <w:bookmarkEnd w:id="245"/>
      <w:r>
        <w:rPr>
          <w:rFonts w:hint="eastAsia" w:ascii="仿宋" w:hAnsi="仿宋" w:eastAsia="仿宋" w:cs="仿宋"/>
          <w:b/>
          <w:sz w:val="24"/>
          <w:highlight w:val="none"/>
        </w:rPr>
        <w:t>/交付</w:t>
      </w:r>
    </w:p>
    <w:p w14:paraId="4AD8FB87">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14:paraId="4A6BBDF4">
      <w:pPr>
        <w:spacing w:line="360" w:lineRule="auto"/>
        <w:ind w:firstLine="482" w:firstLineChars="200"/>
        <w:rPr>
          <w:rFonts w:hint="eastAsia" w:ascii="仿宋" w:hAnsi="仿宋" w:eastAsia="仿宋" w:cs="仿宋"/>
          <w:b/>
          <w:sz w:val="24"/>
          <w:highlight w:val="none"/>
        </w:rPr>
      </w:pPr>
      <w:bookmarkStart w:id="246" w:name="_Toc7502"/>
      <w:bookmarkStart w:id="247" w:name="_Ref467378121"/>
      <w:bookmarkStart w:id="248" w:name="_Toc259093683"/>
      <w:bookmarkStart w:id="249" w:name="_Toc279701254"/>
      <w:bookmarkStart w:id="250" w:name="_Toc487900364"/>
      <w:r>
        <w:rPr>
          <w:rFonts w:hint="eastAsia" w:ascii="仿宋" w:hAnsi="仿宋" w:eastAsia="仿宋" w:cs="仿宋"/>
          <w:b/>
          <w:sz w:val="24"/>
          <w:highlight w:val="none"/>
        </w:rPr>
        <w:t>2.11 合同变更</w:t>
      </w:r>
      <w:bookmarkEnd w:id="246"/>
    </w:p>
    <w:p w14:paraId="3795F777">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14:paraId="43574D6C">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2.11.2 合同继续履行将损害国家利益和社会公共利益的，双方当事人应当以书面形式变更合同。有过错的一方应当承担赔偿责任，双方当事人都有过错的，各自承担相应的责任。</w:t>
      </w:r>
      <w:bookmarkStart w:id="251" w:name="_Toc487900369"/>
      <w:bookmarkStart w:id="252" w:name="_Toc279701259"/>
      <w:bookmarkStart w:id="253" w:name="_Toc259093688"/>
    </w:p>
    <w:p w14:paraId="0B4DA8EB">
      <w:pPr>
        <w:spacing w:line="360" w:lineRule="auto"/>
        <w:ind w:firstLine="482" w:firstLineChars="200"/>
        <w:rPr>
          <w:rFonts w:hint="eastAsia" w:ascii="仿宋" w:hAnsi="仿宋" w:eastAsia="仿宋" w:cs="仿宋"/>
          <w:b/>
          <w:sz w:val="24"/>
          <w:highlight w:val="none"/>
        </w:rPr>
      </w:pPr>
      <w:bookmarkStart w:id="254" w:name="_Toc22955"/>
      <w:bookmarkStart w:id="255" w:name="_Toc10366"/>
      <w:bookmarkStart w:id="256" w:name="_Toc15237"/>
      <w:r>
        <w:rPr>
          <w:rFonts w:hint="eastAsia" w:ascii="仿宋" w:hAnsi="仿宋" w:eastAsia="仿宋" w:cs="仿宋"/>
          <w:b/>
          <w:sz w:val="24"/>
          <w:highlight w:val="none"/>
        </w:rPr>
        <w:t>2.12 合同转让</w:t>
      </w:r>
      <w:bookmarkEnd w:id="251"/>
      <w:bookmarkEnd w:id="252"/>
      <w:bookmarkEnd w:id="253"/>
      <w:r>
        <w:rPr>
          <w:rFonts w:hint="eastAsia" w:ascii="仿宋" w:hAnsi="仿宋" w:eastAsia="仿宋" w:cs="仿宋"/>
          <w:b/>
          <w:sz w:val="24"/>
          <w:highlight w:val="none"/>
        </w:rPr>
        <w:t>和分包</w:t>
      </w:r>
      <w:bookmarkEnd w:id="254"/>
      <w:bookmarkEnd w:id="255"/>
      <w:bookmarkEnd w:id="256"/>
    </w:p>
    <w:p w14:paraId="4ED8DFA2">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14:paraId="43188B48">
      <w:pPr>
        <w:spacing w:line="360" w:lineRule="auto"/>
        <w:ind w:firstLine="482" w:firstLineChars="200"/>
        <w:rPr>
          <w:rFonts w:hint="eastAsia" w:ascii="仿宋" w:hAnsi="仿宋" w:eastAsia="仿宋" w:cs="仿宋"/>
          <w:b/>
          <w:sz w:val="24"/>
          <w:highlight w:val="none"/>
        </w:rPr>
      </w:pPr>
      <w:bookmarkStart w:id="257" w:name="_Toc13566"/>
      <w:bookmarkStart w:id="258" w:name="_Toc16508"/>
      <w:bookmarkStart w:id="259" w:name="_Toc14066"/>
      <w:r>
        <w:rPr>
          <w:rFonts w:hint="eastAsia" w:ascii="仿宋" w:hAnsi="仿宋" w:eastAsia="仿宋" w:cs="仿宋"/>
          <w:b/>
          <w:sz w:val="24"/>
          <w:highlight w:val="none"/>
        </w:rPr>
        <w:t>2.13 不可抗力</w:t>
      </w:r>
      <w:bookmarkEnd w:id="257"/>
      <w:bookmarkEnd w:id="258"/>
      <w:bookmarkEnd w:id="259"/>
    </w:p>
    <w:p w14:paraId="42D71E73">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2.13.1如果任何一方遭遇法律规定的不可抗力，致使合同履行受阻时，履行合同的期限应予延长，延长的期限应相当于不可抗力所影响的时间；</w:t>
      </w:r>
    </w:p>
    <w:p w14:paraId="7BC4A340">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2.13.2受不可抗力影响的一方在不可抗力发生后，应在</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约定时间内以书面形式通知对方当事人，并在</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约定时间内，将有关部门出具的证明文件送达对方当事人。</w:t>
      </w:r>
    </w:p>
    <w:p w14:paraId="5D30E24F">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2.13.3 因不可抗力致使不能实现合同目的的，当事人可以解除合同；</w:t>
      </w:r>
    </w:p>
    <w:p w14:paraId="3B235BC6">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2.13.4 因不可抗力致使合同有变更必要的，双方当事人应在</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约定时间内以书面形式变更合同；</w:t>
      </w:r>
    </w:p>
    <w:p w14:paraId="2F0A92E0">
      <w:pPr>
        <w:spacing w:line="360" w:lineRule="auto"/>
        <w:ind w:firstLine="482" w:firstLineChars="200"/>
        <w:rPr>
          <w:rFonts w:hint="eastAsia" w:ascii="仿宋" w:hAnsi="仿宋" w:eastAsia="仿宋" w:cs="仿宋"/>
          <w:b/>
          <w:sz w:val="24"/>
          <w:highlight w:val="none"/>
        </w:rPr>
      </w:pPr>
      <w:bookmarkStart w:id="260" w:name="_Toc6969"/>
      <w:bookmarkStart w:id="261" w:name="_Toc487900365"/>
      <w:bookmarkStart w:id="262" w:name="_Toc30676"/>
      <w:bookmarkStart w:id="263" w:name="_Toc689"/>
      <w:bookmarkStart w:id="264" w:name="_Toc259093684"/>
      <w:bookmarkStart w:id="265" w:name="_Toc279701255"/>
      <w:r>
        <w:rPr>
          <w:rFonts w:hint="eastAsia" w:ascii="仿宋" w:hAnsi="仿宋" w:eastAsia="仿宋" w:cs="仿宋"/>
          <w:b/>
          <w:sz w:val="24"/>
          <w:highlight w:val="none"/>
        </w:rPr>
        <w:t>2.14 税费</w:t>
      </w:r>
      <w:bookmarkEnd w:id="260"/>
      <w:bookmarkEnd w:id="261"/>
      <w:bookmarkEnd w:id="262"/>
      <w:bookmarkEnd w:id="263"/>
      <w:bookmarkEnd w:id="264"/>
      <w:bookmarkEnd w:id="265"/>
    </w:p>
    <w:p w14:paraId="1693E2C7">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与合同有关的一切税费，均按照中华人民共和国法律的相关规定执行。</w:t>
      </w:r>
    </w:p>
    <w:p w14:paraId="25A96AD4">
      <w:pPr>
        <w:spacing w:line="360" w:lineRule="auto"/>
        <w:ind w:firstLine="482" w:firstLineChars="200"/>
        <w:rPr>
          <w:rFonts w:hint="eastAsia" w:ascii="仿宋" w:hAnsi="仿宋" w:eastAsia="仿宋" w:cs="仿宋"/>
          <w:b/>
          <w:sz w:val="24"/>
          <w:highlight w:val="none"/>
        </w:rPr>
      </w:pPr>
      <w:bookmarkStart w:id="266" w:name="_Toc8298"/>
      <w:bookmarkStart w:id="267" w:name="_Toc279701258"/>
      <w:bookmarkStart w:id="268" w:name="_Toc487900368"/>
      <w:bookmarkStart w:id="269" w:name="_Toc7102"/>
      <w:bookmarkStart w:id="270" w:name="_Toc16959"/>
      <w:bookmarkStart w:id="271" w:name="_Toc259093687"/>
      <w:r>
        <w:rPr>
          <w:rFonts w:hint="eastAsia" w:ascii="仿宋" w:hAnsi="仿宋" w:eastAsia="仿宋" w:cs="仿宋"/>
          <w:b/>
          <w:sz w:val="24"/>
          <w:highlight w:val="none"/>
        </w:rPr>
        <w:t>2.15 乙方破产</w:t>
      </w:r>
      <w:bookmarkEnd w:id="266"/>
      <w:bookmarkEnd w:id="267"/>
      <w:bookmarkEnd w:id="268"/>
      <w:bookmarkEnd w:id="269"/>
      <w:bookmarkEnd w:id="270"/>
      <w:bookmarkEnd w:id="271"/>
    </w:p>
    <w:p w14:paraId="1762F32A">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30EF9283">
      <w:pPr>
        <w:spacing w:line="360" w:lineRule="auto"/>
        <w:ind w:firstLine="482" w:firstLineChars="200"/>
        <w:rPr>
          <w:rFonts w:hint="eastAsia" w:ascii="仿宋" w:hAnsi="仿宋" w:eastAsia="仿宋" w:cs="仿宋"/>
          <w:b/>
          <w:sz w:val="24"/>
          <w:highlight w:val="none"/>
        </w:rPr>
      </w:pPr>
      <w:bookmarkStart w:id="272" w:name="_Toc15387"/>
      <w:bookmarkStart w:id="273" w:name="_Toc6134"/>
      <w:bookmarkStart w:id="274" w:name="_Toc29333"/>
      <w:r>
        <w:rPr>
          <w:rFonts w:hint="eastAsia" w:ascii="仿宋" w:hAnsi="仿宋" w:eastAsia="仿宋" w:cs="仿宋"/>
          <w:b/>
          <w:sz w:val="24"/>
          <w:highlight w:val="none"/>
        </w:rPr>
        <w:t>2.16 合同中止、终止</w:t>
      </w:r>
      <w:bookmarkEnd w:id="272"/>
      <w:bookmarkEnd w:id="273"/>
      <w:bookmarkEnd w:id="274"/>
    </w:p>
    <w:p w14:paraId="698B63F8">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2.16.1 双方当事人不得擅自中止或者终止合同；</w:t>
      </w:r>
    </w:p>
    <w:p w14:paraId="7C2F3AB9">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2.16.2合同继续履行将损害国家利益和社会公共利益的，双方当事人应当中止或者终止合同。有过错的一方应当承担赔偿责任，双方当事人都有过错的，各自承担相应的责任。</w:t>
      </w:r>
    </w:p>
    <w:p w14:paraId="35960F30">
      <w:pPr>
        <w:spacing w:line="360" w:lineRule="auto"/>
        <w:ind w:firstLine="482" w:firstLineChars="200"/>
        <w:rPr>
          <w:rFonts w:hint="eastAsia" w:ascii="仿宋" w:hAnsi="仿宋" w:eastAsia="仿宋" w:cs="仿宋"/>
          <w:b/>
          <w:sz w:val="24"/>
          <w:highlight w:val="none"/>
        </w:rPr>
      </w:pPr>
      <w:bookmarkStart w:id="275" w:name="_Toc6596"/>
      <w:bookmarkStart w:id="276" w:name="_Toc1125"/>
      <w:bookmarkStart w:id="277" w:name="_Toc14563"/>
      <w:r>
        <w:rPr>
          <w:rFonts w:hint="eastAsia" w:ascii="仿宋" w:hAnsi="仿宋" w:eastAsia="仿宋" w:cs="仿宋"/>
          <w:b/>
          <w:sz w:val="24"/>
          <w:highlight w:val="none"/>
        </w:rPr>
        <w:t>2.17 检验和验收</w:t>
      </w:r>
      <w:bookmarkEnd w:id="275"/>
      <w:bookmarkEnd w:id="276"/>
      <w:bookmarkEnd w:id="277"/>
    </w:p>
    <w:p w14:paraId="6AC94578">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2.17.1标的物交付前，乙方应对标的物的质量、数量等方面进行详细、全面的检验，并向甲方出具证明标的物符合合同约定的文件；标的物交付时，乙方在</w:t>
      </w:r>
      <w:r>
        <w:rPr>
          <w:rFonts w:hint="eastAsia" w:ascii="仿宋" w:hAnsi="仿宋" w:eastAsia="仿宋" w:cs="仿宋"/>
          <w:b/>
          <w:i/>
          <w:sz w:val="24"/>
          <w:highlight w:val="none"/>
          <w:u w:val="single"/>
        </w:rPr>
        <w:t>合同专用条款</w:t>
      </w:r>
      <w:r>
        <w:rPr>
          <w:rFonts w:hint="eastAsia" w:ascii="仿宋" w:hAnsi="仿宋" w:eastAsia="仿宋" w:cs="仿宋"/>
          <w:sz w:val="24"/>
          <w:highlight w:val="none"/>
        </w:rPr>
        <w:t>约定时间内组织验收，并可依法邀请相关方参加，验收应出具验收书。</w:t>
      </w:r>
    </w:p>
    <w:p w14:paraId="7CA2F514">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49182192">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2.17.3 检验和验收标准、程序等具体内容以及前述验收书的效力详见</w:t>
      </w:r>
      <w:r>
        <w:rPr>
          <w:rFonts w:hint="eastAsia" w:ascii="仿宋" w:hAnsi="仿宋" w:eastAsia="仿宋" w:cs="仿宋"/>
          <w:b/>
          <w:i/>
          <w:sz w:val="24"/>
          <w:highlight w:val="none"/>
          <w:u w:val="single"/>
        </w:rPr>
        <w:t>合同专用条款</w:t>
      </w:r>
      <w:r>
        <w:rPr>
          <w:rFonts w:hint="eastAsia" w:ascii="仿宋" w:hAnsi="仿宋" w:eastAsia="仿宋" w:cs="仿宋"/>
          <w:i/>
          <w:sz w:val="24"/>
          <w:highlight w:val="none"/>
        </w:rPr>
        <w:t>。</w:t>
      </w:r>
    </w:p>
    <w:bookmarkEnd w:id="247"/>
    <w:bookmarkEnd w:id="248"/>
    <w:bookmarkEnd w:id="249"/>
    <w:bookmarkEnd w:id="250"/>
    <w:p w14:paraId="50CE31EA">
      <w:pPr>
        <w:spacing w:line="360" w:lineRule="auto"/>
        <w:ind w:firstLine="482" w:firstLineChars="200"/>
        <w:rPr>
          <w:rFonts w:hint="eastAsia" w:ascii="仿宋" w:hAnsi="仿宋" w:eastAsia="仿宋" w:cs="仿宋"/>
          <w:b/>
          <w:sz w:val="24"/>
          <w:highlight w:val="none"/>
        </w:rPr>
      </w:pPr>
      <w:bookmarkStart w:id="278" w:name="_Toc279701261"/>
      <w:bookmarkStart w:id="279" w:name="_Toc487900371"/>
      <w:bookmarkStart w:id="280" w:name="_Toc259093690"/>
      <w:bookmarkStart w:id="281" w:name="_Toc11284"/>
      <w:bookmarkStart w:id="282" w:name="_Toc19604"/>
      <w:bookmarkStart w:id="283" w:name="_Toc25182"/>
      <w:r>
        <w:rPr>
          <w:rFonts w:hint="eastAsia" w:ascii="仿宋" w:hAnsi="仿宋" w:eastAsia="仿宋" w:cs="仿宋"/>
          <w:b/>
          <w:sz w:val="24"/>
          <w:highlight w:val="none"/>
        </w:rPr>
        <w:t>2.18 通知</w:t>
      </w:r>
      <w:bookmarkEnd w:id="278"/>
      <w:bookmarkEnd w:id="279"/>
      <w:bookmarkEnd w:id="280"/>
      <w:r>
        <w:rPr>
          <w:rFonts w:hint="eastAsia" w:ascii="仿宋" w:hAnsi="仿宋" w:eastAsia="仿宋" w:cs="仿宋"/>
          <w:b/>
          <w:sz w:val="24"/>
          <w:highlight w:val="none"/>
        </w:rPr>
        <w:t>和送达</w:t>
      </w:r>
      <w:bookmarkEnd w:id="281"/>
      <w:bookmarkEnd w:id="282"/>
      <w:bookmarkEnd w:id="283"/>
    </w:p>
    <w:p w14:paraId="2B831949">
      <w:pPr>
        <w:spacing w:line="360" w:lineRule="auto"/>
        <w:ind w:firstLine="480" w:firstLineChars="200"/>
        <w:rPr>
          <w:rFonts w:hint="eastAsia" w:ascii="仿宋" w:hAnsi="仿宋" w:eastAsia="仿宋" w:cs="仿宋"/>
          <w:sz w:val="24"/>
          <w:highlight w:val="none"/>
        </w:rPr>
      </w:pPr>
      <w:bookmarkStart w:id="284" w:name="_Toc3135"/>
      <w:bookmarkStart w:id="285" w:name="_Toc6698"/>
      <w:bookmarkStart w:id="286" w:name="_Toc279701262"/>
      <w:bookmarkStart w:id="287" w:name="_Toc487900372"/>
      <w:bookmarkStart w:id="288" w:name="_Toc259093691"/>
      <w:r>
        <w:rPr>
          <w:rFonts w:hint="eastAsia" w:ascii="仿宋" w:hAnsi="仿宋" w:eastAsia="仿宋" w:cs="仿宋"/>
          <w:sz w:val="24"/>
          <w:highlight w:val="none"/>
        </w:rPr>
        <w:t>2.18.1 任何一方因履行合同而以合同第一部分尾部所列明的</w:t>
      </w:r>
      <w:r>
        <w:rPr>
          <w:rFonts w:hint="eastAsia" w:ascii="仿宋" w:hAnsi="仿宋" w:eastAsia="仿宋" w:cs="仿宋"/>
          <w:sz w:val="24"/>
          <w:highlight w:val="none"/>
          <w:u w:val="single"/>
        </w:rPr>
        <w:t>“约定送达地址”</w:t>
      </w:r>
      <w:r>
        <w:rPr>
          <w:rFonts w:hint="eastAsia" w:ascii="仿宋" w:hAnsi="仿宋" w:eastAsia="仿宋" w:cs="仿宋"/>
          <w:sz w:val="24"/>
          <w:highlight w:val="none"/>
        </w:rPr>
        <w:t>为收件地址的所有通知、文件、材料，均视为已向对方当事人送达；任何一方变更上述送达方式或者地址的，应于</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个工作日内（根据项目实际填写）书面通知对方当事人，在对方当事人收到有关变更通知之前，变更前的约定送达方式或者地址仍视为有效。</w:t>
      </w:r>
      <w:bookmarkEnd w:id="284"/>
      <w:bookmarkEnd w:id="285"/>
    </w:p>
    <w:p w14:paraId="5434B5F5">
      <w:pPr>
        <w:spacing w:line="360" w:lineRule="auto"/>
        <w:ind w:firstLine="480" w:firstLineChars="200"/>
        <w:rPr>
          <w:rFonts w:hint="eastAsia" w:ascii="仿宋" w:hAnsi="仿宋" w:eastAsia="仿宋" w:cs="仿宋"/>
          <w:sz w:val="24"/>
          <w:highlight w:val="none"/>
        </w:rPr>
      </w:pPr>
      <w:bookmarkStart w:id="289" w:name="_Toc23128"/>
      <w:bookmarkStart w:id="290" w:name="_Toc23294"/>
      <w:r>
        <w:rPr>
          <w:rFonts w:hint="eastAsia" w:ascii="仿宋" w:hAnsi="仿宋" w:eastAsia="仿宋" w:cs="仿宋"/>
          <w:sz w:val="24"/>
          <w:highlight w:val="none"/>
        </w:rPr>
        <w:t>2.18.2以当面交付方式送达的，交付之时视为送达；以电子邮件方式送达的，发出电子邮件之时视为送达；以传真方式送达的，发出传真之时视为送达；以邮寄方式送达的，邮件挂号寄出或者交邮之日之次日视为送达。</w:t>
      </w:r>
      <w:bookmarkEnd w:id="289"/>
      <w:bookmarkEnd w:id="290"/>
    </w:p>
    <w:p w14:paraId="45ACC5E8">
      <w:pPr>
        <w:spacing w:line="360" w:lineRule="auto"/>
        <w:ind w:firstLine="482" w:firstLineChars="200"/>
        <w:rPr>
          <w:rFonts w:hint="eastAsia" w:ascii="仿宋" w:hAnsi="仿宋" w:eastAsia="仿宋" w:cs="仿宋"/>
          <w:b/>
          <w:sz w:val="24"/>
          <w:highlight w:val="none"/>
        </w:rPr>
      </w:pPr>
      <w:bookmarkStart w:id="291" w:name="_Toc30599"/>
      <w:bookmarkStart w:id="292" w:name="_Toc18540"/>
      <w:bookmarkStart w:id="293" w:name="_Toc4355"/>
      <w:r>
        <w:rPr>
          <w:rFonts w:hint="eastAsia" w:ascii="仿宋" w:hAnsi="仿宋" w:eastAsia="仿宋" w:cs="仿宋"/>
          <w:b/>
          <w:sz w:val="24"/>
          <w:highlight w:val="none"/>
        </w:rPr>
        <w:t>2.19 计量单位</w:t>
      </w:r>
      <w:bookmarkEnd w:id="286"/>
      <w:bookmarkEnd w:id="287"/>
      <w:bookmarkEnd w:id="288"/>
      <w:bookmarkEnd w:id="291"/>
      <w:bookmarkEnd w:id="292"/>
      <w:bookmarkEnd w:id="293"/>
    </w:p>
    <w:p w14:paraId="13F6C917">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除技术规范中另有规定外,合同的计量单位均使用国家法定计量单位。</w:t>
      </w:r>
    </w:p>
    <w:p w14:paraId="5ABAC3F4">
      <w:pPr>
        <w:spacing w:line="360" w:lineRule="auto"/>
        <w:ind w:firstLine="482" w:firstLineChars="200"/>
        <w:rPr>
          <w:rFonts w:hint="eastAsia" w:ascii="仿宋" w:hAnsi="仿宋" w:eastAsia="仿宋" w:cs="仿宋"/>
          <w:b/>
          <w:sz w:val="24"/>
          <w:highlight w:val="none"/>
        </w:rPr>
      </w:pPr>
      <w:bookmarkStart w:id="294" w:name="_Toc18567"/>
      <w:bookmarkStart w:id="295" w:name="_Toc487900373"/>
      <w:bookmarkStart w:id="296" w:name="_Toc279701263"/>
      <w:bookmarkStart w:id="297" w:name="_Toc259093692"/>
      <w:bookmarkStart w:id="298" w:name="_Toc10330"/>
      <w:bookmarkStart w:id="299" w:name="_Toc12773"/>
      <w:r>
        <w:rPr>
          <w:rFonts w:hint="eastAsia" w:ascii="仿宋" w:hAnsi="仿宋" w:eastAsia="仿宋" w:cs="仿宋"/>
          <w:b/>
          <w:sz w:val="24"/>
          <w:highlight w:val="none"/>
        </w:rPr>
        <w:t>2.20 合同使用的文字和适用的法律</w:t>
      </w:r>
      <w:bookmarkEnd w:id="294"/>
      <w:bookmarkEnd w:id="295"/>
      <w:bookmarkEnd w:id="296"/>
      <w:bookmarkEnd w:id="297"/>
      <w:bookmarkEnd w:id="298"/>
      <w:bookmarkEnd w:id="299"/>
    </w:p>
    <w:p w14:paraId="76CA571F">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2.20.1 合同使用汉语书就、变更和解释；</w:t>
      </w:r>
    </w:p>
    <w:p w14:paraId="61A5EC76">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2.20.2 合同适用中华人民共和国法律。</w:t>
      </w:r>
    </w:p>
    <w:p w14:paraId="000FB9C7">
      <w:pPr>
        <w:spacing w:line="360" w:lineRule="auto"/>
        <w:ind w:firstLine="482" w:firstLineChars="200"/>
        <w:rPr>
          <w:rFonts w:hint="eastAsia" w:ascii="仿宋" w:hAnsi="仿宋" w:eastAsia="仿宋" w:cs="仿宋"/>
          <w:b/>
          <w:sz w:val="24"/>
          <w:highlight w:val="none"/>
        </w:rPr>
      </w:pPr>
      <w:bookmarkStart w:id="300" w:name="_Toc16673"/>
      <w:bookmarkStart w:id="301" w:name="_Toc12004"/>
      <w:bookmarkStart w:id="302" w:name="_Toc3148"/>
      <w:bookmarkStart w:id="303" w:name="_Toc279701264"/>
      <w:bookmarkStart w:id="304" w:name="_Toc259093693"/>
      <w:bookmarkStart w:id="305" w:name="_Toc487900374"/>
      <w:r>
        <w:rPr>
          <w:rFonts w:hint="eastAsia" w:ascii="仿宋" w:hAnsi="仿宋" w:eastAsia="仿宋" w:cs="仿宋"/>
          <w:b/>
          <w:sz w:val="24"/>
          <w:highlight w:val="none"/>
        </w:rPr>
        <w:t>2.21 履约保证金</w:t>
      </w:r>
      <w:bookmarkEnd w:id="300"/>
      <w:bookmarkEnd w:id="301"/>
      <w:bookmarkEnd w:id="302"/>
      <w:bookmarkEnd w:id="303"/>
      <w:bookmarkEnd w:id="304"/>
    </w:p>
    <w:p w14:paraId="06F7BCD4">
      <w:pPr>
        <w:spacing w:line="360" w:lineRule="auto"/>
        <w:ind w:firstLine="480" w:firstLineChars="200"/>
        <w:rPr>
          <w:rFonts w:hint="eastAsia" w:ascii="仿宋" w:hAnsi="仿宋" w:eastAsia="仿宋" w:cs="仿宋"/>
          <w:snapToGrid w:val="0"/>
          <w:kern w:val="0"/>
          <w:sz w:val="24"/>
          <w:highlight w:val="none"/>
        </w:rPr>
      </w:pPr>
      <w:r>
        <w:rPr>
          <w:rFonts w:hint="eastAsia" w:ascii="仿宋" w:hAnsi="仿宋" w:eastAsia="仿宋" w:cs="仿宋"/>
          <w:sz w:val="24"/>
          <w:highlight w:val="none"/>
        </w:rPr>
        <w:t>本项目不收取履约保证金</w:t>
      </w:r>
    </w:p>
    <w:p w14:paraId="128C02A9">
      <w:pPr>
        <w:spacing w:line="360" w:lineRule="auto"/>
        <w:ind w:firstLine="482" w:firstLineChars="200"/>
        <w:rPr>
          <w:rFonts w:hint="eastAsia" w:ascii="仿宋" w:hAnsi="仿宋" w:eastAsia="仿宋" w:cs="仿宋"/>
          <w:kern w:val="0"/>
          <w:sz w:val="24"/>
          <w:highlight w:val="none"/>
          <w:lang w:val="zh-CN"/>
        </w:rPr>
      </w:pPr>
      <w:r>
        <w:rPr>
          <w:rFonts w:hint="eastAsia" w:ascii="仿宋" w:hAnsi="仿宋" w:eastAsia="仿宋" w:cs="仿宋"/>
          <w:b/>
          <w:sz w:val="24"/>
          <w:highlight w:val="none"/>
        </w:rPr>
        <w:t>2.22 中小企业政策</w:t>
      </w:r>
    </w:p>
    <w:p w14:paraId="1741AB1D">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2.22.1本合同（□是  □否）为中小企业“政采贷”可融资合同，关于中小企业信用融资事项见采购文件“供应商须知正文”。</w:t>
      </w:r>
    </w:p>
    <w:p w14:paraId="590A1173">
      <w:pPr>
        <w:spacing w:line="360" w:lineRule="auto"/>
        <w:ind w:firstLine="480" w:firstLineChars="200"/>
        <w:rPr>
          <w:rFonts w:hint="eastAsia" w:ascii="仿宋" w:hAnsi="仿宋" w:eastAsia="仿宋" w:cs="仿宋"/>
          <w:kern w:val="0"/>
          <w:sz w:val="24"/>
          <w:highlight w:val="none"/>
          <w:lang w:val="zh-CN"/>
        </w:rPr>
      </w:pPr>
      <w:r>
        <w:rPr>
          <w:rFonts w:hint="eastAsia" w:ascii="仿宋" w:hAnsi="仿宋" w:eastAsia="仿宋" w:cs="仿宋"/>
          <w:kern w:val="0"/>
          <w:sz w:val="24"/>
          <w:highlight w:val="none"/>
          <w:lang w:val="zh-CN"/>
        </w:rPr>
        <w:t>2.22.2本合同（□是  □否）为中小企业预留合同。</w:t>
      </w:r>
    </w:p>
    <w:bookmarkEnd w:id="305"/>
    <w:p w14:paraId="696FD1E9">
      <w:pPr>
        <w:spacing w:line="360" w:lineRule="auto"/>
        <w:ind w:firstLine="482" w:firstLineChars="200"/>
        <w:rPr>
          <w:rFonts w:hint="eastAsia" w:ascii="仿宋" w:hAnsi="仿宋" w:eastAsia="仿宋" w:cs="仿宋"/>
          <w:b/>
          <w:sz w:val="24"/>
          <w:highlight w:val="none"/>
        </w:rPr>
      </w:pPr>
      <w:bookmarkStart w:id="306" w:name="_Toc6885"/>
      <w:bookmarkStart w:id="307" w:name="_Toc19890"/>
      <w:bookmarkStart w:id="308" w:name="_Toc14001"/>
      <w:r>
        <w:rPr>
          <w:rFonts w:hint="eastAsia" w:ascii="仿宋" w:hAnsi="仿宋" w:eastAsia="仿宋" w:cs="仿宋"/>
          <w:b/>
          <w:sz w:val="24"/>
          <w:highlight w:val="none"/>
        </w:rPr>
        <w:t>2.23 合同份数</w:t>
      </w:r>
      <w:bookmarkEnd w:id="306"/>
      <w:bookmarkEnd w:id="307"/>
      <w:bookmarkEnd w:id="308"/>
    </w:p>
    <w:p w14:paraId="788F79FF">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本合同壹式</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份，甲方执</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份，乙方执</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份。每份均具有同等法律效力。</w:t>
      </w:r>
    </w:p>
    <w:p w14:paraId="16C2C787">
      <w:pPr>
        <w:pStyle w:val="84"/>
        <w:jc w:val="center"/>
        <w:outlineLvl w:val="1"/>
        <w:rPr>
          <w:rFonts w:hint="eastAsia" w:ascii="仿宋" w:hAnsi="仿宋" w:eastAsia="仿宋" w:cs="仿宋"/>
          <w:b/>
          <w:sz w:val="28"/>
          <w:szCs w:val="28"/>
          <w:highlight w:val="none"/>
        </w:rPr>
      </w:pPr>
      <w:r>
        <w:rPr>
          <w:rFonts w:hint="eastAsia" w:ascii="仿宋" w:hAnsi="仿宋" w:eastAsia="仿宋" w:cs="仿宋"/>
          <w:highlight w:val="none"/>
        </w:rPr>
        <w:br w:type="page"/>
      </w:r>
      <w:bookmarkStart w:id="309" w:name="_Toc331685784"/>
      <w:bookmarkStart w:id="310" w:name="_Toc80205946"/>
      <w:bookmarkStart w:id="311" w:name="_Toc10247"/>
      <w:bookmarkStart w:id="312" w:name="_Toc11028"/>
      <w:r>
        <w:rPr>
          <w:rFonts w:hint="eastAsia" w:ascii="仿宋" w:hAnsi="仿宋" w:eastAsia="仿宋" w:cs="仿宋"/>
          <w:b/>
          <w:sz w:val="28"/>
          <w:szCs w:val="28"/>
          <w:highlight w:val="none"/>
        </w:rPr>
        <w:t>第三部分  合同专用条款</w:t>
      </w:r>
      <w:bookmarkEnd w:id="309"/>
      <w:bookmarkEnd w:id="310"/>
      <w:bookmarkEnd w:id="311"/>
      <w:bookmarkEnd w:id="312"/>
    </w:p>
    <w:p w14:paraId="2D6A5EBE">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sz w:val="24"/>
        </w:rPr>
      </w:pPr>
      <w:r>
        <w:rPr>
          <w:rFonts w:hint="eastAsia" w:ascii="仿宋_GB2312" w:hAnsi="楷体" w:eastAsia="仿宋_GB2312"/>
          <w:sz w:val="24"/>
        </w:rPr>
        <w:t>本部分是对前两部分的补充和修改，如果前两部分和本部分的约定不一致，应以本部分的约定为准。本部分的条款号应与前两部分的条款号保持对应；与前两部分无对应关系的内容可另行编制条款号。</w:t>
      </w:r>
    </w:p>
    <w:p w14:paraId="64C16561">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仿宋_GB2312" w:eastAsia="仿宋_GB2312" w:cs="仿宋_GB2312"/>
          <w:kern w:val="0"/>
          <w:sz w:val="24"/>
          <w:u w:val="single"/>
        </w:rPr>
      </w:pPr>
      <w:r>
        <w:rPr>
          <w:rFonts w:hint="eastAsia" w:ascii="仿宋_GB2312" w:hAnsi="楷体" w:eastAsia="仿宋_GB2312"/>
          <w:sz w:val="24"/>
        </w:rPr>
        <w:t>3.1具有知识产权的标的物知识产权归属：</w:t>
      </w:r>
      <w:r>
        <w:rPr>
          <w:rFonts w:hint="eastAsia" w:ascii="仿宋_GB2312" w:hAnsi="仿宋_GB2312" w:eastAsia="仿宋_GB2312" w:cs="仿宋_GB2312"/>
          <w:kern w:val="0"/>
          <w:sz w:val="24"/>
          <w:u w:val="single"/>
        </w:rPr>
        <w:t>成果通过验收后，版权和使用权归甲方所有。未经同意，乙方不得擅自对外公开发表或向他人提供成果。</w:t>
      </w:r>
    </w:p>
    <w:p w14:paraId="6A5B2994">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sz w:val="24"/>
          <w:u w:val="single"/>
        </w:rPr>
      </w:pPr>
      <w:r>
        <w:rPr>
          <w:rFonts w:hint="eastAsia" w:ascii="仿宋_GB2312" w:hAnsi="楷体" w:eastAsia="仿宋_GB2312"/>
          <w:sz w:val="24"/>
        </w:rPr>
        <w:t>3.2包装和装运专用条款（如果有）：</w:t>
      </w:r>
      <w:r>
        <w:rPr>
          <w:rFonts w:hint="eastAsia" w:ascii="仿宋_GB2312" w:hAnsi="仿宋_GB2312" w:eastAsia="仿宋_GB2312" w:cs="仿宋_GB2312"/>
          <w:kern w:val="0"/>
          <w:sz w:val="24"/>
          <w:u w:val="single"/>
        </w:rPr>
        <w:t xml:space="preserve"> 无                              </w:t>
      </w:r>
    </w:p>
    <w:p w14:paraId="46570FD2">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sz w:val="24"/>
          <w:u w:val="single"/>
        </w:rPr>
      </w:pPr>
      <w:r>
        <w:rPr>
          <w:rFonts w:hint="eastAsia" w:ascii="仿宋_GB2312" w:hAnsi="楷体" w:eastAsia="仿宋_GB2312"/>
          <w:sz w:val="24"/>
        </w:rPr>
        <w:t>3.3装运标的物的要求和通知：</w:t>
      </w:r>
      <w:r>
        <w:rPr>
          <w:rFonts w:hint="eastAsia" w:ascii="仿宋_GB2312" w:hAnsi="仿宋_GB2312" w:eastAsia="仿宋_GB2312" w:cs="仿宋_GB2312"/>
          <w:kern w:val="0"/>
          <w:sz w:val="24"/>
          <w:u w:val="single"/>
        </w:rPr>
        <w:t xml:space="preserve"> 无                                   </w:t>
      </w:r>
    </w:p>
    <w:p w14:paraId="1506CB33">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b/>
          <w:sz w:val="24"/>
        </w:rPr>
      </w:pPr>
      <w:r>
        <w:rPr>
          <w:rFonts w:hint="eastAsia" w:ascii="仿宋_GB2312" w:hAnsi="楷体" w:eastAsia="仿宋_GB2312"/>
          <w:sz w:val="24"/>
        </w:rPr>
        <w:t>3.4</w:t>
      </w:r>
      <w:r>
        <w:rPr>
          <w:rFonts w:hint="eastAsia" w:ascii="仿宋_GB2312" w:hAnsi="楷体" w:eastAsia="仿宋_GB2312"/>
          <w:b/>
          <w:sz w:val="24"/>
        </w:rPr>
        <w:t>结算方式和付款条件</w:t>
      </w:r>
    </w:p>
    <w:p w14:paraId="40AE2A2F">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本次项目合同总价为大写人民币</w:t>
      </w:r>
      <w:r>
        <w:rPr>
          <w:rFonts w:hint="eastAsia" w:ascii="仿宋_GB2312" w:hAnsi="楷体" w:eastAsia="仿宋_GB2312"/>
          <w:sz w:val="24"/>
          <w:u w:val="single"/>
        </w:rPr>
        <w:t>伍拾捌万元</w:t>
      </w:r>
      <w:r>
        <w:rPr>
          <w:rFonts w:hint="eastAsia" w:ascii="仿宋_GB2312" w:hAnsi="仿宋_GB2312" w:eastAsia="仿宋_GB2312" w:cs="仿宋_GB2312"/>
          <w:kern w:val="0"/>
          <w:sz w:val="24"/>
          <w:u w:val="single"/>
          <w:lang w:val="zh-CN"/>
        </w:rPr>
        <w:t>整（</w:t>
      </w:r>
      <w:r>
        <w:rPr>
          <w:rFonts w:ascii="Calibri" w:hAnsi="Calibri" w:eastAsia="仿宋_GB2312" w:cs="Calibri"/>
          <w:kern w:val="0"/>
          <w:sz w:val="24"/>
        </w:rPr>
        <w:t>¥</w:t>
      </w:r>
      <w:r>
        <w:rPr>
          <w:rFonts w:hint="eastAsia" w:ascii="仿宋_GB2312" w:hAnsi="楷体" w:eastAsia="仿宋_GB2312"/>
          <w:sz w:val="24"/>
          <w:u w:val="single"/>
        </w:rPr>
        <w:t xml:space="preserve"> 580,000.00</w:t>
      </w:r>
      <w:r>
        <w:rPr>
          <w:rFonts w:hint="eastAsia" w:ascii="仿宋_GB2312" w:hAnsi="仿宋_GB2312" w:eastAsia="仿宋_GB2312" w:cs="仿宋_GB2312"/>
          <w:kern w:val="0"/>
          <w:sz w:val="24"/>
          <w:lang w:val="zh-CN"/>
        </w:rPr>
        <w:t>元）。本项目采用以下勾选结算方式进行支付：</w:t>
      </w:r>
    </w:p>
    <w:p w14:paraId="749531ED">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仿宋_GB2312" w:eastAsia="仿宋_GB2312" w:cs="仿宋_GB2312"/>
          <w:kern w:val="0"/>
          <w:sz w:val="24"/>
          <w:lang w:val="zh-CN"/>
        </w:rPr>
      </w:pPr>
      <w:r>
        <w:rPr>
          <w:rFonts w:hint="eastAsia" w:ascii="仿宋_GB2312" w:hAnsi="仿宋_GB2312" w:eastAsia="仿宋_GB2312" w:cs="仿宋_GB2312"/>
          <w:kern w:val="0"/>
          <w:sz w:val="24"/>
          <w:lang w:val="zh-CN"/>
        </w:rPr>
        <w:t>□采用一次性支付方式，付款条件为：</w:t>
      </w:r>
      <w:r>
        <w:rPr>
          <w:rFonts w:hint="eastAsia" w:ascii="仿宋_GB2312" w:hAnsi="仿宋_GB2312" w:eastAsia="仿宋_GB2312" w:cs="仿宋_GB2312"/>
          <w:kern w:val="0"/>
          <w:sz w:val="24"/>
          <w:u w:val="single"/>
        </w:rPr>
        <w:t xml:space="preserve">           </w:t>
      </w:r>
    </w:p>
    <w:p w14:paraId="1AA93DAC">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仿宋_GB2312" w:eastAsia="仿宋_GB2312" w:cs="仿宋_GB2312"/>
          <w:b/>
          <w:bCs/>
          <w:kern w:val="0"/>
          <w:sz w:val="24"/>
        </w:rPr>
      </w:pPr>
      <w:r>
        <w:rPr>
          <w:rFonts w:ascii="Segoe UI Symbol" w:hAnsi="Segoe UI Symbol" w:eastAsia="仿宋_GB2312" w:cs="Segoe UI Symbol"/>
          <w:kern w:val="0"/>
          <w:sz w:val="24"/>
        </w:rPr>
        <w:t>☑</w:t>
      </w:r>
      <w:r>
        <w:rPr>
          <w:rFonts w:hint="eastAsia" w:ascii="仿宋_GB2312" w:hAnsi="仿宋_GB2312" w:eastAsia="仿宋_GB2312" w:cs="仿宋_GB2312"/>
          <w:kern w:val="0"/>
          <w:sz w:val="24"/>
          <w:lang w:val="zh-CN"/>
        </w:rPr>
        <w:t>采用分期付款方式，付款条件为</w:t>
      </w:r>
      <w:r>
        <w:rPr>
          <w:rFonts w:hint="eastAsia" w:ascii="仿宋_GB2312" w:hAnsi="仿宋_GB2312" w:eastAsia="仿宋_GB2312" w:cs="仿宋_GB2312"/>
          <w:kern w:val="0"/>
          <w:sz w:val="24"/>
        </w:rPr>
        <w:t>：乙方所提交的服务经甲方验收合格后，按项目进度内容支付合同款。</w:t>
      </w:r>
    </w:p>
    <w:p w14:paraId="0EE6A7EE">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宋体" w:eastAsia="仿宋_GB2312" w:cs="宋体"/>
          <w:sz w:val="24"/>
          <w:u w:val="single"/>
          <w:lang w:val="en-US" w:eastAsia="zh-CN"/>
        </w:rPr>
      </w:pPr>
      <w:r>
        <w:rPr>
          <w:rFonts w:hint="eastAsia" w:ascii="仿宋_GB2312" w:hAnsi="仿宋_GB2312" w:eastAsia="仿宋_GB2312" w:cs="仿宋_GB2312"/>
          <w:kern w:val="0"/>
          <w:sz w:val="24"/>
          <w:lang w:val="zh-CN"/>
        </w:rPr>
        <w:t>第一期付款</w:t>
      </w:r>
      <w:r>
        <w:rPr>
          <w:rFonts w:hint="eastAsia" w:ascii="仿宋_GB2312" w:hAnsi="仿宋_GB2312" w:eastAsia="仿宋_GB2312" w:cs="仿宋_GB2312"/>
          <w:kern w:val="0"/>
          <w:sz w:val="24"/>
        </w:rPr>
        <w:t>：</w:t>
      </w:r>
      <w:r>
        <w:rPr>
          <w:rFonts w:hint="eastAsia" w:ascii="仿宋_GB2312" w:hAnsi="宋体" w:eastAsia="仿宋_GB2312" w:cs="宋体"/>
          <w:sz w:val="24"/>
          <w:u w:val="single"/>
          <w:lang w:val="en-US" w:eastAsia="zh-CN"/>
        </w:rPr>
        <w:t>提交2026年度南宁市公交财政补贴、南宁市（含县份）公交企业节能与新能源公交车推广应用情况审计工作实施方案，</w:t>
      </w:r>
      <w:r>
        <w:rPr>
          <w:rFonts w:hint="eastAsia" w:ascii="仿宋_GB2312" w:hAnsi="宋体" w:eastAsia="仿宋_GB2312" w:cs="宋体"/>
          <w:sz w:val="24"/>
          <w:u w:val="single"/>
        </w:rPr>
        <w:t>经甲方认可</w:t>
      </w:r>
      <w:r>
        <w:rPr>
          <w:rFonts w:hint="eastAsia" w:ascii="仿宋_GB2312" w:hAnsi="宋体" w:eastAsia="仿宋_GB2312" w:cs="宋体"/>
          <w:sz w:val="24"/>
          <w:u w:val="single"/>
          <w:lang w:val="en-US" w:eastAsia="zh-CN"/>
        </w:rPr>
        <w:t>后一个月内，</w:t>
      </w:r>
      <w:r>
        <w:rPr>
          <w:rFonts w:hint="eastAsia" w:ascii="仿宋_GB2312" w:hAnsi="宋体" w:eastAsia="仿宋_GB2312" w:cs="宋体"/>
          <w:sz w:val="24"/>
          <w:u w:val="single"/>
        </w:rPr>
        <w:t>甲方</w:t>
      </w:r>
      <w:r>
        <w:rPr>
          <w:rFonts w:hint="eastAsia" w:ascii="仿宋_GB2312" w:hAnsi="宋体" w:eastAsia="仿宋_GB2312" w:cs="宋体"/>
          <w:sz w:val="24"/>
          <w:u w:val="single"/>
          <w:lang w:val="en-US" w:eastAsia="zh-CN"/>
        </w:rPr>
        <w:t>支付乙方50%合同金额；</w:t>
      </w:r>
    </w:p>
    <w:p w14:paraId="5A251211">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仿宋_GB2312" w:hAnsi="宋体" w:eastAsia="仿宋_GB2312" w:cs="宋体"/>
          <w:sz w:val="24"/>
          <w:u w:val="single"/>
          <w:lang w:val="en-US" w:eastAsia="zh-CN"/>
        </w:rPr>
      </w:pPr>
      <w:r>
        <w:rPr>
          <w:rFonts w:hint="eastAsia" w:ascii="仿宋_GB2312" w:hAnsi="仿宋_GB2312" w:eastAsia="仿宋_GB2312" w:cs="仿宋_GB2312"/>
          <w:kern w:val="0"/>
          <w:sz w:val="24"/>
          <w:lang w:val="zh-CN"/>
        </w:rPr>
        <w:t>第</w:t>
      </w:r>
      <w:r>
        <w:rPr>
          <w:rFonts w:hint="eastAsia" w:ascii="仿宋_GB2312" w:hAnsi="仿宋_GB2312" w:eastAsia="仿宋_GB2312" w:cs="仿宋_GB2312"/>
          <w:kern w:val="0"/>
          <w:sz w:val="24"/>
        </w:rPr>
        <w:t>二</w:t>
      </w:r>
      <w:r>
        <w:rPr>
          <w:rFonts w:hint="eastAsia" w:ascii="仿宋_GB2312" w:hAnsi="仿宋_GB2312" w:eastAsia="仿宋_GB2312" w:cs="仿宋_GB2312"/>
          <w:kern w:val="0"/>
          <w:sz w:val="24"/>
          <w:lang w:val="zh-CN"/>
        </w:rPr>
        <w:t>期付款</w:t>
      </w:r>
      <w:r>
        <w:rPr>
          <w:rFonts w:hint="eastAsia" w:ascii="仿宋_GB2312" w:hAnsi="仿宋_GB2312" w:eastAsia="仿宋_GB2312" w:cs="仿宋_GB2312"/>
          <w:kern w:val="0"/>
          <w:sz w:val="24"/>
        </w:rPr>
        <w:t>：</w:t>
      </w:r>
      <w:r>
        <w:rPr>
          <w:rFonts w:hint="eastAsia" w:ascii="仿宋_GB2312" w:hAnsi="宋体" w:eastAsia="仿宋_GB2312" w:cs="宋体"/>
          <w:sz w:val="24"/>
          <w:u w:val="single"/>
          <w:lang w:val="en-US" w:eastAsia="zh-CN"/>
        </w:rPr>
        <w:t>提交2026年南宁市（含县份）公交企业节能与新能源公交车推广应用情况专项审计报告、2026年度南宁市公交财政补贴审计报告，</w:t>
      </w:r>
      <w:r>
        <w:rPr>
          <w:rFonts w:hint="eastAsia" w:ascii="仿宋_GB2312" w:hAnsi="宋体" w:eastAsia="仿宋_GB2312" w:cs="宋体"/>
          <w:sz w:val="24"/>
          <w:u w:val="single"/>
        </w:rPr>
        <w:t>经甲方</w:t>
      </w:r>
      <w:r>
        <w:rPr>
          <w:rFonts w:hint="eastAsia" w:ascii="仿宋_GB2312" w:hAnsi="宋体" w:eastAsia="仿宋_GB2312" w:cs="宋体"/>
          <w:sz w:val="24"/>
          <w:u w:val="single"/>
          <w:lang w:val="en-US" w:eastAsia="zh-CN"/>
        </w:rPr>
        <w:t>组织评审通过后一个月内，</w:t>
      </w:r>
      <w:r>
        <w:rPr>
          <w:rFonts w:hint="eastAsia" w:ascii="仿宋_GB2312" w:hAnsi="宋体" w:eastAsia="仿宋_GB2312" w:cs="宋体"/>
          <w:sz w:val="24"/>
          <w:u w:val="single"/>
        </w:rPr>
        <w:t>甲方</w:t>
      </w:r>
      <w:r>
        <w:rPr>
          <w:rFonts w:hint="eastAsia" w:ascii="仿宋_GB2312" w:hAnsi="宋体" w:eastAsia="仿宋_GB2312" w:cs="宋体"/>
          <w:sz w:val="24"/>
          <w:u w:val="single"/>
          <w:lang w:val="en-US" w:eastAsia="zh-CN"/>
        </w:rPr>
        <w:t>支付乙方50%合同金额；</w:t>
      </w:r>
    </w:p>
    <w:p w14:paraId="4FA34EDF">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仿宋_GB2312" w:eastAsia="仿宋_GB2312" w:cs="仿宋_GB2312"/>
          <w:kern w:val="0"/>
          <w:sz w:val="24"/>
          <w:u w:val="single"/>
        </w:rPr>
      </w:pPr>
      <w:r>
        <w:rPr>
          <w:rFonts w:hint="eastAsia" w:ascii="仿宋_GB2312" w:hAnsi="仿宋_GB2312" w:eastAsia="仿宋_GB2312" w:cs="仿宋_GB2312"/>
          <w:kern w:val="0"/>
          <w:sz w:val="24"/>
          <w:u w:val="single"/>
        </w:rPr>
        <w:t>甲方在支付合同金额时，如因国库支付管理系统关闭，暂时无法支付费用的，付款期限顺延至财政国库支付系统开通后的7个工作日内支付。</w:t>
      </w:r>
    </w:p>
    <w:p w14:paraId="47158F16">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仿宋" w:eastAsia="仿宋_GB2312"/>
          <w:sz w:val="24"/>
        </w:rPr>
      </w:pPr>
      <w:r>
        <w:rPr>
          <w:rFonts w:hint="eastAsia" w:ascii="仿宋_GB2312" w:hAnsi="仿宋" w:eastAsia="仿宋_GB2312"/>
          <w:sz w:val="24"/>
        </w:rPr>
        <w:t>甲方无故逾期支付服务费用的，按照每逾期一日支付欠付服务费额度的</w:t>
      </w:r>
      <w:r>
        <w:rPr>
          <w:rFonts w:hint="eastAsia" w:ascii="仿宋_GB2312" w:hAnsi="仿宋" w:eastAsia="仿宋_GB2312"/>
          <w:sz w:val="24"/>
          <w:u w:val="single"/>
        </w:rPr>
        <w:t>万分之五</w:t>
      </w:r>
      <w:r>
        <w:rPr>
          <w:rFonts w:hint="eastAsia" w:ascii="仿宋_GB2312" w:hAnsi="仿宋" w:eastAsia="仿宋_GB2312"/>
          <w:sz w:val="24"/>
        </w:rPr>
        <w:t>承担违约责任，违约金上限按照《合同书》约定执行。</w:t>
      </w:r>
    </w:p>
    <w:p w14:paraId="211F232C">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b/>
          <w:sz w:val="24"/>
        </w:rPr>
      </w:pPr>
      <w:r>
        <w:rPr>
          <w:rFonts w:hint="eastAsia" w:ascii="仿宋_GB2312" w:hAnsi="楷体" w:eastAsia="仿宋_GB2312"/>
          <w:sz w:val="24"/>
        </w:rPr>
        <w:t>3.5</w:t>
      </w:r>
      <w:r>
        <w:rPr>
          <w:rFonts w:hint="eastAsia" w:ascii="仿宋_GB2312" w:hAnsi="楷体" w:eastAsia="仿宋_GB2312"/>
          <w:b/>
          <w:sz w:val="24"/>
        </w:rPr>
        <w:t>标的物的风险负担</w:t>
      </w:r>
    </w:p>
    <w:p w14:paraId="42952334">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sz w:val="24"/>
        </w:rPr>
      </w:pPr>
      <w:r>
        <w:rPr>
          <w:rFonts w:hint="eastAsia" w:ascii="仿宋_GB2312" w:hAnsi="楷体" w:eastAsia="仿宋_GB2312"/>
          <w:sz w:val="24"/>
        </w:rPr>
        <w:t>标的物或者在途标的物或者交付给第一承运人后的标的物毁损、灭失的风险负担：</w:t>
      </w:r>
      <w:r>
        <w:rPr>
          <w:rFonts w:hint="eastAsia" w:ascii="仿宋_GB2312" w:hAnsi="楷体" w:eastAsia="仿宋_GB2312"/>
          <w:sz w:val="24"/>
          <w:u w:val="single"/>
        </w:rPr>
        <w:t>乙方。</w:t>
      </w:r>
    </w:p>
    <w:p w14:paraId="6E746205">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sz w:val="24"/>
        </w:rPr>
      </w:pPr>
      <w:r>
        <w:rPr>
          <w:rFonts w:hint="eastAsia" w:ascii="仿宋_GB2312" w:hAnsi="楷体" w:eastAsia="仿宋_GB2312"/>
          <w:sz w:val="24"/>
        </w:rPr>
        <w:t>3.5.1受不可抗力影响的一方在不可抗力发生后，应在</w:t>
      </w:r>
      <w:r>
        <w:rPr>
          <w:rFonts w:hint="eastAsia" w:ascii="仿宋_GB2312" w:hAnsi="楷体" w:eastAsia="仿宋_GB2312"/>
          <w:sz w:val="24"/>
          <w:u w:val="single"/>
        </w:rPr>
        <w:t xml:space="preserve"> 7 </w:t>
      </w:r>
      <w:r>
        <w:rPr>
          <w:rFonts w:hint="eastAsia" w:ascii="仿宋_GB2312" w:hAnsi="楷体" w:eastAsia="仿宋_GB2312"/>
          <w:sz w:val="24"/>
        </w:rPr>
        <w:t>日内以书面形式通知对方当事人，并在</w:t>
      </w:r>
      <w:r>
        <w:rPr>
          <w:rFonts w:hint="eastAsia" w:ascii="仿宋_GB2312" w:hAnsi="楷体" w:eastAsia="仿宋_GB2312"/>
          <w:sz w:val="24"/>
          <w:u w:val="single"/>
        </w:rPr>
        <w:t xml:space="preserve"> 7 </w:t>
      </w:r>
      <w:r>
        <w:rPr>
          <w:rFonts w:hint="eastAsia" w:ascii="仿宋_GB2312" w:hAnsi="楷体" w:eastAsia="仿宋_GB2312"/>
          <w:sz w:val="24"/>
        </w:rPr>
        <w:t>日内，将有关部门出具的证明文件送达对方当事人。</w:t>
      </w:r>
    </w:p>
    <w:p w14:paraId="01E15BBF">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sz w:val="24"/>
        </w:rPr>
      </w:pPr>
      <w:r>
        <w:rPr>
          <w:rFonts w:hint="eastAsia" w:ascii="仿宋_GB2312" w:hAnsi="楷体" w:eastAsia="仿宋_GB2312"/>
          <w:sz w:val="24"/>
        </w:rPr>
        <w:t>3.5.2因不可抗力致使合同有变更必要的，双方当事人应在</w:t>
      </w:r>
      <w:r>
        <w:rPr>
          <w:rFonts w:hint="eastAsia" w:ascii="仿宋_GB2312" w:hAnsi="楷体" w:eastAsia="仿宋_GB2312"/>
          <w:sz w:val="24"/>
          <w:u w:val="single"/>
        </w:rPr>
        <w:t xml:space="preserve"> 7 </w:t>
      </w:r>
      <w:r>
        <w:rPr>
          <w:rFonts w:hint="eastAsia" w:ascii="仿宋_GB2312" w:hAnsi="楷体" w:eastAsia="仿宋_GB2312"/>
          <w:sz w:val="24"/>
        </w:rPr>
        <w:t>日内以书面形式变更合同；</w:t>
      </w:r>
    </w:p>
    <w:p w14:paraId="3D8960AA">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sz w:val="24"/>
        </w:rPr>
      </w:pPr>
      <w:r>
        <w:rPr>
          <w:rFonts w:hint="eastAsia" w:ascii="仿宋_GB2312" w:hAnsi="楷体" w:eastAsia="仿宋_GB2312"/>
          <w:sz w:val="24"/>
        </w:rPr>
        <w:t>3.5.3标的物交付前，乙方应对标的物的质量、数量等方面进行详细、全面的检验，并向甲方出具证明标的物符合合同约定的文件；标的物交付时，乙方在</w:t>
      </w:r>
      <w:r>
        <w:rPr>
          <w:rFonts w:hint="eastAsia" w:ascii="仿宋_GB2312" w:hAnsi="楷体" w:eastAsia="仿宋_GB2312"/>
          <w:sz w:val="24"/>
          <w:u w:val="single"/>
        </w:rPr>
        <w:t>15</w:t>
      </w:r>
      <w:r>
        <w:rPr>
          <w:rFonts w:hint="eastAsia" w:ascii="仿宋_GB2312" w:hAnsi="楷体" w:eastAsia="仿宋_GB2312"/>
          <w:sz w:val="24"/>
        </w:rPr>
        <w:t>日内发起验收，并可依法邀请相关方参加，验收应出具验收书。</w:t>
      </w:r>
    </w:p>
    <w:p w14:paraId="5A4E2F07">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sz w:val="24"/>
          <w:u w:val="single"/>
        </w:rPr>
      </w:pPr>
      <w:r>
        <w:rPr>
          <w:rFonts w:hint="eastAsia" w:ascii="仿宋_GB2312" w:hAnsi="楷体" w:eastAsia="仿宋_GB2312"/>
          <w:sz w:val="24"/>
        </w:rPr>
        <w:t>3.5.4检验和验收标准、程序等具体内容以及前述验收书的效力：</w:t>
      </w:r>
      <w:r>
        <w:rPr>
          <w:rFonts w:hint="eastAsia" w:ascii="仿宋_GB2312" w:hAnsi="楷体" w:eastAsia="仿宋_GB2312"/>
          <w:sz w:val="24"/>
          <w:u w:val="single"/>
        </w:rPr>
        <w:t>依据《工作时间计划表》规定移交的成果材料共同实施验收</w:t>
      </w:r>
    </w:p>
    <w:p w14:paraId="046F0526">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sz w:val="24"/>
        </w:rPr>
      </w:pPr>
      <w:r>
        <w:rPr>
          <w:rFonts w:hint="eastAsia" w:ascii="仿宋_GB2312" w:hAnsi="楷体" w:eastAsia="仿宋_GB2312"/>
          <w:sz w:val="24"/>
        </w:rPr>
        <w:t>3.5.5 其他：</w:t>
      </w:r>
      <w:r>
        <w:rPr>
          <w:rFonts w:hint="eastAsia" w:ascii="仿宋_GB2312" w:hAnsi="楷体" w:eastAsia="仿宋_GB2312"/>
          <w:sz w:val="24"/>
          <w:u w:val="single"/>
        </w:rPr>
        <w:t xml:space="preserve">    /                       </w:t>
      </w:r>
    </w:p>
    <w:p w14:paraId="322541F8">
      <w:pPr>
        <w:keepNext w:val="0"/>
        <w:keepLines w:val="0"/>
        <w:pageBreakBefore w:val="0"/>
        <w:kinsoku/>
        <w:wordWrap/>
        <w:overflowPunct/>
        <w:topLinePunct w:val="0"/>
        <w:autoSpaceDE/>
        <w:autoSpaceDN/>
        <w:bidi w:val="0"/>
        <w:adjustRightInd/>
        <w:spacing w:line="500" w:lineRule="atLeast"/>
        <w:ind w:firstLine="482" w:firstLineChars="200"/>
        <w:textAlignment w:val="auto"/>
        <w:rPr>
          <w:rFonts w:hint="eastAsia" w:ascii="仿宋_GB2312" w:hAnsi="仿宋" w:eastAsia="仿宋_GB2312" w:cs="仿宋"/>
          <w:b/>
          <w:sz w:val="24"/>
        </w:rPr>
      </w:pPr>
      <w:r>
        <w:rPr>
          <w:rFonts w:hint="eastAsia" w:ascii="仿宋_GB2312" w:hAnsi="仿宋" w:eastAsia="仿宋_GB2312" w:cs="仿宋"/>
          <w:b/>
          <w:sz w:val="24"/>
        </w:rPr>
        <w:t>3.6项目验收：</w:t>
      </w:r>
    </w:p>
    <w:p w14:paraId="5A60A5A7">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sz w:val="24"/>
        </w:rPr>
      </w:pPr>
      <w:r>
        <w:rPr>
          <w:rFonts w:hint="eastAsia" w:ascii="仿宋_GB2312" w:hAnsi="楷体" w:eastAsia="仿宋_GB2312"/>
          <w:sz w:val="24"/>
        </w:rPr>
        <w:t>3.6.1甲方参照《南宁市政府采购供应商履约验收评价管理办法》（南财采[2019]217号）规定组织对乙方履约的验收。验收方成员应当在验收书上签字，并承担相应的法律责任。如果发现与合同中要求不符，乙方须承担由此发生的一切损失和费用，并接受相应的处理。</w:t>
      </w:r>
    </w:p>
    <w:p w14:paraId="48BFDA59">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sz w:val="24"/>
        </w:rPr>
      </w:pPr>
      <w:r>
        <w:rPr>
          <w:rFonts w:hint="eastAsia" w:ascii="仿宋_GB2312" w:hAnsi="楷体" w:eastAsia="仿宋_GB2312"/>
          <w:sz w:val="24"/>
        </w:rPr>
        <w:t>3.6.2严格按照采购合同开展履约验收。甲方成立验收小组，按照采购合同的约定对乙方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14:paraId="03286AA4">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sz w:val="24"/>
        </w:rPr>
      </w:pPr>
      <w:r>
        <w:rPr>
          <w:rFonts w:hint="eastAsia" w:ascii="仿宋_GB2312" w:hAnsi="楷体" w:eastAsia="仿宋_GB2312"/>
          <w:sz w:val="24"/>
        </w:rPr>
        <w:t>3.6.3验收合格的项目，甲方将根据采购合同的约定及时向乙方支付采购资金。验收不合格的项目，甲方将依法及时处理。采购合同的履行、违约责任和解决争议的方式等适用《中华人民共和国民法典》，并按照《合同书》约定执行。</w:t>
      </w:r>
    </w:p>
    <w:p w14:paraId="408FD50B">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sz w:val="24"/>
        </w:rPr>
      </w:pPr>
      <w:r>
        <w:rPr>
          <w:rFonts w:hint="eastAsia" w:ascii="仿宋_GB2312" w:hAnsi="楷体" w:eastAsia="仿宋_GB2312"/>
          <w:sz w:val="24"/>
        </w:rPr>
        <w:t>3.6.4验收产生的费用首次验收费用由乙方承担，如首次验收不合格，后续验收费用由乙方支付。</w:t>
      </w:r>
    </w:p>
    <w:p w14:paraId="68ECDB11">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sz w:val="24"/>
        </w:rPr>
      </w:pPr>
      <w:r>
        <w:rPr>
          <w:rFonts w:hint="eastAsia" w:ascii="仿宋_GB2312" w:hAnsi="楷体" w:eastAsia="仿宋_GB2312"/>
          <w:sz w:val="24"/>
        </w:rPr>
        <w:t>3.6.5验收内容及资料要求：</w:t>
      </w:r>
    </w:p>
    <w:p w14:paraId="619D0460">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sz w:val="24"/>
        </w:rPr>
      </w:pPr>
      <w:r>
        <w:rPr>
          <w:rFonts w:hint="eastAsia" w:ascii="仿宋_GB2312" w:hAnsi="楷体" w:eastAsia="仿宋_GB2312"/>
          <w:sz w:val="24"/>
        </w:rPr>
        <w:t>根据采购文件确定的技术指标或者服务要求确定验收指标和标准。未进行相应约定的，应当符合国家强制性规定、政策要求、安全标准、行业或企业有关标准等。</w:t>
      </w:r>
    </w:p>
    <w:p w14:paraId="5FBDB19D">
      <w:pPr>
        <w:keepNext w:val="0"/>
        <w:keepLines w:val="0"/>
        <w:pageBreakBefore w:val="0"/>
        <w:tabs>
          <w:tab w:val="left" w:pos="904"/>
        </w:tabs>
        <w:kinsoku/>
        <w:wordWrap/>
        <w:overflowPunct/>
        <w:topLinePunct w:val="0"/>
        <w:autoSpaceDE/>
        <w:autoSpaceDN/>
        <w:bidi w:val="0"/>
        <w:adjustRightInd/>
        <w:snapToGrid w:val="0"/>
        <w:spacing w:line="500" w:lineRule="atLeast"/>
        <w:ind w:firstLine="480" w:firstLineChars="200"/>
        <w:jc w:val="left"/>
        <w:textAlignment w:val="auto"/>
        <w:rPr>
          <w:rFonts w:hint="eastAsia" w:ascii="仿宋_GB2312" w:hAnsi="楷体" w:eastAsia="仿宋_GB2312"/>
          <w:sz w:val="24"/>
        </w:rPr>
      </w:pPr>
      <w:r>
        <w:rPr>
          <w:rFonts w:hint="eastAsia" w:ascii="仿宋_GB2312" w:hAnsi="楷体" w:eastAsia="仿宋_GB2312"/>
          <w:sz w:val="24"/>
        </w:rPr>
        <w:t>3.6.4验收内容</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998"/>
        <w:gridCol w:w="6082"/>
      </w:tblGrid>
      <w:tr w14:paraId="0635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45" w:type="dxa"/>
            <w:tcBorders>
              <w:top w:val="single" w:color="auto" w:sz="4" w:space="0"/>
              <w:left w:val="single" w:color="auto" w:sz="4" w:space="0"/>
              <w:bottom w:val="single" w:color="auto" w:sz="4" w:space="0"/>
              <w:right w:val="single" w:color="auto" w:sz="4" w:space="0"/>
            </w:tcBorders>
            <w:vAlign w:val="center"/>
          </w:tcPr>
          <w:p w14:paraId="0B53AC9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00" w:lineRule="atLeast"/>
              <w:ind w:left="0" w:right="0"/>
              <w:jc w:val="center"/>
              <w:textAlignment w:val="auto"/>
              <w:rPr>
                <w:rFonts w:hint="eastAsia" w:ascii="仿宋_GB2312" w:hAnsi="仿宋" w:eastAsia="仿宋_GB2312" w:cs="仿宋"/>
                <w:bCs/>
                <w:kern w:val="0"/>
                <w:sz w:val="24"/>
              </w:rPr>
            </w:pPr>
            <w:r>
              <w:rPr>
                <w:rFonts w:hint="eastAsia" w:ascii="仿宋_GB2312" w:hAnsi="仿宋" w:eastAsia="仿宋_GB2312" w:cs="仿宋"/>
                <w:bCs/>
                <w:kern w:val="0"/>
                <w:sz w:val="24"/>
              </w:rPr>
              <w:t>序号</w:t>
            </w:r>
          </w:p>
        </w:tc>
        <w:tc>
          <w:tcPr>
            <w:tcW w:w="1998" w:type="dxa"/>
            <w:tcBorders>
              <w:top w:val="single" w:color="auto" w:sz="4" w:space="0"/>
              <w:left w:val="single" w:color="auto" w:sz="4" w:space="0"/>
              <w:bottom w:val="single" w:color="auto" w:sz="4" w:space="0"/>
              <w:right w:val="single" w:color="auto" w:sz="4" w:space="0"/>
            </w:tcBorders>
            <w:vAlign w:val="center"/>
          </w:tcPr>
          <w:p w14:paraId="24115E3F">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00" w:lineRule="atLeast"/>
              <w:ind w:left="0" w:right="0"/>
              <w:jc w:val="center"/>
              <w:textAlignment w:val="auto"/>
              <w:rPr>
                <w:rFonts w:hint="eastAsia" w:ascii="仿宋_GB2312" w:hAnsi="仿宋" w:eastAsia="仿宋_GB2312" w:cs="仿宋"/>
                <w:bCs/>
                <w:kern w:val="0"/>
                <w:sz w:val="24"/>
              </w:rPr>
            </w:pPr>
            <w:r>
              <w:rPr>
                <w:rFonts w:hint="eastAsia" w:ascii="仿宋_GB2312" w:hAnsi="仿宋" w:eastAsia="仿宋_GB2312" w:cs="仿宋"/>
                <w:bCs/>
                <w:kern w:val="0"/>
                <w:sz w:val="24"/>
              </w:rPr>
              <w:t>验收内容</w:t>
            </w:r>
          </w:p>
        </w:tc>
        <w:tc>
          <w:tcPr>
            <w:tcW w:w="6082" w:type="dxa"/>
            <w:tcBorders>
              <w:top w:val="single" w:color="auto" w:sz="4" w:space="0"/>
              <w:left w:val="single" w:color="auto" w:sz="4" w:space="0"/>
              <w:bottom w:val="single" w:color="auto" w:sz="4" w:space="0"/>
              <w:right w:val="single" w:color="auto" w:sz="4" w:space="0"/>
            </w:tcBorders>
            <w:vAlign w:val="center"/>
          </w:tcPr>
          <w:p w14:paraId="4959699B">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00" w:lineRule="atLeast"/>
              <w:ind w:left="0" w:right="0"/>
              <w:jc w:val="center"/>
              <w:textAlignment w:val="auto"/>
              <w:rPr>
                <w:rFonts w:hint="eastAsia" w:ascii="仿宋_GB2312" w:hAnsi="仿宋" w:eastAsia="仿宋_GB2312" w:cs="仿宋"/>
                <w:bCs/>
                <w:kern w:val="0"/>
                <w:sz w:val="24"/>
              </w:rPr>
            </w:pPr>
            <w:r>
              <w:rPr>
                <w:rFonts w:hint="eastAsia" w:ascii="仿宋_GB2312" w:hAnsi="仿宋" w:eastAsia="仿宋_GB2312" w:cs="仿宋"/>
                <w:bCs/>
                <w:kern w:val="0"/>
                <w:sz w:val="24"/>
              </w:rPr>
              <w:t>验收标准</w:t>
            </w:r>
          </w:p>
        </w:tc>
      </w:tr>
      <w:tr w14:paraId="6E6B1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45" w:type="dxa"/>
            <w:tcBorders>
              <w:top w:val="single" w:color="auto" w:sz="4" w:space="0"/>
              <w:left w:val="single" w:color="auto" w:sz="4" w:space="0"/>
              <w:bottom w:val="single" w:color="auto" w:sz="4" w:space="0"/>
              <w:right w:val="single" w:color="auto" w:sz="4" w:space="0"/>
            </w:tcBorders>
            <w:vAlign w:val="center"/>
          </w:tcPr>
          <w:p w14:paraId="45EC154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00" w:lineRule="atLeast"/>
              <w:ind w:left="0" w:right="0"/>
              <w:jc w:val="center"/>
              <w:textAlignment w:val="auto"/>
              <w:rPr>
                <w:rFonts w:hint="eastAsia" w:ascii="仿宋_GB2312" w:hAnsi="仿宋" w:eastAsia="仿宋_GB2312" w:cs="仿宋"/>
                <w:bCs/>
                <w:kern w:val="0"/>
                <w:sz w:val="24"/>
              </w:rPr>
            </w:pPr>
            <w:r>
              <w:rPr>
                <w:rFonts w:hint="eastAsia" w:ascii="仿宋_GB2312" w:hAnsi="仿宋" w:eastAsia="仿宋_GB2312" w:cs="仿宋"/>
                <w:bCs/>
                <w:kern w:val="0"/>
                <w:sz w:val="24"/>
              </w:rPr>
              <w:t>1</w:t>
            </w:r>
          </w:p>
        </w:tc>
        <w:tc>
          <w:tcPr>
            <w:tcW w:w="1998" w:type="dxa"/>
            <w:tcBorders>
              <w:top w:val="single" w:color="auto" w:sz="4" w:space="0"/>
              <w:left w:val="single" w:color="auto" w:sz="4" w:space="0"/>
              <w:bottom w:val="single" w:color="auto" w:sz="4" w:space="0"/>
              <w:right w:val="single" w:color="auto" w:sz="4" w:space="0"/>
            </w:tcBorders>
            <w:vAlign w:val="center"/>
          </w:tcPr>
          <w:p w14:paraId="0CF9FBF9">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00" w:lineRule="atLeast"/>
              <w:ind w:left="0" w:right="0"/>
              <w:jc w:val="center"/>
              <w:textAlignment w:val="auto"/>
              <w:rPr>
                <w:rFonts w:hint="eastAsia" w:ascii="仿宋_GB2312" w:hAnsi="仿宋" w:eastAsia="仿宋_GB2312" w:cs="仿宋"/>
                <w:bCs/>
                <w:kern w:val="0"/>
                <w:sz w:val="24"/>
              </w:rPr>
            </w:pPr>
            <w:r>
              <w:rPr>
                <w:rFonts w:hint="eastAsia" w:ascii="仿宋_GB2312" w:hAnsi="仿宋" w:eastAsia="仿宋_GB2312" w:cs="仿宋"/>
                <w:bCs/>
                <w:kern w:val="0"/>
                <w:sz w:val="24"/>
              </w:rPr>
              <w:t>交付标的物数量</w:t>
            </w:r>
          </w:p>
        </w:tc>
        <w:tc>
          <w:tcPr>
            <w:tcW w:w="6082" w:type="dxa"/>
            <w:tcBorders>
              <w:top w:val="single" w:color="auto" w:sz="4" w:space="0"/>
              <w:left w:val="single" w:color="auto" w:sz="4" w:space="0"/>
              <w:bottom w:val="single" w:color="auto" w:sz="4" w:space="0"/>
              <w:right w:val="single" w:color="auto" w:sz="4" w:space="0"/>
            </w:tcBorders>
            <w:vAlign w:val="center"/>
          </w:tcPr>
          <w:p w14:paraId="6D4440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atLeast"/>
              <w:ind w:left="0" w:right="0"/>
              <w:jc w:val="both"/>
              <w:textAlignment w:val="auto"/>
              <w:rPr>
                <w:rFonts w:hint="eastAsia" w:ascii="仿宋_GB2312" w:hAnsi="仿宋" w:eastAsia="仿宋_GB2312" w:cs="仿宋"/>
                <w:kern w:val="0"/>
                <w:sz w:val="24"/>
              </w:rPr>
            </w:pPr>
            <w:r>
              <w:rPr>
                <w:rFonts w:hint="eastAsia" w:ascii="仿宋_GB2312" w:hAnsi="仿宋" w:eastAsia="仿宋_GB2312" w:cs="仿宋"/>
                <w:bCs/>
                <w:kern w:val="0"/>
                <w:sz w:val="24"/>
              </w:rPr>
              <w:t>包含本项目全部有关文件、资料、成果报告等全部文档资料，成果文件一式</w:t>
            </w:r>
            <w:r>
              <w:rPr>
                <w:rFonts w:hint="eastAsia" w:ascii="仿宋_GB2312" w:hAnsi="仿宋" w:eastAsia="仿宋_GB2312" w:cs="仿宋"/>
                <w:bCs/>
                <w:kern w:val="0"/>
                <w:sz w:val="24"/>
                <w:lang w:val="en-US" w:eastAsia="zh-CN"/>
              </w:rPr>
              <w:t>五</w:t>
            </w:r>
            <w:r>
              <w:rPr>
                <w:rFonts w:hint="eastAsia" w:ascii="仿宋_GB2312" w:hAnsi="仿宋" w:eastAsia="仿宋_GB2312" w:cs="仿宋"/>
                <w:bCs/>
                <w:kern w:val="0"/>
                <w:sz w:val="24"/>
              </w:rPr>
              <w:t>份。</w:t>
            </w:r>
          </w:p>
        </w:tc>
      </w:tr>
      <w:tr w14:paraId="0A38A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45" w:type="dxa"/>
            <w:tcBorders>
              <w:top w:val="single" w:color="auto" w:sz="4" w:space="0"/>
              <w:left w:val="single" w:color="auto" w:sz="4" w:space="0"/>
              <w:bottom w:val="single" w:color="auto" w:sz="4" w:space="0"/>
              <w:right w:val="single" w:color="auto" w:sz="4" w:space="0"/>
            </w:tcBorders>
            <w:vAlign w:val="center"/>
          </w:tcPr>
          <w:p w14:paraId="1D14DBD0">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00" w:lineRule="atLeast"/>
              <w:ind w:left="0" w:right="0"/>
              <w:jc w:val="center"/>
              <w:textAlignment w:val="auto"/>
              <w:rPr>
                <w:rFonts w:hint="eastAsia" w:ascii="仿宋_GB2312" w:hAnsi="仿宋" w:eastAsia="仿宋_GB2312" w:cs="仿宋"/>
                <w:bCs/>
                <w:kern w:val="0"/>
                <w:sz w:val="24"/>
              </w:rPr>
            </w:pPr>
            <w:r>
              <w:rPr>
                <w:rFonts w:hint="eastAsia" w:ascii="仿宋_GB2312" w:hAnsi="仿宋" w:eastAsia="仿宋_GB2312" w:cs="仿宋"/>
                <w:bCs/>
                <w:kern w:val="0"/>
                <w:sz w:val="24"/>
              </w:rPr>
              <w:t>2</w:t>
            </w:r>
          </w:p>
        </w:tc>
        <w:tc>
          <w:tcPr>
            <w:tcW w:w="1998" w:type="dxa"/>
            <w:tcBorders>
              <w:top w:val="single" w:color="auto" w:sz="4" w:space="0"/>
              <w:left w:val="single" w:color="auto" w:sz="4" w:space="0"/>
              <w:bottom w:val="single" w:color="auto" w:sz="4" w:space="0"/>
              <w:right w:val="single" w:color="auto" w:sz="4" w:space="0"/>
            </w:tcBorders>
            <w:vAlign w:val="center"/>
          </w:tcPr>
          <w:p w14:paraId="444186EA">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00" w:lineRule="atLeast"/>
              <w:ind w:left="0" w:right="0"/>
              <w:jc w:val="center"/>
              <w:textAlignment w:val="auto"/>
              <w:rPr>
                <w:rFonts w:hint="eastAsia" w:ascii="仿宋_GB2312" w:hAnsi="仿宋" w:eastAsia="仿宋_GB2312" w:cs="仿宋"/>
                <w:bCs/>
                <w:kern w:val="0"/>
                <w:sz w:val="24"/>
              </w:rPr>
            </w:pPr>
            <w:r>
              <w:rPr>
                <w:rFonts w:hint="eastAsia" w:ascii="仿宋_GB2312" w:hAnsi="仿宋" w:eastAsia="仿宋_GB2312" w:cs="仿宋"/>
                <w:bCs/>
                <w:kern w:val="0"/>
                <w:sz w:val="24"/>
              </w:rPr>
              <w:t>交付标的物的质量文件</w:t>
            </w:r>
          </w:p>
        </w:tc>
        <w:tc>
          <w:tcPr>
            <w:tcW w:w="6082" w:type="dxa"/>
            <w:tcBorders>
              <w:top w:val="single" w:color="auto" w:sz="4" w:space="0"/>
              <w:left w:val="single" w:color="auto" w:sz="4" w:space="0"/>
              <w:bottom w:val="single" w:color="auto" w:sz="4" w:space="0"/>
              <w:right w:val="single" w:color="auto" w:sz="4" w:space="0"/>
            </w:tcBorders>
            <w:vAlign w:val="center"/>
          </w:tcPr>
          <w:p w14:paraId="20E19C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atLeast"/>
              <w:ind w:left="0" w:right="0"/>
              <w:jc w:val="both"/>
              <w:textAlignment w:val="auto"/>
              <w:rPr>
                <w:rFonts w:hint="eastAsia" w:ascii="仿宋_GB2312" w:hAnsi="仿宋" w:eastAsia="仿宋_GB2312" w:cs="仿宋"/>
                <w:kern w:val="0"/>
                <w:sz w:val="24"/>
              </w:rPr>
            </w:pPr>
            <w:r>
              <w:rPr>
                <w:rFonts w:hint="eastAsia" w:ascii="仿宋_GB2312" w:hAnsi="仿宋" w:eastAsia="仿宋_GB2312" w:cs="仿宋"/>
                <w:kern w:val="0"/>
                <w:sz w:val="24"/>
              </w:rPr>
              <w:t>按《工作时间计划表》规定时间内按竞争性磋商文件要求、响应文件响应及时间要求提交符合甲方要求的成果材料。</w:t>
            </w:r>
          </w:p>
        </w:tc>
      </w:tr>
      <w:tr w14:paraId="41BA1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45" w:type="dxa"/>
            <w:tcBorders>
              <w:top w:val="single" w:color="auto" w:sz="4" w:space="0"/>
              <w:left w:val="single" w:color="auto" w:sz="4" w:space="0"/>
              <w:bottom w:val="single" w:color="auto" w:sz="4" w:space="0"/>
              <w:right w:val="single" w:color="auto" w:sz="4" w:space="0"/>
            </w:tcBorders>
            <w:vAlign w:val="center"/>
          </w:tcPr>
          <w:p w14:paraId="3AA2351D">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00" w:lineRule="atLeast"/>
              <w:ind w:left="0" w:right="0"/>
              <w:jc w:val="center"/>
              <w:textAlignment w:val="auto"/>
              <w:rPr>
                <w:rFonts w:hint="eastAsia" w:ascii="仿宋_GB2312" w:hAnsi="仿宋" w:eastAsia="仿宋_GB2312" w:cs="仿宋"/>
                <w:bCs/>
                <w:kern w:val="0"/>
                <w:sz w:val="24"/>
              </w:rPr>
            </w:pPr>
            <w:r>
              <w:rPr>
                <w:rFonts w:hint="eastAsia" w:ascii="仿宋_GB2312" w:hAnsi="仿宋" w:eastAsia="仿宋_GB2312" w:cs="仿宋"/>
                <w:bCs/>
                <w:kern w:val="0"/>
                <w:sz w:val="24"/>
              </w:rPr>
              <w:t>4</w:t>
            </w:r>
          </w:p>
        </w:tc>
        <w:tc>
          <w:tcPr>
            <w:tcW w:w="1998" w:type="dxa"/>
            <w:tcBorders>
              <w:top w:val="single" w:color="auto" w:sz="4" w:space="0"/>
              <w:left w:val="single" w:color="auto" w:sz="4" w:space="0"/>
              <w:bottom w:val="single" w:color="auto" w:sz="4" w:space="0"/>
              <w:right w:val="single" w:color="auto" w:sz="4" w:space="0"/>
            </w:tcBorders>
            <w:vAlign w:val="center"/>
          </w:tcPr>
          <w:p w14:paraId="7BDC795D">
            <w:pPr>
              <w:keepNext w:val="0"/>
              <w:keepLines w:val="0"/>
              <w:pageBreakBefore w:val="0"/>
              <w:suppressLineNumbers w:val="0"/>
              <w:kinsoku/>
              <w:wordWrap/>
              <w:overflowPunct/>
              <w:topLinePunct w:val="0"/>
              <w:autoSpaceDE/>
              <w:autoSpaceDN/>
              <w:bidi w:val="0"/>
              <w:adjustRightInd/>
              <w:spacing w:before="0" w:beforeAutospacing="0" w:after="0" w:afterAutospacing="0" w:line="500" w:lineRule="atLeast"/>
              <w:ind w:left="0" w:right="0"/>
              <w:jc w:val="center"/>
              <w:textAlignment w:val="auto"/>
              <w:rPr>
                <w:rFonts w:hint="eastAsia" w:ascii="仿宋_GB2312" w:hAnsi="仿宋" w:eastAsia="仿宋_GB2312" w:cs="仿宋"/>
                <w:bCs/>
                <w:kern w:val="0"/>
                <w:sz w:val="24"/>
              </w:rPr>
            </w:pPr>
            <w:r>
              <w:rPr>
                <w:rFonts w:hint="eastAsia" w:ascii="仿宋_GB2312" w:hAnsi="仿宋" w:eastAsia="仿宋_GB2312" w:cs="仿宋"/>
                <w:bCs/>
                <w:kern w:val="0"/>
                <w:sz w:val="24"/>
              </w:rPr>
              <w:t>交付标的物技术、性能指标</w:t>
            </w:r>
          </w:p>
        </w:tc>
        <w:tc>
          <w:tcPr>
            <w:tcW w:w="6082" w:type="dxa"/>
            <w:tcBorders>
              <w:top w:val="single" w:color="auto" w:sz="4" w:space="0"/>
              <w:left w:val="single" w:color="auto" w:sz="4" w:space="0"/>
              <w:bottom w:val="single" w:color="auto" w:sz="4" w:space="0"/>
              <w:right w:val="single" w:color="auto" w:sz="4" w:space="0"/>
            </w:tcBorders>
            <w:vAlign w:val="center"/>
          </w:tcPr>
          <w:p w14:paraId="5428F133">
            <w:pPr>
              <w:pStyle w:val="14"/>
              <w:keepNext w:val="0"/>
              <w:keepLines w:val="0"/>
              <w:pageBreakBefore w:val="0"/>
              <w:suppressLineNumbers w:val="0"/>
              <w:kinsoku/>
              <w:wordWrap/>
              <w:overflowPunct/>
              <w:topLinePunct w:val="0"/>
              <w:autoSpaceDE/>
              <w:autoSpaceDN/>
              <w:bidi w:val="0"/>
              <w:adjustRightInd/>
              <w:snapToGrid/>
              <w:spacing w:before="0" w:beforeAutospacing="0" w:after="0" w:afterAutospacing="0" w:line="500" w:lineRule="atLeast"/>
              <w:ind w:left="0" w:right="0"/>
              <w:jc w:val="both"/>
              <w:textAlignment w:val="auto"/>
              <w:rPr>
                <w:rFonts w:hint="eastAsia" w:ascii="仿宋_GB2312" w:hAnsi="仿宋" w:eastAsia="仿宋_GB2312" w:cs="仿宋"/>
              </w:rPr>
            </w:pPr>
            <w:r>
              <w:rPr>
                <w:rFonts w:hint="eastAsia" w:ascii="仿宋_GB2312" w:hAnsi="仿宋" w:eastAsia="仿宋_GB2312" w:cs="仿宋"/>
                <w:kern w:val="0"/>
                <w:sz w:val="24"/>
              </w:rPr>
              <w:t>按《工作时间计划表》规定时间内按竞争性磋商文件要求、响应文件响应及时间要求提交符合甲方要求的成果材料。</w:t>
            </w:r>
          </w:p>
        </w:tc>
      </w:tr>
      <w:tr w14:paraId="4166A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45" w:type="dxa"/>
            <w:tcBorders>
              <w:top w:val="single" w:color="auto" w:sz="4" w:space="0"/>
              <w:left w:val="single" w:color="auto" w:sz="4" w:space="0"/>
              <w:bottom w:val="single" w:color="auto" w:sz="4" w:space="0"/>
              <w:right w:val="single" w:color="auto" w:sz="4" w:space="0"/>
            </w:tcBorders>
            <w:vAlign w:val="center"/>
          </w:tcPr>
          <w:p w14:paraId="1B9D4C71">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00" w:lineRule="atLeast"/>
              <w:ind w:left="0" w:right="0"/>
              <w:jc w:val="center"/>
              <w:textAlignment w:val="auto"/>
              <w:rPr>
                <w:rFonts w:hint="eastAsia" w:ascii="仿宋_GB2312" w:hAnsi="仿宋" w:eastAsia="仿宋_GB2312" w:cs="仿宋"/>
                <w:kern w:val="0"/>
                <w:sz w:val="24"/>
              </w:rPr>
            </w:pPr>
            <w:r>
              <w:rPr>
                <w:rFonts w:hint="eastAsia" w:ascii="仿宋_GB2312" w:hAnsi="仿宋" w:eastAsia="仿宋_GB2312" w:cs="仿宋"/>
                <w:kern w:val="0"/>
                <w:sz w:val="24"/>
              </w:rPr>
              <w:t>5</w:t>
            </w:r>
          </w:p>
        </w:tc>
        <w:tc>
          <w:tcPr>
            <w:tcW w:w="1998" w:type="dxa"/>
            <w:tcBorders>
              <w:top w:val="single" w:color="auto" w:sz="4" w:space="0"/>
              <w:left w:val="single" w:color="auto" w:sz="4" w:space="0"/>
              <w:bottom w:val="single" w:color="auto" w:sz="4" w:space="0"/>
              <w:right w:val="single" w:color="auto" w:sz="4" w:space="0"/>
            </w:tcBorders>
            <w:vAlign w:val="center"/>
          </w:tcPr>
          <w:p w14:paraId="7C8A415F">
            <w:pPr>
              <w:keepNext w:val="0"/>
              <w:keepLines w:val="0"/>
              <w:pageBreakBefore w:val="0"/>
              <w:suppressLineNumbers w:val="0"/>
              <w:kinsoku/>
              <w:wordWrap/>
              <w:overflowPunct/>
              <w:topLinePunct w:val="0"/>
              <w:autoSpaceDE/>
              <w:autoSpaceDN/>
              <w:bidi w:val="0"/>
              <w:adjustRightInd/>
              <w:spacing w:before="0" w:beforeAutospacing="0" w:after="0" w:afterAutospacing="0" w:line="500" w:lineRule="atLeast"/>
              <w:ind w:left="0" w:right="0"/>
              <w:jc w:val="center"/>
              <w:textAlignment w:val="auto"/>
              <w:rPr>
                <w:rFonts w:hint="eastAsia" w:ascii="仿宋_GB2312" w:hAnsi="仿宋" w:eastAsia="仿宋_GB2312" w:cs="仿宋"/>
                <w:bCs/>
                <w:kern w:val="0"/>
                <w:sz w:val="24"/>
              </w:rPr>
            </w:pPr>
            <w:r>
              <w:rPr>
                <w:rFonts w:hint="eastAsia" w:ascii="仿宋_GB2312" w:hAnsi="仿宋" w:eastAsia="仿宋_GB2312" w:cs="仿宋"/>
                <w:sz w:val="24"/>
              </w:rPr>
              <w:t>售后服务承诺</w:t>
            </w:r>
          </w:p>
        </w:tc>
        <w:tc>
          <w:tcPr>
            <w:tcW w:w="6082" w:type="dxa"/>
            <w:tcBorders>
              <w:top w:val="single" w:color="auto" w:sz="4" w:space="0"/>
              <w:left w:val="single" w:color="auto" w:sz="4" w:space="0"/>
              <w:bottom w:val="single" w:color="auto" w:sz="4" w:space="0"/>
              <w:right w:val="single" w:color="auto" w:sz="4" w:space="0"/>
            </w:tcBorders>
            <w:vAlign w:val="center"/>
          </w:tcPr>
          <w:p w14:paraId="5EFACD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atLeast"/>
              <w:ind w:left="0" w:right="0"/>
              <w:jc w:val="both"/>
              <w:textAlignment w:val="auto"/>
              <w:rPr>
                <w:rFonts w:hint="eastAsia" w:ascii="仿宋_GB2312" w:hAnsi="仿宋" w:eastAsia="仿宋_GB2312" w:cs="仿宋"/>
                <w:bCs/>
                <w:kern w:val="0"/>
                <w:sz w:val="24"/>
              </w:rPr>
            </w:pPr>
            <w:bookmarkStart w:id="313" w:name="_Hlk175580787"/>
            <w:r>
              <w:rPr>
                <w:rFonts w:hint="eastAsia" w:ascii="仿宋_GB2312" w:hAnsi="仿宋" w:eastAsia="仿宋_GB2312" w:cs="仿宋"/>
                <w:bCs/>
                <w:kern w:val="0"/>
                <w:sz w:val="24"/>
              </w:rPr>
              <w:t>1．质量保证期：符合国家法律法规、地方有关现行条例制度要求。</w:t>
            </w:r>
          </w:p>
          <w:p w14:paraId="56B607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atLeast"/>
              <w:ind w:left="0" w:right="0"/>
              <w:jc w:val="both"/>
              <w:textAlignment w:val="auto"/>
              <w:rPr>
                <w:rFonts w:hint="eastAsia" w:ascii="仿宋_GB2312" w:hAnsi="仿宋" w:eastAsia="仿宋_GB2312" w:cs="仿宋"/>
                <w:bCs/>
                <w:kern w:val="0"/>
                <w:sz w:val="24"/>
              </w:rPr>
            </w:pPr>
            <w:r>
              <w:rPr>
                <w:rFonts w:hint="eastAsia" w:ascii="仿宋_GB2312" w:hAnsi="仿宋" w:eastAsia="仿宋_GB2312" w:cs="仿宋"/>
                <w:bCs/>
                <w:kern w:val="0"/>
                <w:sz w:val="24"/>
              </w:rPr>
              <w:t>2．乙方进驻企业、公交线路各站点开展审计工作。</w:t>
            </w:r>
          </w:p>
          <w:p w14:paraId="2052D3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atLeast"/>
              <w:ind w:left="0" w:right="0"/>
              <w:jc w:val="both"/>
              <w:textAlignment w:val="auto"/>
              <w:rPr>
                <w:rFonts w:hint="eastAsia" w:ascii="仿宋_GB2312" w:hAnsi="仿宋" w:eastAsia="仿宋_GB2312" w:cs="仿宋"/>
                <w:bCs/>
                <w:kern w:val="0"/>
                <w:sz w:val="24"/>
              </w:rPr>
            </w:pPr>
            <w:r>
              <w:rPr>
                <w:rFonts w:hint="eastAsia" w:ascii="仿宋_GB2312" w:hAnsi="仿宋" w:eastAsia="仿宋_GB2312" w:cs="仿宋"/>
                <w:bCs/>
                <w:kern w:val="0"/>
                <w:sz w:val="24"/>
              </w:rPr>
              <w:t>3．处理问题响应时间：</w:t>
            </w:r>
            <w:bookmarkStart w:id="314" w:name="_Hlk175581375"/>
            <w:r>
              <w:rPr>
                <w:rFonts w:hint="eastAsia" w:ascii="仿宋_GB2312" w:hAnsi="仿宋" w:eastAsia="仿宋_GB2312" w:cs="仿宋"/>
                <w:bCs/>
                <w:kern w:val="0"/>
                <w:sz w:val="24"/>
              </w:rPr>
              <w:t>在服务期内，乙方接到甲方通知后2小时内到达指定地点并切实有效解决问题。</w:t>
            </w:r>
          </w:p>
          <w:bookmarkEnd w:id="314"/>
          <w:p w14:paraId="2499A3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atLeast"/>
              <w:ind w:left="0" w:right="0"/>
              <w:jc w:val="both"/>
              <w:textAlignment w:val="auto"/>
              <w:rPr>
                <w:rFonts w:hint="eastAsia" w:ascii="仿宋_GB2312" w:hAnsi="仿宋" w:eastAsia="仿宋_GB2312" w:cs="仿宋"/>
                <w:bCs/>
                <w:kern w:val="0"/>
                <w:sz w:val="24"/>
              </w:rPr>
            </w:pPr>
            <w:r>
              <w:rPr>
                <w:rFonts w:hint="eastAsia" w:ascii="仿宋_GB2312" w:hAnsi="仿宋" w:eastAsia="仿宋_GB2312" w:cs="仿宋"/>
                <w:bCs/>
                <w:kern w:val="0"/>
                <w:sz w:val="24"/>
              </w:rPr>
              <w:t>4．乙方对拟投入项目组人员辞退或者离职或者调整的应提前1个月书面通知甲方，对拟投入项目组人员调动的应提前1个月书面通知甲方且获得书面同意后方可调动，并对以上情况及时补充相应人员，同时确保人员在离岗前完成交接手续。</w:t>
            </w:r>
            <w:bookmarkEnd w:id="313"/>
          </w:p>
          <w:p w14:paraId="3532EA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atLeast"/>
              <w:ind w:left="0" w:right="0"/>
              <w:jc w:val="both"/>
              <w:textAlignment w:val="auto"/>
              <w:rPr>
                <w:rFonts w:hint="eastAsia" w:ascii="仿宋_GB2312" w:hAnsi="仿宋" w:eastAsia="仿宋_GB2312" w:cs="仿宋"/>
                <w:bCs/>
                <w:kern w:val="0"/>
                <w:sz w:val="24"/>
              </w:rPr>
            </w:pPr>
            <w:r>
              <w:rPr>
                <w:rFonts w:hint="eastAsia" w:ascii="仿宋_GB2312" w:hAnsi="仿宋" w:eastAsia="仿宋_GB2312" w:cs="仿宋"/>
                <w:bCs/>
                <w:kern w:val="0"/>
                <w:sz w:val="24"/>
              </w:rPr>
              <w:t>5．成果归属：成果通过验收后，版权和使用权归甲方所有。未经同意，乙方不得擅自对外公开发表或向他人提供成果。</w:t>
            </w:r>
          </w:p>
          <w:p w14:paraId="7D5859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atLeast"/>
              <w:ind w:left="0" w:right="0"/>
              <w:jc w:val="both"/>
              <w:textAlignment w:val="auto"/>
              <w:rPr>
                <w:rFonts w:hint="eastAsia" w:ascii="仿宋_GB2312" w:hAnsi="仿宋" w:eastAsia="仿宋_GB2312" w:cs="仿宋"/>
                <w:bCs/>
                <w:kern w:val="0"/>
                <w:sz w:val="24"/>
              </w:rPr>
            </w:pPr>
            <w:r>
              <w:rPr>
                <w:rFonts w:hint="eastAsia" w:ascii="仿宋_GB2312" w:hAnsi="仿宋" w:eastAsia="仿宋_GB2312" w:cs="仿宋"/>
                <w:bCs/>
                <w:kern w:val="0"/>
                <w:sz w:val="24"/>
              </w:rPr>
              <w:t>6．验收标准：乙方必须在所响应的《工作时间计划表》规定时间内按竞争性磋商文件要求、响应文件响应及时间要求提交符合甲方要求的成果材料。</w:t>
            </w:r>
          </w:p>
        </w:tc>
      </w:tr>
      <w:tr w14:paraId="318BA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45" w:type="dxa"/>
            <w:tcBorders>
              <w:top w:val="single" w:color="auto" w:sz="4" w:space="0"/>
              <w:left w:val="single" w:color="auto" w:sz="4" w:space="0"/>
              <w:bottom w:val="single" w:color="auto" w:sz="4" w:space="0"/>
              <w:right w:val="single" w:color="auto" w:sz="4" w:space="0"/>
            </w:tcBorders>
            <w:vAlign w:val="center"/>
          </w:tcPr>
          <w:p w14:paraId="19771BCC">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00" w:lineRule="atLeast"/>
              <w:ind w:left="0" w:right="0"/>
              <w:jc w:val="center"/>
              <w:textAlignment w:val="auto"/>
              <w:rPr>
                <w:rFonts w:hint="eastAsia" w:ascii="仿宋_GB2312" w:hAnsi="仿宋" w:eastAsia="仿宋_GB2312" w:cs="仿宋"/>
                <w:bCs/>
                <w:kern w:val="0"/>
                <w:sz w:val="24"/>
              </w:rPr>
            </w:pPr>
            <w:r>
              <w:rPr>
                <w:rFonts w:hint="eastAsia" w:ascii="仿宋_GB2312" w:hAnsi="仿宋" w:eastAsia="仿宋_GB2312" w:cs="仿宋"/>
                <w:bCs/>
                <w:kern w:val="0"/>
                <w:sz w:val="24"/>
              </w:rPr>
              <w:t>6</w:t>
            </w:r>
          </w:p>
        </w:tc>
        <w:tc>
          <w:tcPr>
            <w:tcW w:w="1998" w:type="dxa"/>
            <w:tcBorders>
              <w:top w:val="single" w:color="auto" w:sz="4" w:space="0"/>
              <w:left w:val="single" w:color="auto" w:sz="4" w:space="0"/>
              <w:bottom w:val="single" w:color="auto" w:sz="4" w:space="0"/>
              <w:right w:val="single" w:color="auto" w:sz="4" w:space="0"/>
            </w:tcBorders>
            <w:vAlign w:val="center"/>
          </w:tcPr>
          <w:p w14:paraId="09721E6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00" w:lineRule="atLeast"/>
              <w:ind w:left="0" w:right="0"/>
              <w:jc w:val="center"/>
              <w:textAlignment w:val="auto"/>
              <w:rPr>
                <w:rFonts w:hint="eastAsia" w:ascii="仿宋_GB2312" w:hAnsi="仿宋" w:eastAsia="仿宋_GB2312" w:cs="仿宋"/>
                <w:bCs/>
                <w:kern w:val="0"/>
                <w:sz w:val="24"/>
              </w:rPr>
            </w:pPr>
            <w:r>
              <w:rPr>
                <w:rFonts w:hint="eastAsia" w:ascii="仿宋_GB2312" w:hAnsi="仿宋" w:eastAsia="仿宋_GB2312" w:cs="仿宋"/>
                <w:bCs/>
                <w:kern w:val="0"/>
                <w:sz w:val="24"/>
              </w:rPr>
              <w:t>其他工作</w:t>
            </w:r>
          </w:p>
        </w:tc>
        <w:tc>
          <w:tcPr>
            <w:tcW w:w="6082" w:type="dxa"/>
            <w:tcBorders>
              <w:top w:val="single" w:color="auto" w:sz="4" w:space="0"/>
              <w:left w:val="single" w:color="auto" w:sz="4" w:space="0"/>
              <w:bottom w:val="single" w:color="auto" w:sz="4" w:space="0"/>
              <w:right w:val="single" w:color="auto" w:sz="4" w:space="0"/>
            </w:tcBorders>
            <w:vAlign w:val="center"/>
          </w:tcPr>
          <w:p w14:paraId="7A051F38">
            <w:pPr>
              <w:keepNext w:val="0"/>
              <w:keepLines w:val="0"/>
              <w:pageBreakBefore w:val="0"/>
              <w:widowControl/>
              <w:suppressLineNumbers w:val="0"/>
              <w:kinsoku/>
              <w:wordWrap/>
              <w:overflowPunct/>
              <w:topLinePunct w:val="0"/>
              <w:autoSpaceDE/>
              <w:autoSpaceDN/>
              <w:bidi w:val="0"/>
              <w:adjustRightInd/>
              <w:spacing w:before="0" w:beforeAutospacing="0" w:after="0" w:afterAutospacing="0" w:line="500" w:lineRule="atLeast"/>
              <w:ind w:left="0" w:right="0"/>
              <w:jc w:val="left"/>
              <w:textAlignment w:val="auto"/>
              <w:rPr>
                <w:rFonts w:hint="eastAsia" w:ascii="仿宋_GB2312" w:hAnsi="仿宋" w:eastAsia="仿宋_GB2312" w:cs="仿宋"/>
                <w:kern w:val="0"/>
                <w:sz w:val="24"/>
              </w:rPr>
            </w:pPr>
          </w:p>
        </w:tc>
      </w:tr>
    </w:tbl>
    <w:p w14:paraId="552BDD17">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sz w:val="24"/>
        </w:rPr>
      </w:pPr>
      <w:r>
        <w:rPr>
          <w:rFonts w:hint="eastAsia" w:ascii="仿宋_GB2312" w:hAnsi="仿宋" w:eastAsia="仿宋_GB2312" w:cs="仿宋"/>
          <w:sz w:val="24"/>
        </w:rPr>
        <w:t>3.6.7</w:t>
      </w:r>
      <w:r>
        <w:rPr>
          <w:rFonts w:hint="eastAsia" w:ascii="仿宋_GB2312" w:hAnsi="楷体" w:eastAsia="仿宋_GB2312"/>
          <w:sz w:val="24"/>
        </w:rPr>
        <w:t>验收资料要求</w:t>
      </w:r>
    </w:p>
    <w:p w14:paraId="0ECDAC80">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sz w:val="24"/>
        </w:rPr>
      </w:pPr>
      <w:r>
        <w:rPr>
          <w:rFonts w:hint="eastAsia" w:ascii="仿宋_GB2312" w:hAnsi="楷体" w:eastAsia="仿宋_GB2312"/>
          <w:sz w:val="24"/>
        </w:rPr>
        <w:t>验收资料要求包括（不限于）以下内容：</w:t>
      </w:r>
    </w:p>
    <w:p w14:paraId="035F689F">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sz w:val="24"/>
        </w:rPr>
      </w:pPr>
      <w:r>
        <w:rPr>
          <w:rFonts w:hint="eastAsia" w:ascii="仿宋_GB2312" w:hAnsi="楷体" w:eastAsia="仿宋_GB2312"/>
          <w:sz w:val="24"/>
        </w:rPr>
        <w:t>（1）采购文件；</w:t>
      </w:r>
    </w:p>
    <w:p w14:paraId="7E3D3F20">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sz w:val="24"/>
        </w:rPr>
      </w:pPr>
      <w:r>
        <w:rPr>
          <w:rFonts w:hint="eastAsia" w:ascii="仿宋_GB2312" w:hAnsi="楷体" w:eastAsia="仿宋_GB2312"/>
          <w:sz w:val="24"/>
        </w:rPr>
        <w:t>（2）响应文件；</w:t>
      </w:r>
    </w:p>
    <w:p w14:paraId="0EABA4A4">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sz w:val="24"/>
        </w:rPr>
      </w:pPr>
      <w:r>
        <w:rPr>
          <w:rFonts w:hint="eastAsia" w:ascii="仿宋_GB2312" w:hAnsi="楷体" w:eastAsia="仿宋_GB2312"/>
          <w:sz w:val="24"/>
        </w:rPr>
        <w:t>（3）采购合同；</w:t>
      </w:r>
    </w:p>
    <w:p w14:paraId="69D7DE59">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_GB2312" w:hAnsi="楷体" w:eastAsia="仿宋_GB2312"/>
          <w:sz w:val="24"/>
        </w:rPr>
      </w:pPr>
      <w:r>
        <w:rPr>
          <w:rFonts w:hint="eastAsia" w:ascii="仿宋_GB2312" w:hAnsi="楷体" w:eastAsia="仿宋_GB2312"/>
          <w:sz w:val="24"/>
        </w:rPr>
        <w:t>（4）到货核验单（需采购核验人、复核人及乙方交货人三方签字盖章）、产品拍照图片、产品说明书、产品合格证、质量保证书原件、三包凭证、产品的检测报告、原厂质保承诺函等；</w:t>
      </w:r>
    </w:p>
    <w:p w14:paraId="51FCCE32">
      <w:pPr>
        <w:keepNext w:val="0"/>
        <w:keepLines w:val="0"/>
        <w:pageBreakBefore w:val="0"/>
        <w:kinsoku/>
        <w:wordWrap/>
        <w:overflowPunct/>
        <w:topLinePunct w:val="0"/>
        <w:autoSpaceDE/>
        <w:autoSpaceDN/>
        <w:bidi w:val="0"/>
        <w:adjustRightInd/>
        <w:spacing w:line="500" w:lineRule="atLeast"/>
        <w:ind w:firstLine="480" w:firstLineChars="200"/>
        <w:textAlignment w:val="auto"/>
        <w:rPr>
          <w:rFonts w:hint="eastAsia" w:ascii="仿宋" w:hAnsi="仿宋" w:eastAsia="仿宋" w:cs="仿宋"/>
          <w:sz w:val="24"/>
          <w:highlight w:val="none"/>
        </w:rPr>
        <w:sectPr>
          <w:footerReference r:id="rId24" w:type="default"/>
          <w:pgSz w:w="11905" w:h="16838"/>
          <w:pgMar w:top="1304" w:right="1304" w:bottom="1304" w:left="1304" w:header="720" w:footer="720" w:gutter="0"/>
          <w:pgNumType w:fmt="decimal"/>
          <w:cols w:space="720" w:num="1"/>
          <w:docGrid w:type="lines" w:linePitch="339" w:charSpace="0"/>
        </w:sectPr>
      </w:pPr>
      <w:r>
        <w:rPr>
          <w:rFonts w:hint="eastAsia" w:ascii="仿宋_GB2312" w:hAnsi="楷体" w:eastAsia="仿宋_GB2312"/>
          <w:sz w:val="24"/>
        </w:rPr>
        <w:t>（5）其他需提供的相关材料</w:t>
      </w:r>
      <w:r>
        <w:rPr>
          <w:rFonts w:hint="eastAsia" w:ascii="仿宋" w:hAnsi="仿宋" w:eastAsia="仿宋" w:cs="仿宋"/>
          <w:sz w:val="24"/>
          <w:highlight w:val="none"/>
        </w:rPr>
        <w:t>。</w:t>
      </w:r>
    </w:p>
    <w:p w14:paraId="723D9474">
      <w:pPr>
        <w:tabs>
          <w:tab w:val="left" w:pos="3261"/>
        </w:tabs>
        <w:spacing w:line="360" w:lineRule="auto"/>
        <w:contextualSpacing/>
        <w:jc w:val="center"/>
        <w:rPr>
          <w:rFonts w:hint="eastAsia" w:ascii="仿宋" w:hAnsi="仿宋" w:eastAsia="仿宋" w:cs="仿宋"/>
          <w:b/>
          <w:sz w:val="44"/>
          <w:szCs w:val="44"/>
          <w:highlight w:val="none"/>
        </w:rPr>
      </w:pPr>
    </w:p>
    <w:p w14:paraId="2DB001B8">
      <w:pPr>
        <w:tabs>
          <w:tab w:val="left" w:pos="3261"/>
        </w:tabs>
        <w:spacing w:line="360" w:lineRule="auto"/>
        <w:contextualSpacing/>
        <w:jc w:val="center"/>
        <w:rPr>
          <w:rFonts w:hint="eastAsia" w:ascii="仿宋" w:hAnsi="仿宋" w:eastAsia="仿宋" w:cs="仿宋"/>
          <w:b/>
          <w:sz w:val="44"/>
          <w:szCs w:val="44"/>
          <w:highlight w:val="none"/>
        </w:rPr>
      </w:pPr>
    </w:p>
    <w:p w14:paraId="3297D777">
      <w:pPr>
        <w:tabs>
          <w:tab w:val="left" w:pos="3261"/>
        </w:tabs>
        <w:spacing w:line="360" w:lineRule="auto"/>
        <w:contextualSpacing/>
        <w:jc w:val="center"/>
        <w:rPr>
          <w:rFonts w:hint="eastAsia" w:ascii="仿宋" w:hAnsi="仿宋" w:eastAsia="仿宋" w:cs="仿宋"/>
          <w:b/>
          <w:sz w:val="44"/>
          <w:szCs w:val="44"/>
          <w:highlight w:val="none"/>
        </w:rPr>
      </w:pPr>
    </w:p>
    <w:p w14:paraId="59F3696E">
      <w:pPr>
        <w:tabs>
          <w:tab w:val="left" w:pos="3261"/>
        </w:tabs>
        <w:spacing w:line="360" w:lineRule="auto"/>
        <w:contextualSpacing/>
        <w:jc w:val="center"/>
        <w:rPr>
          <w:rFonts w:hint="eastAsia" w:ascii="仿宋" w:hAnsi="仿宋" w:eastAsia="仿宋" w:cs="仿宋"/>
          <w:b/>
          <w:sz w:val="44"/>
          <w:szCs w:val="44"/>
          <w:highlight w:val="none"/>
        </w:rPr>
      </w:pPr>
    </w:p>
    <w:p w14:paraId="689CBFCA">
      <w:pPr>
        <w:tabs>
          <w:tab w:val="left" w:pos="3261"/>
        </w:tabs>
        <w:spacing w:line="360" w:lineRule="auto"/>
        <w:contextualSpacing/>
        <w:jc w:val="center"/>
        <w:rPr>
          <w:rFonts w:hint="eastAsia" w:ascii="仿宋" w:hAnsi="仿宋" w:eastAsia="仿宋" w:cs="仿宋"/>
          <w:b/>
          <w:sz w:val="44"/>
          <w:szCs w:val="44"/>
          <w:highlight w:val="none"/>
        </w:rPr>
      </w:pPr>
    </w:p>
    <w:p w14:paraId="196D34FC">
      <w:pPr>
        <w:keepNext/>
        <w:keepLines/>
        <w:spacing w:before="340" w:after="330" w:line="578" w:lineRule="auto"/>
        <w:jc w:val="center"/>
        <w:outlineLvl w:val="0"/>
        <w:rPr>
          <w:rFonts w:hint="eastAsia" w:ascii="仿宋" w:hAnsi="仿宋" w:eastAsia="仿宋" w:cs="仿宋"/>
          <w:b/>
          <w:bCs/>
          <w:kern w:val="44"/>
          <w:sz w:val="44"/>
          <w:szCs w:val="44"/>
          <w:highlight w:val="none"/>
        </w:rPr>
        <w:sectPr>
          <w:pgSz w:w="11905" w:h="16838"/>
          <w:pgMar w:top="1304" w:right="1304" w:bottom="1304" w:left="1304" w:header="720" w:footer="720" w:gutter="0"/>
          <w:pgNumType w:fmt="decimal"/>
          <w:cols w:space="720" w:num="1"/>
          <w:docGrid w:type="lines" w:linePitch="339" w:charSpace="0"/>
        </w:sectPr>
      </w:pPr>
      <w:bookmarkStart w:id="315" w:name="_Toc9390"/>
      <w:bookmarkStart w:id="316" w:name="_Toc127516342"/>
      <w:r>
        <w:rPr>
          <w:rFonts w:hint="eastAsia" w:ascii="仿宋" w:hAnsi="仿宋" w:eastAsia="仿宋" w:cs="仿宋"/>
          <w:bCs/>
          <w:kern w:val="44"/>
          <w:sz w:val="44"/>
          <w:szCs w:val="44"/>
          <w:highlight w:val="none"/>
        </w:rPr>
        <w:t>第七章 质疑、投诉材料格式</w:t>
      </w:r>
      <w:bookmarkEnd w:id="315"/>
      <w:bookmarkEnd w:id="316"/>
    </w:p>
    <w:p w14:paraId="690C7351">
      <w:pPr>
        <w:spacing w:line="360" w:lineRule="auto"/>
        <w:jc w:val="center"/>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质疑函（格式）</w:t>
      </w:r>
    </w:p>
    <w:p w14:paraId="5AE42D8B">
      <w:pPr>
        <w:spacing w:line="360" w:lineRule="auto"/>
        <w:ind w:firstLine="482" w:firstLineChars="200"/>
        <w:contextualSpacing/>
        <w:outlineLvl w:val="1"/>
        <w:rPr>
          <w:rFonts w:hint="eastAsia" w:ascii="仿宋" w:hAnsi="仿宋" w:eastAsia="仿宋" w:cs="仿宋"/>
          <w:b/>
          <w:bCs/>
          <w:kern w:val="0"/>
          <w:sz w:val="24"/>
          <w:highlight w:val="none"/>
        </w:rPr>
      </w:pPr>
      <w:bookmarkStart w:id="317" w:name="_Toc10498"/>
      <w:r>
        <w:rPr>
          <w:rFonts w:hint="eastAsia" w:ascii="仿宋" w:hAnsi="仿宋" w:eastAsia="仿宋" w:cs="仿宋"/>
          <w:b/>
          <w:bCs/>
          <w:kern w:val="0"/>
          <w:sz w:val="24"/>
          <w:highlight w:val="none"/>
        </w:rPr>
        <w:t>一、质疑供应商基本信息：</w:t>
      </w:r>
      <w:bookmarkEnd w:id="317"/>
    </w:p>
    <w:p w14:paraId="0345DC13">
      <w:pPr>
        <w:spacing w:line="360" w:lineRule="auto"/>
        <w:ind w:firstLine="480" w:firstLineChars="200"/>
        <w:contextualSpacing/>
        <w:rPr>
          <w:rFonts w:hint="eastAsia" w:ascii="仿宋" w:hAnsi="仿宋" w:eastAsia="仿宋" w:cs="仿宋"/>
          <w:bCs/>
          <w:kern w:val="0"/>
          <w:sz w:val="24"/>
          <w:highlight w:val="none"/>
          <w:u w:val="single"/>
        </w:rPr>
      </w:pPr>
      <w:r>
        <w:rPr>
          <w:rFonts w:hint="eastAsia" w:ascii="仿宋" w:hAnsi="仿宋" w:eastAsia="仿宋" w:cs="仿宋"/>
          <w:bCs/>
          <w:kern w:val="0"/>
          <w:sz w:val="24"/>
          <w:highlight w:val="none"/>
        </w:rPr>
        <w:t>质疑供应商：</w:t>
      </w:r>
    </w:p>
    <w:p w14:paraId="47232FED">
      <w:pPr>
        <w:spacing w:line="360" w:lineRule="auto"/>
        <w:ind w:firstLine="480" w:firstLineChars="200"/>
        <w:contextualSpacing/>
        <w:rPr>
          <w:rFonts w:hint="eastAsia" w:ascii="仿宋" w:hAnsi="仿宋" w:eastAsia="仿宋" w:cs="仿宋"/>
          <w:bCs/>
          <w:kern w:val="0"/>
          <w:sz w:val="24"/>
          <w:highlight w:val="none"/>
        </w:rPr>
      </w:pPr>
      <w:r>
        <w:rPr>
          <w:rFonts w:hint="eastAsia" w:ascii="仿宋" w:hAnsi="仿宋" w:eastAsia="仿宋" w:cs="仿宋"/>
          <w:bCs/>
          <w:kern w:val="0"/>
          <w:sz w:val="24"/>
          <w:highlight w:val="none"/>
        </w:rPr>
        <w:t>地址：                 邮编：</w:t>
      </w:r>
    </w:p>
    <w:p w14:paraId="4506D3AE">
      <w:pPr>
        <w:spacing w:line="360" w:lineRule="auto"/>
        <w:ind w:firstLine="480" w:firstLineChars="200"/>
        <w:contextualSpacing/>
        <w:rPr>
          <w:rFonts w:hint="eastAsia" w:ascii="仿宋" w:hAnsi="仿宋" w:eastAsia="仿宋" w:cs="仿宋"/>
          <w:bCs/>
          <w:kern w:val="0"/>
          <w:sz w:val="24"/>
          <w:highlight w:val="none"/>
        </w:rPr>
      </w:pPr>
      <w:r>
        <w:rPr>
          <w:rFonts w:hint="eastAsia" w:ascii="仿宋" w:hAnsi="仿宋" w:eastAsia="仿宋" w:cs="仿宋"/>
          <w:bCs/>
          <w:kern w:val="0"/>
          <w:sz w:val="24"/>
          <w:highlight w:val="none"/>
        </w:rPr>
        <w:t>联系人：                 联系电话：</w:t>
      </w:r>
    </w:p>
    <w:p w14:paraId="56D46A68">
      <w:pPr>
        <w:spacing w:line="360" w:lineRule="auto"/>
        <w:ind w:firstLine="480" w:firstLineChars="200"/>
        <w:contextualSpacing/>
        <w:rPr>
          <w:rFonts w:hint="eastAsia" w:ascii="仿宋" w:hAnsi="仿宋" w:eastAsia="仿宋" w:cs="仿宋"/>
          <w:bCs/>
          <w:kern w:val="0"/>
          <w:sz w:val="24"/>
          <w:highlight w:val="none"/>
        </w:rPr>
      </w:pPr>
      <w:r>
        <w:rPr>
          <w:rFonts w:hint="eastAsia" w:ascii="仿宋" w:hAnsi="仿宋" w:eastAsia="仿宋" w:cs="仿宋"/>
          <w:bCs/>
          <w:kern w:val="0"/>
          <w:sz w:val="24"/>
          <w:highlight w:val="none"/>
        </w:rPr>
        <w:t>授权代表：</w:t>
      </w:r>
    </w:p>
    <w:p w14:paraId="464815A3">
      <w:pPr>
        <w:spacing w:line="360" w:lineRule="auto"/>
        <w:ind w:firstLine="480" w:firstLineChars="200"/>
        <w:contextualSpacing/>
        <w:rPr>
          <w:rFonts w:hint="eastAsia" w:ascii="仿宋" w:hAnsi="仿宋" w:eastAsia="仿宋" w:cs="仿宋"/>
          <w:bCs/>
          <w:kern w:val="0"/>
          <w:sz w:val="24"/>
          <w:highlight w:val="none"/>
          <w:u w:val="single"/>
        </w:rPr>
      </w:pPr>
      <w:r>
        <w:rPr>
          <w:rFonts w:hint="eastAsia" w:ascii="仿宋" w:hAnsi="仿宋" w:eastAsia="仿宋" w:cs="仿宋"/>
          <w:bCs/>
          <w:kern w:val="0"/>
          <w:sz w:val="24"/>
          <w:highlight w:val="none"/>
        </w:rPr>
        <w:t>联系电话：</w:t>
      </w:r>
    </w:p>
    <w:p w14:paraId="68DCF9A6">
      <w:pPr>
        <w:spacing w:line="360" w:lineRule="auto"/>
        <w:ind w:firstLine="480" w:firstLineChars="200"/>
        <w:contextualSpacing/>
        <w:rPr>
          <w:rFonts w:hint="eastAsia" w:ascii="仿宋" w:hAnsi="仿宋" w:eastAsia="仿宋" w:cs="仿宋"/>
          <w:bCs/>
          <w:kern w:val="0"/>
          <w:sz w:val="24"/>
          <w:highlight w:val="none"/>
        </w:rPr>
      </w:pPr>
      <w:r>
        <w:rPr>
          <w:rFonts w:hint="eastAsia" w:ascii="仿宋" w:hAnsi="仿宋" w:eastAsia="仿宋" w:cs="仿宋"/>
          <w:bCs/>
          <w:kern w:val="0"/>
          <w:sz w:val="24"/>
          <w:highlight w:val="none"/>
        </w:rPr>
        <w:t>地址：                 邮编：</w:t>
      </w:r>
    </w:p>
    <w:p w14:paraId="662A056E">
      <w:pPr>
        <w:spacing w:line="360" w:lineRule="auto"/>
        <w:ind w:firstLine="482" w:firstLineChars="200"/>
        <w:contextualSpacing/>
        <w:outlineLvl w:val="1"/>
        <w:rPr>
          <w:rFonts w:hint="eastAsia" w:ascii="仿宋" w:hAnsi="仿宋" w:eastAsia="仿宋" w:cs="仿宋"/>
          <w:b/>
          <w:bCs/>
          <w:kern w:val="0"/>
          <w:sz w:val="24"/>
          <w:highlight w:val="none"/>
        </w:rPr>
      </w:pPr>
      <w:bookmarkStart w:id="318" w:name="_Toc7712"/>
      <w:r>
        <w:rPr>
          <w:rFonts w:hint="eastAsia" w:ascii="仿宋" w:hAnsi="仿宋" w:eastAsia="仿宋" w:cs="仿宋"/>
          <w:b/>
          <w:bCs/>
          <w:kern w:val="0"/>
          <w:sz w:val="24"/>
          <w:highlight w:val="none"/>
        </w:rPr>
        <w:t>二、质疑项目基本情况：</w:t>
      </w:r>
      <w:bookmarkEnd w:id="318"/>
    </w:p>
    <w:p w14:paraId="3A03845A">
      <w:pPr>
        <w:spacing w:line="360" w:lineRule="auto"/>
        <w:ind w:left="25" w:leftChars="12" w:firstLine="472" w:firstLineChars="197"/>
        <w:contextualSpacing/>
        <w:rPr>
          <w:rFonts w:hint="eastAsia" w:ascii="仿宋" w:hAnsi="仿宋" w:eastAsia="仿宋" w:cs="仿宋"/>
          <w:kern w:val="0"/>
          <w:sz w:val="24"/>
          <w:highlight w:val="none"/>
        </w:rPr>
      </w:pPr>
      <w:r>
        <w:rPr>
          <w:rFonts w:hint="eastAsia" w:ascii="仿宋" w:hAnsi="仿宋" w:eastAsia="仿宋" w:cs="仿宋"/>
          <w:bCs/>
          <w:kern w:val="0"/>
          <w:sz w:val="24"/>
          <w:highlight w:val="none"/>
        </w:rPr>
        <w:t>质疑</w:t>
      </w:r>
      <w:r>
        <w:rPr>
          <w:rFonts w:hint="eastAsia" w:ascii="仿宋" w:hAnsi="仿宋" w:eastAsia="仿宋" w:cs="仿宋"/>
          <w:kern w:val="0"/>
          <w:sz w:val="24"/>
          <w:highlight w:val="none"/>
        </w:rPr>
        <w:t>项目的名称：</w:t>
      </w:r>
    </w:p>
    <w:p w14:paraId="597FB63F">
      <w:pPr>
        <w:spacing w:line="360" w:lineRule="auto"/>
        <w:ind w:left="25" w:leftChars="12" w:firstLine="472" w:firstLineChars="197"/>
        <w:contextualSpacing/>
        <w:rPr>
          <w:rFonts w:hint="eastAsia" w:ascii="仿宋" w:hAnsi="仿宋" w:eastAsia="仿宋" w:cs="仿宋"/>
          <w:kern w:val="0"/>
          <w:sz w:val="24"/>
          <w:highlight w:val="none"/>
        </w:rPr>
      </w:pPr>
      <w:r>
        <w:rPr>
          <w:rFonts w:hint="eastAsia" w:ascii="仿宋" w:hAnsi="仿宋" w:eastAsia="仿宋" w:cs="仿宋"/>
          <w:bCs/>
          <w:kern w:val="0"/>
          <w:sz w:val="24"/>
          <w:highlight w:val="none"/>
        </w:rPr>
        <w:t>质疑</w:t>
      </w:r>
      <w:r>
        <w:rPr>
          <w:rFonts w:hint="eastAsia" w:ascii="仿宋" w:hAnsi="仿宋" w:eastAsia="仿宋" w:cs="仿宋"/>
          <w:kern w:val="0"/>
          <w:sz w:val="24"/>
          <w:highlight w:val="none"/>
        </w:rPr>
        <w:t>项目的编号：</w:t>
      </w:r>
    </w:p>
    <w:p w14:paraId="61EB2992">
      <w:pPr>
        <w:spacing w:line="360" w:lineRule="auto"/>
        <w:ind w:left="25" w:leftChars="12" w:firstLine="472" w:firstLineChars="197"/>
        <w:contextualSpacing/>
        <w:rPr>
          <w:rFonts w:hint="eastAsia" w:ascii="仿宋" w:hAnsi="仿宋" w:eastAsia="仿宋" w:cs="仿宋"/>
          <w:kern w:val="0"/>
          <w:sz w:val="24"/>
          <w:highlight w:val="none"/>
        </w:rPr>
      </w:pPr>
      <w:r>
        <w:rPr>
          <w:rFonts w:hint="eastAsia" w:ascii="仿宋" w:hAnsi="仿宋" w:eastAsia="仿宋" w:cs="仿宋"/>
          <w:kern w:val="0"/>
          <w:sz w:val="24"/>
          <w:highlight w:val="none"/>
        </w:rPr>
        <w:t>采购人名称：</w:t>
      </w:r>
    </w:p>
    <w:p w14:paraId="53231B3D">
      <w:pPr>
        <w:spacing w:line="360" w:lineRule="auto"/>
        <w:ind w:left="25" w:leftChars="12" w:firstLine="472" w:firstLineChars="197"/>
        <w:contextualSpacing/>
        <w:rPr>
          <w:rFonts w:hint="eastAsia" w:ascii="仿宋" w:hAnsi="仿宋" w:eastAsia="仿宋" w:cs="仿宋"/>
          <w:kern w:val="0"/>
          <w:sz w:val="24"/>
          <w:highlight w:val="none"/>
        </w:rPr>
      </w:pPr>
      <w:r>
        <w:rPr>
          <w:rFonts w:hint="eastAsia" w:ascii="仿宋" w:hAnsi="仿宋" w:eastAsia="仿宋" w:cs="仿宋"/>
          <w:kern w:val="0"/>
          <w:sz w:val="24"/>
          <w:highlight w:val="none"/>
        </w:rPr>
        <w:t>质疑事项：</w:t>
      </w:r>
    </w:p>
    <w:p w14:paraId="14916761">
      <w:pPr>
        <w:spacing w:line="360" w:lineRule="auto"/>
        <w:ind w:left="25" w:leftChars="12" w:firstLine="352" w:firstLineChars="147"/>
        <w:contextualSpacing/>
        <w:rPr>
          <w:rFonts w:hint="eastAsia" w:ascii="仿宋" w:hAnsi="仿宋" w:eastAsia="仿宋" w:cs="仿宋"/>
          <w:kern w:val="0"/>
          <w:sz w:val="24"/>
          <w:highlight w:val="none"/>
        </w:rPr>
      </w:pPr>
      <w:r>
        <w:rPr>
          <w:rFonts w:hint="eastAsia" w:ascii="仿宋" w:hAnsi="仿宋" w:eastAsia="仿宋" w:cs="仿宋"/>
          <w:kern w:val="0"/>
          <w:sz w:val="24"/>
          <w:highlight w:val="none"/>
        </w:rPr>
        <w:t>□采购文件   采购文件获取日期：</w:t>
      </w:r>
    </w:p>
    <w:p w14:paraId="369F0E55">
      <w:pPr>
        <w:spacing w:line="360" w:lineRule="auto"/>
        <w:ind w:left="25" w:leftChars="12" w:firstLine="352" w:firstLineChars="147"/>
        <w:contextualSpacing/>
        <w:rPr>
          <w:rFonts w:hint="eastAsia" w:ascii="仿宋" w:hAnsi="仿宋" w:eastAsia="仿宋" w:cs="仿宋"/>
          <w:kern w:val="0"/>
          <w:sz w:val="24"/>
          <w:highlight w:val="none"/>
        </w:rPr>
      </w:pPr>
      <w:r>
        <w:rPr>
          <w:rFonts w:hint="eastAsia" w:ascii="仿宋" w:hAnsi="仿宋" w:eastAsia="仿宋" w:cs="仿宋"/>
          <w:kern w:val="0"/>
          <w:sz w:val="24"/>
          <w:highlight w:val="none"/>
        </w:rPr>
        <w:t xml:space="preserve">□采购过程   </w:t>
      </w:r>
    </w:p>
    <w:p w14:paraId="1620AD67">
      <w:pPr>
        <w:spacing w:line="360" w:lineRule="auto"/>
        <w:ind w:left="25" w:leftChars="12" w:firstLine="352" w:firstLineChars="147"/>
        <w:contextualSpacing/>
        <w:rPr>
          <w:rFonts w:hint="eastAsia" w:ascii="仿宋" w:hAnsi="仿宋" w:eastAsia="仿宋" w:cs="仿宋"/>
          <w:bCs/>
          <w:kern w:val="0"/>
          <w:sz w:val="24"/>
          <w:highlight w:val="none"/>
          <w:u w:val="single"/>
        </w:rPr>
      </w:pPr>
      <w:r>
        <w:rPr>
          <w:rFonts w:hint="eastAsia" w:ascii="仿宋" w:hAnsi="仿宋" w:eastAsia="仿宋" w:cs="仿宋"/>
          <w:kern w:val="0"/>
          <w:sz w:val="24"/>
          <w:highlight w:val="none"/>
        </w:rPr>
        <w:t xml:space="preserve">□成交结果   </w:t>
      </w:r>
    </w:p>
    <w:p w14:paraId="45C07F45">
      <w:pPr>
        <w:spacing w:line="360" w:lineRule="auto"/>
        <w:ind w:left="25" w:leftChars="12" w:firstLine="472" w:firstLineChars="196"/>
        <w:contextualSpacing/>
        <w:outlineLvl w:val="1"/>
        <w:rPr>
          <w:rFonts w:hint="eastAsia" w:ascii="仿宋" w:hAnsi="仿宋" w:eastAsia="仿宋" w:cs="仿宋"/>
          <w:b/>
          <w:kern w:val="0"/>
          <w:sz w:val="24"/>
          <w:highlight w:val="none"/>
        </w:rPr>
      </w:pPr>
      <w:bookmarkStart w:id="319" w:name="_Toc9640"/>
      <w:r>
        <w:rPr>
          <w:rFonts w:hint="eastAsia" w:ascii="仿宋" w:hAnsi="仿宋" w:eastAsia="仿宋" w:cs="仿宋"/>
          <w:b/>
          <w:kern w:val="0"/>
          <w:sz w:val="24"/>
          <w:highlight w:val="none"/>
        </w:rPr>
        <w:t>三、质疑事项具体内容</w:t>
      </w:r>
      <w:bookmarkEnd w:id="319"/>
    </w:p>
    <w:p w14:paraId="6E7EBCC0">
      <w:pPr>
        <w:spacing w:line="360" w:lineRule="auto"/>
        <w:ind w:left="25" w:leftChars="12" w:firstLine="472" w:firstLineChars="197"/>
        <w:contextualSpacing/>
        <w:rPr>
          <w:rFonts w:hint="eastAsia" w:ascii="仿宋" w:hAnsi="仿宋" w:eastAsia="仿宋" w:cs="仿宋"/>
          <w:kern w:val="0"/>
          <w:sz w:val="24"/>
          <w:highlight w:val="none"/>
        </w:rPr>
      </w:pPr>
      <w:r>
        <w:rPr>
          <w:rFonts w:hint="eastAsia" w:ascii="仿宋" w:hAnsi="仿宋" w:eastAsia="仿宋" w:cs="仿宋"/>
          <w:kern w:val="0"/>
          <w:sz w:val="24"/>
          <w:highlight w:val="none"/>
        </w:rPr>
        <w:t>质疑事项1：</w:t>
      </w:r>
    </w:p>
    <w:p w14:paraId="7E450269">
      <w:pPr>
        <w:spacing w:line="360" w:lineRule="auto"/>
        <w:ind w:left="25" w:leftChars="12" w:firstLine="472" w:firstLineChars="197"/>
        <w:contextualSpacing/>
        <w:rPr>
          <w:rFonts w:hint="eastAsia" w:ascii="仿宋" w:hAnsi="仿宋" w:eastAsia="仿宋" w:cs="仿宋"/>
          <w:kern w:val="0"/>
          <w:sz w:val="24"/>
          <w:highlight w:val="none"/>
        </w:rPr>
      </w:pPr>
      <w:r>
        <w:rPr>
          <w:rFonts w:hint="eastAsia" w:ascii="仿宋" w:hAnsi="仿宋" w:eastAsia="仿宋" w:cs="仿宋"/>
          <w:kern w:val="0"/>
          <w:sz w:val="24"/>
          <w:highlight w:val="none"/>
        </w:rPr>
        <w:t>事实依据：</w:t>
      </w:r>
    </w:p>
    <w:p w14:paraId="40E794E8">
      <w:pPr>
        <w:spacing w:line="360" w:lineRule="auto"/>
        <w:ind w:left="25" w:leftChars="12" w:firstLine="472" w:firstLineChars="197"/>
        <w:contextualSpacing/>
        <w:rPr>
          <w:rFonts w:hint="eastAsia" w:ascii="仿宋" w:hAnsi="仿宋" w:eastAsia="仿宋" w:cs="仿宋"/>
          <w:kern w:val="0"/>
          <w:sz w:val="24"/>
          <w:highlight w:val="none"/>
        </w:rPr>
      </w:pPr>
      <w:r>
        <w:rPr>
          <w:rFonts w:hint="eastAsia" w:ascii="仿宋" w:hAnsi="仿宋" w:eastAsia="仿宋" w:cs="仿宋"/>
          <w:kern w:val="0"/>
          <w:sz w:val="24"/>
          <w:highlight w:val="none"/>
        </w:rPr>
        <w:t>法律依据：</w:t>
      </w:r>
    </w:p>
    <w:p w14:paraId="64FF985F">
      <w:pPr>
        <w:spacing w:line="360" w:lineRule="auto"/>
        <w:ind w:left="25" w:leftChars="12" w:firstLine="472" w:firstLineChars="197"/>
        <w:contextualSpacing/>
        <w:rPr>
          <w:rFonts w:hint="eastAsia" w:ascii="仿宋" w:hAnsi="仿宋" w:eastAsia="仿宋" w:cs="仿宋"/>
          <w:kern w:val="0"/>
          <w:sz w:val="24"/>
          <w:highlight w:val="none"/>
        </w:rPr>
      </w:pPr>
      <w:r>
        <w:rPr>
          <w:rFonts w:hint="eastAsia" w:ascii="仿宋" w:hAnsi="仿宋" w:eastAsia="仿宋" w:cs="仿宋"/>
          <w:kern w:val="0"/>
          <w:sz w:val="24"/>
          <w:highlight w:val="none"/>
        </w:rPr>
        <w:t>质疑事项2</w:t>
      </w:r>
    </w:p>
    <w:p w14:paraId="645B2CDD">
      <w:pPr>
        <w:spacing w:line="360" w:lineRule="auto"/>
        <w:ind w:left="25" w:leftChars="12" w:firstLine="472" w:firstLineChars="197"/>
        <w:contextualSpacing/>
        <w:rPr>
          <w:rFonts w:hint="eastAsia" w:ascii="仿宋" w:hAnsi="仿宋" w:eastAsia="仿宋" w:cs="仿宋"/>
          <w:kern w:val="0"/>
          <w:sz w:val="24"/>
          <w:highlight w:val="none"/>
        </w:rPr>
      </w:pPr>
      <w:r>
        <w:rPr>
          <w:rFonts w:hint="eastAsia" w:ascii="仿宋" w:hAnsi="仿宋" w:eastAsia="仿宋" w:cs="仿宋"/>
          <w:kern w:val="0"/>
          <w:sz w:val="24"/>
          <w:highlight w:val="none"/>
        </w:rPr>
        <w:t>……</w:t>
      </w:r>
    </w:p>
    <w:p w14:paraId="55150B08">
      <w:pPr>
        <w:spacing w:line="360" w:lineRule="auto"/>
        <w:ind w:left="25" w:leftChars="12" w:firstLine="472" w:firstLineChars="197"/>
        <w:contextualSpacing/>
        <w:outlineLvl w:val="1"/>
        <w:rPr>
          <w:rFonts w:hint="eastAsia" w:ascii="仿宋" w:hAnsi="仿宋" w:eastAsia="仿宋" w:cs="仿宋"/>
          <w:kern w:val="0"/>
          <w:sz w:val="24"/>
          <w:highlight w:val="none"/>
        </w:rPr>
      </w:pPr>
      <w:bookmarkStart w:id="320" w:name="_Toc21205"/>
      <w:r>
        <w:rPr>
          <w:rFonts w:hint="eastAsia" w:ascii="仿宋" w:hAnsi="仿宋" w:eastAsia="仿宋" w:cs="仿宋"/>
          <w:kern w:val="0"/>
          <w:sz w:val="24"/>
          <w:highlight w:val="none"/>
        </w:rPr>
        <w:t>四、与质疑事项相关的质疑请求：</w:t>
      </w:r>
      <w:bookmarkEnd w:id="320"/>
    </w:p>
    <w:p w14:paraId="1DD7A64A">
      <w:pPr>
        <w:spacing w:line="360" w:lineRule="auto"/>
        <w:ind w:left="25" w:leftChars="12" w:firstLine="472" w:firstLineChars="197"/>
        <w:contextualSpacing/>
        <w:rPr>
          <w:rFonts w:hint="eastAsia" w:ascii="仿宋" w:hAnsi="仿宋" w:eastAsia="仿宋" w:cs="仿宋"/>
          <w:kern w:val="0"/>
          <w:sz w:val="24"/>
          <w:highlight w:val="none"/>
        </w:rPr>
      </w:pPr>
      <w:r>
        <w:rPr>
          <w:rFonts w:hint="eastAsia" w:ascii="仿宋" w:hAnsi="仿宋" w:eastAsia="仿宋" w:cs="仿宋"/>
          <w:kern w:val="0"/>
          <w:sz w:val="24"/>
          <w:highlight w:val="none"/>
        </w:rPr>
        <w:t>请求：</w:t>
      </w:r>
    </w:p>
    <w:p w14:paraId="3D08AFF1">
      <w:pPr>
        <w:spacing w:line="360" w:lineRule="auto"/>
        <w:ind w:left="25" w:leftChars="12" w:firstLine="472" w:firstLineChars="197"/>
        <w:contextualSpacing/>
        <w:rPr>
          <w:rFonts w:hint="eastAsia" w:ascii="仿宋" w:hAnsi="仿宋" w:eastAsia="仿宋" w:cs="仿宋"/>
          <w:kern w:val="0"/>
          <w:sz w:val="24"/>
          <w:highlight w:val="none"/>
        </w:rPr>
      </w:pPr>
      <w:r>
        <w:rPr>
          <w:rFonts w:hint="eastAsia" w:ascii="仿宋" w:hAnsi="仿宋" w:eastAsia="仿宋" w:cs="仿宋"/>
          <w:kern w:val="0"/>
          <w:sz w:val="24"/>
          <w:highlight w:val="none"/>
        </w:rPr>
        <w:t>签字（签章）：                                       公章：</w:t>
      </w:r>
    </w:p>
    <w:p w14:paraId="2922DC7A">
      <w:pPr>
        <w:spacing w:line="360" w:lineRule="auto"/>
        <w:ind w:left="25" w:leftChars="12" w:firstLine="352" w:firstLineChars="147"/>
        <w:contextualSpacing/>
        <w:rPr>
          <w:rFonts w:hint="eastAsia" w:ascii="仿宋" w:hAnsi="仿宋" w:eastAsia="仿宋" w:cs="仿宋"/>
          <w:kern w:val="0"/>
          <w:sz w:val="24"/>
          <w:highlight w:val="none"/>
        </w:rPr>
      </w:pPr>
    </w:p>
    <w:p w14:paraId="42752E26">
      <w:pPr>
        <w:spacing w:line="360" w:lineRule="auto"/>
        <w:ind w:left="25" w:leftChars="12" w:firstLine="472" w:firstLineChars="197"/>
        <w:contextualSpacing/>
        <w:rPr>
          <w:rFonts w:hint="eastAsia" w:ascii="仿宋" w:hAnsi="仿宋" w:eastAsia="仿宋" w:cs="仿宋"/>
          <w:kern w:val="0"/>
          <w:sz w:val="24"/>
          <w:highlight w:val="none"/>
        </w:rPr>
      </w:pPr>
      <w:r>
        <w:rPr>
          <w:rFonts w:hint="eastAsia" w:ascii="仿宋" w:hAnsi="仿宋" w:eastAsia="仿宋" w:cs="仿宋"/>
          <w:kern w:val="0"/>
          <w:sz w:val="24"/>
          <w:highlight w:val="none"/>
        </w:rPr>
        <w:t>日期：</w:t>
      </w:r>
    </w:p>
    <w:p w14:paraId="7A480403">
      <w:pPr>
        <w:spacing w:line="360" w:lineRule="auto"/>
        <w:contextualSpacing/>
        <w:rPr>
          <w:rFonts w:hint="eastAsia" w:ascii="仿宋" w:hAnsi="仿宋" w:eastAsia="仿宋" w:cs="仿宋"/>
          <w:b/>
          <w:kern w:val="0"/>
          <w:sz w:val="24"/>
          <w:highlight w:val="none"/>
        </w:rPr>
      </w:pPr>
      <w:r>
        <w:rPr>
          <w:rFonts w:hint="eastAsia" w:ascii="仿宋" w:hAnsi="仿宋" w:eastAsia="仿宋" w:cs="仿宋"/>
          <w:b/>
          <w:kern w:val="0"/>
          <w:sz w:val="24"/>
          <w:highlight w:val="none"/>
        </w:rPr>
        <w:t>说明：</w:t>
      </w:r>
    </w:p>
    <w:p w14:paraId="7AD17FA4">
      <w:pPr>
        <w:spacing w:line="360" w:lineRule="auto"/>
        <w:ind w:left="25" w:leftChars="12" w:firstLine="354" w:firstLineChars="147"/>
        <w:contextualSpacing/>
        <w:rPr>
          <w:rFonts w:hint="eastAsia" w:ascii="仿宋" w:hAnsi="仿宋" w:eastAsia="仿宋" w:cs="仿宋"/>
          <w:b/>
          <w:bCs/>
          <w:kern w:val="0"/>
          <w:sz w:val="24"/>
          <w:highlight w:val="none"/>
        </w:rPr>
      </w:pPr>
      <w:r>
        <w:rPr>
          <w:rFonts w:hint="eastAsia" w:ascii="仿宋" w:hAnsi="仿宋" w:eastAsia="仿宋" w:cs="仿宋"/>
          <w:b/>
          <w:kern w:val="0"/>
          <w:sz w:val="24"/>
          <w:highlight w:val="none"/>
        </w:rPr>
        <w:t>1.供应商提出质疑时，应提交质疑函和必要的证明材料</w:t>
      </w:r>
      <w:r>
        <w:rPr>
          <w:rFonts w:hint="eastAsia" w:ascii="仿宋" w:hAnsi="仿宋" w:eastAsia="仿宋" w:cs="仿宋"/>
          <w:b/>
          <w:bCs/>
          <w:kern w:val="0"/>
          <w:sz w:val="24"/>
          <w:highlight w:val="none"/>
        </w:rPr>
        <w:t>。</w:t>
      </w:r>
    </w:p>
    <w:p w14:paraId="499D0E4E">
      <w:pPr>
        <w:spacing w:line="360" w:lineRule="auto"/>
        <w:ind w:left="25" w:leftChars="12" w:firstLine="354" w:firstLineChars="147"/>
        <w:contextualSpacing/>
        <w:rPr>
          <w:rFonts w:hint="eastAsia" w:ascii="仿宋" w:hAnsi="仿宋" w:eastAsia="仿宋" w:cs="仿宋"/>
          <w:b/>
          <w:kern w:val="0"/>
          <w:sz w:val="24"/>
          <w:highlight w:val="none"/>
        </w:rPr>
      </w:pPr>
      <w:r>
        <w:rPr>
          <w:rFonts w:hint="eastAsia" w:ascii="仿宋" w:hAnsi="仿宋" w:eastAsia="仿宋" w:cs="仿宋"/>
          <w:b/>
          <w:kern w:val="0"/>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F5F3C8">
      <w:pPr>
        <w:spacing w:line="360" w:lineRule="auto"/>
        <w:ind w:left="25" w:leftChars="12" w:firstLine="354" w:firstLineChars="147"/>
        <w:contextualSpacing/>
        <w:rPr>
          <w:rFonts w:hint="eastAsia" w:ascii="仿宋" w:hAnsi="仿宋" w:eastAsia="仿宋" w:cs="仿宋"/>
          <w:b/>
          <w:kern w:val="0"/>
          <w:sz w:val="24"/>
          <w:highlight w:val="none"/>
        </w:rPr>
      </w:pPr>
      <w:r>
        <w:rPr>
          <w:rFonts w:hint="eastAsia" w:ascii="仿宋" w:hAnsi="仿宋" w:eastAsia="仿宋" w:cs="仿宋"/>
          <w:b/>
          <w:kern w:val="0"/>
          <w:sz w:val="24"/>
          <w:highlight w:val="none"/>
        </w:rPr>
        <w:t>3.质疑函的质疑事项应具体、明确，并有必要的事实依据和法律依据。</w:t>
      </w:r>
    </w:p>
    <w:p w14:paraId="7A1EA3E9">
      <w:pPr>
        <w:spacing w:line="360" w:lineRule="auto"/>
        <w:ind w:left="25" w:leftChars="12" w:firstLine="354" w:firstLineChars="147"/>
        <w:contextualSpacing/>
        <w:rPr>
          <w:rFonts w:hint="eastAsia" w:ascii="仿宋" w:hAnsi="仿宋" w:eastAsia="仿宋" w:cs="仿宋"/>
          <w:b/>
          <w:kern w:val="0"/>
          <w:sz w:val="24"/>
          <w:highlight w:val="none"/>
        </w:rPr>
      </w:pPr>
      <w:r>
        <w:rPr>
          <w:rFonts w:hint="eastAsia" w:ascii="仿宋" w:hAnsi="仿宋" w:eastAsia="仿宋" w:cs="仿宋"/>
          <w:b/>
          <w:kern w:val="0"/>
          <w:sz w:val="24"/>
          <w:highlight w:val="none"/>
        </w:rPr>
        <w:t>4.质疑函的质疑请求应与质疑事项相关。</w:t>
      </w:r>
    </w:p>
    <w:p w14:paraId="2F6B3EE4">
      <w:pPr>
        <w:spacing w:line="360" w:lineRule="auto"/>
        <w:ind w:left="25" w:leftChars="12" w:firstLine="354" w:firstLineChars="147"/>
        <w:contextualSpacing/>
        <w:rPr>
          <w:rFonts w:hint="eastAsia" w:ascii="仿宋" w:hAnsi="仿宋" w:eastAsia="仿宋" w:cs="仿宋"/>
          <w:b/>
          <w:kern w:val="0"/>
          <w:sz w:val="20"/>
          <w:szCs w:val="21"/>
          <w:highlight w:val="none"/>
        </w:rPr>
      </w:pPr>
      <w:r>
        <w:rPr>
          <w:rFonts w:hint="eastAsia" w:ascii="仿宋" w:hAnsi="仿宋" w:eastAsia="仿宋" w:cs="仿宋"/>
          <w:b/>
          <w:kern w:val="0"/>
          <w:sz w:val="24"/>
          <w:highlight w:val="none"/>
        </w:rPr>
        <w:t>5.质疑供应商为法人或者其他组织的，质疑函应由法定代表人、主要负责人，或者其授权代表签字或者盖章，并加盖公章。</w:t>
      </w:r>
    </w:p>
    <w:p w14:paraId="304E2E01">
      <w:pPr>
        <w:snapToGrid w:val="0"/>
        <w:rPr>
          <w:rFonts w:hint="eastAsia" w:ascii="仿宋" w:hAnsi="仿宋" w:eastAsia="仿宋" w:cs="仿宋"/>
          <w:b/>
          <w:kern w:val="0"/>
          <w:sz w:val="24"/>
          <w:highlight w:val="none"/>
        </w:rPr>
      </w:pPr>
    </w:p>
    <w:p w14:paraId="3B08D698">
      <w:pPr>
        <w:spacing w:line="460" w:lineRule="exact"/>
        <w:jc w:val="center"/>
        <w:rPr>
          <w:rFonts w:hint="eastAsia" w:ascii="仿宋" w:hAnsi="仿宋" w:eastAsia="仿宋" w:cs="仿宋"/>
          <w:sz w:val="44"/>
          <w:highlight w:val="none"/>
        </w:rPr>
      </w:pPr>
      <w:r>
        <w:rPr>
          <w:rFonts w:hint="eastAsia" w:ascii="仿宋" w:hAnsi="仿宋" w:eastAsia="仿宋" w:cs="仿宋"/>
          <w:sz w:val="44"/>
          <w:highlight w:val="none"/>
        </w:rPr>
        <w:br w:type="page"/>
      </w:r>
    </w:p>
    <w:p w14:paraId="1BD8242A">
      <w:pPr>
        <w:spacing w:line="360" w:lineRule="auto"/>
        <w:jc w:val="center"/>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投诉书（格式）</w:t>
      </w:r>
    </w:p>
    <w:p w14:paraId="6DC9C6F4">
      <w:pPr>
        <w:snapToGrid w:val="0"/>
        <w:spacing w:line="360" w:lineRule="auto"/>
        <w:ind w:firstLine="482" w:firstLineChars="200"/>
        <w:outlineLvl w:val="1"/>
        <w:rPr>
          <w:rFonts w:hint="eastAsia" w:ascii="仿宋" w:hAnsi="仿宋" w:eastAsia="仿宋" w:cs="仿宋"/>
          <w:b/>
          <w:bCs/>
          <w:kern w:val="0"/>
          <w:sz w:val="24"/>
          <w:highlight w:val="none"/>
        </w:rPr>
      </w:pPr>
      <w:bookmarkStart w:id="321" w:name="_Toc22190"/>
      <w:r>
        <w:rPr>
          <w:rFonts w:hint="eastAsia" w:ascii="仿宋" w:hAnsi="仿宋" w:eastAsia="仿宋" w:cs="仿宋"/>
          <w:b/>
          <w:bCs/>
          <w:kern w:val="0"/>
          <w:sz w:val="24"/>
          <w:highlight w:val="none"/>
        </w:rPr>
        <w:t>一、投诉相关主体基本情况：</w:t>
      </w:r>
      <w:bookmarkEnd w:id="321"/>
    </w:p>
    <w:p w14:paraId="7F416618">
      <w:pPr>
        <w:snapToGrid w:val="0"/>
        <w:spacing w:line="360" w:lineRule="auto"/>
        <w:ind w:firstLine="480" w:firstLineChars="200"/>
        <w:rPr>
          <w:rFonts w:hint="eastAsia" w:ascii="仿宋" w:hAnsi="仿宋" w:eastAsia="仿宋" w:cs="仿宋"/>
          <w:bCs/>
          <w:kern w:val="0"/>
          <w:sz w:val="24"/>
          <w:highlight w:val="none"/>
          <w:u w:val="single"/>
        </w:rPr>
      </w:pPr>
      <w:r>
        <w:rPr>
          <w:rFonts w:hint="eastAsia" w:ascii="仿宋" w:hAnsi="仿宋" w:eastAsia="仿宋" w:cs="仿宋"/>
          <w:bCs/>
          <w:kern w:val="0"/>
          <w:sz w:val="24"/>
          <w:highlight w:val="none"/>
        </w:rPr>
        <w:t>供应商：</w:t>
      </w:r>
    </w:p>
    <w:p w14:paraId="5090C625">
      <w:pPr>
        <w:snapToGrid w:val="0"/>
        <w:spacing w:line="360" w:lineRule="auto"/>
        <w:ind w:firstLine="480" w:firstLineChars="200"/>
        <w:rPr>
          <w:rFonts w:hint="eastAsia" w:ascii="仿宋" w:hAnsi="仿宋" w:eastAsia="仿宋" w:cs="仿宋"/>
          <w:bCs/>
          <w:kern w:val="0"/>
          <w:sz w:val="24"/>
          <w:highlight w:val="none"/>
        </w:rPr>
      </w:pPr>
      <w:r>
        <w:rPr>
          <w:rFonts w:hint="eastAsia" w:ascii="仿宋" w:hAnsi="仿宋" w:eastAsia="仿宋" w:cs="仿宋"/>
          <w:bCs/>
          <w:kern w:val="0"/>
          <w:sz w:val="24"/>
          <w:highlight w:val="none"/>
        </w:rPr>
        <w:t>地址：                 邮编：</w:t>
      </w:r>
    </w:p>
    <w:p w14:paraId="17316326">
      <w:pPr>
        <w:snapToGrid w:val="0"/>
        <w:spacing w:line="360" w:lineRule="auto"/>
        <w:ind w:firstLine="480" w:firstLineChars="200"/>
        <w:rPr>
          <w:rFonts w:hint="eastAsia" w:ascii="仿宋" w:hAnsi="仿宋" w:eastAsia="仿宋" w:cs="仿宋"/>
          <w:bCs/>
          <w:kern w:val="0"/>
          <w:sz w:val="24"/>
          <w:highlight w:val="none"/>
          <w:u w:val="single"/>
        </w:rPr>
      </w:pPr>
      <w:r>
        <w:rPr>
          <w:rFonts w:hint="eastAsia" w:ascii="仿宋" w:hAnsi="仿宋" w:eastAsia="仿宋" w:cs="仿宋"/>
          <w:bCs/>
          <w:kern w:val="0"/>
          <w:sz w:val="24"/>
          <w:highlight w:val="none"/>
        </w:rPr>
        <w:t>法定代表人/主要负责人：</w:t>
      </w:r>
    </w:p>
    <w:p w14:paraId="018F06F8">
      <w:pPr>
        <w:snapToGrid w:val="0"/>
        <w:spacing w:line="360" w:lineRule="auto"/>
        <w:ind w:firstLine="480" w:firstLineChars="200"/>
        <w:rPr>
          <w:rFonts w:hint="eastAsia" w:ascii="仿宋" w:hAnsi="仿宋" w:eastAsia="仿宋" w:cs="仿宋"/>
          <w:bCs/>
          <w:kern w:val="0"/>
          <w:sz w:val="24"/>
          <w:highlight w:val="none"/>
        </w:rPr>
      </w:pPr>
      <w:r>
        <w:rPr>
          <w:rFonts w:hint="eastAsia" w:ascii="仿宋" w:hAnsi="仿宋" w:eastAsia="仿宋" w:cs="仿宋"/>
          <w:bCs/>
          <w:kern w:val="0"/>
          <w:sz w:val="24"/>
          <w:highlight w:val="none"/>
        </w:rPr>
        <w:t>联系电话：</w:t>
      </w:r>
    </w:p>
    <w:p w14:paraId="33A7D38C">
      <w:pPr>
        <w:snapToGrid w:val="0"/>
        <w:spacing w:line="360" w:lineRule="auto"/>
        <w:ind w:firstLine="480" w:firstLineChars="200"/>
        <w:rPr>
          <w:rFonts w:hint="eastAsia" w:ascii="仿宋" w:hAnsi="仿宋" w:eastAsia="仿宋" w:cs="仿宋"/>
          <w:bCs/>
          <w:kern w:val="0"/>
          <w:sz w:val="24"/>
          <w:highlight w:val="none"/>
          <w:u w:val="single"/>
        </w:rPr>
      </w:pPr>
      <w:r>
        <w:rPr>
          <w:rFonts w:hint="eastAsia" w:ascii="仿宋" w:hAnsi="仿宋" w:eastAsia="仿宋" w:cs="仿宋"/>
          <w:bCs/>
          <w:kern w:val="0"/>
          <w:sz w:val="24"/>
          <w:highlight w:val="none"/>
        </w:rPr>
        <w:t>授权代表：                 联系电话：</w:t>
      </w:r>
    </w:p>
    <w:p w14:paraId="5C67FD79">
      <w:pPr>
        <w:snapToGrid w:val="0"/>
        <w:spacing w:line="360" w:lineRule="auto"/>
        <w:ind w:firstLine="480" w:firstLineChars="200"/>
        <w:rPr>
          <w:rFonts w:hint="eastAsia" w:ascii="仿宋" w:hAnsi="仿宋" w:eastAsia="仿宋" w:cs="仿宋"/>
          <w:bCs/>
          <w:kern w:val="0"/>
          <w:sz w:val="24"/>
          <w:highlight w:val="none"/>
          <w:u w:val="single"/>
        </w:rPr>
      </w:pPr>
      <w:r>
        <w:rPr>
          <w:rFonts w:hint="eastAsia" w:ascii="仿宋" w:hAnsi="仿宋" w:eastAsia="仿宋" w:cs="仿宋"/>
          <w:bCs/>
          <w:kern w:val="0"/>
          <w:sz w:val="24"/>
          <w:highlight w:val="none"/>
        </w:rPr>
        <w:t>地址：</w:t>
      </w:r>
    </w:p>
    <w:p w14:paraId="75FCA9B8">
      <w:pPr>
        <w:snapToGrid w:val="0"/>
        <w:spacing w:line="360" w:lineRule="auto"/>
        <w:ind w:firstLine="480" w:firstLineChars="200"/>
        <w:rPr>
          <w:rFonts w:hint="eastAsia" w:ascii="仿宋" w:hAnsi="仿宋" w:eastAsia="仿宋" w:cs="仿宋"/>
          <w:bCs/>
          <w:kern w:val="0"/>
          <w:sz w:val="24"/>
          <w:highlight w:val="none"/>
        </w:rPr>
      </w:pPr>
      <w:r>
        <w:rPr>
          <w:rFonts w:hint="eastAsia" w:ascii="仿宋" w:hAnsi="仿宋" w:eastAsia="仿宋" w:cs="仿宋"/>
          <w:bCs/>
          <w:kern w:val="0"/>
          <w:sz w:val="24"/>
          <w:highlight w:val="none"/>
        </w:rPr>
        <w:t>邮编：</w:t>
      </w:r>
    </w:p>
    <w:p w14:paraId="6534BF8A">
      <w:pPr>
        <w:snapToGrid w:val="0"/>
        <w:spacing w:line="360" w:lineRule="auto"/>
        <w:ind w:firstLine="480" w:firstLineChars="200"/>
        <w:rPr>
          <w:rFonts w:hint="eastAsia" w:ascii="仿宋" w:hAnsi="仿宋" w:eastAsia="仿宋" w:cs="仿宋"/>
          <w:bCs/>
          <w:kern w:val="0"/>
          <w:sz w:val="24"/>
          <w:highlight w:val="none"/>
        </w:rPr>
      </w:pPr>
      <w:r>
        <w:rPr>
          <w:rFonts w:hint="eastAsia" w:ascii="仿宋" w:hAnsi="仿宋" w:eastAsia="仿宋" w:cs="仿宋"/>
          <w:bCs/>
          <w:kern w:val="0"/>
          <w:sz w:val="24"/>
          <w:highlight w:val="none"/>
        </w:rPr>
        <w:t>被投诉人1：</w:t>
      </w:r>
    </w:p>
    <w:p w14:paraId="083D2834">
      <w:pPr>
        <w:snapToGrid w:val="0"/>
        <w:spacing w:line="360" w:lineRule="auto"/>
        <w:ind w:firstLine="480" w:firstLineChars="200"/>
        <w:rPr>
          <w:rFonts w:hint="eastAsia" w:ascii="仿宋" w:hAnsi="仿宋" w:eastAsia="仿宋" w:cs="仿宋"/>
          <w:bCs/>
          <w:kern w:val="0"/>
          <w:sz w:val="24"/>
          <w:highlight w:val="none"/>
          <w:u w:val="single"/>
        </w:rPr>
      </w:pPr>
      <w:r>
        <w:rPr>
          <w:rFonts w:hint="eastAsia" w:ascii="仿宋" w:hAnsi="仿宋" w:eastAsia="仿宋" w:cs="仿宋"/>
          <w:bCs/>
          <w:kern w:val="0"/>
          <w:sz w:val="24"/>
          <w:highlight w:val="none"/>
        </w:rPr>
        <w:t>地址：</w:t>
      </w:r>
    </w:p>
    <w:p w14:paraId="2B6007DD">
      <w:pPr>
        <w:snapToGrid w:val="0"/>
        <w:spacing w:line="360" w:lineRule="auto"/>
        <w:ind w:firstLine="480" w:firstLineChars="200"/>
        <w:rPr>
          <w:rFonts w:hint="eastAsia" w:ascii="仿宋" w:hAnsi="仿宋" w:eastAsia="仿宋" w:cs="仿宋"/>
          <w:bCs/>
          <w:kern w:val="0"/>
          <w:sz w:val="24"/>
          <w:highlight w:val="none"/>
        </w:rPr>
      </w:pPr>
      <w:r>
        <w:rPr>
          <w:rFonts w:hint="eastAsia" w:ascii="仿宋" w:hAnsi="仿宋" w:eastAsia="仿宋" w:cs="仿宋"/>
          <w:bCs/>
          <w:kern w:val="0"/>
          <w:sz w:val="24"/>
          <w:highlight w:val="none"/>
        </w:rPr>
        <w:t>邮编：</w:t>
      </w:r>
    </w:p>
    <w:p w14:paraId="3E126B28">
      <w:pPr>
        <w:snapToGrid w:val="0"/>
        <w:spacing w:line="360" w:lineRule="auto"/>
        <w:ind w:firstLine="480" w:firstLineChars="200"/>
        <w:rPr>
          <w:rFonts w:hint="eastAsia" w:ascii="仿宋" w:hAnsi="仿宋" w:eastAsia="仿宋" w:cs="仿宋"/>
          <w:bCs/>
          <w:kern w:val="0"/>
          <w:sz w:val="24"/>
          <w:highlight w:val="none"/>
          <w:u w:val="single"/>
        </w:rPr>
      </w:pPr>
      <w:r>
        <w:rPr>
          <w:rFonts w:hint="eastAsia" w:ascii="仿宋" w:hAnsi="仿宋" w:eastAsia="仿宋" w:cs="仿宋"/>
          <w:bCs/>
          <w:kern w:val="0"/>
          <w:sz w:val="24"/>
          <w:highlight w:val="none"/>
        </w:rPr>
        <w:t>联系人：                 联系电话：</w:t>
      </w:r>
    </w:p>
    <w:p w14:paraId="1602D94E">
      <w:pPr>
        <w:snapToGrid w:val="0"/>
        <w:spacing w:line="360" w:lineRule="auto"/>
        <w:ind w:firstLine="480" w:firstLineChars="200"/>
        <w:rPr>
          <w:rFonts w:hint="eastAsia" w:ascii="仿宋" w:hAnsi="仿宋" w:eastAsia="仿宋" w:cs="仿宋"/>
          <w:bCs/>
          <w:kern w:val="0"/>
          <w:sz w:val="24"/>
          <w:highlight w:val="none"/>
        </w:rPr>
      </w:pPr>
      <w:r>
        <w:rPr>
          <w:rFonts w:hint="eastAsia" w:ascii="仿宋" w:hAnsi="仿宋" w:eastAsia="仿宋" w:cs="仿宋"/>
          <w:bCs/>
          <w:kern w:val="0"/>
          <w:sz w:val="24"/>
          <w:highlight w:val="none"/>
        </w:rPr>
        <w:t>被投诉人2：</w:t>
      </w:r>
    </w:p>
    <w:p w14:paraId="73D0BD66">
      <w:pPr>
        <w:snapToGrid w:val="0"/>
        <w:spacing w:line="360" w:lineRule="auto"/>
        <w:ind w:firstLine="480" w:firstLineChars="200"/>
        <w:rPr>
          <w:rFonts w:hint="eastAsia" w:ascii="仿宋" w:hAnsi="仿宋" w:eastAsia="仿宋" w:cs="仿宋"/>
          <w:bCs/>
          <w:kern w:val="0"/>
          <w:sz w:val="24"/>
          <w:highlight w:val="none"/>
        </w:rPr>
      </w:pPr>
      <w:r>
        <w:rPr>
          <w:rFonts w:hint="eastAsia" w:ascii="仿宋" w:hAnsi="仿宋" w:eastAsia="仿宋" w:cs="仿宋"/>
          <w:bCs/>
          <w:kern w:val="0"/>
          <w:sz w:val="24"/>
          <w:highlight w:val="none"/>
        </w:rPr>
        <w:t>……</w:t>
      </w:r>
    </w:p>
    <w:p w14:paraId="05C12DB2">
      <w:pPr>
        <w:snapToGrid w:val="0"/>
        <w:spacing w:line="360" w:lineRule="auto"/>
        <w:ind w:firstLine="480" w:firstLineChars="200"/>
        <w:rPr>
          <w:rFonts w:hint="eastAsia" w:ascii="仿宋" w:hAnsi="仿宋" w:eastAsia="仿宋" w:cs="仿宋"/>
          <w:bCs/>
          <w:kern w:val="0"/>
          <w:sz w:val="24"/>
          <w:highlight w:val="none"/>
          <w:u w:val="single"/>
        </w:rPr>
      </w:pPr>
      <w:r>
        <w:rPr>
          <w:rFonts w:hint="eastAsia" w:ascii="仿宋" w:hAnsi="仿宋" w:eastAsia="仿宋" w:cs="仿宋"/>
          <w:bCs/>
          <w:kern w:val="0"/>
          <w:sz w:val="24"/>
          <w:highlight w:val="none"/>
        </w:rPr>
        <w:t>相关供应商：</w:t>
      </w:r>
    </w:p>
    <w:p w14:paraId="487E6D5C">
      <w:pPr>
        <w:snapToGrid w:val="0"/>
        <w:spacing w:line="360" w:lineRule="auto"/>
        <w:ind w:firstLine="480" w:firstLineChars="200"/>
        <w:rPr>
          <w:rFonts w:hint="eastAsia" w:ascii="仿宋" w:hAnsi="仿宋" w:eastAsia="仿宋" w:cs="仿宋"/>
          <w:bCs/>
          <w:kern w:val="0"/>
          <w:sz w:val="24"/>
          <w:highlight w:val="none"/>
          <w:u w:val="single"/>
        </w:rPr>
      </w:pPr>
      <w:r>
        <w:rPr>
          <w:rFonts w:hint="eastAsia" w:ascii="仿宋" w:hAnsi="仿宋" w:eastAsia="仿宋" w:cs="仿宋"/>
          <w:bCs/>
          <w:kern w:val="0"/>
          <w:sz w:val="24"/>
          <w:highlight w:val="none"/>
        </w:rPr>
        <w:t>地址：                 邮编：</w:t>
      </w:r>
    </w:p>
    <w:p w14:paraId="18C50F59">
      <w:pPr>
        <w:snapToGrid w:val="0"/>
        <w:spacing w:line="360" w:lineRule="auto"/>
        <w:ind w:firstLine="480" w:firstLineChars="200"/>
        <w:rPr>
          <w:rFonts w:hint="eastAsia" w:ascii="仿宋" w:hAnsi="仿宋" w:eastAsia="仿宋" w:cs="仿宋"/>
          <w:bCs/>
          <w:kern w:val="0"/>
          <w:sz w:val="24"/>
          <w:highlight w:val="none"/>
        </w:rPr>
      </w:pPr>
      <w:r>
        <w:rPr>
          <w:rFonts w:hint="eastAsia" w:ascii="仿宋" w:hAnsi="仿宋" w:eastAsia="仿宋" w:cs="仿宋"/>
          <w:bCs/>
          <w:kern w:val="0"/>
          <w:sz w:val="24"/>
          <w:highlight w:val="none"/>
        </w:rPr>
        <w:t>联系人：               联系电话：</w:t>
      </w:r>
    </w:p>
    <w:p w14:paraId="0698A121">
      <w:pPr>
        <w:snapToGrid w:val="0"/>
        <w:spacing w:line="360" w:lineRule="auto"/>
        <w:ind w:firstLine="482" w:firstLineChars="200"/>
        <w:outlineLvl w:val="1"/>
        <w:rPr>
          <w:rFonts w:hint="eastAsia" w:ascii="仿宋" w:hAnsi="仿宋" w:eastAsia="仿宋" w:cs="仿宋"/>
          <w:b/>
          <w:bCs/>
          <w:kern w:val="0"/>
          <w:sz w:val="24"/>
          <w:highlight w:val="none"/>
        </w:rPr>
      </w:pPr>
      <w:bookmarkStart w:id="322" w:name="_Toc25848"/>
      <w:r>
        <w:rPr>
          <w:rFonts w:hint="eastAsia" w:ascii="仿宋" w:hAnsi="仿宋" w:eastAsia="仿宋" w:cs="仿宋"/>
          <w:b/>
          <w:bCs/>
          <w:kern w:val="0"/>
          <w:sz w:val="24"/>
          <w:highlight w:val="none"/>
        </w:rPr>
        <w:t>二、投诉项目基本情况：</w:t>
      </w:r>
      <w:bookmarkEnd w:id="322"/>
    </w:p>
    <w:p w14:paraId="29777833">
      <w:pPr>
        <w:spacing w:line="360" w:lineRule="auto"/>
        <w:ind w:left="25" w:leftChars="12" w:firstLine="472" w:firstLineChars="197"/>
        <w:rPr>
          <w:rFonts w:hint="eastAsia" w:ascii="仿宋" w:hAnsi="仿宋" w:eastAsia="仿宋" w:cs="仿宋"/>
          <w:kern w:val="0"/>
          <w:sz w:val="24"/>
          <w:highlight w:val="none"/>
        </w:rPr>
      </w:pPr>
      <w:r>
        <w:rPr>
          <w:rFonts w:hint="eastAsia" w:ascii="仿宋" w:hAnsi="仿宋" w:eastAsia="仿宋" w:cs="仿宋"/>
          <w:bCs/>
          <w:kern w:val="0"/>
          <w:sz w:val="24"/>
          <w:highlight w:val="none"/>
        </w:rPr>
        <w:t>采购</w:t>
      </w:r>
      <w:r>
        <w:rPr>
          <w:rFonts w:hint="eastAsia" w:ascii="仿宋" w:hAnsi="仿宋" w:eastAsia="仿宋" w:cs="仿宋"/>
          <w:kern w:val="0"/>
          <w:sz w:val="24"/>
          <w:highlight w:val="none"/>
        </w:rPr>
        <w:t>项目的名称：</w:t>
      </w:r>
    </w:p>
    <w:p w14:paraId="6FBD6E4F">
      <w:pPr>
        <w:spacing w:line="360" w:lineRule="auto"/>
        <w:ind w:left="25" w:leftChars="12" w:firstLine="472" w:firstLineChars="197"/>
        <w:rPr>
          <w:rFonts w:hint="eastAsia" w:ascii="仿宋" w:hAnsi="仿宋" w:eastAsia="仿宋" w:cs="仿宋"/>
          <w:kern w:val="0"/>
          <w:sz w:val="24"/>
          <w:highlight w:val="none"/>
        </w:rPr>
      </w:pPr>
      <w:r>
        <w:rPr>
          <w:rFonts w:hint="eastAsia" w:ascii="仿宋" w:hAnsi="仿宋" w:eastAsia="仿宋" w:cs="仿宋"/>
          <w:bCs/>
          <w:kern w:val="0"/>
          <w:sz w:val="24"/>
          <w:highlight w:val="none"/>
        </w:rPr>
        <w:t>采购</w:t>
      </w:r>
      <w:r>
        <w:rPr>
          <w:rFonts w:hint="eastAsia" w:ascii="仿宋" w:hAnsi="仿宋" w:eastAsia="仿宋" w:cs="仿宋"/>
          <w:kern w:val="0"/>
          <w:sz w:val="24"/>
          <w:highlight w:val="none"/>
        </w:rPr>
        <w:t>项目的编号：</w:t>
      </w:r>
    </w:p>
    <w:p w14:paraId="5A6A386C">
      <w:pPr>
        <w:spacing w:line="360" w:lineRule="auto"/>
        <w:ind w:left="25" w:leftChars="12" w:firstLine="472" w:firstLineChars="197"/>
        <w:rPr>
          <w:rFonts w:hint="eastAsia" w:ascii="仿宋" w:hAnsi="仿宋" w:eastAsia="仿宋" w:cs="仿宋"/>
          <w:bCs/>
          <w:kern w:val="0"/>
          <w:sz w:val="24"/>
          <w:highlight w:val="none"/>
          <w:u w:val="single"/>
        </w:rPr>
      </w:pPr>
      <w:r>
        <w:rPr>
          <w:rFonts w:hint="eastAsia" w:ascii="仿宋" w:hAnsi="仿宋" w:eastAsia="仿宋" w:cs="仿宋"/>
          <w:kern w:val="0"/>
          <w:sz w:val="24"/>
          <w:highlight w:val="none"/>
        </w:rPr>
        <w:t>采购人名称：</w:t>
      </w:r>
    </w:p>
    <w:p w14:paraId="363D1812">
      <w:pPr>
        <w:spacing w:line="360" w:lineRule="auto"/>
        <w:ind w:left="25" w:leftChars="12" w:firstLine="472" w:firstLineChars="197"/>
        <w:rPr>
          <w:rFonts w:hint="eastAsia" w:ascii="仿宋" w:hAnsi="仿宋" w:eastAsia="仿宋" w:cs="仿宋"/>
          <w:bCs/>
          <w:kern w:val="0"/>
          <w:sz w:val="24"/>
          <w:highlight w:val="none"/>
          <w:u w:val="single"/>
        </w:rPr>
      </w:pPr>
      <w:r>
        <w:rPr>
          <w:rFonts w:hint="eastAsia" w:ascii="仿宋" w:hAnsi="仿宋" w:eastAsia="仿宋" w:cs="仿宋"/>
          <w:kern w:val="0"/>
          <w:sz w:val="24"/>
          <w:highlight w:val="none"/>
        </w:rPr>
        <w:t>代理机构名称：</w:t>
      </w:r>
    </w:p>
    <w:p w14:paraId="658947EB">
      <w:pPr>
        <w:spacing w:line="360" w:lineRule="auto"/>
        <w:ind w:left="25" w:leftChars="12" w:firstLine="472" w:firstLineChars="197"/>
        <w:rPr>
          <w:rFonts w:hint="eastAsia" w:ascii="仿宋" w:hAnsi="仿宋" w:eastAsia="仿宋" w:cs="仿宋"/>
          <w:bCs/>
          <w:kern w:val="0"/>
          <w:sz w:val="24"/>
          <w:highlight w:val="none"/>
          <w:u w:val="single"/>
        </w:rPr>
      </w:pPr>
      <w:r>
        <w:rPr>
          <w:rFonts w:hint="eastAsia" w:ascii="仿宋" w:hAnsi="仿宋" w:eastAsia="仿宋" w:cs="仿宋"/>
          <w:bCs/>
          <w:kern w:val="0"/>
          <w:sz w:val="24"/>
          <w:highlight w:val="none"/>
        </w:rPr>
        <w:t>采购文件公告：</w:t>
      </w:r>
      <w:r>
        <w:rPr>
          <w:rFonts w:hint="eastAsia" w:ascii="仿宋" w:hAnsi="仿宋" w:eastAsia="仿宋" w:cs="仿宋"/>
          <w:bCs/>
          <w:kern w:val="0"/>
          <w:sz w:val="24"/>
          <w:highlight w:val="none"/>
          <w:u w:val="single"/>
        </w:rPr>
        <w:t>是/否</w:t>
      </w:r>
      <w:r>
        <w:rPr>
          <w:rFonts w:hint="eastAsia" w:ascii="仿宋" w:hAnsi="仿宋" w:eastAsia="仿宋" w:cs="仿宋"/>
          <w:bCs/>
          <w:kern w:val="0"/>
          <w:sz w:val="24"/>
          <w:highlight w:val="none"/>
        </w:rPr>
        <w:t>公告期限：</w:t>
      </w:r>
    </w:p>
    <w:p w14:paraId="6248C866">
      <w:pPr>
        <w:spacing w:line="360" w:lineRule="auto"/>
        <w:ind w:left="25" w:leftChars="12" w:firstLine="472" w:firstLineChars="197"/>
        <w:rPr>
          <w:rFonts w:hint="eastAsia" w:ascii="仿宋" w:hAnsi="仿宋" w:eastAsia="仿宋" w:cs="仿宋"/>
          <w:b/>
          <w:kern w:val="0"/>
          <w:sz w:val="24"/>
          <w:highlight w:val="none"/>
        </w:rPr>
      </w:pPr>
      <w:r>
        <w:rPr>
          <w:rFonts w:hint="eastAsia" w:ascii="仿宋" w:hAnsi="仿宋" w:eastAsia="仿宋" w:cs="仿宋"/>
          <w:bCs/>
          <w:kern w:val="0"/>
          <w:sz w:val="24"/>
          <w:highlight w:val="none"/>
        </w:rPr>
        <w:t>采购结果公告：</w:t>
      </w:r>
      <w:r>
        <w:rPr>
          <w:rFonts w:hint="eastAsia" w:ascii="仿宋" w:hAnsi="仿宋" w:eastAsia="仿宋" w:cs="仿宋"/>
          <w:bCs/>
          <w:kern w:val="0"/>
          <w:sz w:val="24"/>
          <w:highlight w:val="none"/>
          <w:u w:val="single"/>
        </w:rPr>
        <w:t>是/否</w:t>
      </w:r>
      <w:r>
        <w:rPr>
          <w:rFonts w:hint="eastAsia" w:ascii="仿宋" w:hAnsi="仿宋" w:eastAsia="仿宋" w:cs="仿宋"/>
          <w:bCs/>
          <w:kern w:val="0"/>
          <w:sz w:val="24"/>
          <w:highlight w:val="none"/>
        </w:rPr>
        <w:t>公告期限：</w:t>
      </w:r>
    </w:p>
    <w:p w14:paraId="34348E19">
      <w:pPr>
        <w:spacing w:line="360" w:lineRule="auto"/>
        <w:ind w:left="25" w:leftChars="12" w:firstLine="472" w:firstLineChars="196"/>
        <w:outlineLvl w:val="1"/>
        <w:rPr>
          <w:rFonts w:hint="eastAsia" w:ascii="仿宋" w:hAnsi="仿宋" w:eastAsia="仿宋" w:cs="仿宋"/>
          <w:b/>
          <w:kern w:val="0"/>
          <w:sz w:val="24"/>
          <w:highlight w:val="none"/>
        </w:rPr>
      </w:pPr>
      <w:bookmarkStart w:id="323" w:name="_Toc30921"/>
      <w:r>
        <w:rPr>
          <w:rFonts w:hint="eastAsia" w:ascii="仿宋" w:hAnsi="仿宋" w:eastAsia="仿宋" w:cs="仿宋"/>
          <w:b/>
          <w:kern w:val="0"/>
          <w:sz w:val="24"/>
          <w:highlight w:val="none"/>
        </w:rPr>
        <w:t>三、质疑基本情况</w:t>
      </w:r>
      <w:bookmarkEnd w:id="323"/>
    </w:p>
    <w:p w14:paraId="1B098117">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kern w:val="0"/>
          <w:sz w:val="24"/>
          <w:highlight w:val="none"/>
        </w:rPr>
        <w:t>投诉人于年月日，向提出质疑，质疑事项为：</w:t>
      </w:r>
    </w:p>
    <w:p w14:paraId="4E265F4C">
      <w:pPr>
        <w:spacing w:line="360" w:lineRule="auto"/>
        <w:ind w:firstLine="241"/>
        <w:rPr>
          <w:rFonts w:hint="eastAsia" w:ascii="仿宋" w:hAnsi="仿宋" w:eastAsia="仿宋" w:cs="仿宋"/>
          <w:bCs/>
          <w:kern w:val="0"/>
          <w:sz w:val="24"/>
          <w:highlight w:val="none"/>
          <w:u w:val="single"/>
        </w:rPr>
      </w:pPr>
    </w:p>
    <w:p w14:paraId="083813DE">
      <w:pPr>
        <w:spacing w:line="360" w:lineRule="auto"/>
        <w:ind w:firstLine="241"/>
        <w:rPr>
          <w:rFonts w:hint="eastAsia" w:ascii="仿宋" w:hAnsi="仿宋" w:eastAsia="仿宋" w:cs="仿宋"/>
          <w:bCs/>
          <w:kern w:val="0"/>
          <w:sz w:val="24"/>
          <w:highlight w:val="none"/>
          <w:u w:val="single"/>
        </w:rPr>
      </w:pPr>
    </w:p>
    <w:p w14:paraId="3AC63495">
      <w:pPr>
        <w:spacing w:line="360" w:lineRule="auto"/>
        <w:ind w:firstLine="480" w:firstLineChars="200"/>
        <w:rPr>
          <w:rFonts w:hint="eastAsia" w:ascii="仿宋" w:hAnsi="仿宋" w:eastAsia="仿宋" w:cs="仿宋"/>
          <w:kern w:val="0"/>
          <w:sz w:val="24"/>
          <w:highlight w:val="none"/>
        </w:rPr>
      </w:pPr>
      <w:r>
        <w:rPr>
          <w:rFonts w:hint="eastAsia" w:ascii="仿宋" w:hAnsi="仿宋" w:eastAsia="仿宋" w:cs="仿宋"/>
          <w:bCs/>
          <w:kern w:val="0"/>
          <w:sz w:val="24"/>
          <w:highlight w:val="none"/>
          <w:u w:val="single"/>
        </w:rPr>
        <w:t>采购人/代理机构</w:t>
      </w:r>
      <w:r>
        <w:rPr>
          <w:rFonts w:hint="eastAsia" w:ascii="仿宋" w:hAnsi="仿宋" w:eastAsia="仿宋" w:cs="仿宋"/>
          <w:bCs/>
          <w:kern w:val="0"/>
          <w:sz w:val="24"/>
          <w:highlight w:val="none"/>
        </w:rPr>
        <w:t>于</w:t>
      </w:r>
      <w:r>
        <w:rPr>
          <w:rFonts w:hint="eastAsia" w:ascii="仿宋" w:hAnsi="仿宋" w:eastAsia="仿宋" w:cs="仿宋"/>
          <w:kern w:val="0"/>
          <w:sz w:val="24"/>
          <w:highlight w:val="none"/>
        </w:rPr>
        <w:t>年月日，</w:t>
      </w:r>
      <w:r>
        <w:rPr>
          <w:rFonts w:hint="eastAsia" w:ascii="仿宋" w:hAnsi="仿宋" w:eastAsia="仿宋" w:cs="仿宋"/>
          <w:bCs/>
          <w:kern w:val="0"/>
          <w:sz w:val="24"/>
          <w:highlight w:val="none"/>
        </w:rPr>
        <w:t xml:space="preserve">就质疑事项作出了答复/没有在法定期限内作出答复。                                                                                             </w:t>
      </w:r>
    </w:p>
    <w:p w14:paraId="70B4E7B5">
      <w:pPr>
        <w:spacing w:line="360" w:lineRule="auto"/>
        <w:ind w:left="25" w:leftChars="12" w:firstLine="472" w:firstLineChars="196"/>
        <w:outlineLvl w:val="1"/>
        <w:rPr>
          <w:rFonts w:hint="eastAsia" w:ascii="仿宋" w:hAnsi="仿宋" w:eastAsia="仿宋" w:cs="仿宋"/>
          <w:b/>
          <w:kern w:val="0"/>
          <w:sz w:val="24"/>
          <w:highlight w:val="none"/>
        </w:rPr>
      </w:pPr>
      <w:bookmarkStart w:id="324" w:name="_Toc7350"/>
      <w:r>
        <w:rPr>
          <w:rFonts w:hint="eastAsia" w:ascii="仿宋" w:hAnsi="仿宋" w:eastAsia="仿宋" w:cs="仿宋"/>
          <w:b/>
          <w:kern w:val="0"/>
          <w:sz w:val="24"/>
          <w:highlight w:val="none"/>
        </w:rPr>
        <w:t>四、投诉事项具体内容</w:t>
      </w:r>
      <w:bookmarkEnd w:id="324"/>
    </w:p>
    <w:p w14:paraId="731E018C">
      <w:pPr>
        <w:spacing w:line="360" w:lineRule="auto"/>
        <w:ind w:left="25" w:leftChars="12" w:firstLine="472" w:firstLineChars="197"/>
        <w:rPr>
          <w:rFonts w:hint="eastAsia" w:ascii="仿宋" w:hAnsi="仿宋" w:eastAsia="仿宋" w:cs="仿宋"/>
          <w:bCs/>
          <w:kern w:val="0"/>
          <w:sz w:val="24"/>
          <w:highlight w:val="none"/>
          <w:u w:val="single"/>
        </w:rPr>
      </w:pPr>
      <w:r>
        <w:rPr>
          <w:rFonts w:hint="eastAsia" w:ascii="仿宋" w:hAnsi="仿宋" w:eastAsia="仿宋" w:cs="仿宋"/>
          <w:kern w:val="0"/>
          <w:sz w:val="24"/>
          <w:highlight w:val="none"/>
        </w:rPr>
        <w:t>投诉事项1：</w:t>
      </w:r>
    </w:p>
    <w:p w14:paraId="4875C163">
      <w:pPr>
        <w:spacing w:line="360" w:lineRule="auto"/>
        <w:ind w:firstLine="480" w:firstLineChars="200"/>
        <w:rPr>
          <w:rFonts w:hint="eastAsia" w:ascii="仿宋" w:hAnsi="仿宋" w:eastAsia="仿宋" w:cs="仿宋"/>
          <w:bCs/>
          <w:kern w:val="0"/>
          <w:sz w:val="24"/>
          <w:highlight w:val="none"/>
          <w:u w:val="single"/>
        </w:rPr>
      </w:pPr>
      <w:r>
        <w:rPr>
          <w:rFonts w:hint="eastAsia" w:ascii="仿宋" w:hAnsi="仿宋" w:eastAsia="仿宋" w:cs="仿宋"/>
          <w:bCs/>
          <w:kern w:val="0"/>
          <w:sz w:val="24"/>
          <w:highlight w:val="none"/>
        </w:rPr>
        <w:t>事实依据：</w:t>
      </w:r>
    </w:p>
    <w:p w14:paraId="650C5837">
      <w:pPr>
        <w:spacing w:line="360" w:lineRule="auto"/>
        <w:ind w:left="25" w:leftChars="12" w:firstLine="472" w:firstLineChars="197"/>
        <w:rPr>
          <w:rFonts w:hint="eastAsia" w:ascii="仿宋" w:hAnsi="仿宋" w:eastAsia="仿宋" w:cs="仿宋"/>
          <w:kern w:val="0"/>
          <w:sz w:val="24"/>
          <w:highlight w:val="none"/>
        </w:rPr>
      </w:pPr>
    </w:p>
    <w:p w14:paraId="5992240B">
      <w:pPr>
        <w:spacing w:line="360" w:lineRule="auto"/>
        <w:ind w:firstLine="480" w:firstLineChars="200"/>
        <w:rPr>
          <w:rFonts w:hint="eastAsia" w:ascii="仿宋" w:hAnsi="仿宋" w:eastAsia="仿宋" w:cs="仿宋"/>
          <w:bCs/>
          <w:kern w:val="0"/>
          <w:sz w:val="24"/>
          <w:highlight w:val="none"/>
          <w:u w:val="single"/>
        </w:rPr>
      </w:pPr>
      <w:r>
        <w:rPr>
          <w:rFonts w:hint="eastAsia" w:ascii="仿宋" w:hAnsi="仿宋" w:eastAsia="仿宋" w:cs="仿宋"/>
          <w:bCs/>
          <w:kern w:val="0"/>
          <w:sz w:val="24"/>
          <w:highlight w:val="none"/>
        </w:rPr>
        <w:t>法律依据：</w:t>
      </w:r>
    </w:p>
    <w:p w14:paraId="091D2815">
      <w:pPr>
        <w:spacing w:line="360" w:lineRule="auto"/>
        <w:ind w:left="25" w:leftChars="12" w:firstLine="352" w:firstLineChars="147"/>
        <w:rPr>
          <w:rFonts w:hint="eastAsia" w:ascii="仿宋" w:hAnsi="仿宋" w:eastAsia="仿宋" w:cs="仿宋"/>
          <w:bCs/>
          <w:kern w:val="0"/>
          <w:sz w:val="24"/>
          <w:highlight w:val="none"/>
          <w:u w:val="single"/>
        </w:rPr>
      </w:pPr>
    </w:p>
    <w:p w14:paraId="397A222C">
      <w:pPr>
        <w:spacing w:line="360" w:lineRule="auto"/>
        <w:ind w:left="25" w:leftChars="12" w:firstLine="472" w:firstLineChars="197"/>
        <w:rPr>
          <w:rFonts w:hint="eastAsia" w:ascii="仿宋" w:hAnsi="仿宋" w:eastAsia="仿宋" w:cs="仿宋"/>
          <w:bCs/>
          <w:kern w:val="0"/>
          <w:sz w:val="24"/>
          <w:highlight w:val="none"/>
        </w:rPr>
      </w:pPr>
      <w:r>
        <w:rPr>
          <w:rFonts w:hint="eastAsia" w:ascii="仿宋" w:hAnsi="仿宋" w:eastAsia="仿宋" w:cs="仿宋"/>
          <w:kern w:val="0"/>
          <w:sz w:val="24"/>
          <w:highlight w:val="none"/>
        </w:rPr>
        <w:t xml:space="preserve">投诉事项2  </w:t>
      </w:r>
    </w:p>
    <w:p w14:paraId="3229D4C9">
      <w:pPr>
        <w:spacing w:line="360" w:lineRule="auto"/>
        <w:ind w:left="25" w:leftChars="12" w:firstLine="472" w:firstLineChars="197"/>
        <w:rPr>
          <w:rFonts w:hint="eastAsia" w:ascii="仿宋" w:hAnsi="仿宋" w:eastAsia="仿宋" w:cs="仿宋"/>
          <w:bCs/>
          <w:kern w:val="0"/>
          <w:sz w:val="24"/>
          <w:highlight w:val="none"/>
        </w:rPr>
      </w:pPr>
      <w:r>
        <w:rPr>
          <w:rFonts w:hint="eastAsia" w:ascii="仿宋" w:hAnsi="仿宋" w:eastAsia="仿宋" w:cs="仿宋"/>
          <w:bCs/>
          <w:kern w:val="0"/>
          <w:sz w:val="24"/>
          <w:highlight w:val="none"/>
        </w:rPr>
        <w:t>……</w:t>
      </w:r>
    </w:p>
    <w:p w14:paraId="507A1990">
      <w:pPr>
        <w:spacing w:line="360" w:lineRule="auto"/>
        <w:ind w:left="25" w:leftChars="12" w:firstLine="472" w:firstLineChars="196"/>
        <w:outlineLvl w:val="1"/>
        <w:rPr>
          <w:rFonts w:hint="eastAsia" w:ascii="仿宋" w:hAnsi="仿宋" w:eastAsia="仿宋" w:cs="仿宋"/>
          <w:b/>
          <w:kern w:val="0"/>
          <w:sz w:val="24"/>
          <w:highlight w:val="none"/>
        </w:rPr>
      </w:pPr>
      <w:bookmarkStart w:id="325" w:name="_Toc130"/>
      <w:r>
        <w:rPr>
          <w:rFonts w:hint="eastAsia" w:ascii="仿宋" w:hAnsi="仿宋" w:eastAsia="仿宋" w:cs="仿宋"/>
          <w:b/>
          <w:kern w:val="0"/>
          <w:sz w:val="24"/>
          <w:highlight w:val="none"/>
        </w:rPr>
        <w:t>五、与投诉事项相关的投诉请求：</w:t>
      </w:r>
      <w:bookmarkEnd w:id="325"/>
    </w:p>
    <w:p w14:paraId="6166346C">
      <w:pPr>
        <w:spacing w:line="360" w:lineRule="auto"/>
        <w:ind w:left="25" w:leftChars="12" w:firstLine="472" w:firstLineChars="197"/>
        <w:rPr>
          <w:rFonts w:hint="eastAsia" w:ascii="仿宋" w:hAnsi="仿宋" w:eastAsia="仿宋" w:cs="仿宋"/>
          <w:kern w:val="0"/>
          <w:sz w:val="24"/>
          <w:highlight w:val="none"/>
        </w:rPr>
      </w:pPr>
      <w:r>
        <w:rPr>
          <w:rFonts w:hint="eastAsia" w:ascii="仿宋" w:hAnsi="仿宋" w:eastAsia="仿宋" w:cs="仿宋"/>
          <w:kern w:val="0"/>
          <w:sz w:val="24"/>
          <w:highlight w:val="none"/>
        </w:rPr>
        <w:t>请求：</w:t>
      </w:r>
    </w:p>
    <w:p w14:paraId="3B583441">
      <w:pPr>
        <w:spacing w:line="360" w:lineRule="auto"/>
        <w:ind w:left="25" w:leftChars="12" w:firstLine="352" w:firstLineChars="147"/>
        <w:rPr>
          <w:rFonts w:hint="eastAsia" w:ascii="仿宋" w:hAnsi="仿宋" w:eastAsia="仿宋" w:cs="仿宋"/>
          <w:kern w:val="0"/>
          <w:sz w:val="24"/>
          <w:highlight w:val="none"/>
        </w:rPr>
      </w:pPr>
    </w:p>
    <w:p w14:paraId="65753304">
      <w:pPr>
        <w:spacing w:line="360" w:lineRule="auto"/>
        <w:ind w:left="25" w:leftChars="12" w:firstLine="472" w:firstLineChars="197"/>
        <w:rPr>
          <w:rFonts w:hint="eastAsia" w:ascii="仿宋" w:hAnsi="仿宋" w:eastAsia="仿宋" w:cs="仿宋"/>
          <w:kern w:val="0"/>
          <w:sz w:val="24"/>
          <w:highlight w:val="none"/>
        </w:rPr>
      </w:pPr>
      <w:r>
        <w:rPr>
          <w:rFonts w:hint="eastAsia" w:ascii="仿宋" w:hAnsi="仿宋" w:eastAsia="仿宋" w:cs="仿宋"/>
          <w:kern w:val="0"/>
          <w:sz w:val="24"/>
          <w:highlight w:val="none"/>
        </w:rPr>
        <w:t>签字（签章）：                                       公章：</w:t>
      </w:r>
    </w:p>
    <w:p w14:paraId="7A1840F4">
      <w:pPr>
        <w:spacing w:line="360" w:lineRule="auto"/>
        <w:ind w:left="25" w:leftChars="12" w:firstLine="352" w:firstLineChars="147"/>
        <w:rPr>
          <w:rFonts w:hint="eastAsia" w:ascii="仿宋" w:hAnsi="仿宋" w:eastAsia="仿宋" w:cs="仿宋"/>
          <w:kern w:val="0"/>
          <w:sz w:val="24"/>
          <w:highlight w:val="none"/>
        </w:rPr>
      </w:pPr>
    </w:p>
    <w:p w14:paraId="2134AC9A">
      <w:pPr>
        <w:spacing w:line="360" w:lineRule="auto"/>
        <w:ind w:left="25" w:leftChars="12" w:firstLine="472" w:firstLineChars="197"/>
        <w:rPr>
          <w:rFonts w:hint="eastAsia" w:ascii="仿宋" w:hAnsi="仿宋" w:eastAsia="仿宋" w:cs="仿宋"/>
          <w:kern w:val="0"/>
          <w:sz w:val="24"/>
          <w:highlight w:val="none"/>
        </w:rPr>
      </w:pPr>
      <w:r>
        <w:rPr>
          <w:rFonts w:hint="eastAsia" w:ascii="仿宋" w:hAnsi="仿宋" w:eastAsia="仿宋" w:cs="仿宋"/>
          <w:kern w:val="0"/>
          <w:sz w:val="24"/>
          <w:highlight w:val="none"/>
        </w:rPr>
        <w:t>日期：</w:t>
      </w:r>
    </w:p>
    <w:p w14:paraId="66304D3B">
      <w:pPr>
        <w:snapToGrid w:val="0"/>
        <w:spacing w:line="360" w:lineRule="auto"/>
        <w:rPr>
          <w:rFonts w:hint="eastAsia" w:ascii="仿宋" w:hAnsi="仿宋" w:eastAsia="仿宋" w:cs="仿宋"/>
          <w:b/>
          <w:kern w:val="0"/>
          <w:sz w:val="24"/>
          <w:highlight w:val="none"/>
        </w:rPr>
      </w:pPr>
    </w:p>
    <w:p w14:paraId="0527BFD3">
      <w:pPr>
        <w:snapToGrid w:val="0"/>
        <w:spacing w:line="360" w:lineRule="auto"/>
        <w:rPr>
          <w:rFonts w:hint="eastAsia" w:ascii="仿宋" w:hAnsi="仿宋" w:eastAsia="仿宋" w:cs="仿宋"/>
          <w:b/>
          <w:kern w:val="0"/>
          <w:sz w:val="24"/>
          <w:highlight w:val="none"/>
        </w:rPr>
      </w:pPr>
      <w:r>
        <w:rPr>
          <w:rFonts w:hint="eastAsia" w:ascii="仿宋" w:hAnsi="仿宋" w:eastAsia="仿宋" w:cs="仿宋"/>
          <w:b/>
          <w:kern w:val="0"/>
          <w:sz w:val="24"/>
          <w:highlight w:val="none"/>
        </w:rPr>
        <w:t>说明：</w:t>
      </w:r>
    </w:p>
    <w:p w14:paraId="288CA4A5">
      <w:pPr>
        <w:spacing w:line="360" w:lineRule="auto"/>
        <w:ind w:left="25" w:leftChars="12" w:firstLine="354" w:firstLineChars="147"/>
        <w:rPr>
          <w:rFonts w:hint="eastAsia" w:ascii="仿宋" w:hAnsi="仿宋" w:eastAsia="仿宋" w:cs="仿宋"/>
          <w:b/>
          <w:bCs/>
          <w:kern w:val="0"/>
          <w:sz w:val="24"/>
          <w:highlight w:val="none"/>
        </w:rPr>
      </w:pPr>
      <w:r>
        <w:rPr>
          <w:rFonts w:hint="eastAsia" w:ascii="仿宋" w:hAnsi="仿宋" w:eastAsia="仿宋" w:cs="仿宋"/>
          <w:b/>
          <w:kern w:val="0"/>
          <w:sz w:val="24"/>
          <w:highlight w:val="none"/>
        </w:rPr>
        <w:t>1.投诉人提起投诉时，应当提交投诉书和必要的证明材料，并按照被投诉人和与投诉事项有关的供应商数量提供投诉书副本</w:t>
      </w:r>
      <w:r>
        <w:rPr>
          <w:rFonts w:hint="eastAsia" w:ascii="仿宋" w:hAnsi="仿宋" w:eastAsia="仿宋" w:cs="仿宋"/>
          <w:b/>
          <w:bCs/>
          <w:kern w:val="0"/>
          <w:sz w:val="24"/>
          <w:highlight w:val="none"/>
        </w:rPr>
        <w:t>。</w:t>
      </w:r>
    </w:p>
    <w:p w14:paraId="2487407D">
      <w:pPr>
        <w:spacing w:line="360" w:lineRule="auto"/>
        <w:ind w:left="25" w:leftChars="12" w:firstLine="354" w:firstLineChars="147"/>
        <w:rPr>
          <w:rFonts w:hint="eastAsia" w:ascii="仿宋" w:hAnsi="仿宋" w:eastAsia="仿宋" w:cs="仿宋"/>
          <w:b/>
          <w:kern w:val="0"/>
          <w:sz w:val="24"/>
          <w:highlight w:val="none"/>
        </w:rPr>
      </w:pPr>
      <w:r>
        <w:rPr>
          <w:rFonts w:hint="eastAsia" w:ascii="仿宋" w:hAnsi="仿宋" w:eastAsia="仿宋" w:cs="仿宋"/>
          <w:b/>
          <w:kern w:val="0"/>
          <w:sz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55B7E4BA">
      <w:pPr>
        <w:spacing w:line="360" w:lineRule="auto"/>
        <w:ind w:left="25" w:leftChars="12" w:firstLine="354" w:firstLineChars="147"/>
        <w:rPr>
          <w:rFonts w:hint="eastAsia" w:ascii="仿宋" w:hAnsi="仿宋" w:eastAsia="仿宋" w:cs="仿宋"/>
          <w:b/>
          <w:kern w:val="0"/>
          <w:sz w:val="24"/>
          <w:highlight w:val="none"/>
        </w:rPr>
      </w:pPr>
      <w:r>
        <w:rPr>
          <w:rFonts w:hint="eastAsia" w:ascii="仿宋" w:hAnsi="仿宋" w:eastAsia="仿宋" w:cs="仿宋"/>
          <w:b/>
          <w:kern w:val="0"/>
          <w:sz w:val="24"/>
          <w:highlight w:val="none"/>
        </w:rPr>
        <w:t>3.投诉书应简要列明质疑事项，质疑函、质疑答复等作为附件材料提供。</w:t>
      </w:r>
    </w:p>
    <w:p w14:paraId="02AD84A2">
      <w:pPr>
        <w:spacing w:line="360" w:lineRule="auto"/>
        <w:ind w:left="25" w:leftChars="12" w:firstLine="354" w:firstLineChars="147"/>
        <w:rPr>
          <w:rFonts w:hint="eastAsia" w:ascii="仿宋" w:hAnsi="仿宋" w:eastAsia="仿宋" w:cs="仿宋"/>
          <w:b/>
          <w:kern w:val="0"/>
          <w:sz w:val="24"/>
          <w:highlight w:val="none"/>
        </w:rPr>
      </w:pPr>
      <w:r>
        <w:rPr>
          <w:rFonts w:hint="eastAsia" w:ascii="仿宋" w:hAnsi="仿宋" w:eastAsia="仿宋" w:cs="仿宋"/>
          <w:b/>
          <w:kern w:val="0"/>
          <w:sz w:val="24"/>
          <w:highlight w:val="none"/>
        </w:rPr>
        <w:t>4.投诉书的投诉事项应具体、明确，并有必要的事实依据和法律依据。</w:t>
      </w:r>
    </w:p>
    <w:p w14:paraId="4FDF8C2C">
      <w:pPr>
        <w:spacing w:line="360" w:lineRule="auto"/>
        <w:ind w:left="25" w:leftChars="12" w:firstLine="354" w:firstLineChars="147"/>
        <w:rPr>
          <w:rFonts w:hint="eastAsia" w:ascii="仿宋" w:hAnsi="仿宋" w:eastAsia="仿宋" w:cs="仿宋"/>
          <w:b/>
          <w:kern w:val="0"/>
          <w:sz w:val="24"/>
          <w:highlight w:val="none"/>
        </w:rPr>
      </w:pPr>
      <w:r>
        <w:rPr>
          <w:rFonts w:hint="eastAsia" w:ascii="仿宋" w:hAnsi="仿宋" w:eastAsia="仿宋" w:cs="仿宋"/>
          <w:b/>
          <w:kern w:val="0"/>
          <w:sz w:val="24"/>
          <w:highlight w:val="none"/>
        </w:rPr>
        <w:t>5.投诉书的投诉请求应与投诉事项相关。</w:t>
      </w:r>
    </w:p>
    <w:p w14:paraId="1C10F1FD">
      <w:pPr>
        <w:spacing w:line="360" w:lineRule="auto"/>
        <w:ind w:left="25" w:leftChars="12" w:firstLine="354" w:firstLineChars="147"/>
        <w:rPr>
          <w:rFonts w:hint="eastAsia" w:ascii="仿宋" w:hAnsi="仿宋" w:eastAsia="仿宋" w:cs="仿宋"/>
          <w:highlight w:val="none"/>
        </w:rPr>
      </w:pPr>
      <w:r>
        <w:rPr>
          <w:rFonts w:hint="eastAsia" w:ascii="仿宋" w:hAnsi="仿宋" w:eastAsia="仿宋" w:cs="仿宋"/>
          <w:b/>
          <w:kern w:val="0"/>
          <w:sz w:val="24"/>
          <w:highlight w:val="none"/>
        </w:rPr>
        <w:t>6.投诉人为法人或者其他组织的，投诉书应由法定代表人、主要负责人，或者其授权代表签字或者盖章，并加盖公章。</w:t>
      </w:r>
    </w:p>
    <w:sectPr>
      <w:footerReference r:id="rId26" w:type="first"/>
      <w:footerReference r:id="rId25" w:type="default"/>
      <w:pgSz w:w="11905" w:h="16838"/>
      <w:pgMar w:top="1304" w:right="1304" w:bottom="1304" w:left="1304" w:header="720" w:footer="720" w:gutter="0"/>
      <w:pgNumType w:fmt="decimal"/>
      <w:cols w:space="720" w:num="1"/>
      <w:docGrid w:type="lines" w:linePitch="33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EDD29">
    <w:pPr>
      <w:pStyle w:val="21"/>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B601">
    <w:pPr>
      <w:pStyle w:val="21"/>
      <w:framePr w:wrap="around" w:vAnchor="text" w:hAnchor="margin" w:xAlign="center" w:y="1"/>
      <w:rPr>
        <w:rStyle w:val="36"/>
        <w:sz w:val="21"/>
      </w:rPr>
    </w:pPr>
    <w:r>
      <w:rPr>
        <w:sz w:val="21"/>
      </w:rPr>
      <w:fldChar w:fldCharType="begin"/>
    </w:r>
    <w:r>
      <w:rPr>
        <w:rStyle w:val="36"/>
        <w:sz w:val="21"/>
      </w:rPr>
      <w:instrText xml:space="preserve">PAGE  </w:instrText>
    </w:r>
    <w:r>
      <w:rPr>
        <w:sz w:val="21"/>
      </w:rPr>
      <w:fldChar w:fldCharType="separate"/>
    </w:r>
    <w:r>
      <w:rPr>
        <w:rStyle w:val="36"/>
        <w:sz w:val="21"/>
      </w:rPr>
      <w:t>0</w:t>
    </w:r>
    <w:r>
      <w:rPr>
        <w:sz w:val="21"/>
      </w:rPr>
      <w:fldChar w:fldCharType="end"/>
    </w:r>
  </w:p>
  <w:p w14:paraId="6DE452DF">
    <w:pPr>
      <w:pStyle w:val="21"/>
      <w:rPr>
        <w:sz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9C88B">
    <w:pPr>
      <w:pStyle w:val="21"/>
      <w:tabs>
        <w:tab w:val="center" w:pos="4439"/>
        <w:tab w:val="clear" w:pos="4153"/>
      </w:tabs>
      <w:jc w:val="both"/>
    </w:pPr>
  </w:p>
  <w:p w14:paraId="02BD9AEC">
    <w:pPr>
      <w:pStyle w:val="2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6CC64">
    <w:pPr>
      <w:pStyle w:val="2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C0A84">
    <w:pPr>
      <w:pStyle w:val="21"/>
      <w:tabs>
        <w:tab w:val="center" w:pos="4439"/>
        <w:tab w:val="clear" w:pos="4153"/>
      </w:tabs>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1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E872E2">
                          <w:pPr>
                            <w:pStyle w:val="21"/>
                          </w:pPr>
                          <w:r>
                            <w:fldChar w:fldCharType="begin"/>
                          </w:r>
                          <w:r>
                            <w:instrText xml:space="preserve"> PAGE  \* MERGEFORMAT </w:instrText>
                          </w:r>
                          <w:r>
                            <w:fldChar w:fldCharType="separate"/>
                          </w:r>
                          <w:r>
                            <w:t>3</w:t>
                          </w:r>
                          <w:r>
                            <w:fldChar w:fldCharType="end"/>
                          </w:r>
                        </w:p>
                      </w:txbxContent>
                    </wps:txbx>
                    <wps:bodyPr wrap="none" lIns="0" tIns="0" rIns="0" bIns="0">
                      <a:spAutoFit/>
                    </wps:bodyPr>
                  </wps:wsp>
                </a:graphicData>
              </a:graphic>
            </wp:anchor>
          </w:drawing>
        </mc:Choice>
        <mc:Fallback>
          <w:pict>
            <v:shape id="文本框 513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MvAVnsQBAACQAwAADgAAAAAAAAABACAAAAAeAQAAZHJzL2Uyb0RvYy54bWxQ&#10;SwUGAAAAAAYABgBZAQAAVAUAAAAA&#10;">
              <v:fill on="f" focussize="0,0"/>
              <v:stroke on="f"/>
              <v:imagedata o:title=""/>
              <o:lock v:ext="edit" aspectratio="f"/>
              <v:textbox inset="0mm,0mm,0mm,0mm" style="mso-fit-shape-to-text:t;">
                <w:txbxContent>
                  <w:p w14:paraId="02E872E2">
                    <w:pPr>
                      <w:pStyle w:val="21"/>
                    </w:pPr>
                    <w:r>
                      <w:fldChar w:fldCharType="begin"/>
                    </w:r>
                    <w:r>
                      <w:instrText xml:space="preserve"> PAGE  \* MERGEFORMAT </w:instrText>
                    </w:r>
                    <w:r>
                      <w:fldChar w:fldCharType="separate"/>
                    </w:r>
                    <w:r>
                      <w:t>3</w:t>
                    </w:r>
                    <w:r>
                      <w:fldChar w:fldCharType="end"/>
                    </w:r>
                  </w:p>
                </w:txbxContent>
              </v:textbox>
            </v:shape>
          </w:pict>
        </mc:Fallback>
      </mc:AlternateContent>
    </w:r>
  </w:p>
  <w:p w14:paraId="5B8BD3AD">
    <w:pPr>
      <w:pStyle w:val="2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E4053">
    <w:pPr>
      <w:pStyle w:val="21"/>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1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3F5D95">
                          <w:pPr>
                            <w:pStyle w:val="21"/>
                          </w:pPr>
                          <w:r>
                            <w:fldChar w:fldCharType="begin"/>
                          </w:r>
                          <w:r>
                            <w:instrText xml:space="preserve"> PAGE  \* MERGEFORMAT </w:instrText>
                          </w:r>
                          <w:r>
                            <w:fldChar w:fldCharType="separate"/>
                          </w:r>
                          <w:r>
                            <w:t>15</w:t>
                          </w:r>
                          <w:r>
                            <w:fldChar w:fldCharType="end"/>
                          </w:r>
                        </w:p>
                      </w:txbxContent>
                    </wps:txbx>
                    <wps:bodyPr wrap="none" lIns="0" tIns="0" rIns="0" bIns="0">
                      <a:spAutoFit/>
                    </wps:bodyPr>
                  </wps:wsp>
                </a:graphicData>
              </a:graphic>
            </wp:anchor>
          </w:drawing>
        </mc:Choice>
        <mc:Fallback>
          <w:pict>
            <v:shape id="文本框 513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OK48/bFAQAAkAMAAA4AAAAAAAAAAQAgAAAAHgEAAGRycy9lMm9Eb2MueG1s&#10;UEsFBgAAAAAGAAYAWQEAAFUFAAAAAA==&#10;">
              <v:fill on="f" focussize="0,0"/>
              <v:stroke on="f"/>
              <v:imagedata o:title=""/>
              <o:lock v:ext="edit" aspectratio="f"/>
              <v:textbox inset="0mm,0mm,0mm,0mm" style="mso-fit-shape-to-text:t;">
                <w:txbxContent>
                  <w:p w14:paraId="2B3F5D95">
                    <w:pPr>
                      <w:pStyle w:val="21"/>
                    </w:pPr>
                    <w:r>
                      <w:fldChar w:fldCharType="begin"/>
                    </w:r>
                    <w:r>
                      <w:instrText xml:space="preserve"> PAGE  \* MERGEFORMAT </w:instrText>
                    </w:r>
                    <w:r>
                      <w:fldChar w:fldCharType="separate"/>
                    </w:r>
                    <w:r>
                      <w:t>15</w:t>
                    </w:r>
                    <w:r>
                      <w:fldChar w:fldCharType="end"/>
                    </w:r>
                  </w:p>
                </w:txbxContent>
              </v:textbox>
            </v:shape>
          </w:pict>
        </mc:Fallback>
      </mc:AlternateContent>
    </w:r>
  </w:p>
  <w:p w14:paraId="794A1671">
    <w:pPr>
      <w:pStyle w:val="21"/>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7AC34">
    <w:pPr>
      <w:pStyle w:val="2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F5064EC">
                          <w:pPr>
                            <w:pStyle w:val="21"/>
                          </w:pPr>
                          <w:r>
                            <w:fldChar w:fldCharType="begin"/>
                          </w:r>
                          <w:r>
                            <w:instrText xml:space="preserve"> PAGE  \* MERGEFORMAT </w:instrText>
                          </w:r>
                          <w:r>
                            <w:fldChar w:fldCharType="separate"/>
                          </w:r>
                          <w:r>
                            <w:t>63</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HaDCsYBAACbAwAADgAAAGRycy9lMm9Eb2MueG1srVNLbtswEN0X6B0I&#10;7mspR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SkjuhvD5HGyNMl1BGKWCWH3izzm/YrLcVjP1c9/FOb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CsdoMKxgEAAJsDAAAOAAAAAAAAAAEAIAAAAB4BAABkcnMvZTJvRG9jLnht&#10;bFBLBQYAAAAABgAGAFkBAABWBQAAAAA=&#10;">
              <v:fill on="f" focussize="0,0"/>
              <v:stroke on="f"/>
              <v:imagedata o:title=""/>
              <o:lock v:ext="edit" aspectratio="f"/>
              <v:textbox inset="0mm,0mm,0mm,0mm" style="mso-fit-shape-to-text:t;">
                <w:txbxContent>
                  <w:p w14:paraId="3F5064EC">
                    <w:pPr>
                      <w:pStyle w:val="21"/>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404CD">
    <w:pPr>
      <w:pStyle w:val="21"/>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1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B7F487">
                          <w:pPr>
                            <w:pStyle w:val="21"/>
                          </w:pPr>
                          <w:r>
                            <w:fldChar w:fldCharType="begin"/>
                          </w:r>
                          <w:r>
                            <w:instrText xml:space="preserve"> PAGE  \* MERGEFORMAT </w:instrText>
                          </w:r>
                          <w:r>
                            <w:fldChar w:fldCharType="separate"/>
                          </w:r>
                          <w:r>
                            <w:t>55</w:t>
                          </w:r>
                          <w:r>
                            <w:fldChar w:fldCharType="end"/>
                          </w:r>
                        </w:p>
                      </w:txbxContent>
                    </wps:txbx>
                    <wps:bodyPr wrap="none" lIns="0" tIns="0" rIns="0" bIns="0">
                      <a:spAutoFit/>
                    </wps:bodyPr>
                  </wps:wsp>
                </a:graphicData>
              </a:graphic>
            </wp:anchor>
          </w:drawing>
        </mc:Choice>
        <mc:Fallback>
          <w:pict>
            <v:shape id="文本框 5140"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QQNgtMQBAACQAwAADgAAAAAAAAABACAAAAAeAQAAZHJzL2Uyb0RvYy54bWxQ&#10;SwUGAAAAAAYABgBZAQAAVAUAAAAA&#10;">
              <v:fill on="f" focussize="0,0"/>
              <v:stroke on="f"/>
              <v:imagedata o:title=""/>
              <o:lock v:ext="edit" aspectratio="f"/>
              <v:textbox inset="0mm,0mm,0mm,0mm" style="mso-fit-shape-to-text:t;">
                <w:txbxContent>
                  <w:p w14:paraId="4FB7F487">
                    <w:pPr>
                      <w:pStyle w:val="21"/>
                    </w:pPr>
                    <w:r>
                      <w:fldChar w:fldCharType="begin"/>
                    </w:r>
                    <w:r>
                      <w:instrText xml:space="preserve"> PAGE  \* MERGEFORMAT </w:instrText>
                    </w:r>
                    <w:r>
                      <w:fldChar w:fldCharType="separate"/>
                    </w:r>
                    <w:r>
                      <w:t>55</w:t>
                    </w:r>
                    <w:r>
                      <w:fldChar w:fldCharType="end"/>
                    </w:r>
                  </w:p>
                </w:txbxContent>
              </v:textbox>
            </v:shape>
          </w:pict>
        </mc:Fallback>
      </mc:AlternateContent>
    </w:r>
  </w:p>
  <w:p w14:paraId="0B1CA3FF">
    <w:pPr>
      <w:pStyle w:val="21"/>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B5B2E">
    <w:pPr>
      <w:pStyle w:val="21"/>
      <w:framePr w:wrap="around" w:vAnchor="text" w:hAnchor="margin" w:xAlign="center" w:y="1"/>
      <w:rPr>
        <w:rStyle w:val="36"/>
      </w:rPr>
    </w:pPr>
    <w:r>
      <w:fldChar w:fldCharType="begin"/>
    </w:r>
    <w:r>
      <w:rPr>
        <w:rStyle w:val="36"/>
      </w:rPr>
      <w:instrText xml:space="preserve">PAGE  </w:instrText>
    </w:r>
    <w:r>
      <w:fldChar w:fldCharType="end"/>
    </w:r>
  </w:p>
  <w:p w14:paraId="64508CEB">
    <w:pPr>
      <w:pStyle w:val="21"/>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D1F4F">
    <w:pPr>
      <w:pStyle w:val="21"/>
      <w:framePr w:wrap="around" w:vAnchor="text" w:hAnchor="margin" w:xAlign="right" w:y="1"/>
      <w:rPr>
        <w:rStyle w:val="36"/>
      </w:rPr>
    </w:pPr>
    <w:r>
      <w:fldChar w:fldCharType="begin"/>
    </w:r>
    <w:r>
      <w:rPr>
        <w:rStyle w:val="36"/>
      </w:rPr>
      <w:instrText xml:space="preserve">PAGE  </w:instrText>
    </w:r>
    <w:r>
      <w:fldChar w:fldCharType="separate"/>
    </w:r>
    <w:r>
      <w:rPr>
        <w:rStyle w:val="36"/>
      </w:rPr>
      <w:t>122</w:t>
    </w:r>
    <w:r>
      <w:fldChar w:fldCharType="end"/>
    </w:r>
  </w:p>
  <w:p w14:paraId="02EA2084">
    <w:pPr>
      <w:pStyle w:val="21"/>
      <w:ind w:right="360"/>
      <w:jc w:val="both"/>
    </w:pPr>
    <w:r>
      <w:rPr>
        <w:rFonts w:hint="eastAsia"/>
      </w:rPr>
      <w:t>121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4C0BD">
    <w:pPr>
      <w:pStyle w:val="21"/>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51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F04147">
                          <w:pPr>
                            <w:pStyle w:val="21"/>
                          </w:pPr>
                          <w:r>
                            <w:fldChar w:fldCharType="begin"/>
                          </w:r>
                          <w:r>
                            <w:instrText xml:space="preserve"> PAGE  \* MERGEFORMAT </w:instrText>
                          </w:r>
                          <w:r>
                            <w:fldChar w:fldCharType="separate"/>
                          </w:r>
                          <w:r>
                            <w:t>57</w:t>
                          </w:r>
                          <w:r>
                            <w:fldChar w:fldCharType="end"/>
                          </w:r>
                        </w:p>
                      </w:txbxContent>
                    </wps:txbx>
                    <wps:bodyPr wrap="none" lIns="0" tIns="0" rIns="0" bIns="0">
                      <a:spAutoFit/>
                    </wps:bodyPr>
                  </wps:wsp>
                </a:graphicData>
              </a:graphic>
            </wp:anchor>
          </w:drawing>
        </mc:Choice>
        <mc:Fallback>
          <w:pict>
            <v:shape id="文本框 5141"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J4OGMQBAACQAwAADgAAAAAAAAABACAAAAAeAQAAZHJzL2Uyb0RvYy54bWxQ&#10;SwUGAAAAAAYABgBZAQAAVAUAAAAA&#10;">
              <v:fill on="f" focussize="0,0"/>
              <v:stroke on="f"/>
              <v:imagedata o:title=""/>
              <o:lock v:ext="edit" aspectratio="f"/>
              <v:textbox inset="0mm,0mm,0mm,0mm" style="mso-fit-shape-to-text:t;">
                <w:txbxContent>
                  <w:p w14:paraId="0CF04147">
                    <w:pPr>
                      <w:pStyle w:val="21"/>
                    </w:pPr>
                    <w:r>
                      <w:fldChar w:fldCharType="begin"/>
                    </w:r>
                    <w:r>
                      <w:instrText xml:space="preserve"> PAGE  \* MERGEFORMAT </w:instrText>
                    </w:r>
                    <w:r>
                      <w:fldChar w:fldCharType="separate"/>
                    </w:r>
                    <w:r>
                      <w:t>57</w:t>
                    </w:r>
                    <w:r>
                      <w:fldChar w:fldCharType="end"/>
                    </w:r>
                  </w:p>
                </w:txbxContent>
              </v:textbox>
            </v:shape>
          </w:pict>
        </mc:Fallback>
      </mc:AlternateContent>
    </w:r>
  </w:p>
  <w:p w14:paraId="2D5DE299">
    <w:pPr>
      <w:pStyle w:val="21"/>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EBB27">
    <w:pPr>
      <w:pStyle w:val="21"/>
      <w:framePr w:wrap="around" w:vAnchor="text" w:hAnchor="margin" w:xAlign="center" w:y="1"/>
      <w:rPr>
        <w:rStyle w:val="36"/>
      </w:rPr>
    </w:pPr>
    <w:r>
      <w:fldChar w:fldCharType="begin"/>
    </w:r>
    <w:r>
      <w:rPr>
        <w:rStyle w:val="36"/>
      </w:rPr>
      <w:instrText xml:space="preserve">PAGE  </w:instrText>
    </w:r>
    <w:r>
      <w:fldChar w:fldCharType="end"/>
    </w:r>
  </w:p>
  <w:p w14:paraId="1A26D7D7">
    <w:pPr>
      <w:pStyle w:val="21"/>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924D5">
    <w:pPr>
      <w:pStyle w:val="21"/>
      <w:framePr w:wrap="around" w:vAnchor="text" w:hAnchor="margin" w:xAlign="right" w:y="1"/>
      <w:rPr>
        <w:rStyle w:val="36"/>
      </w:rPr>
    </w:pPr>
    <w:r>
      <w:fldChar w:fldCharType="begin"/>
    </w:r>
    <w:r>
      <w:rPr>
        <w:rStyle w:val="36"/>
      </w:rPr>
      <w:instrText xml:space="preserve">PAGE  </w:instrText>
    </w:r>
    <w:r>
      <w:fldChar w:fldCharType="separate"/>
    </w:r>
    <w:r>
      <w:rPr>
        <w:rStyle w:val="36"/>
      </w:rPr>
      <w:t>122</w:t>
    </w:r>
    <w:r>
      <w:fldChar w:fldCharType="end"/>
    </w:r>
  </w:p>
  <w:p w14:paraId="51AA8CCD">
    <w:pPr>
      <w:pStyle w:val="21"/>
      <w:ind w:right="360"/>
      <w:jc w:val="both"/>
    </w:pPr>
    <w:r>
      <w:rPr>
        <w:rFonts w:hint="eastAsia"/>
      </w:rPr>
      <w:t>121</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73BA6">
    <w:pPr>
      <w:pStyle w:val="21"/>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51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FB66CF">
                          <w:pPr>
                            <w:pStyle w:val="21"/>
                          </w:pPr>
                          <w:r>
                            <w:fldChar w:fldCharType="begin"/>
                          </w:r>
                          <w:r>
                            <w:instrText xml:space="preserve"> PAGE  \* MERGEFORMAT </w:instrText>
                          </w:r>
                          <w:r>
                            <w:fldChar w:fldCharType="separate"/>
                          </w:r>
                          <w:r>
                            <w:t>69</w:t>
                          </w:r>
                          <w:r>
                            <w:fldChar w:fldCharType="end"/>
                          </w:r>
                        </w:p>
                      </w:txbxContent>
                    </wps:txbx>
                    <wps:bodyPr wrap="none" lIns="0" tIns="0" rIns="0" bIns="0">
                      <a:spAutoFit/>
                    </wps:bodyPr>
                  </wps:wsp>
                </a:graphicData>
              </a:graphic>
            </wp:anchor>
          </w:drawing>
        </mc:Choice>
        <mc:Fallback>
          <w:pict>
            <v:shape id="文本框 5142"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559pOcQBAACQAwAADgAAAAAAAAABACAAAAAeAQAAZHJzL2Uyb0RvYy54bWxQ&#10;SwUGAAAAAAYABgBZAQAAVAUAAAAA&#10;">
              <v:fill on="f" focussize="0,0"/>
              <v:stroke on="f"/>
              <v:imagedata o:title=""/>
              <o:lock v:ext="edit" aspectratio="f"/>
              <v:textbox inset="0mm,0mm,0mm,0mm" style="mso-fit-shape-to-text:t;">
                <w:txbxContent>
                  <w:p w14:paraId="4DFB66CF">
                    <w:pPr>
                      <w:pStyle w:val="21"/>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F651C">
    <w:pPr>
      <w:pStyle w:val="21"/>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51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FE1D949">
                          <w:pPr>
                            <w:pStyle w:val="21"/>
                          </w:pPr>
                          <w:r>
                            <w:fldChar w:fldCharType="begin"/>
                          </w:r>
                          <w:r>
                            <w:instrText xml:space="preserve"> PAGE  \* MERGEFORMAT </w:instrText>
                          </w:r>
                          <w:r>
                            <w:fldChar w:fldCharType="separate"/>
                          </w:r>
                          <w:r>
                            <w:t>74</w:t>
                          </w:r>
                          <w:r>
                            <w:fldChar w:fldCharType="end"/>
                          </w:r>
                        </w:p>
                      </w:txbxContent>
                    </wps:txbx>
                    <wps:bodyPr wrap="none" lIns="0" tIns="0" rIns="0" bIns="0">
                      <a:spAutoFit/>
                    </wps:bodyPr>
                  </wps:wsp>
                </a:graphicData>
              </a:graphic>
            </wp:anchor>
          </w:drawing>
        </mc:Choice>
        <mc:Fallback>
          <w:pict>
            <v:shape id="文本框 5137"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PCYYcxgEAAJADAAAOAAAAAAAAAAEAIAAAAB4BAABkcnMvZTJvRG9jLnht&#10;bFBLBQYAAAAABgAGAFkBAABWBQAAAAA=&#10;">
              <v:fill on="f" focussize="0,0"/>
              <v:stroke on="f"/>
              <v:imagedata o:title=""/>
              <o:lock v:ext="edit" aspectratio="f"/>
              <v:textbox inset="0mm,0mm,0mm,0mm" style="mso-fit-shape-to-text:t;">
                <w:txbxContent>
                  <w:p w14:paraId="0FE1D949">
                    <w:pPr>
                      <w:pStyle w:val="21"/>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E2158">
    <w:pPr>
      <w:pStyle w:val="21"/>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51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80AC0D">
                          <w:pPr>
                            <w:pStyle w:val="21"/>
                          </w:pPr>
                          <w:r>
                            <w:fldChar w:fldCharType="begin"/>
                          </w:r>
                          <w:r>
                            <w:instrText xml:space="preserve"> PAGE  \* MERGEFORMAT </w:instrText>
                          </w:r>
                          <w:r>
                            <w:fldChar w:fldCharType="separate"/>
                          </w:r>
                          <w:r>
                            <w:t>87</w:t>
                          </w:r>
                          <w:r>
                            <w:fldChar w:fldCharType="end"/>
                          </w:r>
                        </w:p>
                      </w:txbxContent>
                    </wps:txbx>
                    <wps:bodyPr wrap="none" lIns="0" tIns="0" rIns="0" bIns="0">
                      <a:spAutoFit/>
                    </wps:bodyPr>
                  </wps:wsp>
                </a:graphicData>
              </a:graphic>
            </wp:anchor>
          </w:drawing>
        </mc:Choice>
        <mc:Fallback>
          <w:pict>
            <v:shape id="文本框 5138"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ne2/z8QBAACQAwAADgAAAAAAAAABACAAAAAeAQAAZHJzL2Uyb0RvYy54bWxQ&#10;SwUGAAAAAAYABgBZAQAAVAUAAAAA&#10;">
              <v:fill on="f" focussize="0,0"/>
              <v:stroke on="f"/>
              <v:imagedata o:title=""/>
              <o:lock v:ext="edit" aspectratio="f"/>
              <v:textbox inset="0mm,0mm,0mm,0mm" style="mso-fit-shape-to-text:t;">
                <w:txbxContent>
                  <w:p w14:paraId="0D80AC0D">
                    <w:pPr>
                      <w:pStyle w:val="21"/>
                    </w:pPr>
                    <w:r>
                      <w:fldChar w:fldCharType="begin"/>
                    </w:r>
                    <w:r>
                      <w:instrText xml:space="preserve"> PAGE  \* MERGEFORMAT </w:instrText>
                    </w:r>
                    <w:r>
                      <w:fldChar w:fldCharType="separate"/>
                    </w:r>
                    <w:r>
                      <w:t>87</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6A89D">
    <w:pPr>
      <w:pStyle w:val="21"/>
      <w:jc w:val="cente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51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587494">
                          <w:pPr>
                            <w:pStyle w:val="21"/>
                          </w:pPr>
                          <w:r>
                            <w:fldChar w:fldCharType="begin"/>
                          </w:r>
                          <w:r>
                            <w:instrText xml:space="preserve"> PAGE  \* MERGEFORMAT </w:instrText>
                          </w:r>
                          <w:r>
                            <w:fldChar w:fldCharType="separate"/>
                          </w:r>
                          <w:r>
                            <w:t>89</w:t>
                          </w:r>
                          <w:r>
                            <w:fldChar w:fldCharType="end"/>
                          </w:r>
                        </w:p>
                      </w:txbxContent>
                    </wps:txbx>
                    <wps:bodyPr wrap="none" lIns="0" tIns="0" rIns="0" bIns="0">
                      <a:spAutoFit/>
                    </wps:bodyPr>
                  </wps:wsp>
                </a:graphicData>
              </a:graphic>
            </wp:anchor>
          </w:drawing>
        </mc:Choice>
        <mc:Fallback>
          <w:pict>
            <v:shape id="文本框 5139"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TPCHVcQBAACRAwAADgAAAAAAAAABACAAAAAeAQAAZHJzL2Uyb0RvYy54bWxQ&#10;SwUGAAAAAAYABgBZAQAAVAUAAAAA&#10;">
              <v:fill on="f" focussize="0,0"/>
              <v:stroke on="f"/>
              <v:imagedata o:title=""/>
              <o:lock v:ext="edit" aspectratio="f"/>
              <v:textbox inset="0mm,0mm,0mm,0mm" style="mso-fit-shape-to-text:t;">
                <w:txbxContent>
                  <w:p w14:paraId="10587494">
                    <w:pPr>
                      <w:pStyle w:val="21"/>
                    </w:pPr>
                    <w:r>
                      <w:fldChar w:fldCharType="begin"/>
                    </w:r>
                    <w:r>
                      <w:instrText xml:space="preserve"> PAGE  \* MERGEFORMAT </w:instrText>
                    </w:r>
                    <w:r>
                      <w:fldChar w:fldCharType="separate"/>
                    </w:r>
                    <w:r>
                      <w:t>89</w:t>
                    </w:r>
                    <w:r>
                      <w:fldChar w:fldCharType="end"/>
                    </w:r>
                  </w:p>
                </w:txbxContent>
              </v:textbox>
            </v:shape>
          </w:pict>
        </mc:Fallback>
      </mc:AlternateContent>
    </w:r>
  </w:p>
  <w:p w14:paraId="0AC61566">
    <w:pPr>
      <w:pStyle w:val="21"/>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8AECE">
    <w:pPr>
      <w:pStyle w:val="2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280BBE">
                          <w:pPr>
                            <w:pStyle w:val="21"/>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QcouLsQBAACQAwAADgAAAAAAAAABACAAAAAeAQAAZHJzL2Uyb0RvYy54bWxQ&#10;SwUGAAAAAAYABgBZAQAAVAUAAAAA&#10;">
              <v:fill on="f" focussize="0,0"/>
              <v:stroke on="f"/>
              <v:imagedata o:title=""/>
              <o:lock v:ext="edit" aspectratio="f"/>
              <v:textbox inset="0mm,0mm,0mm,0mm" style="mso-fit-shape-to-text:t;">
                <w:txbxContent>
                  <w:p w14:paraId="36280BBE">
                    <w:pPr>
                      <w:pStyle w:val="21"/>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FB282">
    <w:pPr>
      <w:pStyle w:val="2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4313E">
    <w:r>
      <w:c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7BD45">
    <w:pPr>
      <w:pStyle w:val="22"/>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A4E31">
    <w:pPr>
      <w:pStyle w:val="2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1D8CB">
    <w:pPr>
      <w:pStyle w:val="22"/>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F887F">
    <w:pPr>
      <w:pStyle w:val="2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6F1E4A"/>
    <w:multiLevelType w:val="singleLevel"/>
    <w:tmpl w:val="816F1E4A"/>
    <w:lvl w:ilvl="0" w:tentative="0">
      <w:start w:val="6"/>
      <w:numFmt w:val="chineseCounting"/>
      <w:suff w:val="space"/>
      <w:lvlText w:val="第%1章"/>
      <w:lvlJc w:val="left"/>
      <w:rPr>
        <w:rFonts w:hint="eastAsia"/>
      </w:rPr>
    </w:lvl>
  </w:abstractNum>
  <w:abstractNum w:abstractNumId="1">
    <w:nsid w:val="89684B85"/>
    <w:multiLevelType w:val="singleLevel"/>
    <w:tmpl w:val="89684B85"/>
    <w:lvl w:ilvl="0" w:tentative="0">
      <w:start w:val="2"/>
      <w:numFmt w:val="chineseCounting"/>
      <w:suff w:val="nothing"/>
      <w:lvlText w:val="%1、"/>
      <w:lvlJc w:val="left"/>
      <w:rPr>
        <w:rFonts w:hint="eastAsia"/>
      </w:rPr>
    </w:lvl>
  </w:abstractNum>
  <w:abstractNum w:abstractNumId="2">
    <w:nsid w:val="9A9A8C41"/>
    <w:multiLevelType w:val="singleLevel"/>
    <w:tmpl w:val="9A9A8C41"/>
    <w:lvl w:ilvl="0" w:tentative="0">
      <w:start w:val="1"/>
      <w:numFmt w:val="decimal"/>
      <w:suff w:val="nothing"/>
      <w:lvlText w:val="%1"/>
      <w:lvlJc w:val="left"/>
      <w:pPr>
        <w:tabs>
          <w:tab w:val="left" w:pos="420"/>
        </w:tabs>
        <w:ind w:left="425" w:hanging="425"/>
      </w:pPr>
      <w:rPr>
        <w:rFonts w:hint="default"/>
      </w:rPr>
    </w:lvl>
  </w:abstractNum>
  <w:abstractNum w:abstractNumId="3">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cs="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cs="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cs="Times New Roman"/>
        <w:b/>
        <w:i w:val="0"/>
        <w:sz w:val="24"/>
      </w:rPr>
    </w:lvl>
    <w:lvl w:ilvl="3" w:tentative="0">
      <w:start w:val="1"/>
      <w:numFmt w:val="decimal"/>
      <w:pStyle w:val="6"/>
      <w:lvlText w:val="%1.%2.%3.%4"/>
      <w:lvlJc w:val="left"/>
      <w:pPr>
        <w:tabs>
          <w:tab w:val="left" w:pos="3063"/>
        </w:tabs>
        <w:ind w:left="3063" w:hanging="1078"/>
      </w:pPr>
      <w:rPr>
        <w:rFonts w:hint="default" w:ascii="Arial" w:hAnsi="Arial" w:cs="Times New Roman"/>
        <w:b w:val="0"/>
        <w:i w:val="0"/>
        <w:sz w:val="24"/>
      </w:rPr>
    </w:lvl>
    <w:lvl w:ilvl="4" w:tentative="0">
      <w:start w:val="1"/>
      <w:numFmt w:val="decimal"/>
      <w:lvlText w:val="%1.%2.%3.%4.%5"/>
      <w:lvlJc w:val="left"/>
      <w:pPr>
        <w:tabs>
          <w:tab w:val="left" w:pos="314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4351"/>
        </w:tabs>
        <w:ind w:left="3827" w:hanging="1276"/>
      </w:pPr>
    </w:lvl>
    <w:lvl w:ilvl="7" w:tentative="0">
      <w:start w:val="1"/>
      <w:numFmt w:val="decimal"/>
      <w:lvlText w:val="%1.%2.%3.%4.%5.%6.%7.%8"/>
      <w:lvlJc w:val="left"/>
      <w:pPr>
        <w:tabs>
          <w:tab w:val="left" w:pos="5136"/>
        </w:tabs>
        <w:ind w:left="4394" w:hanging="1418"/>
      </w:pPr>
    </w:lvl>
    <w:lvl w:ilvl="8" w:tentative="0">
      <w:start w:val="1"/>
      <w:numFmt w:val="decimal"/>
      <w:lvlText w:val="%1.%2.%3.%4.%5.%6.%7.%8.%9"/>
      <w:lvlJc w:val="left"/>
      <w:pPr>
        <w:tabs>
          <w:tab w:val="left" w:pos="5562"/>
        </w:tabs>
        <w:ind w:left="5102" w:hanging="170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210"/>
  <w:drawingGridVerticalSpacing w:val="16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diNjM0YWQ0ZmIxZDA4OTExYjYxNmU4NDQ2ODNmOGQifQ=="/>
  </w:docVars>
  <w:rsids>
    <w:rsidRoot w:val="00F34B14"/>
    <w:rsid w:val="00000672"/>
    <w:rsid w:val="00001013"/>
    <w:rsid w:val="00001799"/>
    <w:rsid w:val="00001AF2"/>
    <w:rsid w:val="00001ECA"/>
    <w:rsid w:val="00002D29"/>
    <w:rsid w:val="00003B93"/>
    <w:rsid w:val="0000474D"/>
    <w:rsid w:val="00005FDF"/>
    <w:rsid w:val="000070B3"/>
    <w:rsid w:val="000076B8"/>
    <w:rsid w:val="0001047A"/>
    <w:rsid w:val="000109DC"/>
    <w:rsid w:val="00010D39"/>
    <w:rsid w:val="0001172C"/>
    <w:rsid w:val="00011A4D"/>
    <w:rsid w:val="00011BC9"/>
    <w:rsid w:val="00012854"/>
    <w:rsid w:val="00012EA6"/>
    <w:rsid w:val="00013359"/>
    <w:rsid w:val="000139CF"/>
    <w:rsid w:val="00013AA4"/>
    <w:rsid w:val="00013DFE"/>
    <w:rsid w:val="000141EA"/>
    <w:rsid w:val="00015094"/>
    <w:rsid w:val="00016ABC"/>
    <w:rsid w:val="000177DB"/>
    <w:rsid w:val="000179C9"/>
    <w:rsid w:val="00017CCC"/>
    <w:rsid w:val="00020227"/>
    <w:rsid w:val="00020263"/>
    <w:rsid w:val="00020455"/>
    <w:rsid w:val="00020527"/>
    <w:rsid w:val="00020813"/>
    <w:rsid w:val="000220B2"/>
    <w:rsid w:val="0002264C"/>
    <w:rsid w:val="00022731"/>
    <w:rsid w:val="00022792"/>
    <w:rsid w:val="00024463"/>
    <w:rsid w:val="00025461"/>
    <w:rsid w:val="00025636"/>
    <w:rsid w:val="00025E36"/>
    <w:rsid w:val="00026855"/>
    <w:rsid w:val="00026886"/>
    <w:rsid w:val="0002785D"/>
    <w:rsid w:val="000329E0"/>
    <w:rsid w:val="000352E9"/>
    <w:rsid w:val="00035494"/>
    <w:rsid w:val="00036125"/>
    <w:rsid w:val="00036A07"/>
    <w:rsid w:val="0003780B"/>
    <w:rsid w:val="00040571"/>
    <w:rsid w:val="00040973"/>
    <w:rsid w:val="0004156E"/>
    <w:rsid w:val="00041713"/>
    <w:rsid w:val="0004246E"/>
    <w:rsid w:val="0004440C"/>
    <w:rsid w:val="00046B5E"/>
    <w:rsid w:val="000470CB"/>
    <w:rsid w:val="000509D9"/>
    <w:rsid w:val="00051ACB"/>
    <w:rsid w:val="000533E7"/>
    <w:rsid w:val="00055D41"/>
    <w:rsid w:val="00057CD6"/>
    <w:rsid w:val="00060DCE"/>
    <w:rsid w:val="000610E3"/>
    <w:rsid w:val="000614F3"/>
    <w:rsid w:val="000623B4"/>
    <w:rsid w:val="00062405"/>
    <w:rsid w:val="000634A7"/>
    <w:rsid w:val="00063B0B"/>
    <w:rsid w:val="00063F81"/>
    <w:rsid w:val="00064847"/>
    <w:rsid w:val="00065E08"/>
    <w:rsid w:val="000673E2"/>
    <w:rsid w:val="0007063F"/>
    <w:rsid w:val="000707FD"/>
    <w:rsid w:val="00070949"/>
    <w:rsid w:val="000711E4"/>
    <w:rsid w:val="000724D9"/>
    <w:rsid w:val="00072AED"/>
    <w:rsid w:val="00073F47"/>
    <w:rsid w:val="0007492F"/>
    <w:rsid w:val="00074ED8"/>
    <w:rsid w:val="00075B7E"/>
    <w:rsid w:val="00077ACA"/>
    <w:rsid w:val="00077C70"/>
    <w:rsid w:val="000813B5"/>
    <w:rsid w:val="00081BA3"/>
    <w:rsid w:val="00081D2E"/>
    <w:rsid w:val="00081F89"/>
    <w:rsid w:val="00082619"/>
    <w:rsid w:val="00082D02"/>
    <w:rsid w:val="00083871"/>
    <w:rsid w:val="00083B91"/>
    <w:rsid w:val="0008473C"/>
    <w:rsid w:val="0008520B"/>
    <w:rsid w:val="000860BD"/>
    <w:rsid w:val="000871B8"/>
    <w:rsid w:val="000916DA"/>
    <w:rsid w:val="00092442"/>
    <w:rsid w:val="000929EF"/>
    <w:rsid w:val="000933BE"/>
    <w:rsid w:val="00093CD4"/>
    <w:rsid w:val="0009560F"/>
    <w:rsid w:val="0009588E"/>
    <w:rsid w:val="000959EE"/>
    <w:rsid w:val="00097183"/>
    <w:rsid w:val="000972CB"/>
    <w:rsid w:val="00097608"/>
    <w:rsid w:val="000A0A21"/>
    <w:rsid w:val="000A13F3"/>
    <w:rsid w:val="000A23B1"/>
    <w:rsid w:val="000A2B0E"/>
    <w:rsid w:val="000A398F"/>
    <w:rsid w:val="000A3BB7"/>
    <w:rsid w:val="000A448C"/>
    <w:rsid w:val="000A509C"/>
    <w:rsid w:val="000A54A7"/>
    <w:rsid w:val="000A6007"/>
    <w:rsid w:val="000A65A6"/>
    <w:rsid w:val="000A70E3"/>
    <w:rsid w:val="000A7275"/>
    <w:rsid w:val="000A7A12"/>
    <w:rsid w:val="000A7A72"/>
    <w:rsid w:val="000B1202"/>
    <w:rsid w:val="000B1801"/>
    <w:rsid w:val="000B1D0C"/>
    <w:rsid w:val="000B2273"/>
    <w:rsid w:val="000B2585"/>
    <w:rsid w:val="000B2BC6"/>
    <w:rsid w:val="000B2D03"/>
    <w:rsid w:val="000B3815"/>
    <w:rsid w:val="000B3C7B"/>
    <w:rsid w:val="000B3ED8"/>
    <w:rsid w:val="000B4321"/>
    <w:rsid w:val="000B6A6B"/>
    <w:rsid w:val="000B6C95"/>
    <w:rsid w:val="000B79FC"/>
    <w:rsid w:val="000B7BD1"/>
    <w:rsid w:val="000C02B1"/>
    <w:rsid w:val="000C1679"/>
    <w:rsid w:val="000C1EE3"/>
    <w:rsid w:val="000C3AE7"/>
    <w:rsid w:val="000C3CC9"/>
    <w:rsid w:val="000C6DE4"/>
    <w:rsid w:val="000C7202"/>
    <w:rsid w:val="000D0A89"/>
    <w:rsid w:val="000D1389"/>
    <w:rsid w:val="000D1798"/>
    <w:rsid w:val="000D2626"/>
    <w:rsid w:val="000D291C"/>
    <w:rsid w:val="000D3FB6"/>
    <w:rsid w:val="000D411D"/>
    <w:rsid w:val="000D4589"/>
    <w:rsid w:val="000D4809"/>
    <w:rsid w:val="000D73DD"/>
    <w:rsid w:val="000E1C51"/>
    <w:rsid w:val="000E28AB"/>
    <w:rsid w:val="000E2E3E"/>
    <w:rsid w:val="000E3583"/>
    <w:rsid w:val="000E3AF0"/>
    <w:rsid w:val="000E4E04"/>
    <w:rsid w:val="000E693B"/>
    <w:rsid w:val="000E6EC9"/>
    <w:rsid w:val="000E70B4"/>
    <w:rsid w:val="000E7B62"/>
    <w:rsid w:val="000F0E1E"/>
    <w:rsid w:val="000F1A1B"/>
    <w:rsid w:val="000F2A95"/>
    <w:rsid w:val="000F3281"/>
    <w:rsid w:val="000F32FD"/>
    <w:rsid w:val="000F3733"/>
    <w:rsid w:val="000F5F8B"/>
    <w:rsid w:val="000F6153"/>
    <w:rsid w:val="000F63C8"/>
    <w:rsid w:val="000F64AA"/>
    <w:rsid w:val="000F7251"/>
    <w:rsid w:val="000F7AF4"/>
    <w:rsid w:val="000F7C33"/>
    <w:rsid w:val="000F7F0C"/>
    <w:rsid w:val="001004D6"/>
    <w:rsid w:val="00102676"/>
    <w:rsid w:val="00103646"/>
    <w:rsid w:val="00103918"/>
    <w:rsid w:val="00104897"/>
    <w:rsid w:val="00104EDE"/>
    <w:rsid w:val="00105CDA"/>
    <w:rsid w:val="00106BEE"/>
    <w:rsid w:val="00107C74"/>
    <w:rsid w:val="0011091C"/>
    <w:rsid w:val="00111266"/>
    <w:rsid w:val="001112EB"/>
    <w:rsid w:val="00112768"/>
    <w:rsid w:val="00113678"/>
    <w:rsid w:val="00113C3E"/>
    <w:rsid w:val="00115E11"/>
    <w:rsid w:val="00115EEE"/>
    <w:rsid w:val="00115F56"/>
    <w:rsid w:val="00116CA9"/>
    <w:rsid w:val="00116F38"/>
    <w:rsid w:val="001170A4"/>
    <w:rsid w:val="00117AE7"/>
    <w:rsid w:val="00117CBD"/>
    <w:rsid w:val="0012006A"/>
    <w:rsid w:val="00121979"/>
    <w:rsid w:val="00122064"/>
    <w:rsid w:val="00124341"/>
    <w:rsid w:val="00124492"/>
    <w:rsid w:val="00124B12"/>
    <w:rsid w:val="001250A0"/>
    <w:rsid w:val="001263B8"/>
    <w:rsid w:val="0012763E"/>
    <w:rsid w:val="00130217"/>
    <w:rsid w:val="00130783"/>
    <w:rsid w:val="00130A47"/>
    <w:rsid w:val="00130D7C"/>
    <w:rsid w:val="00132B47"/>
    <w:rsid w:val="001337F8"/>
    <w:rsid w:val="001348B4"/>
    <w:rsid w:val="001351CB"/>
    <w:rsid w:val="00135530"/>
    <w:rsid w:val="00135947"/>
    <w:rsid w:val="001359A2"/>
    <w:rsid w:val="00135F92"/>
    <w:rsid w:val="00136020"/>
    <w:rsid w:val="00136445"/>
    <w:rsid w:val="00140132"/>
    <w:rsid w:val="00141C9C"/>
    <w:rsid w:val="0014277F"/>
    <w:rsid w:val="001434BE"/>
    <w:rsid w:val="00144050"/>
    <w:rsid w:val="0014479F"/>
    <w:rsid w:val="001452B4"/>
    <w:rsid w:val="00145320"/>
    <w:rsid w:val="001476D3"/>
    <w:rsid w:val="001509CF"/>
    <w:rsid w:val="00150D1D"/>
    <w:rsid w:val="001525AA"/>
    <w:rsid w:val="00152A87"/>
    <w:rsid w:val="00153BB5"/>
    <w:rsid w:val="00154518"/>
    <w:rsid w:val="00156359"/>
    <w:rsid w:val="001568F3"/>
    <w:rsid w:val="00156DD6"/>
    <w:rsid w:val="0016086E"/>
    <w:rsid w:val="00160D0C"/>
    <w:rsid w:val="00161172"/>
    <w:rsid w:val="00161998"/>
    <w:rsid w:val="00161E65"/>
    <w:rsid w:val="00162597"/>
    <w:rsid w:val="001629AF"/>
    <w:rsid w:val="001629FD"/>
    <w:rsid w:val="0016428A"/>
    <w:rsid w:val="001647C9"/>
    <w:rsid w:val="00165627"/>
    <w:rsid w:val="00165929"/>
    <w:rsid w:val="001661A3"/>
    <w:rsid w:val="00167226"/>
    <w:rsid w:val="0016782B"/>
    <w:rsid w:val="0016784D"/>
    <w:rsid w:val="00172CA8"/>
    <w:rsid w:val="00173256"/>
    <w:rsid w:val="00173B0E"/>
    <w:rsid w:val="00173E03"/>
    <w:rsid w:val="00174182"/>
    <w:rsid w:val="0017512C"/>
    <w:rsid w:val="0017586A"/>
    <w:rsid w:val="00175BA6"/>
    <w:rsid w:val="00176CA7"/>
    <w:rsid w:val="00176F8E"/>
    <w:rsid w:val="001778C5"/>
    <w:rsid w:val="00177E56"/>
    <w:rsid w:val="00177F0A"/>
    <w:rsid w:val="00180DA0"/>
    <w:rsid w:val="00181EAD"/>
    <w:rsid w:val="00181F43"/>
    <w:rsid w:val="00182862"/>
    <w:rsid w:val="00184F57"/>
    <w:rsid w:val="00185544"/>
    <w:rsid w:val="00185617"/>
    <w:rsid w:val="00186143"/>
    <w:rsid w:val="00186823"/>
    <w:rsid w:val="00186FE1"/>
    <w:rsid w:val="00187A14"/>
    <w:rsid w:val="0019171E"/>
    <w:rsid w:val="00192368"/>
    <w:rsid w:val="001923A0"/>
    <w:rsid w:val="001928B1"/>
    <w:rsid w:val="00193537"/>
    <w:rsid w:val="00193846"/>
    <w:rsid w:val="00195424"/>
    <w:rsid w:val="001955FF"/>
    <w:rsid w:val="00196D6E"/>
    <w:rsid w:val="00197EDD"/>
    <w:rsid w:val="001A02B3"/>
    <w:rsid w:val="001A04BB"/>
    <w:rsid w:val="001A08D0"/>
    <w:rsid w:val="001A1B39"/>
    <w:rsid w:val="001A2120"/>
    <w:rsid w:val="001A28C6"/>
    <w:rsid w:val="001A2E69"/>
    <w:rsid w:val="001A3C34"/>
    <w:rsid w:val="001A3EDE"/>
    <w:rsid w:val="001A4222"/>
    <w:rsid w:val="001A50EA"/>
    <w:rsid w:val="001A5BA2"/>
    <w:rsid w:val="001A5E24"/>
    <w:rsid w:val="001A6B27"/>
    <w:rsid w:val="001A6D8B"/>
    <w:rsid w:val="001A6DAA"/>
    <w:rsid w:val="001A7717"/>
    <w:rsid w:val="001A793A"/>
    <w:rsid w:val="001B125A"/>
    <w:rsid w:val="001B1EBA"/>
    <w:rsid w:val="001B2142"/>
    <w:rsid w:val="001B2F2B"/>
    <w:rsid w:val="001B327A"/>
    <w:rsid w:val="001B35DE"/>
    <w:rsid w:val="001B3A13"/>
    <w:rsid w:val="001B3F5C"/>
    <w:rsid w:val="001B59FF"/>
    <w:rsid w:val="001B6512"/>
    <w:rsid w:val="001B65D7"/>
    <w:rsid w:val="001B6752"/>
    <w:rsid w:val="001B6768"/>
    <w:rsid w:val="001B6F1F"/>
    <w:rsid w:val="001B7CD7"/>
    <w:rsid w:val="001B7ECC"/>
    <w:rsid w:val="001C025B"/>
    <w:rsid w:val="001C115F"/>
    <w:rsid w:val="001C1EAB"/>
    <w:rsid w:val="001C25A7"/>
    <w:rsid w:val="001C318C"/>
    <w:rsid w:val="001C35C4"/>
    <w:rsid w:val="001C4287"/>
    <w:rsid w:val="001C4479"/>
    <w:rsid w:val="001C5190"/>
    <w:rsid w:val="001C589D"/>
    <w:rsid w:val="001C6081"/>
    <w:rsid w:val="001C7B48"/>
    <w:rsid w:val="001D0CFB"/>
    <w:rsid w:val="001D1A0D"/>
    <w:rsid w:val="001D343C"/>
    <w:rsid w:val="001D34F5"/>
    <w:rsid w:val="001D56FC"/>
    <w:rsid w:val="001D58A1"/>
    <w:rsid w:val="001D58C2"/>
    <w:rsid w:val="001D5A8A"/>
    <w:rsid w:val="001D61CA"/>
    <w:rsid w:val="001D6E87"/>
    <w:rsid w:val="001D735E"/>
    <w:rsid w:val="001D73C8"/>
    <w:rsid w:val="001D7BC6"/>
    <w:rsid w:val="001E129E"/>
    <w:rsid w:val="001E175C"/>
    <w:rsid w:val="001E1B0E"/>
    <w:rsid w:val="001E3B63"/>
    <w:rsid w:val="001E522E"/>
    <w:rsid w:val="001E5A94"/>
    <w:rsid w:val="001E5F6F"/>
    <w:rsid w:val="001F0373"/>
    <w:rsid w:val="001F2A2E"/>
    <w:rsid w:val="001F3356"/>
    <w:rsid w:val="001F3C63"/>
    <w:rsid w:val="001F4460"/>
    <w:rsid w:val="001F711A"/>
    <w:rsid w:val="001F75B0"/>
    <w:rsid w:val="00200CE5"/>
    <w:rsid w:val="00200F7C"/>
    <w:rsid w:val="002014DB"/>
    <w:rsid w:val="0020150B"/>
    <w:rsid w:val="00201E12"/>
    <w:rsid w:val="002033B5"/>
    <w:rsid w:val="0020382C"/>
    <w:rsid w:val="0020437A"/>
    <w:rsid w:val="0020454C"/>
    <w:rsid w:val="00204740"/>
    <w:rsid w:val="00205129"/>
    <w:rsid w:val="0020521F"/>
    <w:rsid w:val="0020532C"/>
    <w:rsid w:val="002114C7"/>
    <w:rsid w:val="0021302C"/>
    <w:rsid w:val="00213B1C"/>
    <w:rsid w:val="00214202"/>
    <w:rsid w:val="002148E3"/>
    <w:rsid w:val="0021552D"/>
    <w:rsid w:val="002156AE"/>
    <w:rsid w:val="00215E99"/>
    <w:rsid w:val="0022054D"/>
    <w:rsid w:val="00223DDB"/>
    <w:rsid w:val="00223FA4"/>
    <w:rsid w:val="00223FB0"/>
    <w:rsid w:val="00224067"/>
    <w:rsid w:val="0022421C"/>
    <w:rsid w:val="00224E83"/>
    <w:rsid w:val="00225664"/>
    <w:rsid w:val="0022663D"/>
    <w:rsid w:val="00227F2D"/>
    <w:rsid w:val="00230179"/>
    <w:rsid w:val="00231851"/>
    <w:rsid w:val="002319FB"/>
    <w:rsid w:val="00231B89"/>
    <w:rsid w:val="00231F11"/>
    <w:rsid w:val="00231F5E"/>
    <w:rsid w:val="002346B4"/>
    <w:rsid w:val="00234F6E"/>
    <w:rsid w:val="002355BE"/>
    <w:rsid w:val="002358EA"/>
    <w:rsid w:val="00236578"/>
    <w:rsid w:val="00236DE9"/>
    <w:rsid w:val="00237342"/>
    <w:rsid w:val="00237D5A"/>
    <w:rsid w:val="002415AE"/>
    <w:rsid w:val="00241D3C"/>
    <w:rsid w:val="00242109"/>
    <w:rsid w:val="00243189"/>
    <w:rsid w:val="002439AB"/>
    <w:rsid w:val="00243C19"/>
    <w:rsid w:val="00244AE8"/>
    <w:rsid w:val="00244DC9"/>
    <w:rsid w:val="00245587"/>
    <w:rsid w:val="00245F2B"/>
    <w:rsid w:val="00247F3A"/>
    <w:rsid w:val="00250122"/>
    <w:rsid w:val="00250755"/>
    <w:rsid w:val="00251043"/>
    <w:rsid w:val="00251C4A"/>
    <w:rsid w:val="0025271C"/>
    <w:rsid w:val="002529E4"/>
    <w:rsid w:val="002533CD"/>
    <w:rsid w:val="002535EA"/>
    <w:rsid w:val="00254EAB"/>
    <w:rsid w:val="002557AF"/>
    <w:rsid w:val="0025589C"/>
    <w:rsid w:val="00255B62"/>
    <w:rsid w:val="002566B1"/>
    <w:rsid w:val="002575E3"/>
    <w:rsid w:val="00257A74"/>
    <w:rsid w:val="002603C1"/>
    <w:rsid w:val="002609A1"/>
    <w:rsid w:val="002612B1"/>
    <w:rsid w:val="00266165"/>
    <w:rsid w:val="002662FE"/>
    <w:rsid w:val="00266F2C"/>
    <w:rsid w:val="0027125E"/>
    <w:rsid w:val="00271767"/>
    <w:rsid w:val="00272293"/>
    <w:rsid w:val="002723C8"/>
    <w:rsid w:val="00273C2A"/>
    <w:rsid w:val="00273CBE"/>
    <w:rsid w:val="002746B1"/>
    <w:rsid w:val="00274BAD"/>
    <w:rsid w:val="00282D56"/>
    <w:rsid w:val="002835B0"/>
    <w:rsid w:val="00283C74"/>
    <w:rsid w:val="0028407E"/>
    <w:rsid w:val="0028410F"/>
    <w:rsid w:val="00284572"/>
    <w:rsid w:val="00285221"/>
    <w:rsid w:val="00285B18"/>
    <w:rsid w:val="00286FB5"/>
    <w:rsid w:val="00287763"/>
    <w:rsid w:val="00287FCB"/>
    <w:rsid w:val="002904FE"/>
    <w:rsid w:val="00290606"/>
    <w:rsid w:val="002909B2"/>
    <w:rsid w:val="00291D6D"/>
    <w:rsid w:val="00291FF1"/>
    <w:rsid w:val="00292AA2"/>
    <w:rsid w:val="00293361"/>
    <w:rsid w:val="002952B1"/>
    <w:rsid w:val="00295D11"/>
    <w:rsid w:val="00296FB6"/>
    <w:rsid w:val="002A0001"/>
    <w:rsid w:val="002A0BD9"/>
    <w:rsid w:val="002A0C3A"/>
    <w:rsid w:val="002A1130"/>
    <w:rsid w:val="002A1880"/>
    <w:rsid w:val="002A23B7"/>
    <w:rsid w:val="002A3A57"/>
    <w:rsid w:val="002A4B4F"/>
    <w:rsid w:val="002A57A8"/>
    <w:rsid w:val="002A6DEF"/>
    <w:rsid w:val="002A6E42"/>
    <w:rsid w:val="002A770B"/>
    <w:rsid w:val="002B013E"/>
    <w:rsid w:val="002B058D"/>
    <w:rsid w:val="002B0C16"/>
    <w:rsid w:val="002B2AC5"/>
    <w:rsid w:val="002B3528"/>
    <w:rsid w:val="002B3539"/>
    <w:rsid w:val="002B4532"/>
    <w:rsid w:val="002B5042"/>
    <w:rsid w:val="002B69CC"/>
    <w:rsid w:val="002B6D71"/>
    <w:rsid w:val="002C0C1C"/>
    <w:rsid w:val="002C54C2"/>
    <w:rsid w:val="002C5D34"/>
    <w:rsid w:val="002C5D7F"/>
    <w:rsid w:val="002C60BB"/>
    <w:rsid w:val="002C661A"/>
    <w:rsid w:val="002D0D6F"/>
    <w:rsid w:val="002D25FC"/>
    <w:rsid w:val="002D4AC6"/>
    <w:rsid w:val="002D5BF5"/>
    <w:rsid w:val="002D5E95"/>
    <w:rsid w:val="002D5EE8"/>
    <w:rsid w:val="002D7360"/>
    <w:rsid w:val="002D7648"/>
    <w:rsid w:val="002D780A"/>
    <w:rsid w:val="002D7878"/>
    <w:rsid w:val="002E109C"/>
    <w:rsid w:val="002E193E"/>
    <w:rsid w:val="002E1A94"/>
    <w:rsid w:val="002E1D55"/>
    <w:rsid w:val="002E26C4"/>
    <w:rsid w:val="002E30A5"/>
    <w:rsid w:val="002E47E4"/>
    <w:rsid w:val="002E4BF9"/>
    <w:rsid w:val="002E4D61"/>
    <w:rsid w:val="002E5FED"/>
    <w:rsid w:val="002E68A7"/>
    <w:rsid w:val="002E6E6C"/>
    <w:rsid w:val="002E713F"/>
    <w:rsid w:val="002F0522"/>
    <w:rsid w:val="002F0B85"/>
    <w:rsid w:val="002F16DD"/>
    <w:rsid w:val="002F199D"/>
    <w:rsid w:val="002F213C"/>
    <w:rsid w:val="002F2453"/>
    <w:rsid w:val="002F352D"/>
    <w:rsid w:val="002F381E"/>
    <w:rsid w:val="002F4084"/>
    <w:rsid w:val="002F4A08"/>
    <w:rsid w:val="002F4ADB"/>
    <w:rsid w:val="002F531E"/>
    <w:rsid w:val="002F548D"/>
    <w:rsid w:val="002F5ACC"/>
    <w:rsid w:val="002F704B"/>
    <w:rsid w:val="002F72C3"/>
    <w:rsid w:val="002F768C"/>
    <w:rsid w:val="002F7D1E"/>
    <w:rsid w:val="00300201"/>
    <w:rsid w:val="0030025A"/>
    <w:rsid w:val="00301ADC"/>
    <w:rsid w:val="00302EFC"/>
    <w:rsid w:val="00303243"/>
    <w:rsid w:val="00303BCC"/>
    <w:rsid w:val="00303F2B"/>
    <w:rsid w:val="00303F8D"/>
    <w:rsid w:val="0030572D"/>
    <w:rsid w:val="0030586A"/>
    <w:rsid w:val="0030622D"/>
    <w:rsid w:val="00306811"/>
    <w:rsid w:val="00306F32"/>
    <w:rsid w:val="003074C5"/>
    <w:rsid w:val="00307A3C"/>
    <w:rsid w:val="00307FA4"/>
    <w:rsid w:val="00310290"/>
    <w:rsid w:val="0031083D"/>
    <w:rsid w:val="00310CC1"/>
    <w:rsid w:val="00311B60"/>
    <w:rsid w:val="00312504"/>
    <w:rsid w:val="00313026"/>
    <w:rsid w:val="00313913"/>
    <w:rsid w:val="0031421F"/>
    <w:rsid w:val="00314B31"/>
    <w:rsid w:val="00315A65"/>
    <w:rsid w:val="003165D7"/>
    <w:rsid w:val="00317BA7"/>
    <w:rsid w:val="00320BE2"/>
    <w:rsid w:val="00321886"/>
    <w:rsid w:val="00323694"/>
    <w:rsid w:val="00323BE7"/>
    <w:rsid w:val="00324C3A"/>
    <w:rsid w:val="00324D63"/>
    <w:rsid w:val="003255AF"/>
    <w:rsid w:val="003256EB"/>
    <w:rsid w:val="003259DB"/>
    <w:rsid w:val="003314D9"/>
    <w:rsid w:val="00331653"/>
    <w:rsid w:val="00331A48"/>
    <w:rsid w:val="00331BCC"/>
    <w:rsid w:val="003330C9"/>
    <w:rsid w:val="0033364C"/>
    <w:rsid w:val="00334415"/>
    <w:rsid w:val="00335EA1"/>
    <w:rsid w:val="0033691E"/>
    <w:rsid w:val="00336A6A"/>
    <w:rsid w:val="00336CCB"/>
    <w:rsid w:val="003411D1"/>
    <w:rsid w:val="003416BA"/>
    <w:rsid w:val="00342148"/>
    <w:rsid w:val="00342F99"/>
    <w:rsid w:val="0034575A"/>
    <w:rsid w:val="00345F57"/>
    <w:rsid w:val="00350458"/>
    <w:rsid w:val="00350E6C"/>
    <w:rsid w:val="003518A6"/>
    <w:rsid w:val="00351E7F"/>
    <w:rsid w:val="00352953"/>
    <w:rsid w:val="00354062"/>
    <w:rsid w:val="0035459E"/>
    <w:rsid w:val="00355C0D"/>
    <w:rsid w:val="003566A9"/>
    <w:rsid w:val="00356988"/>
    <w:rsid w:val="003569D3"/>
    <w:rsid w:val="00356CE9"/>
    <w:rsid w:val="003570BB"/>
    <w:rsid w:val="00357128"/>
    <w:rsid w:val="0035755E"/>
    <w:rsid w:val="00357A80"/>
    <w:rsid w:val="003608BF"/>
    <w:rsid w:val="00361441"/>
    <w:rsid w:val="00361B8B"/>
    <w:rsid w:val="00363F39"/>
    <w:rsid w:val="0036445C"/>
    <w:rsid w:val="00364627"/>
    <w:rsid w:val="00364AB0"/>
    <w:rsid w:val="00364D71"/>
    <w:rsid w:val="003667B0"/>
    <w:rsid w:val="003667DD"/>
    <w:rsid w:val="00366B48"/>
    <w:rsid w:val="00367764"/>
    <w:rsid w:val="00370316"/>
    <w:rsid w:val="00370DC7"/>
    <w:rsid w:val="00371CBD"/>
    <w:rsid w:val="00371F20"/>
    <w:rsid w:val="003721E3"/>
    <w:rsid w:val="00372B98"/>
    <w:rsid w:val="003737B7"/>
    <w:rsid w:val="003740CC"/>
    <w:rsid w:val="003745F4"/>
    <w:rsid w:val="00374E79"/>
    <w:rsid w:val="0037529A"/>
    <w:rsid w:val="00375388"/>
    <w:rsid w:val="00375FB9"/>
    <w:rsid w:val="00376170"/>
    <w:rsid w:val="00376851"/>
    <w:rsid w:val="00376FA2"/>
    <w:rsid w:val="00377A3B"/>
    <w:rsid w:val="00377E3C"/>
    <w:rsid w:val="00380BBE"/>
    <w:rsid w:val="00381D70"/>
    <w:rsid w:val="0038235E"/>
    <w:rsid w:val="003829D0"/>
    <w:rsid w:val="0038326A"/>
    <w:rsid w:val="0038444F"/>
    <w:rsid w:val="003861F0"/>
    <w:rsid w:val="00387051"/>
    <w:rsid w:val="00387ECF"/>
    <w:rsid w:val="0039021B"/>
    <w:rsid w:val="00390429"/>
    <w:rsid w:val="003906A0"/>
    <w:rsid w:val="0039366C"/>
    <w:rsid w:val="00393EC8"/>
    <w:rsid w:val="003950F5"/>
    <w:rsid w:val="0039538F"/>
    <w:rsid w:val="00395E42"/>
    <w:rsid w:val="00396409"/>
    <w:rsid w:val="00396A2D"/>
    <w:rsid w:val="00396FC3"/>
    <w:rsid w:val="003A1A94"/>
    <w:rsid w:val="003A204E"/>
    <w:rsid w:val="003A2D25"/>
    <w:rsid w:val="003A5728"/>
    <w:rsid w:val="003A60E7"/>
    <w:rsid w:val="003A7092"/>
    <w:rsid w:val="003A72A1"/>
    <w:rsid w:val="003A7611"/>
    <w:rsid w:val="003A7D1F"/>
    <w:rsid w:val="003B0B6A"/>
    <w:rsid w:val="003B22F7"/>
    <w:rsid w:val="003B29CF"/>
    <w:rsid w:val="003B3A90"/>
    <w:rsid w:val="003B534F"/>
    <w:rsid w:val="003B5E4F"/>
    <w:rsid w:val="003B7A79"/>
    <w:rsid w:val="003C0FE1"/>
    <w:rsid w:val="003C151A"/>
    <w:rsid w:val="003C350C"/>
    <w:rsid w:val="003C3903"/>
    <w:rsid w:val="003C3BA0"/>
    <w:rsid w:val="003C4580"/>
    <w:rsid w:val="003C468C"/>
    <w:rsid w:val="003C5C5E"/>
    <w:rsid w:val="003C6746"/>
    <w:rsid w:val="003C7555"/>
    <w:rsid w:val="003C7898"/>
    <w:rsid w:val="003D0FF5"/>
    <w:rsid w:val="003D11A3"/>
    <w:rsid w:val="003D1537"/>
    <w:rsid w:val="003D183C"/>
    <w:rsid w:val="003D2D1B"/>
    <w:rsid w:val="003D48C7"/>
    <w:rsid w:val="003D4C27"/>
    <w:rsid w:val="003D7109"/>
    <w:rsid w:val="003D7CE8"/>
    <w:rsid w:val="003E0514"/>
    <w:rsid w:val="003E1032"/>
    <w:rsid w:val="003E1904"/>
    <w:rsid w:val="003E285E"/>
    <w:rsid w:val="003E3124"/>
    <w:rsid w:val="003E3300"/>
    <w:rsid w:val="003E43D3"/>
    <w:rsid w:val="003E48E1"/>
    <w:rsid w:val="003E59BB"/>
    <w:rsid w:val="003E6225"/>
    <w:rsid w:val="003E65AC"/>
    <w:rsid w:val="003E66AE"/>
    <w:rsid w:val="003E72B9"/>
    <w:rsid w:val="003E7ED4"/>
    <w:rsid w:val="003F0E52"/>
    <w:rsid w:val="003F0F6B"/>
    <w:rsid w:val="003F1FC6"/>
    <w:rsid w:val="003F1FE3"/>
    <w:rsid w:val="003F2359"/>
    <w:rsid w:val="003F3865"/>
    <w:rsid w:val="003F3D55"/>
    <w:rsid w:val="003F44E2"/>
    <w:rsid w:val="003F4632"/>
    <w:rsid w:val="003F47BA"/>
    <w:rsid w:val="003F4FE6"/>
    <w:rsid w:val="003F5638"/>
    <w:rsid w:val="003F6617"/>
    <w:rsid w:val="00402332"/>
    <w:rsid w:val="004025C2"/>
    <w:rsid w:val="00403195"/>
    <w:rsid w:val="004033A9"/>
    <w:rsid w:val="00403E55"/>
    <w:rsid w:val="0040407C"/>
    <w:rsid w:val="0040416C"/>
    <w:rsid w:val="00404681"/>
    <w:rsid w:val="00405AC1"/>
    <w:rsid w:val="00406923"/>
    <w:rsid w:val="0040763D"/>
    <w:rsid w:val="00410D17"/>
    <w:rsid w:val="00413442"/>
    <w:rsid w:val="00413821"/>
    <w:rsid w:val="00413BA5"/>
    <w:rsid w:val="004141A3"/>
    <w:rsid w:val="00414909"/>
    <w:rsid w:val="0041582F"/>
    <w:rsid w:val="00416112"/>
    <w:rsid w:val="00416AC8"/>
    <w:rsid w:val="00417AE0"/>
    <w:rsid w:val="00417BAA"/>
    <w:rsid w:val="0042042B"/>
    <w:rsid w:val="00420B45"/>
    <w:rsid w:val="00420D7A"/>
    <w:rsid w:val="00421257"/>
    <w:rsid w:val="00421C84"/>
    <w:rsid w:val="00422193"/>
    <w:rsid w:val="004223DE"/>
    <w:rsid w:val="00422A10"/>
    <w:rsid w:val="00424D17"/>
    <w:rsid w:val="00425DFD"/>
    <w:rsid w:val="004263A3"/>
    <w:rsid w:val="00427713"/>
    <w:rsid w:val="00427CCC"/>
    <w:rsid w:val="0043013A"/>
    <w:rsid w:val="00430421"/>
    <w:rsid w:val="00430A36"/>
    <w:rsid w:val="00430B4F"/>
    <w:rsid w:val="00431084"/>
    <w:rsid w:val="004310D7"/>
    <w:rsid w:val="004322D6"/>
    <w:rsid w:val="00432589"/>
    <w:rsid w:val="00432A94"/>
    <w:rsid w:val="00432C95"/>
    <w:rsid w:val="00433827"/>
    <w:rsid w:val="00433A40"/>
    <w:rsid w:val="00434B70"/>
    <w:rsid w:val="004360C8"/>
    <w:rsid w:val="004371D5"/>
    <w:rsid w:val="0044006B"/>
    <w:rsid w:val="0044033F"/>
    <w:rsid w:val="00440630"/>
    <w:rsid w:val="00441F0F"/>
    <w:rsid w:val="00442965"/>
    <w:rsid w:val="00444157"/>
    <w:rsid w:val="0044417C"/>
    <w:rsid w:val="00444DB3"/>
    <w:rsid w:val="00445617"/>
    <w:rsid w:val="00445A2F"/>
    <w:rsid w:val="0044684E"/>
    <w:rsid w:val="00446F22"/>
    <w:rsid w:val="0045019F"/>
    <w:rsid w:val="004503A4"/>
    <w:rsid w:val="00450555"/>
    <w:rsid w:val="004506FA"/>
    <w:rsid w:val="00450DC6"/>
    <w:rsid w:val="004516A5"/>
    <w:rsid w:val="00451E9C"/>
    <w:rsid w:val="0045280F"/>
    <w:rsid w:val="004535AE"/>
    <w:rsid w:val="0045444D"/>
    <w:rsid w:val="0045463A"/>
    <w:rsid w:val="00454AC9"/>
    <w:rsid w:val="00455050"/>
    <w:rsid w:val="004554A3"/>
    <w:rsid w:val="00455A6E"/>
    <w:rsid w:val="00455EAD"/>
    <w:rsid w:val="004578EB"/>
    <w:rsid w:val="004604D5"/>
    <w:rsid w:val="00460697"/>
    <w:rsid w:val="0046117B"/>
    <w:rsid w:val="00464AB7"/>
    <w:rsid w:val="00465DE5"/>
    <w:rsid w:val="00467EF8"/>
    <w:rsid w:val="00472429"/>
    <w:rsid w:val="004725E5"/>
    <w:rsid w:val="00472751"/>
    <w:rsid w:val="00473128"/>
    <w:rsid w:val="00473263"/>
    <w:rsid w:val="00475078"/>
    <w:rsid w:val="00475767"/>
    <w:rsid w:val="004779A0"/>
    <w:rsid w:val="004808E3"/>
    <w:rsid w:val="00481016"/>
    <w:rsid w:val="0048204C"/>
    <w:rsid w:val="004821BB"/>
    <w:rsid w:val="004826FE"/>
    <w:rsid w:val="004827D5"/>
    <w:rsid w:val="00482AF2"/>
    <w:rsid w:val="004830C9"/>
    <w:rsid w:val="00483347"/>
    <w:rsid w:val="00483E2E"/>
    <w:rsid w:val="00484B69"/>
    <w:rsid w:val="00485406"/>
    <w:rsid w:val="0048590F"/>
    <w:rsid w:val="004865D9"/>
    <w:rsid w:val="00486D60"/>
    <w:rsid w:val="00491FA1"/>
    <w:rsid w:val="00492A25"/>
    <w:rsid w:val="004938A3"/>
    <w:rsid w:val="0049558B"/>
    <w:rsid w:val="00496350"/>
    <w:rsid w:val="0049797C"/>
    <w:rsid w:val="004A00E1"/>
    <w:rsid w:val="004A0943"/>
    <w:rsid w:val="004A1405"/>
    <w:rsid w:val="004A1FC6"/>
    <w:rsid w:val="004A2E5F"/>
    <w:rsid w:val="004A38C2"/>
    <w:rsid w:val="004A3C03"/>
    <w:rsid w:val="004A3DB7"/>
    <w:rsid w:val="004A5088"/>
    <w:rsid w:val="004A5255"/>
    <w:rsid w:val="004A6CB0"/>
    <w:rsid w:val="004A70FF"/>
    <w:rsid w:val="004A7EDE"/>
    <w:rsid w:val="004B0D93"/>
    <w:rsid w:val="004B1FA4"/>
    <w:rsid w:val="004B29AC"/>
    <w:rsid w:val="004B35DF"/>
    <w:rsid w:val="004B3627"/>
    <w:rsid w:val="004B4922"/>
    <w:rsid w:val="004B57DF"/>
    <w:rsid w:val="004B5976"/>
    <w:rsid w:val="004B7137"/>
    <w:rsid w:val="004B722E"/>
    <w:rsid w:val="004B72E8"/>
    <w:rsid w:val="004C01A5"/>
    <w:rsid w:val="004C0412"/>
    <w:rsid w:val="004C0DBA"/>
    <w:rsid w:val="004C1142"/>
    <w:rsid w:val="004C2138"/>
    <w:rsid w:val="004C3940"/>
    <w:rsid w:val="004C51FD"/>
    <w:rsid w:val="004C65A8"/>
    <w:rsid w:val="004C6689"/>
    <w:rsid w:val="004D139A"/>
    <w:rsid w:val="004D14DC"/>
    <w:rsid w:val="004D17C6"/>
    <w:rsid w:val="004D2858"/>
    <w:rsid w:val="004D28C5"/>
    <w:rsid w:val="004D2E49"/>
    <w:rsid w:val="004D35BA"/>
    <w:rsid w:val="004D38E5"/>
    <w:rsid w:val="004D3C5A"/>
    <w:rsid w:val="004D449A"/>
    <w:rsid w:val="004D4701"/>
    <w:rsid w:val="004D47C7"/>
    <w:rsid w:val="004D4F35"/>
    <w:rsid w:val="004D5D45"/>
    <w:rsid w:val="004D618D"/>
    <w:rsid w:val="004D62A9"/>
    <w:rsid w:val="004D6FC3"/>
    <w:rsid w:val="004D7476"/>
    <w:rsid w:val="004D7716"/>
    <w:rsid w:val="004E0306"/>
    <w:rsid w:val="004E0572"/>
    <w:rsid w:val="004E06D5"/>
    <w:rsid w:val="004E1641"/>
    <w:rsid w:val="004E1818"/>
    <w:rsid w:val="004E1990"/>
    <w:rsid w:val="004E25A8"/>
    <w:rsid w:val="004E3930"/>
    <w:rsid w:val="004E3ED9"/>
    <w:rsid w:val="004E5866"/>
    <w:rsid w:val="004E6097"/>
    <w:rsid w:val="004E61EF"/>
    <w:rsid w:val="004E63C6"/>
    <w:rsid w:val="004E76A7"/>
    <w:rsid w:val="004E7B03"/>
    <w:rsid w:val="004F0064"/>
    <w:rsid w:val="004F06AC"/>
    <w:rsid w:val="004F1D2A"/>
    <w:rsid w:val="004F243F"/>
    <w:rsid w:val="004F252C"/>
    <w:rsid w:val="004F36A3"/>
    <w:rsid w:val="004F3E0C"/>
    <w:rsid w:val="004F4308"/>
    <w:rsid w:val="004F7160"/>
    <w:rsid w:val="00500258"/>
    <w:rsid w:val="00500B2D"/>
    <w:rsid w:val="00501A99"/>
    <w:rsid w:val="00503180"/>
    <w:rsid w:val="005038A4"/>
    <w:rsid w:val="00505450"/>
    <w:rsid w:val="005100B7"/>
    <w:rsid w:val="005113C9"/>
    <w:rsid w:val="00512050"/>
    <w:rsid w:val="00512055"/>
    <w:rsid w:val="0051280C"/>
    <w:rsid w:val="00512842"/>
    <w:rsid w:val="005128BE"/>
    <w:rsid w:val="0051356F"/>
    <w:rsid w:val="00513E7C"/>
    <w:rsid w:val="005140BB"/>
    <w:rsid w:val="00514FBE"/>
    <w:rsid w:val="00514FD9"/>
    <w:rsid w:val="0051550A"/>
    <w:rsid w:val="0051608F"/>
    <w:rsid w:val="00520EF8"/>
    <w:rsid w:val="005210F7"/>
    <w:rsid w:val="00521753"/>
    <w:rsid w:val="0052239D"/>
    <w:rsid w:val="005224EE"/>
    <w:rsid w:val="00522879"/>
    <w:rsid w:val="00523BB1"/>
    <w:rsid w:val="0052570E"/>
    <w:rsid w:val="005260CD"/>
    <w:rsid w:val="00526265"/>
    <w:rsid w:val="0052655D"/>
    <w:rsid w:val="005265E0"/>
    <w:rsid w:val="00526BC3"/>
    <w:rsid w:val="00531761"/>
    <w:rsid w:val="0053248F"/>
    <w:rsid w:val="0053332A"/>
    <w:rsid w:val="0053358A"/>
    <w:rsid w:val="00534668"/>
    <w:rsid w:val="00534DDD"/>
    <w:rsid w:val="00535291"/>
    <w:rsid w:val="00535A94"/>
    <w:rsid w:val="00537874"/>
    <w:rsid w:val="0053795F"/>
    <w:rsid w:val="00537D3D"/>
    <w:rsid w:val="00540511"/>
    <w:rsid w:val="00540578"/>
    <w:rsid w:val="00540808"/>
    <w:rsid w:val="0054080E"/>
    <w:rsid w:val="00540EA1"/>
    <w:rsid w:val="0054358E"/>
    <w:rsid w:val="00543AF4"/>
    <w:rsid w:val="00544191"/>
    <w:rsid w:val="0054440C"/>
    <w:rsid w:val="005448EC"/>
    <w:rsid w:val="00544C0A"/>
    <w:rsid w:val="00544F39"/>
    <w:rsid w:val="005461F9"/>
    <w:rsid w:val="00546F90"/>
    <w:rsid w:val="00547EFB"/>
    <w:rsid w:val="005522F2"/>
    <w:rsid w:val="005531DF"/>
    <w:rsid w:val="00553874"/>
    <w:rsid w:val="00554577"/>
    <w:rsid w:val="00554AD8"/>
    <w:rsid w:val="00554F78"/>
    <w:rsid w:val="00555DA1"/>
    <w:rsid w:val="00556BF7"/>
    <w:rsid w:val="00557F60"/>
    <w:rsid w:val="00561730"/>
    <w:rsid w:val="00561B97"/>
    <w:rsid w:val="00562149"/>
    <w:rsid w:val="00567B5D"/>
    <w:rsid w:val="005706D5"/>
    <w:rsid w:val="00570757"/>
    <w:rsid w:val="00573733"/>
    <w:rsid w:val="00573F8B"/>
    <w:rsid w:val="00574554"/>
    <w:rsid w:val="00574E06"/>
    <w:rsid w:val="005751BB"/>
    <w:rsid w:val="00576089"/>
    <w:rsid w:val="005764B1"/>
    <w:rsid w:val="00576852"/>
    <w:rsid w:val="00576D06"/>
    <w:rsid w:val="00577287"/>
    <w:rsid w:val="005779E4"/>
    <w:rsid w:val="00577F9F"/>
    <w:rsid w:val="00580EC7"/>
    <w:rsid w:val="00581132"/>
    <w:rsid w:val="0058289C"/>
    <w:rsid w:val="005836C7"/>
    <w:rsid w:val="0058408E"/>
    <w:rsid w:val="00585374"/>
    <w:rsid w:val="005854CA"/>
    <w:rsid w:val="00585FAB"/>
    <w:rsid w:val="00590B77"/>
    <w:rsid w:val="00590D9A"/>
    <w:rsid w:val="005913A3"/>
    <w:rsid w:val="005940D4"/>
    <w:rsid w:val="00594A7B"/>
    <w:rsid w:val="0059580E"/>
    <w:rsid w:val="00595D90"/>
    <w:rsid w:val="00596A6F"/>
    <w:rsid w:val="00596FCE"/>
    <w:rsid w:val="005A0E6F"/>
    <w:rsid w:val="005A11BC"/>
    <w:rsid w:val="005A1525"/>
    <w:rsid w:val="005A1E17"/>
    <w:rsid w:val="005A1E30"/>
    <w:rsid w:val="005A252B"/>
    <w:rsid w:val="005A2A8F"/>
    <w:rsid w:val="005A3204"/>
    <w:rsid w:val="005A3341"/>
    <w:rsid w:val="005A3C3D"/>
    <w:rsid w:val="005A46EC"/>
    <w:rsid w:val="005A5EAE"/>
    <w:rsid w:val="005A6407"/>
    <w:rsid w:val="005A726C"/>
    <w:rsid w:val="005B07EC"/>
    <w:rsid w:val="005B2B11"/>
    <w:rsid w:val="005B32A4"/>
    <w:rsid w:val="005B3371"/>
    <w:rsid w:val="005B338D"/>
    <w:rsid w:val="005B36D7"/>
    <w:rsid w:val="005B3BAF"/>
    <w:rsid w:val="005B4DA3"/>
    <w:rsid w:val="005B5BEE"/>
    <w:rsid w:val="005B77D2"/>
    <w:rsid w:val="005C019B"/>
    <w:rsid w:val="005C08D0"/>
    <w:rsid w:val="005C1AED"/>
    <w:rsid w:val="005C30F5"/>
    <w:rsid w:val="005C51A5"/>
    <w:rsid w:val="005C557A"/>
    <w:rsid w:val="005C566F"/>
    <w:rsid w:val="005C5C47"/>
    <w:rsid w:val="005C61DD"/>
    <w:rsid w:val="005C6438"/>
    <w:rsid w:val="005C6B8B"/>
    <w:rsid w:val="005C727F"/>
    <w:rsid w:val="005D02E3"/>
    <w:rsid w:val="005D1F34"/>
    <w:rsid w:val="005D2C1F"/>
    <w:rsid w:val="005D2DE8"/>
    <w:rsid w:val="005D34B2"/>
    <w:rsid w:val="005D3B54"/>
    <w:rsid w:val="005D40CD"/>
    <w:rsid w:val="005D41B0"/>
    <w:rsid w:val="005D6B59"/>
    <w:rsid w:val="005D784B"/>
    <w:rsid w:val="005E03E4"/>
    <w:rsid w:val="005E0454"/>
    <w:rsid w:val="005E05F6"/>
    <w:rsid w:val="005E2442"/>
    <w:rsid w:val="005E3111"/>
    <w:rsid w:val="005E3F85"/>
    <w:rsid w:val="005E4A5F"/>
    <w:rsid w:val="005E57B0"/>
    <w:rsid w:val="005E5B01"/>
    <w:rsid w:val="005E6D3B"/>
    <w:rsid w:val="005F009E"/>
    <w:rsid w:val="005F0DF1"/>
    <w:rsid w:val="005F1516"/>
    <w:rsid w:val="005F229E"/>
    <w:rsid w:val="005F2564"/>
    <w:rsid w:val="005F3822"/>
    <w:rsid w:val="005F4635"/>
    <w:rsid w:val="005F4900"/>
    <w:rsid w:val="005F4E52"/>
    <w:rsid w:val="005F6D58"/>
    <w:rsid w:val="005F7383"/>
    <w:rsid w:val="0060058E"/>
    <w:rsid w:val="00601F77"/>
    <w:rsid w:val="00602A3C"/>
    <w:rsid w:val="00603EFD"/>
    <w:rsid w:val="0060475B"/>
    <w:rsid w:val="00604BED"/>
    <w:rsid w:val="00604FB6"/>
    <w:rsid w:val="00605387"/>
    <w:rsid w:val="00606302"/>
    <w:rsid w:val="006076FD"/>
    <w:rsid w:val="0061143F"/>
    <w:rsid w:val="006114D8"/>
    <w:rsid w:val="00613553"/>
    <w:rsid w:val="00613601"/>
    <w:rsid w:val="00613791"/>
    <w:rsid w:val="006150D6"/>
    <w:rsid w:val="00615245"/>
    <w:rsid w:val="0061590D"/>
    <w:rsid w:val="0061641E"/>
    <w:rsid w:val="00617EEE"/>
    <w:rsid w:val="00620A1F"/>
    <w:rsid w:val="006214DE"/>
    <w:rsid w:val="0062169D"/>
    <w:rsid w:val="0062181E"/>
    <w:rsid w:val="0062211B"/>
    <w:rsid w:val="00622BB7"/>
    <w:rsid w:val="00622C1E"/>
    <w:rsid w:val="00623389"/>
    <w:rsid w:val="00623DAA"/>
    <w:rsid w:val="00623FAF"/>
    <w:rsid w:val="006265C4"/>
    <w:rsid w:val="0062678A"/>
    <w:rsid w:val="006270AF"/>
    <w:rsid w:val="00632170"/>
    <w:rsid w:val="00634367"/>
    <w:rsid w:val="00640082"/>
    <w:rsid w:val="00640291"/>
    <w:rsid w:val="00640EFE"/>
    <w:rsid w:val="00641D6D"/>
    <w:rsid w:val="00641FAC"/>
    <w:rsid w:val="00643664"/>
    <w:rsid w:val="00643CAA"/>
    <w:rsid w:val="00644F16"/>
    <w:rsid w:val="006455EB"/>
    <w:rsid w:val="006456C2"/>
    <w:rsid w:val="00645A65"/>
    <w:rsid w:val="006477F0"/>
    <w:rsid w:val="006478E4"/>
    <w:rsid w:val="0065171A"/>
    <w:rsid w:val="00652680"/>
    <w:rsid w:val="00653CDE"/>
    <w:rsid w:val="00654585"/>
    <w:rsid w:val="00655AB6"/>
    <w:rsid w:val="00656281"/>
    <w:rsid w:val="0065636A"/>
    <w:rsid w:val="00657003"/>
    <w:rsid w:val="00660238"/>
    <w:rsid w:val="006602EF"/>
    <w:rsid w:val="00661277"/>
    <w:rsid w:val="006619E0"/>
    <w:rsid w:val="00663FEA"/>
    <w:rsid w:val="00664803"/>
    <w:rsid w:val="006657C5"/>
    <w:rsid w:val="006661A4"/>
    <w:rsid w:val="00666AC0"/>
    <w:rsid w:val="006670E0"/>
    <w:rsid w:val="006671B8"/>
    <w:rsid w:val="00667275"/>
    <w:rsid w:val="00667532"/>
    <w:rsid w:val="0066783E"/>
    <w:rsid w:val="00667E53"/>
    <w:rsid w:val="006711C4"/>
    <w:rsid w:val="006713AB"/>
    <w:rsid w:val="00672CA5"/>
    <w:rsid w:val="00673711"/>
    <w:rsid w:val="00673F82"/>
    <w:rsid w:val="00674F74"/>
    <w:rsid w:val="0067508F"/>
    <w:rsid w:val="00677576"/>
    <w:rsid w:val="0068051E"/>
    <w:rsid w:val="00680B9D"/>
    <w:rsid w:val="00681F13"/>
    <w:rsid w:val="0068231C"/>
    <w:rsid w:val="00682344"/>
    <w:rsid w:val="00682F28"/>
    <w:rsid w:val="00683515"/>
    <w:rsid w:val="00684842"/>
    <w:rsid w:val="006859AA"/>
    <w:rsid w:val="00685BD6"/>
    <w:rsid w:val="00687116"/>
    <w:rsid w:val="006878A6"/>
    <w:rsid w:val="00687D5F"/>
    <w:rsid w:val="00690437"/>
    <w:rsid w:val="00690DC3"/>
    <w:rsid w:val="00690E65"/>
    <w:rsid w:val="006911B7"/>
    <w:rsid w:val="00691387"/>
    <w:rsid w:val="0069188E"/>
    <w:rsid w:val="00691974"/>
    <w:rsid w:val="00692BF6"/>
    <w:rsid w:val="00692CE6"/>
    <w:rsid w:val="00693186"/>
    <w:rsid w:val="00693381"/>
    <w:rsid w:val="00693B6C"/>
    <w:rsid w:val="006942AE"/>
    <w:rsid w:val="00695421"/>
    <w:rsid w:val="00697BD3"/>
    <w:rsid w:val="00697DFA"/>
    <w:rsid w:val="006A16D5"/>
    <w:rsid w:val="006A1772"/>
    <w:rsid w:val="006A1780"/>
    <w:rsid w:val="006A21DD"/>
    <w:rsid w:val="006A26C6"/>
    <w:rsid w:val="006A3302"/>
    <w:rsid w:val="006A3B28"/>
    <w:rsid w:val="006A4FEE"/>
    <w:rsid w:val="006A703E"/>
    <w:rsid w:val="006A7BE3"/>
    <w:rsid w:val="006A7D32"/>
    <w:rsid w:val="006B01D1"/>
    <w:rsid w:val="006B0DF4"/>
    <w:rsid w:val="006B0E2B"/>
    <w:rsid w:val="006B16EA"/>
    <w:rsid w:val="006B1780"/>
    <w:rsid w:val="006B224E"/>
    <w:rsid w:val="006B376E"/>
    <w:rsid w:val="006B4589"/>
    <w:rsid w:val="006B610E"/>
    <w:rsid w:val="006B643B"/>
    <w:rsid w:val="006B6805"/>
    <w:rsid w:val="006B6DE0"/>
    <w:rsid w:val="006C16C3"/>
    <w:rsid w:val="006C2187"/>
    <w:rsid w:val="006C32F4"/>
    <w:rsid w:val="006C3C54"/>
    <w:rsid w:val="006C4B6B"/>
    <w:rsid w:val="006C4F9F"/>
    <w:rsid w:val="006C71A2"/>
    <w:rsid w:val="006C73EC"/>
    <w:rsid w:val="006D0C1D"/>
    <w:rsid w:val="006D2E9D"/>
    <w:rsid w:val="006D4A4E"/>
    <w:rsid w:val="006D4C42"/>
    <w:rsid w:val="006D5389"/>
    <w:rsid w:val="006D5809"/>
    <w:rsid w:val="006D607E"/>
    <w:rsid w:val="006D6781"/>
    <w:rsid w:val="006D6E12"/>
    <w:rsid w:val="006D70CB"/>
    <w:rsid w:val="006D715C"/>
    <w:rsid w:val="006D7363"/>
    <w:rsid w:val="006D774E"/>
    <w:rsid w:val="006D7EA2"/>
    <w:rsid w:val="006E0754"/>
    <w:rsid w:val="006E2668"/>
    <w:rsid w:val="006E2D39"/>
    <w:rsid w:val="006E32B0"/>
    <w:rsid w:val="006E348E"/>
    <w:rsid w:val="006E396A"/>
    <w:rsid w:val="006E3D63"/>
    <w:rsid w:val="006E58BF"/>
    <w:rsid w:val="006E5DD8"/>
    <w:rsid w:val="006E5EA1"/>
    <w:rsid w:val="006E6DEE"/>
    <w:rsid w:val="006E7D4B"/>
    <w:rsid w:val="006F0760"/>
    <w:rsid w:val="006F11E2"/>
    <w:rsid w:val="006F2574"/>
    <w:rsid w:val="006F3221"/>
    <w:rsid w:val="006F3231"/>
    <w:rsid w:val="006F3DE3"/>
    <w:rsid w:val="006F4787"/>
    <w:rsid w:val="006F5C43"/>
    <w:rsid w:val="006F61D8"/>
    <w:rsid w:val="006F62B7"/>
    <w:rsid w:val="006F70BC"/>
    <w:rsid w:val="006F734B"/>
    <w:rsid w:val="006F7E7C"/>
    <w:rsid w:val="0070174E"/>
    <w:rsid w:val="007018DB"/>
    <w:rsid w:val="00701DE6"/>
    <w:rsid w:val="00702740"/>
    <w:rsid w:val="0070381B"/>
    <w:rsid w:val="007076DD"/>
    <w:rsid w:val="0070796C"/>
    <w:rsid w:val="007109BB"/>
    <w:rsid w:val="00710EBF"/>
    <w:rsid w:val="007110B8"/>
    <w:rsid w:val="0071209F"/>
    <w:rsid w:val="007125A2"/>
    <w:rsid w:val="00713DD9"/>
    <w:rsid w:val="00713F79"/>
    <w:rsid w:val="007148A8"/>
    <w:rsid w:val="00716AC8"/>
    <w:rsid w:val="00716E54"/>
    <w:rsid w:val="00717421"/>
    <w:rsid w:val="0072033C"/>
    <w:rsid w:val="00720B1B"/>
    <w:rsid w:val="00721062"/>
    <w:rsid w:val="00721E5D"/>
    <w:rsid w:val="007229D4"/>
    <w:rsid w:val="007230F8"/>
    <w:rsid w:val="007233F4"/>
    <w:rsid w:val="00724044"/>
    <w:rsid w:val="007248D3"/>
    <w:rsid w:val="00724DF8"/>
    <w:rsid w:val="00725137"/>
    <w:rsid w:val="00725378"/>
    <w:rsid w:val="00727A43"/>
    <w:rsid w:val="00727FF2"/>
    <w:rsid w:val="00730550"/>
    <w:rsid w:val="00730C2A"/>
    <w:rsid w:val="00731434"/>
    <w:rsid w:val="00731E59"/>
    <w:rsid w:val="007323E0"/>
    <w:rsid w:val="00732911"/>
    <w:rsid w:val="00733721"/>
    <w:rsid w:val="00733DE2"/>
    <w:rsid w:val="007352EA"/>
    <w:rsid w:val="0073625F"/>
    <w:rsid w:val="0073792F"/>
    <w:rsid w:val="00740C81"/>
    <w:rsid w:val="00740DA6"/>
    <w:rsid w:val="00741B4B"/>
    <w:rsid w:val="00741D1E"/>
    <w:rsid w:val="00741DD6"/>
    <w:rsid w:val="00741EE2"/>
    <w:rsid w:val="0074207F"/>
    <w:rsid w:val="00742367"/>
    <w:rsid w:val="00742EAA"/>
    <w:rsid w:val="00743360"/>
    <w:rsid w:val="00743818"/>
    <w:rsid w:val="00743857"/>
    <w:rsid w:val="007441FB"/>
    <w:rsid w:val="00744517"/>
    <w:rsid w:val="0074522A"/>
    <w:rsid w:val="00747295"/>
    <w:rsid w:val="00747829"/>
    <w:rsid w:val="00747DE2"/>
    <w:rsid w:val="007504BF"/>
    <w:rsid w:val="007506CD"/>
    <w:rsid w:val="0075267F"/>
    <w:rsid w:val="007526EC"/>
    <w:rsid w:val="007527F7"/>
    <w:rsid w:val="00753C48"/>
    <w:rsid w:val="00754250"/>
    <w:rsid w:val="00754FE4"/>
    <w:rsid w:val="00755216"/>
    <w:rsid w:val="00756236"/>
    <w:rsid w:val="00756271"/>
    <w:rsid w:val="00756348"/>
    <w:rsid w:val="00756521"/>
    <w:rsid w:val="00756AB7"/>
    <w:rsid w:val="0076106D"/>
    <w:rsid w:val="007623FB"/>
    <w:rsid w:val="00762517"/>
    <w:rsid w:val="00763240"/>
    <w:rsid w:val="0076376A"/>
    <w:rsid w:val="00763900"/>
    <w:rsid w:val="007648AD"/>
    <w:rsid w:val="0076504E"/>
    <w:rsid w:val="00767BFD"/>
    <w:rsid w:val="00767EA0"/>
    <w:rsid w:val="0077068F"/>
    <w:rsid w:val="00771EDF"/>
    <w:rsid w:val="00772986"/>
    <w:rsid w:val="00772A90"/>
    <w:rsid w:val="00772F8D"/>
    <w:rsid w:val="0077408D"/>
    <w:rsid w:val="00774270"/>
    <w:rsid w:val="007743F6"/>
    <w:rsid w:val="00775679"/>
    <w:rsid w:val="0077574F"/>
    <w:rsid w:val="00775823"/>
    <w:rsid w:val="007777CC"/>
    <w:rsid w:val="00777B32"/>
    <w:rsid w:val="0078051E"/>
    <w:rsid w:val="00781089"/>
    <w:rsid w:val="007838F3"/>
    <w:rsid w:val="007856FE"/>
    <w:rsid w:val="00785F46"/>
    <w:rsid w:val="007865F4"/>
    <w:rsid w:val="00786D5C"/>
    <w:rsid w:val="00786E96"/>
    <w:rsid w:val="00787DFF"/>
    <w:rsid w:val="00787F93"/>
    <w:rsid w:val="00791E6D"/>
    <w:rsid w:val="00791EB5"/>
    <w:rsid w:val="00791FF2"/>
    <w:rsid w:val="00793696"/>
    <w:rsid w:val="007955DA"/>
    <w:rsid w:val="00796F65"/>
    <w:rsid w:val="007A11C2"/>
    <w:rsid w:val="007A18BB"/>
    <w:rsid w:val="007A2789"/>
    <w:rsid w:val="007A27DD"/>
    <w:rsid w:val="007A41BF"/>
    <w:rsid w:val="007A490A"/>
    <w:rsid w:val="007A7B95"/>
    <w:rsid w:val="007B0297"/>
    <w:rsid w:val="007B02FA"/>
    <w:rsid w:val="007B0F53"/>
    <w:rsid w:val="007B21AE"/>
    <w:rsid w:val="007B2570"/>
    <w:rsid w:val="007B3113"/>
    <w:rsid w:val="007B3304"/>
    <w:rsid w:val="007B7490"/>
    <w:rsid w:val="007C0525"/>
    <w:rsid w:val="007C13F7"/>
    <w:rsid w:val="007C218D"/>
    <w:rsid w:val="007C2D28"/>
    <w:rsid w:val="007C3E22"/>
    <w:rsid w:val="007C5B90"/>
    <w:rsid w:val="007C6218"/>
    <w:rsid w:val="007C6484"/>
    <w:rsid w:val="007C67C6"/>
    <w:rsid w:val="007C78BE"/>
    <w:rsid w:val="007C7E59"/>
    <w:rsid w:val="007D0476"/>
    <w:rsid w:val="007D0B91"/>
    <w:rsid w:val="007D1386"/>
    <w:rsid w:val="007D1452"/>
    <w:rsid w:val="007D3DCB"/>
    <w:rsid w:val="007D460C"/>
    <w:rsid w:val="007D4996"/>
    <w:rsid w:val="007D4AD3"/>
    <w:rsid w:val="007D5D19"/>
    <w:rsid w:val="007D5FDC"/>
    <w:rsid w:val="007D6176"/>
    <w:rsid w:val="007D6D68"/>
    <w:rsid w:val="007E11CD"/>
    <w:rsid w:val="007E32DA"/>
    <w:rsid w:val="007E4998"/>
    <w:rsid w:val="007E4A9C"/>
    <w:rsid w:val="007E6914"/>
    <w:rsid w:val="007E7F78"/>
    <w:rsid w:val="007F0179"/>
    <w:rsid w:val="007F2C13"/>
    <w:rsid w:val="007F2CEC"/>
    <w:rsid w:val="007F3435"/>
    <w:rsid w:val="007F55DE"/>
    <w:rsid w:val="007F762D"/>
    <w:rsid w:val="007F78F0"/>
    <w:rsid w:val="007F78FF"/>
    <w:rsid w:val="008001C5"/>
    <w:rsid w:val="00800F6C"/>
    <w:rsid w:val="00801065"/>
    <w:rsid w:val="00802C0B"/>
    <w:rsid w:val="008051FC"/>
    <w:rsid w:val="008055A9"/>
    <w:rsid w:val="008056C4"/>
    <w:rsid w:val="008057FD"/>
    <w:rsid w:val="00805D8B"/>
    <w:rsid w:val="00810BB6"/>
    <w:rsid w:val="00810E8E"/>
    <w:rsid w:val="00812C44"/>
    <w:rsid w:val="008135E1"/>
    <w:rsid w:val="00813779"/>
    <w:rsid w:val="00813E26"/>
    <w:rsid w:val="0081481D"/>
    <w:rsid w:val="00814BE8"/>
    <w:rsid w:val="00814F6E"/>
    <w:rsid w:val="00815363"/>
    <w:rsid w:val="00815B84"/>
    <w:rsid w:val="00816BE9"/>
    <w:rsid w:val="0082027C"/>
    <w:rsid w:val="00822518"/>
    <w:rsid w:val="008226F5"/>
    <w:rsid w:val="00823FC6"/>
    <w:rsid w:val="00824306"/>
    <w:rsid w:val="00825C74"/>
    <w:rsid w:val="00825CFA"/>
    <w:rsid w:val="00826AB9"/>
    <w:rsid w:val="00826E0E"/>
    <w:rsid w:val="00827D11"/>
    <w:rsid w:val="00827E0F"/>
    <w:rsid w:val="00827F6E"/>
    <w:rsid w:val="00831758"/>
    <w:rsid w:val="008317D9"/>
    <w:rsid w:val="0083279F"/>
    <w:rsid w:val="008334DB"/>
    <w:rsid w:val="00833B7F"/>
    <w:rsid w:val="00833E8E"/>
    <w:rsid w:val="00834906"/>
    <w:rsid w:val="00836075"/>
    <w:rsid w:val="00836417"/>
    <w:rsid w:val="00836A3E"/>
    <w:rsid w:val="00837526"/>
    <w:rsid w:val="00837F20"/>
    <w:rsid w:val="008407A7"/>
    <w:rsid w:val="0084322B"/>
    <w:rsid w:val="00843F81"/>
    <w:rsid w:val="00844087"/>
    <w:rsid w:val="00844526"/>
    <w:rsid w:val="008448F1"/>
    <w:rsid w:val="0084519E"/>
    <w:rsid w:val="00845CAE"/>
    <w:rsid w:val="00846370"/>
    <w:rsid w:val="008477E7"/>
    <w:rsid w:val="00847C2B"/>
    <w:rsid w:val="00850272"/>
    <w:rsid w:val="008506B9"/>
    <w:rsid w:val="00851822"/>
    <w:rsid w:val="008532BF"/>
    <w:rsid w:val="008539B2"/>
    <w:rsid w:val="00853BF4"/>
    <w:rsid w:val="00854294"/>
    <w:rsid w:val="0085572E"/>
    <w:rsid w:val="0085788B"/>
    <w:rsid w:val="00857A9E"/>
    <w:rsid w:val="00857DE2"/>
    <w:rsid w:val="00863A8E"/>
    <w:rsid w:val="0086407F"/>
    <w:rsid w:val="008645E3"/>
    <w:rsid w:val="00864E79"/>
    <w:rsid w:val="0086661F"/>
    <w:rsid w:val="00866A0D"/>
    <w:rsid w:val="00866DB5"/>
    <w:rsid w:val="0086701D"/>
    <w:rsid w:val="0086702B"/>
    <w:rsid w:val="008672E2"/>
    <w:rsid w:val="0086784E"/>
    <w:rsid w:val="0087121C"/>
    <w:rsid w:val="00871FD2"/>
    <w:rsid w:val="00872084"/>
    <w:rsid w:val="00872827"/>
    <w:rsid w:val="00872A32"/>
    <w:rsid w:val="00874911"/>
    <w:rsid w:val="008754E4"/>
    <w:rsid w:val="00876EAE"/>
    <w:rsid w:val="00880106"/>
    <w:rsid w:val="00880F95"/>
    <w:rsid w:val="00882B44"/>
    <w:rsid w:val="008838AD"/>
    <w:rsid w:val="008864B3"/>
    <w:rsid w:val="008865E5"/>
    <w:rsid w:val="008871B0"/>
    <w:rsid w:val="00890B57"/>
    <w:rsid w:val="008916BA"/>
    <w:rsid w:val="0089217C"/>
    <w:rsid w:val="00892790"/>
    <w:rsid w:val="008931DA"/>
    <w:rsid w:val="00893671"/>
    <w:rsid w:val="008946DC"/>
    <w:rsid w:val="00895838"/>
    <w:rsid w:val="00895A1E"/>
    <w:rsid w:val="00895A72"/>
    <w:rsid w:val="00895CDF"/>
    <w:rsid w:val="00896679"/>
    <w:rsid w:val="00896D8C"/>
    <w:rsid w:val="008A0FC9"/>
    <w:rsid w:val="008A1956"/>
    <w:rsid w:val="008A1A7C"/>
    <w:rsid w:val="008A2CE2"/>
    <w:rsid w:val="008A40D3"/>
    <w:rsid w:val="008A469C"/>
    <w:rsid w:val="008A51D1"/>
    <w:rsid w:val="008A5DCE"/>
    <w:rsid w:val="008A75D3"/>
    <w:rsid w:val="008B05DD"/>
    <w:rsid w:val="008B07B8"/>
    <w:rsid w:val="008B17E8"/>
    <w:rsid w:val="008B2E7C"/>
    <w:rsid w:val="008B321A"/>
    <w:rsid w:val="008B399A"/>
    <w:rsid w:val="008B45F0"/>
    <w:rsid w:val="008B4A70"/>
    <w:rsid w:val="008B502F"/>
    <w:rsid w:val="008B6DFC"/>
    <w:rsid w:val="008B7227"/>
    <w:rsid w:val="008C02FB"/>
    <w:rsid w:val="008C04E0"/>
    <w:rsid w:val="008C191C"/>
    <w:rsid w:val="008C1DA4"/>
    <w:rsid w:val="008C29B0"/>
    <w:rsid w:val="008C2CD5"/>
    <w:rsid w:val="008C3618"/>
    <w:rsid w:val="008C39E7"/>
    <w:rsid w:val="008C43AD"/>
    <w:rsid w:val="008C6118"/>
    <w:rsid w:val="008C6341"/>
    <w:rsid w:val="008C731F"/>
    <w:rsid w:val="008C74D9"/>
    <w:rsid w:val="008D03C2"/>
    <w:rsid w:val="008D12FB"/>
    <w:rsid w:val="008D3B2D"/>
    <w:rsid w:val="008D58D9"/>
    <w:rsid w:val="008D5AD4"/>
    <w:rsid w:val="008D695E"/>
    <w:rsid w:val="008D6DD5"/>
    <w:rsid w:val="008D6E59"/>
    <w:rsid w:val="008D7155"/>
    <w:rsid w:val="008D76E0"/>
    <w:rsid w:val="008E0B29"/>
    <w:rsid w:val="008E141A"/>
    <w:rsid w:val="008E1A44"/>
    <w:rsid w:val="008E1E55"/>
    <w:rsid w:val="008E28E6"/>
    <w:rsid w:val="008E3232"/>
    <w:rsid w:val="008E3674"/>
    <w:rsid w:val="008E3B6C"/>
    <w:rsid w:val="008E3DE7"/>
    <w:rsid w:val="008E562C"/>
    <w:rsid w:val="008E6540"/>
    <w:rsid w:val="008E77D4"/>
    <w:rsid w:val="008E7ADD"/>
    <w:rsid w:val="008F091F"/>
    <w:rsid w:val="008F17B2"/>
    <w:rsid w:val="008F22B3"/>
    <w:rsid w:val="008F357B"/>
    <w:rsid w:val="008F44CA"/>
    <w:rsid w:val="008F49D3"/>
    <w:rsid w:val="008F62C1"/>
    <w:rsid w:val="008F6519"/>
    <w:rsid w:val="008F7012"/>
    <w:rsid w:val="008F7ADA"/>
    <w:rsid w:val="008F7B17"/>
    <w:rsid w:val="00900042"/>
    <w:rsid w:val="0090034B"/>
    <w:rsid w:val="00901121"/>
    <w:rsid w:val="00902623"/>
    <w:rsid w:val="00902A67"/>
    <w:rsid w:val="00902C5E"/>
    <w:rsid w:val="00904BE4"/>
    <w:rsid w:val="0090504A"/>
    <w:rsid w:val="009051F5"/>
    <w:rsid w:val="00905221"/>
    <w:rsid w:val="00905A7C"/>
    <w:rsid w:val="00905D7E"/>
    <w:rsid w:val="00907037"/>
    <w:rsid w:val="0091112C"/>
    <w:rsid w:val="0091160A"/>
    <w:rsid w:val="00912E04"/>
    <w:rsid w:val="00913258"/>
    <w:rsid w:val="00913851"/>
    <w:rsid w:val="00913BB0"/>
    <w:rsid w:val="0091456C"/>
    <w:rsid w:val="00914C58"/>
    <w:rsid w:val="0091564D"/>
    <w:rsid w:val="009156DA"/>
    <w:rsid w:val="00915774"/>
    <w:rsid w:val="00916BC5"/>
    <w:rsid w:val="0091726A"/>
    <w:rsid w:val="00917C01"/>
    <w:rsid w:val="00920184"/>
    <w:rsid w:val="00920EA4"/>
    <w:rsid w:val="00921792"/>
    <w:rsid w:val="00921BEA"/>
    <w:rsid w:val="009227BE"/>
    <w:rsid w:val="009238FD"/>
    <w:rsid w:val="00923998"/>
    <w:rsid w:val="00923DB4"/>
    <w:rsid w:val="0092420B"/>
    <w:rsid w:val="0092430E"/>
    <w:rsid w:val="00924570"/>
    <w:rsid w:val="00924A46"/>
    <w:rsid w:val="00926112"/>
    <w:rsid w:val="0092625F"/>
    <w:rsid w:val="00926B28"/>
    <w:rsid w:val="00926D9C"/>
    <w:rsid w:val="00927028"/>
    <w:rsid w:val="00927763"/>
    <w:rsid w:val="00927A2D"/>
    <w:rsid w:val="00927B37"/>
    <w:rsid w:val="00931917"/>
    <w:rsid w:val="009321B1"/>
    <w:rsid w:val="00932ED7"/>
    <w:rsid w:val="009333CF"/>
    <w:rsid w:val="0093422D"/>
    <w:rsid w:val="0093483B"/>
    <w:rsid w:val="00934CF9"/>
    <w:rsid w:val="00934DD7"/>
    <w:rsid w:val="009369A9"/>
    <w:rsid w:val="00936CF7"/>
    <w:rsid w:val="00937783"/>
    <w:rsid w:val="00937EAD"/>
    <w:rsid w:val="00937F28"/>
    <w:rsid w:val="00940FE1"/>
    <w:rsid w:val="00942306"/>
    <w:rsid w:val="00942384"/>
    <w:rsid w:val="009424B8"/>
    <w:rsid w:val="00944668"/>
    <w:rsid w:val="00944DC6"/>
    <w:rsid w:val="009458B0"/>
    <w:rsid w:val="00945B52"/>
    <w:rsid w:val="00945B7A"/>
    <w:rsid w:val="00945F05"/>
    <w:rsid w:val="00946348"/>
    <w:rsid w:val="00947797"/>
    <w:rsid w:val="009478A2"/>
    <w:rsid w:val="00953808"/>
    <w:rsid w:val="009539A6"/>
    <w:rsid w:val="00954032"/>
    <w:rsid w:val="00954537"/>
    <w:rsid w:val="0095472D"/>
    <w:rsid w:val="00955FBB"/>
    <w:rsid w:val="0095694B"/>
    <w:rsid w:val="00956BD5"/>
    <w:rsid w:val="00956D84"/>
    <w:rsid w:val="009577B5"/>
    <w:rsid w:val="009608E6"/>
    <w:rsid w:val="00960F57"/>
    <w:rsid w:val="00961C90"/>
    <w:rsid w:val="00965443"/>
    <w:rsid w:val="00965954"/>
    <w:rsid w:val="00965A21"/>
    <w:rsid w:val="00965E55"/>
    <w:rsid w:val="0096608E"/>
    <w:rsid w:val="00966522"/>
    <w:rsid w:val="00966C33"/>
    <w:rsid w:val="00966FCB"/>
    <w:rsid w:val="00970F18"/>
    <w:rsid w:val="00971CF1"/>
    <w:rsid w:val="00971F5D"/>
    <w:rsid w:val="009721E9"/>
    <w:rsid w:val="00973772"/>
    <w:rsid w:val="0097471B"/>
    <w:rsid w:val="0097560A"/>
    <w:rsid w:val="00975E1E"/>
    <w:rsid w:val="00975E70"/>
    <w:rsid w:val="009761DE"/>
    <w:rsid w:val="009766FA"/>
    <w:rsid w:val="00977CD6"/>
    <w:rsid w:val="0098048B"/>
    <w:rsid w:val="00980DF9"/>
    <w:rsid w:val="00981150"/>
    <w:rsid w:val="0098243D"/>
    <w:rsid w:val="00982D26"/>
    <w:rsid w:val="00983B6E"/>
    <w:rsid w:val="00983FE5"/>
    <w:rsid w:val="009849E9"/>
    <w:rsid w:val="009859E4"/>
    <w:rsid w:val="00987812"/>
    <w:rsid w:val="00990225"/>
    <w:rsid w:val="00992A13"/>
    <w:rsid w:val="00994AAD"/>
    <w:rsid w:val="00994DE1"/>
    <w:rsid w:val="00995150"/>
    <w:rsid w:val="00995D67"/>
    <w:rsid w:val="009A013B"/>
    <w:rsid w:val="009A01A8"/>
    <w:rsid w:val="009A02F4"/>
    <w:rsid w:val="009A06BF"/>
    <w:rsid w:val="009A0D17"/>
    <w:rsid w:val="009A2494"/>
    <w:rsid w:val="009A295D"/>
    <w:rsid w:val="009A32B1"/>
    <w:rsid w:val="009A33A3"/>
    <w:rsid w:val="009A36F2"/>
    <w:rsid w:val="009A40C3"/>
    <w:rsid w:val="009A40D5"/>
    <w:rsid w:val="009A57D0"/>
    <w:rsid w:val="009A6559"/>
    <w:rsid w:val="009A68FC"/>
    <w:rsid w:val="009A6CE4"/>
    <w:rsid w:val="009A7514"/>
    <w:rsid w:val="009A7E7A"/>
    <w:rsid w:val="009B1584"/>
    <w:rsid w:val="009B18F0"/>
    <w:rsid w:val="009B1F4C"/>
    <w:rsid w:val="009B2471"/>
    <w:rsid w:val="009B314F"/>
    <w:rsid w:val="009B439C"/>
    <w:rsid w:val="009B46BC"/>
    <w:rsid w:val="009B49A1"/>
    <w:rsid w:val="009B4A6C"/>
    <w:rsid w:val="009B4DA8"/>
    <w:rsid w:val="009B519A"/>
    <w:rsid w:val="009B620C"/>
    <w:rsid w:val="009B6753"/>
    <w:rsid w:val="009B676C"/>
    <w:rsid w:val="009B6A26"/>
    <w:rsid w:val="009C079D"/>
    <w:rsid w:val="009C0D70"/>
    <w:rsid w:val="009C13D1"/>
    <w:rsid w:val="009C1AF6"/>
    <w:rsid w:val="009C2913"/>
    <w:rsid w:val="009C2BD4"/>
    <w:rsid w:val="009C5AFE"/>
    <w:rsid w:val="009C6606"/>
    <w:rsid w:val="009C6CE5"/>
    <w:rsid w:val="009C6D50"/>
    <w:rsid w:val="009C7547"/>
    <w:rsid w:val="009D05EC"/>
    <w:rsid w:val="009D18D4"/>
    <w:rsid w:val="009D2F60"/>
    <w:rsid w:val="009D3A2E"/>
    <w:rsid w:val="009D5ADE"/>
    <w:rsid w:val="009D5BAC"/>
    <w:rsid w:val="009D5C56"/>
    <w:rsid w:val="009D6265"/>
    <w:rsid w:val="009D64BD"/>
    <w:rsid w:val="009D6CB1"/>
    <w:rsid w:val="009E0286"/>
    <w:rsid w:val="009E153F"/>
    <w:rsid w:val="009E322A"/>
    <w:rsid w:val="009E393E"/>
    <w:rsid w:val="009E444E"/>
    <w:rsid w:val="009E4968"/>
    <w:rsid w:val="009E663C"/>
    <w:rsid w:val="009E684A"/>
    <w:rsid w:val="009E6BB1"/>
    <w:rsid w:val="009E6E14"/>
    <w:rsid w:val="009E794A"/>
    <w:rsid w:val="009E7C14"/>
    <w:rsid w:val="009F0494"/>
    <w:rsid w:val="009F0CD9"/>
    <w:rsid w:val="009F1A79"/>
    <w:rsid w:val="009F1F57"/>
    <w:rsid w:val="009F2DDD"/>
    <w:rsid w:val="009F3447"/>
    <w:rsid w:val="009F65F4"/>
    <w:rsid w:val="009F676B"/>
    <w:rsid w:val="009F6D2D"/>
    <w:rsid w:val="009F6D54"/>
    <w:rsid w:val="00A0010C"/>
    <w:rsid w:val="00A004DF"/>
    <w:rsid w:val="00A00FD5"/>
    <w:rsid w:val="00A012C0"/>
    <w:rsid w:val="00A019A8"/>
    <w:rsid w:val="00A01B03"/>
    <w:rsid w:val="00A01B89"/>
    <w:rsid w:val="00A02C66"/>
    <w:rsid w:val="00A02C84"/>
    <w:rsid w:val="00A0464C"/>
    <w:rsid w:val="00A050BB"/>
    <w:rsid w:val="00A054E0"/>
    <w:rsid w:val="00A05D91"/>
    <w:rsid w:val="00A0740B"/>
    <w:rsid w:val="00A07ED3"/>
    <w:rsid w:val="00A10CA8"/>
    <w:rsid w:val="00A11042"/>
    <w:rsid w:val="00A12579"/>
    <w:rsid w:val="00A133D8"/>
    <w:rsid w:val="00A13812"/>
    <w:rsid w:val="00A15655"/>
    <w:rsid w:val="00A160B0"/>
    <w:rsid w:val="00A1740C"/>
    <w:rsid w:val="00A20069"/>
    <w:rsid w:val="00A2244D"/>
    <w:rsid w:val="00A2253D"/>
    <w:rsid w:val="00A2267F"/>
    <w:rsid w:val="00A22CDB"/>
    <w:rsid w:val="00A247B8"/>
    <w:rsid w:val="00A2495A"/>
    <w:rsid w:val="00A24C7A"/>
    <w:rsid w:val="00A24D8F"/>
    <w:rsid w:val="00A25B8B"/>
    <w:rsid w:val="00A25C5D"/>
    <w:rsid w:val="00A2689F"/>
    <w:rsid w:val="00A26ECA"/>
    <w:rsid w:val="00A27461"/>
    <w:rsid w:val="00A27D67"/>
    <w:rsid w:val="00A30ABC"/>
    <w:rsid w:val="00A33B74"/>
    <w:rsid w:val="00A3467F"/>
    <w:rsid w:val="00A34B4C"/>
    <w:rsid w:val="00A35030"/>
    <w:rsid w:val="00A3551A"/>
    <w:rsid w:val="00A366A0"/>
    <w:rsid w:val="00A37209"/>
    <w:rsid w:val="00A37584"/>
    <w:rsid w:val="00A376E8"/>
    <w:rsid w:val="00A37F8E"/>
    <w:rsid w:val="00A41537"/>
    <w:rsid w:val="00A41737"/>
    <w:rsid w:val="00A42B8F"/>
    <w:rsid w:val="00A42D8E"/>
    <w:rsid w:val="00A43254"/>
    <w:rsid w:val="00A43896"/>
    <w:rsid w:val="00A43A26"/>
    <w:rsid w:val="00A447A0"/>
    <w:rsid w:val="00A459F5"/>
    <w:rsid w:val="00A45FC0"/>
    <w:rsid w:val="00A46B74"/>
    <w:rsid w:val="00A47ECC"/>
    <w:rsid w:val="00A50171"/>
    <w:rsid w:val="00A504FA"/>
    <w:rsid w:val="00A5102E"/>
    <w:rsid w:val="00A5132E"/>
    <w:rsid w:val="00A51375"/>
    <w:rsid w:val="00A51533"/>
    <w:rsid w:val="00A531D4"/>
    <w:rsid w:val="00A54572"/>
    <w:rsid w:val="00A575B8"/>
    <w:rsid w:val="00A61C60"/>
    <w:rsid w:val="00A61ECB"/>
    <w:rsid w:val="00A640F0"/>
    <w:rsid w:val="00A6410C"/>
    <w:rsid w:val="00A647B1"/>
    <w:rsid w:val="00A64DEF"/>
    <w:rsid w:val="00A654D2"/>
    <w:rsid w:val="00A665DF"/>
    <w:rsid w:val="00A67928"/>
    <w:rsid w:val="00A67FCC"/>
    <w:rsid w:val="00A70AA5"/>
    <w:rsid w:val="00A70C03"/>
    <w:rsid w:val="00A71256"/>
    <w:rsid w:val="00A7217B"/>
    <w:rsid w:val="00A73861"/>
    <w:rsid w:val="00A739A6"/>
    <w:rsid w:val="00A740ED"/>
    <w:rsid w:val="00A74C29"/>
    <w:rsid w:val="00A74C62"/>
    <w:rsid w:val="00A75DF5"/>
    <w:rsid w:val="00A75EF9"/>
    <w:rsid w:val="00A8311C"/>
    <w:rsid w:val="00A835D0"/>
    <w:rsid w:val="00A84C5F"/>
    <w:rsid w:val="00A85930"/>
    <w:rsid w:val="00A863F7"/>
    <w:rsid w:val="00A86604"/>
    <w:rsid w:val="00A87519"/>
    <w:rsid w:val="00A9246D"/>
    <w:rsid w:val="00A92CCA"/>
    <w:rsid w:val="00A93BD0"/>
    <w:rsid w:val="00A93CC2"/>
    <w:rsid w:val="00A974CC"/>
    <w:rsid w:val="00AA1067"/>
    <w:rsid w:val="00AA2001"/>
    <w:rsid w:val="00AA2B5C"/>
    <w:rsid w:val="00AA32D2"/>
    <w:rsid w:val="00AA4016"/>
    <w:rsid w:val="00AA4C1F"/>
    <w:rsid w:val="00AA5328"/>
    <w:rsid w:val="00AA5393"/>
    <w:rsid w:val="00AA63D4"/>
    <w:rsid w:val="00AB03FD"/>
    <w:rsid w:val="00AB2000"/>
    <w:rsid w:val="00AB2E94"/>
    <w:rsid w:val="00AB38CB"/>
    <w:rsid w:val="00AB3BEC"/>
    <w:rsid w:val="00AB44E4"/>
    <w:rsid w:val="00AB4AEB"/>
    <w:rsid w:val="00AB4E5F"/>
    <w:rsid w:val="00AB5352"/>
    <w:rsid w:val="00AB56AE"/>
    <w:rsid w:val="00AB62D5"/>
    <w:rsid w:val="00AB65B5"/>
    <w:rsid w:val="00AB6DCD"/>
    <w:rsid w:val="00AB6EE0"/>
    <w:rsid w:val="00AC17A2"/>
    <w:rsid w:val="00AC40B7"/>
    <w:rsid w:val="00AC531F"/>
    <w:rsid w:val="00AC5B36"/>
    <w:rsid w:val="00AC6377"/>
    <w:rsid w:val="00AC66A4"/>
    <w:rsid w:val="00AC6CB1"/>
    <w:rsid w:val="00AC7D6D"/>
    <w:rsid w:val="00AD0091"/>
    <w:rsid w:val="00AD23EF"/>
    <w:rsid w:val="00AD2662"/>
    <w:rsid w:val="00AD307B"/>
    <w:rsid w:val="00AD4014"/>
    <w:rsid w:val="00AD41B3"/>
    <w:rsid w:val="00AD5721"/>
    <w:rsid w:val="00AD5C4D"/>
    <w:rsid w:val="00AD69F0"/>
    <w:rsid w:val="00AD7127"/>
    <w:rsid w:val="00AD730C"/>
    <w:rsid w:val="00AE123A"/>
    <w:rsid w:val="00AE1539"/>
    <w:rsid w:val="00AE28A7"/>
    <w:rsid w:val="00AE2A98"/>
    <w:rsid w:val="00AE2CF2"/>
    <w:rsid w:val="00AE3012"/>
    <w:rsid w:val="00AE33A6"/>
    <w:rsid w:val="00AE3729"/>
    <w:rsid w:val="00AE4138"/>
    <w:rsid w:val="00AE4CCE"/>
    <w:rsid w:val="00AE5C6A"/>
    <w:rsid w:val="00AE6317"/>
    <w:rsid w:val="00AE6B62"/>
    <w:rsid w:val="00AE7280"/>
    <w:rsid w:val="00AF033A"/>
    <w:rsid w:val="00AF1699"/>
    <w:rsid w:val="00AF1FD3"/>
    <w:rsid w:val="00AF2910"/>
    <w:rsid w:val="00AF34B8"/>
    <w:rsid w:val="00AF3896"/>
    <w:rsid w:val="00AF3FC2"/>
    <w:rsid w:val="00B0098A"/>
    <w:rsid w:val="00B00A5F"/>
    <w:rsid w:val="00B00F89"/>
    <w:rsid w:val="00B029B8"/>
    <w:rsid w:val="00B02F60"/>
    <w:rsid w:val="00B032B8"/>
    <w:rsid w:val="00B04721"/>
    <w:rsid w:val="00B04B15"/>
    <w:rsid w:val="00B04B46"/>
    <w:rsid w:val="00B0534D"/>
    <w:rsid w:val="00B05685"/>
    <w:rsid w:val="00B05F9F"/>
    <w:rsid w:val="00B06368"/>
    <w:rsid w:val="00B068DA"/>
    <w:rsid w:val="00B06A00"/>
    <w:rsid w:val="00B06FC6"/>
    <w:rsid w:val="00B074C9"/>
    <w:rsid w:val="00B07D9D"/>
    <w:rsid w:val="00B11AE5"/>
    <w:rsid w:val="00B12FE6"/>
    <w:rsid w:val="00B1303F"/>
    <w:rsid w:val="00B1364A"/>
    <w:rsid w:val="00B13859"/>
    <w:rsid w:val="00B13EC9"/>
    <w:rsid w:val="00B14319"/>
    <w:rsid w:val="00B14A06"/>
    <w:rsid w:val="00B158E1"/>
    <w:rsid w:val="00B16715"/>
    <w:rsid w:val="00B1768E"/>
    <w:rsid w:val="00B17910"/>
    <w:rsid w:val="00B20F18"/>
    <w:rsid w:val="00B21516"/>
    <w:rsid w:val="00B21A37"/>
    <w:rsid w:val="00B21D23"/>
    <w:rsid w:val="00B21F62"/>
    <w:rsid w:val="00B22CE0"/>
    <w:rsid w:val="00B23738"/>
    <w:rsid w:val="00B23BEF"/>
    <w:rsid w:val="00B247BB"/>
    <w:rsid w:val="00B2504A"/>
    <w:rsid w:val="00B25EE6"/>
    <w:rsid w:val="00B3115A"/>
    <w:rsid w:val="00B31825"/>
    <w:rsid w:val="00B31A5C"/>
    <w:rsid w:val="00B33B06"/>
    <w:rsid w:val="00B33C19"/>
    <w:rsid w:val="00B35A15"/>
    <w:rsid w:val="00B35B45"/>
    <w:rsid w:val="00B36A99"/>
    <w:rsid w:val="00B42264"/>
    <w:rsid w:val="00B434B2"/>
    <w:rsid w:val="00B43D45"/>
    <w:rsid w:val="00B468F2"/>
    <w:rsid w:val="00B469DE"/>
    <w:rsid w:val="00B47286"/>
    <w:rsid w:val="00B50234"/>
    <w:rsid w:val="00B51BF4"/>
    <w:rsid w:val="00B52C68"/>
    <w:rsid w:val="00B5372B"/>
    <w:rsid w:val="00B542FE"/>
    <w:rsid w:val="00B55A1B"/>
    <w:rsid w:val="00B561DB"/>
    <w:rsid w:val="00B56DF9"/>
    <w:rsid w:val="00B600BD"/>
    <w:rsid w:val="00B61274"/>
    <w:rsid w:val="00B61DCE"/>
    <w:rsid w:val="00B62188"/>
    <w:rsid w:val="00B62F79"/>
    <w:rsid w:val="00B62F82"/>
    <w:rsid w:val="00B6306A"/>
    <w:rsid w:val="00B635E3"/>
    <w:rsid w:val="00B653D7"/>
    <w:rsid w:val="00B662FF"/>
    <w:rsid w:val="00B66679"/>
    <w:rsid w:val="00B70145"/>
    <w:rsid w:val="00B71A92"/>
    <w:rsid w:val="00B721D8"/>
    <w:rsid w:val="00B730CA"/>
    <w:rsid w:val="00B747C5"/>
    <w:rsid w:val="00B74F2F"/>
    <w:rsid w:val="00B753ED"/>
    <w:rsid w:val="00B769BC"/>
    <w:rsid w:val="00B77349"/>
    <w:rsid w:val="00B7761E"/>
    <w:rsid w:val="00B80A3D"/>
    <w:rsid w:val="00B80B04"/>
    <w:rsid w:val="00B8127B"/>
    <w:rsid w:val="00B819E5"/>
    <w:rsid w:val="00B821E4"/>
    <w:rsid w:val="00B823E0"/>
    <w:rsid w:val="00B8260D"/>
    <w:rsid w:val="00B82B78"/>
    <w:rsid w:val="00B845B4"/>
    <w:rsid w:val="00B84662"/>
    <w:rsid w:val="00B84C74"/>
    <w:rsid w:val="00B85191"/>
    <w:rsid w:val="00B858A1"/>
    <w:rsid w:val="00B85FEC"/>
    <w:rsid w:val="00B864A3"/>
    <w:rsid w:val="00B86C2A"/>
    <w:rsid w:val="00B878BE"/>
    <w:rsid w:val="00B902A5"/>
    <w:rsid w:val="00B90420"/>
    <w:rsid w:val="00B90848"/>
    <w:rsid w:val="00B91146"/>
    <w:rsid w:val="00B913E4"/>
    <w:rsid w:val="00B91DB9"/>
    <w:rsid w:val="00B91FF3"/>
    <w:rsid w:val="00B93EFE"/>
    <w:rsid w:val="00B944B9"/>
    <w:rsid w:val="00B94956"/>
    <w:rsid w:val="00B94C7F"/>
    <w:rsid w:val="00B94E93"/>
    <w:rsid w:val="00B956B5"/>
    <w:rsid w:val="00B96DF2"/>
    <w:rsid w:val="00B96E18"/>
    <w:rsid w:val="00B96F5A"/>
    <w:rsid w:val="00BA0B39"/>
    <w:rsid w:val="00BA0CB2"/>
    <w:rsid w:val="00BA0E26"/>
    <w:rsid w:val="00BA138B"/>
    <w:rsid w:val="00BA305B"/>
    <w:rsid w:val="00BA31BF"/>
    <w:rsid w:val="00BA3FC7"/>
    <w:rsid w:val="00BA478B"/>
    <w:rsid w:val="00BA5224"/>
    <w:rsid w:val="00BA575E"/>
    <w:rsid w:val="00BA76B7"/>
    <w:rsid w:val="00BA7E3B"/>
    <w:rsid w:val="00BB078D"/>
    <w:rsid w:val="00BB079C"/>
    <w:rsid w:val="00BB0D7A"/>
    <w:rsid w:val="00BB10E1"/>
    <w:rsid w:val="00BB2471"/>
    <w:rsid w:val="00BB25B8"/>
    <w:rsid w:val="00BB3035"/>
    <w:rsid w:val="00BB39C1"/>
    <w:rsid w:val="00BB3DF5"/>
    <w:rsid w:val="00BB5D16"/>
    <w:rsid w:val="00BB6180"/>
    <w:rsid w:val="00BB69E6"/>
    <w:rsid w:val="00BB7BE5"/>
    <w:rsid w:val="00BC08BD"/>
    <w:rsid w:val="00BC11E8"/>
    <w:rsid w:val="00BC1B7A"/>
    <w:rsid w:val="00BC2C17"/>
    <w:rsid w:val="00BC3ACD"/>
    <w:rsid w:val="00BC3B20"/>
    <w:rsid w:val="00BC3EE4"/>
    <w:rsid w:val="00BC4E15"/>
    <w:rsid w:val="00BC588C"/>
    <w:rsid w:val="00BC62F4"/>
    <w:rsid w:val="00BC6E73"/>
    <w:rsid w:val="00BC74D3"/>
    <w:rsid w:val="00BD0014"/>
    <w:rsid w:val="00BD01D8"/>
    <w:rsid w:val="00BD255F"/>
    <w:rsid w:val="00BD2895"/>
    <w:rsid w:val="00BD4236"/>
    <w:rsid w:val="00BD483B"/>
    <w:rsid w:val="00BD5CD4"/>
    <w:rsid w:val="00BD65D9"/>
    <w:rsid w:val="00BD6DF3"/>
    <w:rsid w:val="00BD6E09"/>
    <w:rsid w:val="00BD6EF9"/>
    <w:rsid w:val="00BE0ACB"/>
    <w:rsid w:val="00BE2260"/>
    <w:rsid w:val="00BE3917"/>
    <w:rsid w:val="00BE50FD"/>
    <w:rsid w:val="00BE51CA"/>
    <w:rsid w:val="00BE537F"/>
    <w:rsid w:val="00BE5D77"/>
    <w:rsid w:val="00BE6D47"/>
    <w:rsid w:val="00BE7032"/>
    <w:rsid w:val="00BE7330"/>
    <w:rsid w:val="00BF01C5"/>
    <w:rsid w:val="00BF061A"/>
    <w:rsid w:val="00BF066A"/>
    <w:rsid w:val="00BF14CC"/>
    <w:rsid w:val="00BF1821"/>
    <w:rsid w:val="00BF4342"/>
    <w:rsid w:val="00BF4704"/>
    <w:rsid w:val="00BF4FFC"/>
    <w:rsid w:val="00BF5050"/>
    <w:rsid w:val="00BF50D1"/>
    <w:rsid w:val="00BF5422"/>
    <w:rsid w:val="00BF59B1"/>
    <w:rsid w:val="00BF6A78"/>
    <w:rsid w:val="00BF7695"/>
    <w:rsid w:val="00BF79B4"/>
    <w:rsid w:val="00BF7C61"/>
    <w:rsid w:val="00C00037"/>
    <w:rsid w:val="00C00D18"/>
    <w:rsid w:val="00C01427"/>
    <w:rsid w:val="00C014C7"/>
    <w:rsid w:val="00C047AB"/>
    <w:rsid w:val="00C058AF"/>
    <w:rsid w:val="00C075B6"/>
    <w:rsid w:val="00C124C1"/>
    <w:rsid w:val="00C128AE"/>
    <w:rsid w:val="00C12BA8"/>
    <w:rsid w:val="00C136D6"/>
    <w:rsid w:val="00C13902"/>
    <w:rsid w:val="00C13D5B"/>
    <w:rsid w:val="00C141D7"/>
    <w:rsid w:val="00C1711B"/>
    <w:rsid w:val="00C17AE2"/>
    <w:rsid w:val="00C17E00"/>
    <w:rsid w:val="00C20140"/>
    <w:rsid w:val="00C20F27"/>
    <w:rsid w:val="00C215CF"/>
    <w:rsid w:val="00C2244B"/>
    <w:rsid w:val="00C22711"/>
    <w:rsid w:val="00C2280A"/>
    <w:rsid w:val="00C22B0D"/>
    <w:rsid w:val="00C22BFF"/>
    <w:rsid w:val="00C23522"/>
    <w:rsid w:val="00C240C1"/>
    <w:rsid w:val="00C24AED"/>
    <w:rsid w:val="00C250D0"/>
    <w:rsid w:val="00C252AC"/>
    <w:rsid w:val="00C25C0F"/>
    <w:rsid w:val="00C26567"/>
    <w:rsid w:val="00C26923"/>
    <w:rsid w:val="00C27214"/>
    <w:rsid w:val="00C27597"/>
    <w:rsid w:val="00C27E5E"/>
    <w:rsid w:val="00C30382"/>
    <w:rsid w:val="00C30772"/>
    <w:rsid w:val="00C30D6F"/>
    <w:rsid w:val="00C31063"/>
    <w:rsid w:val="00C31B7E"/>
    <w:rsid w:val="00C322D1"/>
    <w:rsid w:val="00C3242A"/>
    <w:rsid w:val="00C33201"/>
    <w:rsid w:val="00C33A39"/>
    <w:rsid w:val="00C33B57"/>
    <w:rsid w:val="00C34619"/>
    <w:rsid w:val="00C35D01"/>
    <w:rsid w:val="00C360B3"/>
    <w:rsid w:val="00C37027"/>
    <w:rsid w:val="00C37B19"/>
    <w:rsid w:val="00C413CB"/>
    <w:rsid w:val="00C42752"/>
    <w:rsid w:val="00C42973"/>
    <w:rsid w:val="00C44C69"/>
    <w:rsid w:val="00C4712A"/>
    <w:rsid w:val="00C5034F"/>
    <w:rsid w:val="00C50830"/>
    <w:rsid w:val="00C52479"/>
    <w:rsid w:val="00C5266E"/>
    <w:rsid w:val="00C52C59"/>
    <w:rsid w:val="00C5349E"/>
    <w:rsid w:val="00C539FF"/>
    <w:rsid w:val="00C544BD"/>
    <w:rsid w:val="00C54D3D"/>
    <w:rsid w:val="00C55A30"/>
    <w:rsid w:val="00C56384"/>
    <w:rsid w:val="00C60F8C"/>
    <w:rsid w:val="00C61794"/>
    <w:rsid w:val="00C62A48"/>
    <w:rsid w:val="00C62AC4"/>
    <w:rsid w:val="00C62B59"/>
    <w:rsid w:val="00C62F96"/>
    <w:rsid w:val="00C631E1"/>
    <w:rsid w:val="00C638D8"/>
    <w:rsid w:val="00C63AE7"/>
    <w:rsid w:val="00C63D26"/>
    <w:rsid w:val="00C6540A"/>
    <w:rsid w:val="00C668A1"/>
    <w:rsid w:val="00C67223"/>
    <w:rsid w:val="00C707B8"/>
    <w:rsid w:val="00C712AC"/>
    <w:rsid w:val="00C71C15"/>
    <w:rsid w:val="00C71F3D"/>
    <w:rsid w:val="00C72F53"/>
    <w:rsid w:val="00C74035"/>
    <w:rsid w:val="00C748EA"/>
    <w:rsid w:val="00C77818"/>
    <w:rsid w:val="00C8063F"/>
    <w:rsid w:val="00C81282"/>
    <w:rsid w:val="00C827B4"/>
    <w:rsid w:val="00C83214"/>
    <w:rsid w:val="00C8329F"/>
    <w:rsid w:val="00C84F8A"/>
    <w:rsid w:val="00C85BA4"/>
    <w:rsid w:val="00C8618F"/>
    <w:rsid w:val="00C8625D"/>
    <w:rsid w:val="00C90372"/>
    <w:rsid w:val="00C9041F"/>
    <w:rsid w:val="00C9166B"/>
    <w:rsid w:val="00C91A45"/>
    <w:rsid w:val="00C91FB4"/>
    <w:rsid w:val="00C92150"/>
    <w:rsid w:val="00C92328"/>
    <w:rsid w:val="00C92D42"/>
    <w:rsid w:val="00C938C2"/>
    <w:rsid w:val="00C93F8A"/>
    <w:rsid w:val="00C94EA1"/>
    <w:rsid w:val="00C9511B"/>
    <w:rsid w:val="00C95745"/>
    <w:rsid w:val="00C95902"/>
    <w:rsid w:val="00C962E3"/>
    <w:rsid w:val="00C978E2"/>
    <w:rsid w:val="00C97997"/>
    <w:rsid w:val="00CA10A2"/>
    <w:rsid w:val="00CA1D83"/>
    <w:rsid w:val="00CA25C0"/>
    <w:rsid w:val="00CA3451"/>
    <w:rsid w:val="00CA35C6"/>
    <w:rsid w:val="00CA4948"/>
    <w:rsid w:val="00CA52F9"/>
    <w:rsid w:val="00CA5368"/>
    <w:rsid w:val="00CA568B"/>
    <w:rsid w:val="00CA573A"/>
    <w:rsid w:val="00CA5C58"/>
    <w:rsid w:val="00CB19D7"/>
    <w:rsid w:val="00CB19FE"/>
    <w:rsid w:val="00CB1C3F"/>
    <w:rsid w:val="00CB2364"/>
    <w:rsid w:val="00CB304C"/>
    <w:rsid w:val="00CB3933"/>
    <w:rsid w:val="00CB53E8"/>
    <w:rsid w:val="00CB594A"/>
    <w:rsid w:val="00CB5CB2"/>
    <w:rsid w:val="00CB6979"/>
    <w:rsid w:val="00CB7DDE"/>
    <w:rsid w:val="00CC0A3D"/>
    <w:rsid w:val="00CC1585"/>
    <w:rsid w:val="00CC3C53"/>
    <w:rsid w:val="00CC3D24"/>
    <w:rsid w:val="00CC3F91"/>
    <w:rsid w:val="00CC4ACD"/>
    <w:rsid w:val="00CC4B0A"/>
    <w:rsid w:val="00CC544A"/>
    <w:rsid w:val="00CC57EA"/>
    <w:rsid w:val="00CC5954"/>
    <w:rsid w:val="00CC629B"/>
    <w:rsid w:val="00CC6C4E"/>
    <w:rsid w:val="00CD009D"/>
    <w:rsid w:val="00CD05A2"/>
    <w:rsid w:val="00CD29D4"/>
    <w:rsid w:val="00CD2B5C"/>
    <w:rsid w:val="00CD2FF3"/>
    <w:rsid w:val="00CD3323"/>
    <w:rsid w:val="00CD38F5"/>
    <w:rsid w:val="00CD437E"/>
    <w:rsid w:val="00CD5DAD"/>
    <w:rsid w:val="00CD72C5"/>
    <w:rsid w:val="00CD79A7"/>
    <w:rsid w:val="00CE0789"/>
    <w:rsid w:val="00CE0E8D"/>
    <w:rsid w:val="00CE1A03"/>
    <w:rsid w:val="00CE2346"/>
    <w:rsid w:val="00CE25B2"/>
    <w:rsid w:val="00CE2687"/>
    <w:rsid w:val="00CE3529"/>
    <w:rsid w:val="00CE35C8"/>
    <w:rsid w:val="00CE3962"/>
    <w:rsid w:val="00CE4D1A"/>
    <w:rsid w:val="00CE4E8A"/>
    <w:rsid w:val="00CE5105"/>
    <w:rsid w:val="00CE56BD"/>
    <w:rsid w:val="00CE5EC0"/>
    <w:rsid w:val="00CE6A0B"/>
    <w:rsid w:val="00CE6F9F"/>
    <w:rsid w:val="00CE781A"/>
    <w:rsid w:val="00CE7B08"/>
    <w:rsid w:val="00CE7D52"/>
    <w:rsid w:val="00CF1D74"/>
    <w:rsid w:val="00CF2BE2"/>
    <w:rsid w:val="00CF3DEB"/>
    <w:rsid w:val="00CF55F9"/>
    <w:rsid w:val="00CF7074"/>
    <w:rsid w:val="00CF7390"/>
    <w:rsid w:val="00CF7495"/>
    <w:rsid w:val="00D00876"/>
    <w:rsid w:val="00D01CF9"/>
    <w:rsid w:val="00D0334D"/>
    <w:rsid w:val="00D0374D"/>
    <w:rsid w:val="00D06D7B"/>
    <w:rsid w:val="00D06DA5"/>
    <w:rsid w:val="00D07191"/>
    <w:rsid w:val="00D07F1D"/>
    <w:rsid w:val="00D10558"/>
    <w:rsid w:val="00D11D4D"/>
    <w:rsid w:val="00D126DC"/>
    <w:rsid w:val="00D12B03"/>
    <w:rsid w:val="00D13E70"/>
    <w:rsid w:val="00D15FCD"/>
    <w:rsid w:val="00D16C58"/>
    <w:rsid w:val="00D17019"/>
    <w:rsid w:val="00D17FC8"/>
    <w:rsid w:val="00D20B44"/>
    <w:rsid w:val="00D21168"/>
    <w:rsid w:val="00D2438C"/>
    <w:rsid w:val="00D2585A"/>
    <w:rsid w:val="00D259B0"/>
    <w:rsid w:val="00D26C3F"/>
    <w:rsid w:val="00D27026"/>
    <w:rsid w:val="00D27185"/>
    <w:rsid w:val="00D30EF8"/>
    <w:rsid w:val="00D32518"/>
    <w:rsid w:val="00D33488"/>
    <w:rsid w:val="00D33AB3"/>
    <w:rsid w:val="00D33F24"/>
    <w:rsid w:val="00D34160"/>
    <w:rsid w:val="00D346B8"/>
    <w:rsid w:val="00D34DCA"/>
    <w:rsid w:val="00D35AC8"/>
    <w:rsid w:val="00D36F87"/>
    <w:rsid w:val="00D37E4E"/>
    <w:rsid w:val="00D400A4"/>
    <w:rsid w:val="00D40DEF"/>
    <w:rsid w:val="00D417D8"/>
    <w:rsid w:val="00D41F78"/>
    <w:rsid w:val="00D42E6C"/>
    <w:rsid w:val="00D4351C"/>
    <w:rsid w:val="00D43B80"/>
    <w:rsid w:val="00D44988"/>
    <w:rsid w:val="00D45B4C"/>
    <w:rsid w:val="00D45BA4"/>
    <w:rsid w:val="00D471AF"/>
    <w:rsid w:val="00D4724F"/>
    <w:rsid w:val="00D50519"/>
    <w:rsid w:val="00D512C8"/>
    <w:rsid w:val="00D51601"/>
    <w:rsid w:val="00D51ECB"/>
    <w:rsid w:val="00D5264C"/>
    <w:rsid w:val="00D52BBC"/>
    <w:rsid w:val="00D537FE"/>
    <w:rsid w:val="00D53CC9"/>
    <w:rsid w:val="00D54A6A"/>
    <w:rsid w:val="00D54B8F"/>
    <w:rsid w:val="00D55951"/>
    <w:rsid w:val="00D559F0"/>
    <w:rsid w:val="00D57EB6"/>
    <w:rsid w:val="00D608C0"/>
    <w:rsid w:val="00D60D6D"/>
    <w:rsid w:val="00D6128C"/>
    <w:rsid w:val="00D66D8B"/>
    <w:rsid w:val="00D70849"/>
    <w:rsid w:val="00D72297"/>
    <w:rsid w:val="00D72A1C"/>
    <w:rsid w:val="00D7308F"/>
    <w:rsid w:val="00D7313E"/>
    <w:rsid w:val="00D73580"/>
    <w:rsid w:val="00D73802"/>
    <w:rsid w:val="00D73C2C"/>
    <w:rsid w:val="00D73D52"/>
    <w:rsid w:val="00D743B5"/>
    <w:rsid w:val="00D745E7"/>
    <w:rsid w:val="00D774ED"/>
    <w:rsid w:val="00D777C3"/>
    <w:rsid w:val="00D7797C"/>
    <w:rsid w:val="00D77C44"/>
    <w:rsid w:val="00D77F88"/>
    <w:rsid w:val="00D81AFA"/>
    <w:rsid w:val="00D81EAA"/>
    <w:rsid w:val="00D81FE2"/>
    <w:rsid w:val="00D8259F"/>
    <w:rsid w:val="00D825F2"/>
    <w:rsid w:val="00D8285C"/>
    <w:rsid w:val="00D828B1"/>
    <w:rsid w:val="00D82A55"/>
    <w:rsid w:val="00D83D49"/>
    <w:rsid w:val="00D84181"/>
    <w:rsid w:val="00D846AD"/>
    <w:rsid w:val="00D84754"/>
    <w:rsid w:val="00D84F27"/>
    <w:rsid w:val="00D853F0"/>
    <w:rsid w:val="00D85862"/>
    <w:rsid w:val="00D86D47"/>
    <w:rsid w:val="00D8710C"/>
    <w:rsid w:val="00D873C6"/>
    <w:rsid w:val="00D9074A"/>
    <w:rsid w:val="00D9099E"/>
    <w:rsid w:val="00D9193A"/>
    <w:rsid w:val="00D923B2"/>
    <w:rsid w:val="00D92463"/>
    <w:rsid w:val="00D93E64"/>
    <w:rsid w:val="00D93F64"/>
    <w:rsid w:val="00D94CA4"/>
    <w:rsid w:val="00D95E99"/>
    <w:rsid w:val="00D965D5"/>
    <w:rsid w:val="00D97DA2"/>
    <w:rsid w:val="00DA1A3A"/>
    <w:rsid w:val="00DA2351"/>
    <w:rsid w:val="00DA249E"/>
    <w:rsid w:val="00DA2D3D"/>
    <w:rsid w:val="00DA4C30"/>
    <w:rsid w:val="00DA7722"/>
    <w:rsid w:val="00DB145E"/>
    <w:rsid w:val="00DB1A94"/>
    <w:rsid w:val="00DB1D52"/>
    <w:rsid w:val="00DB1E2B"/>
    <w:rsid w:val="00DB1F62"/>
    <w:rsid w:val="00DB21E7"/>
    <w:rsid w:val="00DB2E03"/>
    <w:rsid w:val="00DB3742"/>
    <w:rsid w:val="00DB3E9B"/>
    <w:rsid w:val="00DB3F4B"/>
    <w:rsid w:val="00DB5375"/>
    <w:rsid w:val="00DB67C1"/>
    <w:rsid w:val="00DB6C0B"/>
    <w:rsid w:val="00DB70F4"/>
    <w:rsid w:val="00DB748A"/>
    <w:rsid w:val="00DC009D"/>
    <w:rsid w:val="00DC1056"/>
    <w:rsid w:val="00DC1442"/>
    <w:rsid w:val="00DC21D8"/>
    <w:rsid w:val="00DC282A"/>
    <w:rsid w:val="00DC34DC"/>
    <w:rsid w:val="00DC3780"/>
    <w:rsid w:val="00DC3ADA"/>
    <w:rsid w:val="00DC3CC6"/>
    <w:rsid w:val="00DC3F55"/>
    <w:rsid w:val="00DC4782"/>
    <w:rsid w:val="00DC514A"/>
    <w:rsid w:val="00DC67B1"/>
    <w:rsid w:val="00DC6929"/>
    <w:rsid w:val="00DC6F22"/>
    <w:rsid w:val="00DC7FBC"/>
    <w:rsid w:val="00DD0019"/>
    <w:rsid w:val="00DD132B"/>
    <w:rsid w:val="00DD1725"/>
    <w:rsid w:val="00DD2159"/>
    <w:rsid w:val="00DD218B"/>
    <w:rsid w:val="00DD2A18"/>
    <w:rsid w:val="00DD3044"/>
    <w:rsid w:val="00DD3985"/>
    <w:rsid w:val="00DD61E8"/>
    <w:rsid w:val="00DD62C0"/>
    <w:rsid w:val="00DD64DE"/>
    <w:rsid w:val="00DD7859"/>
    <w:rsid w:val="00DD7B41"/>
    <w:rsid w:val="00DE0784"/>
    <w:rsid w:val="00DE0A1D"/>
    <w:rsid w:val="00DE15B2"/>
    <w:rsid w:val="00DE1A9A"/>
    <w:rsid w:val="00DE3D2C"/>
    <w:rsid w:val="00DE5E82"/>
    <w:rsid w:val="00DE5FA6"/>
    <w:rsid w:val="00DE6792"/>
    <w:rsid w:val="00DE6AA1"/>
    <w:rsid w:val="00DE7AAB"/>
    <w:rsid w:val="00DE7EF7"/>
    <w:rsid w:val="00DF015B"/>
    <w:rsid w:val="00DF02EC"/>
    <w:rsid w:val="00DF10FC"/>
    <w:rsid w:val="00DF1185"/>
    <w:rsid w:val="00DF1299"/>
    <w:rsid w:val="00DF1A70"/>
    <w:rsid w:val="00DF1E5F"/>
    <w:rsid w:val="00DF23A8"/>
    <w:rsid w:val="00DF2F27"/>
    <w:rsid w:val="00DF36B6"/>
    <w:rsid w:val="00DF4296"/>
    <w:rsid w:val="00DF53F0"/>
    <w:rsid w:val="00DF5F38"/>
    <w:rsid w:val="00DF6608"/>
    <w:rsid w:val="00DF6CCC"/>
    <w:rsid w:val="00DF6D0C"/>
    <w:rsid w:val="00DF6F64"/>
    <w:rsid w:val="00DF721E"/>
    <w:rsid w:val="00DF7B8A"/>
    <w:rsid w:val="00DF7C87"/>
    <w:rsid w:val="00E009B0"/>
    <w:rsid w:val="00E00A12"/>
    <w:rsid w:val="00E00C49"/>
    <w:rsid w:val="00E01C9C"/>
    <w:rsid w:val="00E0219D"/>
    <w:rsid w:val="00E04C0F"/>
    <w:rsid w:val="00E0570B"/>
    <w:rsid w:val="00E10343"/>
    <w:rsid w:val="00E10913"/>
    <w:rsid w:val="00E10B87"/>
    <w:rsid w:val="00E121CE"/>
    <w:rsid w:val="00E1478B"/>
    <w:rsid w:val="00E14FAC"/>
    <w:rsid w:val="00E15007"/>
    <w:rsid w:val="00E16277"/>
    <w:rsid w:val="00E16EC7"/>
    <w:rsid w:val="00E219CE"/>
    <w:rsid w:val="00E24071"/>
    <w:rsid w:val="00E24EBC"/>
    <w:rsid w:val="00E2522C"/>
    <w:rsid w:val="00E2552F"/>
    <w:rsid w:val="00E2599B"/>
    <w:rsid w:val="00E2710C"/>
    <w:rsid w:val="00E27428"/>
    <w:rsid w:val="00E305B4"/>
    <w:rsid w:val="00E31AFA"/>
    <w:rsid w:val="00E31CB7"/>
    <w:rsid w:val="00E324EE"/>
    <w:rsid w:val="00E32990"/>
    <w:rsid w:val="00E34DB1"/>
    <w:rsid w:val="00E35931"/>
    <w:rsid w:val="00E359FF"/>
    <w:rsid w:val="00E36BD1"/>
    <w:rsid w:val="00E402C5"/>
    <w:rsid w:val="00E402F4"/>
    <w:rsid w:val="00E405F1"/>
    <w:rsid w:val="00E4178B"/>
    <w:rsid w:val="00E417DB"/>
    <w:rsid w:val="00E43054"/>
    <w:rsid w:val="00E43655"/>
    <w:rsid w:val="00E44440"/>
    <w:rsid w:val="00E46013"/>
    <w:rsid w:val="00E47099"/>
    <w:rsid w:val="00E47284"/>
    <w:rsid w:val="00E4730A"/>
    <w:rsid w:val="00E477C3"/>
    <w:rsid w:val="00E47BE3"/>
    <w:rsid w:val="00E517A5"/>
    <w:rsid w:val="00E51E16"/>
    <w:rsid w:val="00E53730"/>
    <w:rsid w:val="00E5438D"/>
    <w:rsid w:val="00E54511"/>
    <w:rsid w:val="00E54E50"/>
    <w:rsid w:val="00E55288"/>
    <w:rsid w:val="00E57577"/>
    <w:rsid w:val="00E62043"/>
    <w:rsid w:val="00E626B9"/>
    <w:rsid w:val="00E627C9"/>
    <w:rsid w:val="00E630F3"/>
    <w:rsid w:val="00E6332F"/>
    <w:rsid w:val="00E637C9"/>
    <w:rsid w:val="00E6402D"/>
    <w:rsid w:val="00E6680A"/>
    <w:rsid w:val="00E66F0D"/>
    <w:rsid w:val="00E70615"/>
    <w:rsid w:val="00E7161E"/>
    <w:rsid w:val="00E7207B"/>
    <w:rsid w:val="00E7347A"/>
    <w:rsid w:val="00E75A47"/>
    <w:rsid w:val="00E75BB6"/>
    <w:rsid w:val="00E75D8C"/>
    <w:rsid w:val="00E777F2"/>
    <w:rsid w:val="00E802C9"/>
    <w:rsid w:val="00E80BFB"/>
    <w:rsid w:val="00E80F0A"/>
    <w:rsid w:val="00E815D4"/>
    <w:rsid w:val="00E8291B"/>
    <w:rsid w:val="00E82E70"/>
    <w:rsid w:val="00E82F92"/>
    <w:rsid w:val="00E8395F"/>
    <w:rsid w:val="00E8410F"/>
    <w:rsid w:val="00E849D7"/>
    <w:rsid w:val="00E85E41"/>
    <w:rsid w:val="00E85EA1"/>
    <w:rsid w:val="00E86703"/>
    <w:rsid w:val="00E91044"/>
    <w:rsid w:val="00E910D3"/>
    <w:rsid w:val="00E91257"/>
    <w:rsid w:val="00E92154"/>
    <w:rsid w:val="00E923CF"/>
    <w:rsid w:val="00E93685"/>
    <w:rsid w:val="00E93B65"/>
    <w:rsid w:val="00E93C8C"/>
    <w:rsid w:val="00E95111"/>
    <w:rsid w:val="00E95FDF"/>
    <w:rsid w:val="00EA14C8"/>
    <w:rsid w:val="00EA2110"/>
    <w:rsid w:val="00EA283A"/>
    <w:rsid w:val="00EA2C90"/>
    <w:rsid w:val="00EA2E07"/>
    <w:rsid w:val="00EA383B"/>
    <w:rsid w:val="00EA48F3"/>
    <w:rsid w:val="00EA60BF"/>
    <w:rsid w:val="00EA7365"/>
    <w:rsid w:val="00EA763F"/>
    <w:rsid w:val="00EA77E9"/>
    <w:rsid w:val="00EB05D0"/>
    <w:rsid w:val="00EB1151"/>
    <w:rsid w:val="00EB1D49"/>
    <w:rsid w:val="00EB23D9"/>
    <w:rsid w:val="00EB39A0"/>
    <w:rsid w:val="00EB559F"/>
    <w:rsid w:val="00EB566C"/>
    <w:rsid w:val="00EB5F3D"/>
    <w:rsid w:val="00EC1CEB"/>
    <w:rsid w:val="00EC1DC0"/>
    <w:rsid w:val="00EC1DC2"/>
    <w:rsid w:val="00EC21EC"/>
    <w:rsid w:val="00EC24B8"/>
    <w:rsid w:val="00EC268C"/>
    <w:rsid w:val="00EC3753"/>
    <w:rsid w:val="00EC4E71"/>
    <w:rsid w:val="00EC5F1C"/>
    <w:rsid w:val="00ED0365"/>
    <w:rsid w:val="00ED0865"/>
    <w:rsid w:val="00ED1C60"/>
    <w:rsid w:val="00ED2EB9"/>
    <w:rsid w:val="00ED32D5"/>
    <w:rsid w:val="00ED3722"/>
    <w:rsid w:val="00ED3A31"/>
    <w:rsid w:val="00ED4469"/>
    <w:rsid w:val="00ED5424"/>
    <w:rsid w:val="00ED5F23"/>
    <w:rsid w:val="00ED6DC0"/>
    <w:rsid w:val="00ED7A7A"/>
    <w:rsid w:val="00EE0327"/>
    <w:rsid w:val="00EE038C"/>
    <w:rsid w:val="00EE28C5"/>
    <w:rsid w:val="00EE2F09"/>
    <w:rsid w:val="00EE47C5"/>
    <w:rsid w:val="00EE490C"/>
    <w:rsid w:val="00EE4E57"/>
    <w:rsid w:val="00EE5738"/>
    <w:rsid w:val="00EE58BD"/>
    <w:rsid w:val="00EE5E59"/>
    <w:rsid w:val="00EE6549"/>
    <w:rsid w:val="00EE73D0"/>
    <w:rsid w:val="00EE7CB0"/>
    <w:rsid w:val="00EF08A8"/>
    <w:rsid w:val="00EF167B"/>
    <w:rsid w:val="00EF30BF"/>
    <w:rsid w:val="00EF41A8"/>
    <w:rsid w:val="00EF44FB"/>
    <w:rsid w:val="00EF5122"/>
    <w:rsid w:val="00EF5554"/>
    <w:rsid w:val="00EF5AD8"/>
    <w:rsid w:val="00EF6B90"/>
    <w:rsid w:val="00EF7807"/>
    <w:rsid w:val="00EF79F7"/>
    <w:rsid w:val="00F006C0"/>
    <w:rsid w:val="00F0125F"/>
    <w:rsid w:val="00F019AA"/>
    <w:rsid w:val="00F0267E"/>
    <w:rsid w:val="00F02686"/>
    <w:rsid w:val="00F030C0"/>
    <w:rsid w:val="00F03291"/>
    <w:rsid w:val="00F0459B"/>
    <w:rsid w:val="00F04E15"/>
    <w:rsid w:val="00F05DF3"/>
    <w:rsid w:val="00F0692C"/>
    <w:rsid w:val="00F069EA"/>
    <w:rsid w:val="00F070E5"/>
    <w:rsid w:val="00F07DDE"/>
    <w:rsid w:val="00F11675"/>
    <w:rsid w:val="00F12557"/>
    <w:rsid w:val="00F13599"/>
    <w:rsid w:val="00F13B28"/>
    <w:rsid w:val="00F14E01"/>
    <w:rsid w:val="00F156A0"/>
    <w:rsid w:val="00F15730"/>
    <w:rsid w:val="00F176A6"/>
    <w:rsid w:val="00F202C2"/>
    <w:rsid w:val="00F212F6"/>
    <w:rsid w:val="00F22756"/>
    <w:rsid w:val="00F23248"/>
    <w:rsid w:val="00F23890"/>
    <w:rsid w:val="00F2504D"/>
    <w:rsid w:val="00F2637F"/>
    <w:rsid w:val="00F268F7"/>
    <w:rsid w:val="00F26B7C"/>
    <w:rsid w:val="00F30B83"/>
    <w:rsid w:val="00F30BDB"/>
    <w:rsid w:val="00F30CF8"/>
    <w:rsid w:val="00F31EDF"/>
    <w:rsid w:val="00F32CDE"/>
    <w:rsid w:val="00F32D4C"/>
    <w:rsid w:val="00F3327E"/>
    <w:rsid w:val="00F338C3"/>
    <w:rsid w:val="00F34B14"/>
    <w:rsid w:val="00F34F58"/>
    <w:rsid w:val="00F35DA7"/>
    <w:rsid w:val="00F36A6A"/>
    <w:rsid w:val="00F40101"/>
    <w:rsid w:val="00F404F7"/>
    <w:rsid w:val="00F40CCA"/>
    <w:rsid w:val="00F42D97"/>
    <w:rsid w:val="00F436B2"/>
    <w:rsid w:val="00F43813"/>
    <w:rsid w:val="00F43FEE"/>
    <w:rsid w:val="00F45A72"/>
    <w:rsid w:val="00F46723"/>
    <w:rsid w:val="00F4706D"/>
    <w:rsid w:val="00F476E1"/>
    <w:rsid w:val="00F47D1D"/>
    <w:rsid w:val="00F47F29"/>
    <w:rsid w:val="00F50016"/>
    <w:rsid w:val="00F50058"/>
    <w:rsid w:val="00F5118A"/>
    <w:rsid w:val="00F51A21"/>
    <w:rsid w:val="00F52614"/>
    <w:rsid w:val="00F5276E"/>
    <w:rsid w:val="00F52E9F"/>
    <w:rsid w:val="00F53304"/>
    <w:rsid w:val="00F53B81"/>
    <w:rsid w:val="00F540FE"/>
    <w:rsid w:val="00F556FF"/>
    <w:rsid w:val="00F55D12"/>
    <w:rsid w:val="00F5687F"/>
    <w:rsid w:val="00F56D3F"/>
    <w:rsid w:val="00F575C7"/>
    <w:rsid w:val="00F57FD0"/>
    <w:rsid w:val="00F60305"/>
    <w:rsid w:val="00F61B12"/>
    <w:rsid w:val="00F63264"/>
    <w:rsid w:val="00F634E4"/>
    <w:rsid w:val="00F6379E"/>
    <w:rsid w:val="00F64047"/>
    <w:rsid w:val="00F65171"/>
    <w:rsid w:val="00F6560D"/>
    <w:rsid w:val="00F65C23"/>
    <w:rsid w:val="00F67844"/>
    <w:rsid w:val="00F70799"/>
    <w:rsid w:val="00F70A8B"/>
    <w:rsid w:val="00F70B8D"/>
    <w:rsid w:val="00F71936"/>
    <w:rsid w:val="00F724FB"/>
    <w:rsid w:val="00F726B8"/>
    <w:rsid w:val="00F72A26"/>
    <w:rsid w:val="00F733C3"/>
    <w:rsid w:val="00F746A1"/>
    <w:rsid w:val="00F74820"/>
    <w:rsid w:val="00F756DD"/>
    <w:rsid w:val="00F77F4E"/>
    <w:rsid w:val="00F80047"/>
    <w:rsid w:val="00F800C7"/>
    <w:rsid w:val="00F8104D"/>
    <w:rsid w:val="00F81400"/>
    <w:rsid w:val="00F81587"/>
    <w:rsid w:val="00F8288F"/>
    <w:rsid w:val="00F84033"/>
    <w:rsid w:val="00F84802"/>
    <w:rsid w:val="00F85B72"/>
    <w:rsid w:val="00F86540"/>
    <w:rsid w:val="00F865CE"/>
    <w:rsid w:val="00F8766F"/>
    <w:rsid w:val="00F91082"/>
    <w:rsid w:val="00F9116D"/>
    <w:rsid w:val="00F91A9A"/>
    <w:rsid w:val="00F9203B"/>
    <w:rsid w:val="00F93427"/>
    <w:rsid w:val="00F93ABB"/>
    <w:rsid w:val="00F94D79"/>
    <w:rsid w:val="00F9658C"/>
    <w:rsid w:val="00F97A7F"/>
    <w:rsid w:val="00FA0889"/>
    <w:rsid w:val="00FA16E7"/>
    <w:rsid w:val="00FA31C7"/>
    <w:rsid w:val="00FA472D"/>
    <w:rsid w:val="00FA4A32"/>
    <w:rsid w:val="00FB0CBF"/>
    <w:rsid w:val="00FB18F6"/>
    <w:rsid w:val="00FB2A52"/>
    <w:rsid w:val="00FB3F92"/>
    <w:rsid w:val="00FB52C7"/>
    <w:rsid w:val="00FB57DC"/>
    <w:rsid w:val="00FB6E19"/>
    <w:rsid w:val="00FB71F6"/>
    <w:rsid w:val="00FC0AF8"/>
    <w:rsid w:val="00FC1483"/>
    <w:rsid w:val="00FC1C47"/>
    <w:rsid w:val="00FC3102"/>
    <w:rsid w:val="00FC39ED"/>
    <w:rsid w:val="00FC4419"/>
    <w:rsid w:val="00FC47E2"/>
    <w:rsid w:val="00FC4AA5"/>
    <w:rsid w:val="00FC4B88"/>
    <w:rsid w:val="00FC4BB8"/>
    <w:rsid w:val="00FC5148"/>
    <w:rsid w:val="00FC623A"/>
    <w:rsid w:val="00FC6524"/>
    <w:rsid w:val="00FC75AC"/>
    <w:rsid w:val="00FD01BF"/>
    <w:rsid w:val="00FD0525"/>
    <w:rsid w:val="00FD0AB7"/>
    <w:rsid w:val="00FD297D"/>
    <w:rsid w:val="00FD2D13"/>
    <w:rsid w:val="00FD374D"/>
    <w:rsid w:val="00FD6071"/>
    <w:rsid w:val="00FD633B"/>
    <w:rsid w:val="00FE0794"/>
    <w:rsid w:val="00FE1041"/>
    <w:rsid w:val="00FE24CB"/>
    <w:rsid w:val="00FE323F"/>
    <w:rsid w:val="00FE3473"/>
    <w:rsid w:val="00FE4049"/>
    <w:rsid w:val="00FE4794"/>
    <w:rsid w:val="00FE480F"/>
    <w:rsid w:val="00FE4998"/>
    <w:rsid w:val="00FE57DE"/>
    <w:rsid w:val="00FE7A68"/>
    <w:rsid w:val="00FF0231"/>
    <w:rsid w:val="00FF1C9B"/>
    <w:rsid w:val="00FF1D49"/>
    <w:rsid w:val="00FF203B"/>
    <w:rsid w:val="00FF2562"/>
    <w:rsid w:val="00FF3A41"/>
    <w:rsid w:val="00FF3E5B"/>
    <w:rsid w:val="00FF57E4"/>
    <w:rsid w:val="00FF78E5"/>
    <w:rsid w:val="01422176"/>
    <w:rsid w:val="01AF3D99"/>
    <w:rsid w:val="01C0753F"/>
    <w:rsid w:val="01D26D76"/>
    <w:rsid w:val="020D1CA4"/>
    <w:rsid w:val="022F3AF1"/>
    <w:rsid w:val="02511F9D"/>
    <w:rsid w:val="02824FCA"/>
    <w:rsid w:val="0336188F"/>
    <w:rsid w:val="03A314B8"/>
    <w:rsid w:val="03D82B98"/>
    <w:rsid w:val="03EC0C52"/>
    <w:rsid w:val="03F83E8B"/>
    <w:rsid w:val="041E081C"/>
    <w:rsid w:val="0433224A"/>
    <w:rsid w:val="04510922"/>
    <w:rsid w:val="046F4BA2"/>
    <w:rsid w:val="04CB4231"/>
    <w:rsid w:val="04F22047"/>
    <w:rsid w:val="0523067A"/>
    <w:rsid w:val="052630C7"/>
    <w:rsid w:val="05C56868"/>
    <w:rsid w:val="05F22720"/>
    <w:rsid w:val="065A5CA7"/>
    <w:rsid w:val="067F098A"/>
    <w:rsid w:val="068156F2"/>
    <w:rsid w:val="06CF736D"/>
    <w:rsid w:val="06DA69AD"/>
    <w:rsid w:val="07916369"/>
    <w:rsid w:val="07B72767"/>
    <w:rsid w:val="07C77DF9"/>
    <w:rsid w:val="08077E72"/>
    <w:rsid w:val="08114650"/>
    <w:rsid w:val="086B3FA2"/>
    <w:rsid w:val="08882DD0"/>
    <w:rsid w:val="08FA50E4"/>
    <w:rsid w:val="09CC2AAC"/>
    <w:rsid w:val="09D26E76"/>
    <w:rsid w:val="0A652D3E"/>
    <w:rsid w:val="0B2B3C7B"/>
    <w:rsid w:val="0B326F2A"/>
    <w:rsid w:val="0B5D195B"/>
    <w:rsid w:val="0BAB6B6A"/>
    <w:rsid w:val="0BFA26DA"/>
    <w:rsid w:val="0C1E2888"/>
    <w:rsid w:val="0C346B5F"/>
    <w:rsid w:val="0C403449"/>
    <w:rsid w:val="0C440164"/>
    <w:rsid w:val="0C92213C"/>
    <w:rsid w:val="0D84032B"/>
    <w:rsid w:val="0DDF6F9F"/>
    <w:rsid w:val="0DFA16E3"/>
    <w:rsid w:val="0E1E1875"/>
    <w:rsid w:val="0EDA6AA7"/>
    <w:rsid w:val="0F274759"/>
    <w:rsid w:val="0F2A74C4"/>
    <w:rsid w:val="0FBCA17F"/>
    <w:rsid w:val="0FDE37F3"/>
    <w:rsid w:val="101A42BE"/>
    <w:rsid w:val="10347723"/>
    <w:rsid w:val="10432A8F"/>
    <w:rsid w:val="10484987"/>
    <w:rsid w:val="10A27F31"/>
    <w:rsid w:val="10DE52EC"/>
    <w:rsid w:val="11427629"/>
    <w:rsid w:val="11627CCB"/>
    <w:rsid w:val="11927058"/>
    <w:rsid w:val="11A007F3"/>
    <w:rsid w:val="12C16C73"/>
    <w:rsid w:val="12F86B39"/>
    <w:rsid w:val="13AF4F03"/>
    <w:rsid w:val="13C20EF5"/>
    <w:rsid w:val="14254418"/>
    <w:rsid w:val="14736E66"/>
    <w:rsid w:val="147F458F"/>
    <w:rsid w:val="14891A12"/>
    <w:rsid w:val="14A303FF"/>
    <w:rsid w:val="14D958EC"/>
    <w:rsid w:val="1534169A"/>
    <w:rsid w:val="153D7608"/>
    <w:rsid w:val="15C03E03"/>
    <w:rsid w:val="162A25EB"/>
    <w:rsid w:val="163A3D1E"/>
    <w:rsid w:val="16FD2A55"/>
    <w:rsid w:val="17067C1A"/>
    <w:rsid w:val="17366761"/>
    <w:rsid w:val="17491877"/>
    <w:rsid w:val="177C01F0"/>
    <w:rsid w:val="17CE6630"/>
    <w:rsid w:val="186935DE"/>
    <w:rsid w:val="186E0FEE"/>
    <w:rsid w:val="19370583"/>
    <w:rsid w:val="19595E57"/>
    <w:rsid w:val="1A02029D"/>
    <w:rsid w:val="1A473F02"/>
    <w:rsid w:val="1AFF0AFE"/>
    <w:rsid w:val="1B4F19F8"/>
    <w:rsid w:val="1BE7224A"/>
    <w:rsid w:val="1C226F03"/>
    <w:rsid w:val="1DE516E8"/>
    <w:rsid w:val="1DF06496"/>
    <w:rsid w:val="1EAB5578"/>
    <w:rsid w:val="1ECC44FA"/>
    <w:rsid w:val="1EE342DE"/>
    <w:rsid w:val="1F063325"/>
    <w:rsid w:val="1F121E3A"/>
    <w:rsid w:val="1F365C88"/>
    <w:rsid w:val="1F8C4364"/>
    <w:rsid w:val="1F938A0B"/>
    <w:rsid w:val="1FBC5DF5"/>
    <w:rsid w:val="1FCF55A5"/>
    <w:rsid w:val="1FE392AD"/>
    <w:rsid w:val="1FF90588"/>
    <w:rsid w:val="1FFF5F06"/>
    <w:rsid w:val="20920044"/>
    <w:rsid w:val="20C3623F"/>
    <w:rsid w:val="213A47C0"/>
    <w:rsid w:val="21781212"/>
    <w:rsid w:val="217F21D3"/>
    <w:rsid w:val="21B83F86"/>
    <w:rsid w:val="221178A8"/>
    <w:rsid w:val="221213CF"/>
    <w:rsid w:val="22327A92"/>
    <w:rsid w:val="22BF2E43"/>
    <w:rsid w:val="22D70117"/>
    <w:rsid w:val="231D53A2"/>
    <w:rsid w:val="23404213"/>
    <w:rsid w:val="236D5383"/>
    <w:rsid w:val="23B311BD"/>
    <w:rsid w:val="23B6250A"/>
    <w:rsid w:val="23B7504C"/>
    <w:rsid w:val="24521E21"/>
    <w:rsid w:val="24571307"/>
    <w:rsid w:val="25110A2A"/>
    <w:rsid w:val="255A2660"/>
    <w:rsid w:val="256C0944"/>
    <w:rsid w:val="259F2EFD"/>
    <w:rsid w:val="25B8643B"/>
    <w:rsid w:val="25E92311"/>
    <w:rsid w:val="25EE7927"/>
    <w:rsid w:val="25FEDE37"/>
    <w:rsid w:val="26446DE3"/>
    <w:rsid w:val="269669E7"/>
    <w:rsid w:val="26D703BB"/>
    <w:rsid w:val="26D7699F"/>
    <w:rsid w:val="27295D18"/>
    <w:rsid w:val="272B4AB5"/>
    <w:rsid w:val="27B10997"/>
    <w:rsid w:val="27C6290A"/>
    <w:rsid w:val="27E50A60"/>
    <w:rsid w:val="27EAB132"/>
    <w:rsid w:val="280B656E"/>
    <w:rsid w:val="28132A02"/>
    <w:rsid w:val="283A50A6"/>
    <w:rsid w:val="28887BBF"/>
    <w:rsid w:val="28A10C81"/>
    <w:rsid w:val="28B07116"/>
    <w:rsid w:val="28C037FD"/>
    <w:rsid w:val="28D903C2"/>
    <w:rsid w:val="29161FA6"/>
    <w:rsid w:val="2A03252C"/>
    <w:rsid w:val="2A13795C"/>
    <w:rsid w:val="2A3044AF"/>
    <w:rsid w:val="2A8B1BAD"/>
    <w:rsid w:val="2A9C3FD7"/>
    <w:rsid w:val="2B25203D"/>
    <w:rsid w:val="2B272806"/>
    <w:rsid w:val="2B7106A8"/>
    <w:rsid w:val="2B774624"/>
    <w:rsid w:val="2B807273"/>
    <w:rsid w:val="2BD51A87"/>
    <w:rsid w:val="2C5B49E6"/>
    <w:rsid w:val="2C7A72BE"/>
    <w:rsid w:val="2C9A7D75"/>
    <w:rsid w:val="2CC17412"/>
    <w:rsid w:val="2CFF2C41"/>
    <w:rsid w:val="2D811081"/>
    <w:rsid w:val="2DC72F38"/>
    <w:rsid w:val="2E5D019E"/>
    <w:rsid w:val="2E9976CE"/>
    <w:rsid w:val="2EAE40F8"/>
    <w:rsid w:val="2EC97ADF"/>
    <w:rsid w:val="2EDC2BDB"/>
    <w:rsid w:val="2F1523C9"/>
    <w:rsid w:val="2F401D3C"/>
    <w:rsid w:val="2F47106A"/>
    <w:rsid w:val="2F5B24E1"/>
    <w:rsid w:val="2F6114D1"/>
    <w:rsid w:val="2F7D8EDB"/>
    <w:rsid w:val="2F9A0DCE"/>
    <w:rsid w:val="2FA95C88"/>
    <w:rsid w:val="2FBC2844"/>
    <w:rsid w:val="2FF63FA8"/>
    <w:rsid w:val="30032221"/>
    <w:rsid w:val="301B57BD"/>
    <w:rsid w:val="30396268"/>
    <w:rsid w:val="3041370F"/>
    <w:rsid w:val="307B28E7"/>
    <w:rsid w:val="307F117A"/>
    <w:rsid w:val="307F5D4C"/>
    <w:rsid w:val="30B579BF"/>
    <w:rsid w:val="31275204"/>
    <w:rsid w:val="312B50A3"/>
    <w:rsid w:val="31A43590"/>
    <w:rsid w:val="3238172D"/>
    <w:rsid w:val="32453A27"/>
    <w:rsid w:val="3263064A"/>
    <w:rsid w:val="32A43132"/>
    <w:rsid w:val="32AC0C06"/>
    <w:rsid w:val="33344EF5"/>
    <w:rsid w:val="343B01DB"/>
    <w:rsid w:val="344C2F16"/>
    <w:rsid w:val="34523D48"/>
    <w:rsid w:val="345D63A4"/>
    <w:rsid w:val="346F60D7"/>
    <w:rsid w:val="34A947B8"/>
    <w:rsid w:val="34B531DB"/>
    <w:rsid w:val="3537750C"/>
    <w:rsid w:val="3537798C"/>
    <w:rsid w:val="35700359"/>
    <w:rsid w:val="35AA6175"/>
    <w:rsid w:val="35C13FC9"/>
    <w:rsid w:val="35E22D38"/>
    <w:rsid w:val="35F16009"/>
    <w:rsid w:val="3606016F"/>
    <w:rsid w:val="364257B6"/>
    <w:rsid w:val="367B5900"/>
    <w:rsid w:val="369811E1"/>
    <w:rsid w:val="371D7FC0"/>
    <w:rsid w:val="375C030A"/>
    <w:rsid w:val="37AE1547"/>
    <w:rsid w:val="37BA3F76"/>
    <w:rsid w:val="37EA5922"/>
    <w:rsid w:val="37F65193"/>
    <w:rsid w:val="38276B93"/>
    <w:rsid w:val="384C0BE0"/>
    <w:rsid w:val="386D0B7F"/>
    <w:rsid w:val="38AC3431"/>
    <w:rsid w:val="38D76622"/>
    <w:rsid w:val="392F2E16"/>
    <w:rsid w:val="39C410BB"/>
    <w:rsid w:val="39D76BF8"/>
    <w:rsid w:val="39E00529"/>
    <w:rsid w:val="3A002BF4"/>
    <w:rsid w:val="3A0B64A7"/>
    <w:rsid w:val="3A282FB0"/>
    <w:rsid w:val="3A574DDA"/>
    <w:rsid w:val="3AD3075A"/>
    <w:rsid w:val="3AD97DF2"/>
    <w:rsid w:val="3ADB6274"/>
    <w:rsid w:val="3AF74C02"/>
    <w:rsid w:val="3B0B1FFB"/>
    <w:rsid w:val="3B2C1D99"/>
    <w:rsid w:val="3B2C2F74"/>
    <w:rsid w:val="3B3E214F"/>
    <w:rsid w:val="3B4F2DA1"/>
    <w:rsid w:val="3B7A75C8"/>
    <w:rsid w:val="3BB07D59"/>
    <w:rsid w:val="3BBCE63F"/>
    <w:rsid w:val="3BF9FE33"/>
    <w:rsid w:val="3BFF200A"/>
    <w:rsid w:val="3C0059A5"/>
    <w:rsid w:val="3C134E78"/>
    <w:rsid w:val="3C785F45"/>
    <w:rsid w:val="3C8F64E8"/>
    <w:rsid w:val="3D3CB910"/>
    <w:rsid w:val="3DCC6348"/>
    <w:rsid w:val="3DEC7285"/>
    <w:rsid w:val="3DF6345D"/>
    <w:rsid w:val="3DFD0004"/>
    <w:rsid w:val="3E2B5515"/>
    <w:rsid w:val="3E493F31"/>
    <w:rsid w:val="3E4D4F28"/>
    <w:rsid w:val="3E983D96"/>
    <w:rsid w:val="3EE13701"/>
    <w:rsid w:val="3F1A4BB3"/>
    <w:rsid w:val="3F5E6E16"/>
    <w:rsid w:val="3F8E7D59"/>
    <w:rsid w:val="3FDFEC21"/>
    <w:rsid w:val="3FE87167"/>
    <w:rsid w:val="400C0C7E"/>
    <w:rsid w:val="40192BA6"/>
    <w:rsid w:val="412D70FE"/>
    <w:rsid w:val="41594397"/>
    <w:rsid w:val="41766EA9"/>
    <w:rsid w:val="42254279"/>
    <w:rsid w:val="42550A18"/>
    <w:rsid w:val="426E3E72"/>
    <w:rsid w:val="429D496A"/>
    <w:rsid w:val="42F473A1"/>
    <w:rsid w:val="43DAF727"/>
    <w:rsid w:val="43E4263E"/>
    <w:rsid w:val="43E837B0"/>
    <w:rsid w:val="440E0B44"/>
    <w:rsid w:val="441E62C0"/>
    <w:rsid w:val="44783D11"/>
    <w:rsid w:val="44F129F9"/>
    <w:rsid w:val="452943D5"/>
    <w:rsid w:val="45325D14"/>
    <w:rsid w:val="45811C7C"/>
    <w:rsid w:val="45906116"/>
    <w:rsid w:val="46115CE9"/>
    <w:rsid w:val="46415E33"/>
    <w:rsid w:val="468B3EFB"/>
    <w:rsid w:val="46A936CA"/>
    <w:rsid w:val="46C25309"/>
    <w:rsid w:val="46E57680"/>
    <w:rsid w:val="470A6193"/>
    <w:rsid w:val="47385210"/>
    <w:rsid w:val="47693665"/>
    <w:rsid w:val="47DC4F5C"/>
    <w:rsid w:val="47DE16B2"/>
    <w:rsid w:val="47EB58C4"/>
    <w:rsid w:val="48300CD5"/>
    <w:rsid w:val="483D2FCF"/>
    <w:rsid w:val="48562075"/>
    <w:rsid w:val="48B40671"/>
    <w:rsid w:val="490D44E9"/>
    <w:rsid w:val="496438D9"/>
    <w:rsid w:val="499B5738"/>
    <w:rsid w:val="499F244D"/>
    <w:rsid w:val="4A7F1081"/>
    <w:rsid w:val="4A973F3F"/>
    <w:rsid w:val="4AF96BC7"/>
    <w:rsid w:val="4B5A416B"/>
    <w:rsid w:val="4B862A85"/>
    <w:rsid w:val="4BEF1B80"/>
    <w:rsid w:val="4C184C6A"/>
    <w:rsid w:val="4C33FBB4"/>
    <w:rsid w:val="4C680729"/>
    <w:rsid w:val="4C6A38FC"/>
    <w:rsid w:val="4CEF36E2"/>
    <w:rsid w:val="4CEF4DC5"/>
    <w:rsid w:val="4D290B1D"/>
    <w:rsid w:val="4D4952BF"/>
    <w:rsid w:val="4D5F1A11"/>
    <w:rsid w:val="4DBA359A"/>
    <w:rsid w:val="4DD532D0"/>
    <w:rsid w:val="4E143B1F"/>
    <w:rsid w:val="4E15663A"/>
    <w:rsid w:val="4E257655"/>
    <w:rsid w:val="4E760336"/>
    <w:rsid w:val="4E8D742E"/>
    <w:rsid w:val="4E8E7871"/>
    <w:rsid w:val="4F372380"/>
    <w:rsid w:val="4F372FFB"/>
    <w:rsid w:val="4F37A359"/>
    <w:rsid w:val="4F3A2122"/>
    <w:rsid w:val="4F3F0C1C"/>
    <w:rsid w:val="4F5A3EB8"/>
    <w:rsid w:val="4FFA0AF3"/>
    <w:rsid w:val="4FFE8B0F"/>
    <w:rsid w:val="5025116D"/>
    <w:rsid w:val="507A0C6B"/>
    <w:rsid w:val="50DC5278"/>
    <w:rsid w:val="50F97C7E"/>
    <w:rsid w:val="51374B95"/>
    <w:rsid w:val="52395ECD"/>
    <w:rsid w:val="529C6DD6"/>
    <w:rsid w:val="52A20162"/>
    <w:rsid w:val="52C10D75"/>
    <w:rsid w:val="52CA3B29"/>
    <w:rsid w:val="52DF5C66"/>
    <w:rsid w:val="5399EFFF"/>
    <w:rsid w:val="53C27FF8"/>
    <w:rsid w:val="53E977FC"/>
    <w:rsid w:val="53F66D8A"/>
    <w:rsid w:val="54224ABC"/>
    <w:rsid w:val="546155E5"/>
    <w:rsid w:val="546457ED"/>
    <w:rsid w:val="54666C4A"/>
    <w:rsid w:val="547F1F0F"/>
    <w:rsid w:val="549E1A80"/>
    <w:rsid w:val="54C658F4"/>
    <w:rsid w:val="550C4BD7"/>
    <w:rsid w:val="554C1D56"/>
    <w:rsid w:val="55572986"/>
    <w:rsid w:val="5587107B"/>
    <w:rsid w:val="55B055F7"/>
    <w:rsid w:val="55C062DD"/>
    <w:rsid w:val="55C220B3"/>
    <w:rsid w:val="55FA010A"/>
    <w:rsid w:val="56461B89"/>
    <w:rsid w:val="565340FA"/>
    <w:rsid w:val="56576893"/>
    <w:rsid w:val="56916BC3"/>
    <w:rsid w:val="56E95231"/>
    <w:rsid w:val="5723343E"/>
    <w:rsid w:val="573D7EAB"/>
    <w:rsid w:val="57A359D7"/>
    <w:rsid w:val="57A643D9"/>
    <w:rsid w:val="57BF6C51"/>
    <w:rsid w:val="582157B7"/>
    <w:rsid w:val="5928250F"/>
    <w:rsid w:val="593A401A"/>
    <w:rsid w:val="59AC7302"/>
    <w:rsid w:val="5A2040C5"/>
    <w:rsid w:val="5A2F2CC8"/>
    <w:rsid w:val="5ACC7530"/>
    <w:rsid w:val="5AD76023"/>
    <w:rsid w:val="5B116EE6"/>
    <w:rsid w:val="5B3C183C"/>
    <w:rsid w:val="5B553CF6"/>
    <w:rsid w:val="5B8F6EDB"/>
    <w:rsid w:val="5BA26962"/>
    <w:rsid w:val="5BB029AE"/>
    <w:rsid w:val="5C074CC3"/>
    <w:rsid w:val="5C10702D"/>
    <w:rsid w:val="5C152601"/>
    <w:rsid w:val="5C591F03"/>
    <w:rsid w:val="5C775728"/>
    <w:rsid w:val="5C8A1B2F"/>
    <w:rsid w:val="5CB10DBA"/>
    <w:rsid w:val="5D3970FE"/>
    <w:rsid w:val="5D7BCCC4"/>
    <w:rsid w:val="5D914004"/>
    <w:rsid w:val="5E0F5B1D"/>
    <w:rsid w:val="5EB5475E"/>
    <w:rsid w:val="5EDB5503"/>
    <w:rsid w:val="5EE413F9"/>
    <w:rsid w:val="5F561B72"/>
    <w:rsid w:val="5F993E84"/>
    <w:rsid w:val="5FAD16DE"/>
    <w:rsid w:val="5FB22D2A"/>
    <w:rsid w:val="5FC609F2"/>
    <w:rsid w:val="5FDA0A43"/>
    <w:rsid w:val="5FFFF3E9"/>
    <w:rsid w:val="606007BB"/>
    <w:rsid w:val="60AC7F66"/>
    <w:rsid w:val="61535CF4"/>
    <w:rsid w:val="61BF10D9"/>
    <w:rsid w:val="61DA3D4C"/>
    <w:rsid w:val="61E57855"/>
    <w:rsid w:val="61F17C61"/>
    <w:rsid w:val="622D02D9"/>
    <w:rsid w:val="627C5949"/>
    <w:rsid w:val="62AC22DC"/>
    <w:rsid w:val="62F04A9F"/>
    <w:rsid w:val="636B1FDC"/>
    <w:rsid w:val="637833E8"/>
    <w:rsid w:val="63EBDAD7"/>
    <w:rsid w:val="641C6E32"/>
    <w:rsid w:val="6439CBD5"/>
    <w:rsid w:val="64E45EF7"/>
    <w:rsid w:val="65B251D2"/>
    <w:rsid w:val="6691014E"/>
    <w:rsid w:val="66A65911"/>
    <w:rsid w:val="66BB11BB"/>
    <w:rsid w:val="66C630D8"/>
    <w:rsid w:val="66C87CCE"/>
    <w:rsid w:val="670C13E0"/>
    <w:rsid w:val="67133BBE"/>
    <w:rsid w:val="6734236E"/>
    <w:rsid w:val="67550FD9"/>
    <w:rsid w:val="677435B2"/>
    <w:rsid w:val="67B457FB"/>
    <w:rsid w:val="67BA708E"/>
    <w:rsid w:val="67E70BF2"/>
    <w:rsid w:val="67EE7B2C"/>
    <w:rsid w:val="67EF75F1"/>
    <w:rsid w:val="67F114C4"/>
    <w:rsid w:val="689C2C37"/>
    <w:rsid w:val="68A73D33"/>
    <w:rsid w:val="69110892"/>
    <w:rsid w:val="69124F16"/>
    <w:rsid w:val="694A5205"/>
    <w:rsid w:val="69605A13"/>
    <w:rsid w:val="69735746"/>
    <w:rsid w:val="69B3090F"/>
    <w:rsid w:val="69CD5C14"/>
    <w:rsid w:val="69CF0D33"/>
    <w:rsid w:val="6ADF7409"/>
    <w:rsid w:val="6AF428B7"/>
    <w:rsid w:val="6B45197C"/>
    <w:rsid w:val="6B9946B3"/>
    <w:rsid w:val="6BEC17E0"/>
    <w:rsid w:val="6BF390E4"/>
    <w:rsid w:val="6C662189"/>
    <w:rsid w:val="6C7007C7"/>
    <w:rsid w:val="6CD04C5E"/>
    <w:rsid w:val="6D6AEFC6"/>
    <w:rsid w:val="6DE76850"/>
    <w:rsid w:val="6E2415BC"/>
    <w:rsid w:val="6E3522FC"/>
    <w:rsid w:val="6E3E42DD"/>
    <w:rsid w:val="6E82467D"/>
    <w:rsid w:val="6EBFDB9E"/>
    <w:rsid w:val="6ECB1B80"/>
    <w:rsid w:val="6ED74B0A"/>
    <w:rsid w:val="6EDA3F55"/>
    <w:rsid w:val="6EDC5B3C"/>
    <w:rsid w:val="6EEE06A8"/>
    <w:rsid w:val="6EF54E4F"/>
    <w:rsid w:val="6EFC56E1"/>
    <w:rsid w:val="6F55D459"/>
    <w:rsid w:val="6F7F565E"/>
    <w:rsid w:val="6FB20BD4"/>
    <w:rsid w:val="6FB650F7"/>
    <w:rsid w:val="6FBA59BE"/>
    <w:rsid w:val="6FCFB0E1"/>
    <w:rsid w:val="6FCFD0F1"/>
    <w:rsid w:val="6FDE4300"/>
    <w:rsid w:val="70022272"/>
    <w:rsid w:val="70296B3E"/>
    <w:rsid w:val="70611204"/>
    <w:rsid w:val="706C1141"/>
    <w:rsid w:val="70782830"/>
    <w:rsid w:val="718E263C"/>
    <w:rsid w:val="72EE509C"/>
    <w:rsid w:val="731A6C33"/>
    <w:rsid w:val="73445350"/>
    <w:rsid w:val="739EC6F4"/>
    <w:rsid w:val="73BB2014"/>
    <w:rsid w:val="73D87DA2"/>
    <w:rsid w:val="73E51841"/>
    <w:rsid w:val="74526685"/>
    <w:rsid w:val="74F0BC92"/>
    <w:rsid w:val="74FA2C30"/>
    <w:rsid w:val="75483F2B"/>
    <w:rsid w:val="754D5C4B"/>
    <w:rsid w:val="75A153E9"/>
    <w:rsid w:val="75AD3D04"/>
    <w:rsid w:val="75DA0773"/>
    <w:rsid w:val="75DEEBFC"/>
    <w:rsid w:val="76053BCA"/>
    <w:rsid w:val="76257DC8"/>
    <w:rsid w:val="765D69CE"/>
    <w:rsid w:val="76670089"/>
    <w:rsid w:val="767673FC"/>
    <w:rsid w:val="767F8561"/>
    <w:rsid w:val="76C240A7"/>
    <w:rsid w:val="76C577FD"/>
    <w:rsid w:val="76F369A9"/>
    <w:rsid w:val="772FAB7B"/>
    <w:rsid w:val="773F310C"/>
    <w:rsid w:val="775246B7"/>
    <w:rsid w:val="77750C4D"/>
    <w:rsid w:val="77C6B0A5"/>
    <w:rsid w:val="77FD1339"/>
    <w:rsid w:val="77FF40F5"/>
    <w:rsid w:val="781E69D1"/>
    <w:rsid w:val="78D91FA8"/>
    <w:rsid w:val="790A32BA"/>
    <w:rsid w:val="791C5BC1"/>
    <w:rsid w:val="79AFF06F"/>
    <w:rsid w:val="79FCE144"/>
    <w:rsid w:val="7A263B6B"/>
    <w:rsid w:val="7A4F18B8"/>
    <w:rsid w:val="7A6B1FF1"/>
    <w:rsid w:val="7AF46346"/>
    <w:rsid w:val="7B0336FA"/>
    <w:rsid w:val="7B0F5EBF"/>
    <w:rsid w:val="7B130FB9"/>
    <w:rsid w:val="7B3164FF"/>
    <w:rsid w:val="7B494559"/>
    <w:rsid w:val="7B672C31"/>
    <w:rsid w:val="7B7536CF"/>
    <w:rsid w:val="7BF64EDE"/>
    <w:rsid w:val="7BF68027"/>
    <w:rsid w:val="7BFB4240"/>
    <w:rsid w:val="7BFF8882"/>
    <w:rsid w:val="7C0714E4"/>
    <w:rsid w:val="7C400C1E"/>
    <w:rsid w:val="7C63164A"/>
    <w:rsid w:val="7C91084E"/>
    <w:rsid w:val="7CA7DDC5"/>
    <w:rsid w:val="7CBF6998"/>
    <w:rsid w:val="7CC83781"/>
    <w:rsid w:val="7CDF791A"/>
    <w:rsid w:val="7CE6E7D6"/>
    <w:rsid w:val="7D784430"/>
    <w:rsid w:val="7D7B0C16"/>
    <w:rsid w:val="7D8D3914"/>
    <w:rsid w:val="7D9B0C9B"/>
    <w:rsid w:val="7DB3AFA1"/>
    <w:rsid w:val="7DD11708"/>
    <w:rsid w:val="7DDB1A8F"/>
    <w:rsid w:val="7DDF8A23"/>
    <w:rsid w:val="7DDF9AEA"/>
    <w:rsid w:val="7DF70E0F"/>
    <w:rsid w:val="7DFB3FC4"/>
    <w:rsid w:val="7E404964"/>
    <w:rsid w:val="7E5D031B"/>
    <w:rsid w:val="7EA9772C"/>
    <w:rsid w:val="7EBD579E"/>
    <w:rsid w:val="7EC167BD"/>
    <w:rsid w:val="7EEFEB25"/>
    <w:rsid w:val="7EF0CA4A"/>
    <w:rsid w:val="7EF99A4B"/>
    <w:rsid w:val="7F272D9E"/>
    <w:rsid w:val="7F4F4D6C"/>
    <w:rsid w:val="7F7338C5"/>
    <w:rsid w:val="7F7D59FF"/>
    <w:rsid w:val="7F9BD17D"/>
    <w:rsid w:val="7FAB81B0"/>
    <w:rsid w:val="7FB458B3"/>
    <w:rsid w:val="7FB7B49F"/>
    <w:rsid w:val="7FBEC5DF"/>
    <w:rsid w:val="7FBF43B9"/>
    <w:rsid w:val="7FD03BB6"/>
    <w:rsid w:val="7FDFE2E4"/>
    <w:rsid w:val="7FF31EE3"/>
    <w:rsid w:val="7FF7BFE8"/>
    <w:rsid w:val="7FF7FC9B"/>
    <w:rsid w:val="7FFFC297"/>
    <w:rsid w:val="8FBF0615"/>
    <w:rsid w:val="97D96311"/>
    <w:rsid w:val="97FF0EC3"/>
    <w:rsid w:val="98B74F95"/>
    <w:rsid w:val="9B5FB031"/>
    <w:rsid w:val="A5FBCDB6"/>
    <w:rsid w:val="A7BE88F8"/>
    <w:rsid w:val="A8722208"/>
    <w:rsid w:val="AD3EEAB7"/>
    <w:rsid w:val="ADB746C3"/>
    <w:rsid w:val="AFBEBFAC"/>
    <w:rsid w:val="B9FFCBF4"/>
    <w:rsid w:val="BACF1FBF"/>
    <w:rsid w:val="BEFF317F"/>
    <w:rsid w:val="BF9BFBC0"/>
    <w:rsid w:val="BFBB1ABE"/>
    <w:rsid w:val="BFF7EE42"/>
    <w:rsid w:val="CADE8246"/>
    <w:rsid w:val="CDDD9775"/>
    <w:rsid w:val="CF2F5635"/>
    <w:rsid w:val="CFB20E21"/>
    <w:rsid w:val="D12D999E"/>
    <w:rsid w:val="D37F4954"/>
    <w:rsid w:val="D5DF2996"/>
    <w:rsid w:val="D5FF0078"/>
    <w:rsid w:val="D72FAC86"/>
    <w:rsid w:val="D76E6E67"/>
    <w:rsid w:val="D77EB6CB"/>
    <w:rsid w:val="DD9AC0E7"/>
    <w:rsid w:val="DF9A2C1C"/>
    <w:rsid w:val="DFC67BE3"/>
    <w:rsid w:val="DFFED6F0"/>
    <w:rsid w:val="DFFFDA53"/>
    <w:rsid w:val="E4BF95BD"/>
    <w:rsid w:val="E6B579D7"/>
    <w:rsid w:val="E7EE38A8"/>
    <w:rsid w:val="E7F72463"/>
    <w:rsid w:val="ED7F6FA3"/>
    <w:rsid w:val="EF5D0750"/>
    <w:rsid w:val="EF7D1D99"/>
    <w:rsid w:val="EFCDFF48"/>
    <w:rsid w:val="EFFD7135"/>
    <w:rsid w:val="EFFF6230"/>
    <w:rsid w:val="F2BB119B"/>
    <w:rsid w:val="F32BD64E"/>
    <w:rsid w:val="F3D777E8"/>
    <w:rsid w:val="F42EF78E"/>
    <w:rsid w:val="F4A75012"/>
    <w:rsid w:val="F6CDD30B"/>
    <w:rsid w:val="F6DE52F0"/>
    <w:rsid w:val="F7EE293A"/>
    <w:rsid w:val="F93EA539"/>
    <w:rsid w:val="F95E374D"/>
    <w:rsid w:val="F9B59018"/>
    <w:rsid w:val="F9FE0230"/>
    <w:rsid w:val="FBDE44AF"/>
    <w:rsid w:val="FBFEDD9D"/>
    <w:rsid w:val="FCE3CC19"/>
    <w:rsid w:val="FDF349D0"/>
    <w:rsid w:val="FE4F92C5"/>
    <w:rsid w:val="FE9BB577"/>
    <w:rsid w:val="FE9F6E8D"/>
    <w:rsid w:val="FF36C1F6"/>
    <w:rsid w:val="FF3B5910"/>
    <w:rsid w:val="FF3B7E23"/>
    <w:rsid w:val="FF5F452C"/>
    <w:rsid w:val="FF6F3FEC"/>
    <w:rsid w:val="FF7ADA94"/>
    <w:rsid w:val="FF9B30B2"/>
    <w:rsid w:val="FFB77F5C"/>
    <w:rsid w:val="FFBB0D63"/>
    <w:rsid w:val="FFBDE6A1"/>
    <w:rsid w:val="FFDFDFAC"/>
    <w:rsid w:val="FFE3435B"/>
    <w:rsid w:val="FFEDE287"/>
    <w:rsid w:val="FFEE84BE"/>
    <w:rsid w:val="FFF175A0"/>
    <w:rsid w:val="FFF70874"/>
    <w:rsid w:val="FFF7EF9C"/>
    <w:rsid w:val="FFFB15E2"/>
    <w:rsid w:val="FFFBFA7A"/>
    <w:rsid w:val="FFFD0C44"/>
    <w:rsid w:val="FFFD57F0"/>
    <w:rsid w:val="FFFE4EDE"/>
    <w:rsid w:val="FFFF40E0"/>
    <w:rsid w:val="FFFF572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9" w:semiHidden="0" w:name="heading 5"/>
    <w:lsdException w:qFormat="1" w:uiPriority="9" w:name="heading 6"/>
    <w:lsdException w:qFormat="1" w:uiPriority="9" w:name="heading 7"/>
    <w:lsdException w:qFormat="1" w:unhideWhenUsed="0"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qFormat="1" w:uiPriority="99" w:semiHidden="0" w:name="endnote reference"/>
    <w:lsdException w:uiPriority="99" w:name="endnote text"/>
    <w:lsdException w:uiPriority="99" w:name="table of authorities"/>
    <w:lsdException w:uiPriority="99" w:name="macro"/>
    <w:lsdException w:uiPriority="99" w:name="toa heading"/>
    <w:lsdException w:qFormat="1" w:uiPriority="0" w:semiHidden="0" w:name="List"/>
    <w:lsdException w:uiPriority="99" w:name="List Bullet"/>
    <w:lsdException w:qFormat="1" w:unhideWhenUsed="0" w:uiPriority="0" w:semiHidden="0" w:name="List Number"/>
    <w:lsdException w:qFormat="1"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qFormat="1" w:uiPriority="99" w:semiHidden="0"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iPriority="99" w:semiHidden="0"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42"/>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43"/>
    <w:qFormat/>
    <w:uiPriority w:val="9"/>
    <w:pPr>
      <w:keepNext/>
      <w:keepLines/>
      <w:spacing w:before="260" w:after="260" w:line="416" w:lineRule="auto"/>
      <w:outlineLvl w:val="2"/>
    </w:pPr>
    <w:rPr>
      <w:b/>
      <w:bCs/>
      <w:sz w:val="32"/>
      <w:szCs w:val="32"/>
    </w:rPr>
  </w:style>
  <w:style w:type="paragraph" w:styleId="6">
    <w:name w:val="heading 4"/>
    <w:basedOn w:val="1"/>
    <w:next w:val="1"/>
    <w:link w:val="44"/>
    <w:qFormat/>
    <w:uiPriority w:val="0"/>
    <w:pPr>
      <w:numPr>
        <w:ilvl w:val="3"/>
        <w:numId w:val="1"/>
      </w:numPr>
      <w:tabs>
        <w:tab w:val="left" w:pos="2155"/>
      </w:tabs>
      <w:adjustRightInd w:val="0"/>
      <w:spacing w:before="120" w:line="360" w:lineRule="auto"/>
      <w:outlineLvl w:val="3"/>
    </w:pPr>
    <w:rPr>
      <w:rFonts w:ascii="Arial" w:eastAsia="黑体"/>
      <w:kern w:val="0"/>
      <w:sz w:val="28"/>
      <w:szCs w:val="20"/>
    </w:rPr>
  </w:style>
  <w:style w:type="paragraph" w:styleId="7">
    <w:name w:val="heading 5"/>
    <w:basedOn w:val="1"/>
    <w:next w:val="8"/>
    <w:link w:val="45"/>
    <w:qFormat/>
    <w:uiPriority w:val="9"/>
    <w:pPr>
      <w:keepNext/>
      <w:keepLines/>
      <w:spacing w:before="280" w:after="290" w:line="376" w:lineRule="auto"/>
      <w:outlineLvl w:val="4"/>
    </w:pPr>
    <w:rPr>
      <w:b/>
      <w:bCs/>
      <w:sz w:val="28"/>
      <w:szCs w:val="28"/>
    </w:rPr>
  </w:style>
  <w:style w:type="paragraph" w:styleId="9">
    <w:name w:val="heading 8"/>
    <w:basedOn w:val="1"/>
    <w:next w:val="1"/>
    <w:link w:val="46"/>
    <w:qFormat/>
    <w:uiPriority w:val="9"/>
    <w:pPr>
      <w:keepNext/>
      <w:keepLines/>
      <w:spacing w:before="240" w:after="64" w:line="320" w:lineRule="auto"/>
      <w:outlineLvl w:val="7"/>
    </w:pPr>
    <w:rPr>
      <w:rFonts w:ascii="等线 Light" w:hAnsi="等线 Light" w:eastAsia="等线 Light"/>
      <w:sz w:val="24"/>
    </w:rPr>
  </w:style>
  <w:style w:type="character" w:default="1" w:styleId="33">
    <w:name w:val="Default Paragraph Font"/>
    <w:semiHidden/>
    <w:unhideWhenUsed/>
    <w:qFormat/>
    <w:uiPriority w:val="1"/>
  </w:style>
  <w:style w:type="table" w:default="1" w:styleId="31">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Indent 2"/>
    <w:basedOn w:val="1"/>
    <w:qFormat/>
    <w:uiPriority w:val="0"/>
    <w:pPr>
      <w:ind w:firstLine="630"/>
    </w:pPr>
    <w:rPr>
      <w:sz w:val="32"/>
      <w:szCs w:val="20"/>
    </w:rPr>
  </w:style>
  <w:style w:type="paragraph" w:styleId="8">
    <w:name w:val="Normal Indent"/>
    <w:basedOn w:val="1"/>
    <w:qFormat/>
    <w:uiPriority w:val="0"/>
    <w:pPr>
      <w:ind w:firstLine="420"/>
    </w:pPr>
    <w:rPr>
      <w:szCs w:val="20"/>
    </w:rPr>
  </w:style>
  <w:style w:type="paragraph" w:styleId="10">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1">
    <w:name w:val="Document Map"/>
    <w:basedOn w:val="1"/>
    <w:link w:val="47"/>
    <w:qFormat/>
    <w:uiPriority w:val="0"/>
    <w:rPr>
      <w:rFonts w:ascii="宋体"/>
      <w:sz w:val="18"/>
      <w:szCs w:val="18"/>
    </w:rPr>
  </w:style>
  <w:style w:type="paragraph" w:styleId="12">
    <w:name w:val="annotation text"/>
    <w:basedOn w:val="1"/>
    <w:link w:val="48"/>
    <w:qFormat/>
    <w:uiPriority w:val="0"/>
    <w:pPr>
      <w:jc w:val="left"/>
    </w:pPr>
  </w:style>
  <w:style w:type="paragraph" w:styleId="13">
    <w:name w:val="Body Text 3"/>
    <w:basedOn w:val="1"/>
    <w:link w:val="49"/>
    <w:unhideWhenUsed/>
    <w:qFormat/>
    <w:uiPriority w:val="99"/>
    <w:pPr>
      <w:spacing w:after="120"/>
    </w:pPr>
    <w:rPr>
      <w:sz w:val="16"/>
      <w:szCs w:val="16"/>
    </w:rPr>
  </w:style>
  <w:style w:type="paragraph" w:styleId="14">
    <w:name w:val="Body Text"/>
    <w:basedOn w:val="1"/>
    <w:link w:val="50"/>
    <w:unhideWhenUsed/>
    <w:qFormat/>
    <w:uiPriority w:val="0"/>
    <w:pPr>
      <w:spacing w:after="120"/>
    </w:pPr>
  </w:style>
  <w:style w:type="paragraph" w:styleId="15">
    <w:name w:val="Body Text Indent"/>
    <w:basedOn w:val="1"/>
    <w:link w:val="51"/>
    <w:qFormat/>
    <w:uiPriority w:val="0"/>
    <w:pPr>
      <w:ind w:firstLine="830" w:firstLineChars="352"/>
    </w:pPr>
    <w:rPr>
      <w:rFonts w:ascii="仿宋_GB2312" w:eastAsia="仿宋_GB2312"/>
      <w:kern w:val="0"/>
      <w:sz w:val="32"/>
      <w:szCs w:val="20"/>
    </w:rPr>
  </w:style>
  <w:style w:type="paragraph" w:styleId="16">
    <w:name w:val="List 2"/>
    <w:basedOn w:val="1"/>
    <w:unhideWhenUsed/>
    <w:qFormat/>
    <w:uiPriority w:val="0"/>
    <w:pPr>
      <w:ind w:left="100" w:leftChars="200" w:hanging="200" w:hangingChars="200"/>
      <w:contextualSpacing/>
    </w:pPr>
  </w:style>
  <w:style w:type="paragraph" w:styleId="17">
    <w:name w:val="toc 3"/>
    <w:basedOn w:val="1"/>
    <w:next w:val="1"/>
    <w:unhideWhenUsed/>
    <w:qFormat/>
    <w:uiPriority w:val="39"/>
    <w:pPr>
      <w:ind w:left="840" w:leftChars="400"/>
    </w:pPr>
  </w:style>
  <w:style w:type="paragraph" w:styleId="18">
    <w:name w:val="Plain Text"/>
    <w:basedOn w:val="1"/>
    <w:link w:val="52"/>
    <w:qFormat/>
    <w:uiPriority w:val="0"/>
    <w:rPr>
      <w:rFonts w:ascii="宋体" w:hAnsi="Courier New"/>
      <w:kern w:val="0"/>
      <w:sz w:val="20"/>
      <w:szCs w:val="21"/>
    </w:rPr>
  </w:style>
  <w:style w:type="paragraph" w:styleId="19">
    <w:name w:val="Date"/>
    <w:basedOn w:val="1"/>
    <w:next w:val="1"/>
    <w:link w:val="53"/>
    <w:unhideWhenUsed/>
    <w:qFormat/>
    <w:uiPriority w:val="99"/>
    <w:pPr>
      <w:ind w:left="100" w:leftChars="2500"/>
    </w:pPr>
  </w:style>
  <w:style w:type="paragraph" w:styleId="20">
    <w:name w:val="Balloon Text"/>
    <w:basedOn w:val="1"/>
    <w:link w:val="54"/>
    <w:qFormat/>
    <w:uiPriority w:val="0"/>
    <w:rPr>
      <w:sz w:val="18"/>
      <w:szCs w:val="18"/>
    </w:rPr>
  </w:style>
  <w:style w:type="paragraph" w:styleId="21">
    <w:name w:val="footer"/>
    <w:basedOn w:val="1"/>
    <w:link w:val="55"/>
    <w:unhideWhenUsed/>
    <w:qFormat/>
    <w:uiPriority w:val="99"/>
    <w:pPr>
      <w:tabs>
        <w:tab w:val="center" w:pos="4153"/>
        <w:tab w:val="right" w:pos="8306"/>
      </w:tabs>
      <w:snapToGrid w:val="0"/>
      <w:jc w:val="left"/>
    </w:pPr>
    <w:rPr>
      <w:kern w:val="0"/>
      <w:sz w:val="18"/>
      <w:szCs w:val="18"/>
    </w:rPr>
  </w:style>
  <w:style w:type="paragraph" w:styleId="22">
    <w:name w:val="header"/>
    <w:basedOn w:val="1"/>
    <w:link w:val="5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23">
    <w:name w:val="toc 1"/>
    <w:basedOn w:val="1"/>
    <w:next w:val="1"/>
    <w:unhideWhenUsed/>
    <w:qFormat/>
    <w:uiPriority w:val="39"/>
  </w:style>
  <w:style w:type="paragraph" w:styleId="24">
    <w:name w:val="List"/>
    <w:basedOn w:val="1"/>
    <w:unhideWhenUsed/>
    <w:qFormat/>
    <w:uiPriority w:val="0"/>
    <w:pPr>
      <w:ind w:left="200" w:hanging="200" w:hangingChars="200"/>
      <w:contextualSpacing/>
    </w:pPr>
  </w:style>
  <w:style w:type="paragraph" w:styleId="25">
    <w:name w:val="toc 2"/>
    <w:basedOn w:val="1"/>
    <w:next w:val="1"/>
    <w:unhideWhenUsed/>
    <w:qFormat/>
    <w:uiPriority w:val="39"/>
    <w:pPr>
      <w:tabs>
        <w:tab w:val="right" w:leader="dot" w:pos="8296"/>
      </w:tabs>
      <w:ind w:left="420" w:leftChars="200"/>
    </w:pPr>
  </w:style>
  <w:style w:type="paragraph" w:styleId="26">
    <w:name w:val="Normal (Web)"/>
    <w:basedOn w:val="1"/>
    <w:unhideWhenUsed/>
    <w:qFormat/>
    <w:uiPriority w:val="0"/>
    <w:rPr>
      <w:rFonts w:ascii="Calibri" w:hAnsi="Calibri"/>
      <w:kern w:val="0"/>
      <w:sz w:val="24"/>
    </w:rPr>
  </w:style>
  <w:style w:type="paragraph" w:styleId="27">
    <w:name w:val="Title"/>
    <w:basedOn w:val="1"/>
    <w:next w:val="1"/>
    <w:qFormat/>
    <w:uiPriority w:val="0"/>
    <w:pPr>
      <w:widowControl w:val="0"/>
      <w:spacing w:before="240" w:after="60"/>
      <w:jc w:val="center"/>
      <w:outlineLvl w:val="0"/>
    </w:pPr>
    <w:rPr>
      <w:rFonts w:ascii="Cambria" w:hAnsi="Cambria" w:eastAsia="宋体" w:cs="Times New Roman"/>
      <w:b/>
      <w:bCs/>
      <w:kern w:val="2"/>
      <w:sz w:val="32"/>
      <w:szCs w:val="32"/>
      <w:lang w:val="en-US" w:eastAsia="zh-CN" w:bidi="ar-SA"/>
    </w:rPr>
  </w:style>
  <w:style w:type="paragraph" w:styleId="28">
    <w:name w:val="annotation subject"/>
    <w:basedOn w:val="12"/>
    <w:next w:val="12"/>
    <w:link w:val="57"/>
    <w:qFormat/>
    <w:uiPriority w:val="99"/>
    <w:rPr>
      <w:b/>
      <w:bCs/>
    </w:rPr>
  </w:style>
  <w:style w:type="paragraph" w:styleId="29">
    <w:name w:val="Body Text First Indent"/>
    <w:basedOn w:val="14"/>
    <w:qFormat/>
    <w:uiPriority w:val="0"/>
    <w:pPr>
      <w:ind w:firstLine="420" w:firstLineChars="100"/>
    </w:pPr>
    <w:rPr>
      <w:szCs w:val="20"/>
    </w:rPr>
  </w:style>
  <w:style w:type="paragraph" w:styleId="30">
    <w:name w:val="Body Text First Indent 2"/>
    <w:basedOn w:val="15"/>
    <w:next w:val="1"/>
    <w:link w:val="58"/>
    <w:unhideWhenUsed/>
    <w:qFormat/>
    <w:uiPriority w:val="99"/>
    <w:pPr>
      <w:spacing w:after="120"/>
      <w:ind w:left="420" w:leftChars="200" w:firstLine="420" w:firstLineChars="200"/>
    </w:pPr>
    <w:rPr>
      <w:rFonts w:ascii="Times New Roman" w:eastAsia="宋体"/>
      <w:kern w:val="2"/>
      <w:sz w:val="21"/>
      <w:szCs w:val="24"/>
    </w:rPr>
  </w:style>
  <w:style w:type="table" w:styleId="32">
    <w:name w:val="Table Grid"/>
    <w:basedOn w:val="3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4">
    <w:name w:val="Strong"/>
    <w:basedOn w:val="33"/>
    <w:qFormat/>
    <w:uiPriority w:val="22"/>
    <w:rPr>
      <w:b/>
    </w:rPr>
  </w:style>
  <w:style w:type="character" w:styleId="35">
    <w:name w:val="endnote reference"/>
    <w:unhideWhenUsed/>
    <w:qFormat/>
    <w:uiPriority w:val="99"/>
    <w:rPr>
      <w:vertAlign w:val="superscript"/>
    </w:rPr>
  </w:style>
  <w:style w:type="character" w:styleId="36">
    <w:name w:val="page number"/>
    <w:qFormat/>
    <w:uiPriority w:val="0"/>
  </w:style>
  <w:style w:type="character" w:styleId="37">
    <w:name w:val="FollowedHyperlink"/>
    <w:unhideWhenUsed/>
    <w:qFormat/>
    <w:uiPriority w:val="99"/>
    <w:rPr>
      <w:color w:val="800080"/>
      <w:u w:val="single"/>
    </w:rPr>
  </w:style>
  <w:style w:type="character" w:styleId="38">
    <w:name w:val="Hyperlink"/>
    <w:unhideWhenUsed/>
    <w:qFormat/>
    <w:uiPriority w:val="99"/>
    <w:rPr>
      <w:color w:val="0000FF"/>
      <w:u w:val="single"/>
    </w:rPr>
  </w:style>
  <w:style w:type="character" w:styleId="39">
    <w:name w:val="annotation reference"/>
    <w:qFormat/>
    <w:uiPriority w:val="99"/>
    <w:rPr>
      <w:sz w:val="21"/>
      <w:szCs w:val="21"/>
    </w:rPr>
  </w:style>
  <w:style w:type="character" w:styleId="40">
    <w:name w:val="HTML Sample"/>
    <w:basedOn w:val="33"/>
    <w:unhideWhenUsed/>
    <w:qFormat/>
    <w:uiPriority w:val="99"/>
    <w:rPr>
      <w:rFonts w:ascii="Courier New" w:hAnsi="Courier New"/>
    </w:rPr>
  </w:style>
  <w:style w:type="character" w:customStyle="1" w:styleId="41">
    <w:name w:val="标题 1 字符2"/>
    <w:link w:val="3"/>
    <w:qFormat/>
    <w:uiPriority w:val="9"/>
    <w:rPr>
      <w:b/>
      <w:bCs/>
      <w:kern w:val="44"/>
      <w:sz w:val="44"/>
      <w:szCs w:val="44"/>
    </w:rPr>
  </w:style>
  <w:style w:type="character" w:customStyle="1" w:styleId="42">
    <w:name w:val="标题 2 字符1"/>
    <w:link w:val="4"/>
    <w:qFormat/>
    <w:uiPriority w:val="9"/>
    <w:rPr>
      <w:rFonts w:ascii="Cambria" w:hAnsi="Cambria" w:eastAsia="宋体" w:cs="Times New Roman"/>
      <w:b/>
      <w:bCs/>
      <w:kern w:val="2"/>
      <w:sz w:val="32"/>
      <w:szCs w:val="32"/>
    </w:rPr>
  </w:style>
  <w:style w:type="character" w:customStyle="1" w:styleId="43">
    <w:name w:val="标题 3 字符1"/>
    <w:link w:val="5"/>
    <w:qFormat/>
    <w:uiPriority w:val="9"/>
    <w:rPr>
      <w:b/>
      <w:bCs/>
      <w:kern w:val="2"/>
      <w:sz w:val="32"/>
      <w:szCs w:val="32"/>
    </w:rPr>
  </w:style>
  <w:style w:type="character" w:customStyle="1" w:styleId="44">
    <w:name w:val="标题 4 字符"/>
    <w:link w:val="6"/>
    <w:qFormat/>
    <w:uiPriority w:val="0"/>
    <w:rPr>
      <w:rFonts w:ascii="Arial" w:eastAsia="黑体"/>
      <w:sz w:val="28"/>
    </w:rPr>
  </w:style>
  <w:style w:type="character" w:customStyle="1" w:styleId="45">
    <w:name w:val="标题 5 字符1"/>
    <w:link w:val="7"/>
    <w:qFormat/>
    <w:uiPriority w:val="9"/>
    <w:rPr>
      <w:rFonts w:ascii="Times New Roman" w:hAnsi="Times New Roman"/>
      <w:b/>
      <w:bCs/>
      <w:kern w:val="2"/>
      <w:sz w:val="28"/>
      <w:szCs w:val="28"/>
    </w:rPr>
  </w:style>
  <w:style w:type="character" w:customStyle="1" w:styleId="46">
    <w:name w:val="标题 8 字符1"/>
    <w:link w:val="9"/>
    <w:qFormat/>
    <w:uiPriority w:val="9"/>
    <w:rPr>
      <w:rFonts w:ascii="等线 Light" w:hAnsi="等线 Light" w:eastAsia="等线 Light" w:cs="Times New Roman"/>
      <w:kern w:val="2"/>
      <w:sz w:val="24"/>
      <w:szCs w:val="24"/>
    </w:rPr>
  </w:style>
  <w:style w:type="character" w:customStyle="1" w:styleId="47">
    <w:name w:val="文档结构图 字符"/>
    <w:link w:val="11"/>
    <w:qFormat/>
    <w:uiPriority w:val="0"/>
    <w:rPr>
      <w:rFonts w:ascii="宋体"/>
      <w:kern w:val="2"/>
      <w:sz w:val="18"/>
      <w:szCs w:val="18"/>
    </w:rPr>
  </w:style>
  <w:style w:type="character" w:customStyle="1" w:styleId="48">
    <w:name w:val="批注文字 字符3"/>
    <w:link w:val="12"/>
    <w:qFormat/>
    <w:uiPriority w:val="0"/>
    <w:rPr>
      <w:rFonts w:ascii="Times New Roman" w:hAnsi="Times New Roman"/>
      <w:kern w:val="2"/>
      <w:sz w:val="21"/>
      <w:szCs w:val="24"/>
    </w:rPr>
  </w:style>
  <w:style w:type="character" w:customStyle="1" w:styleId="49">
    <w:name w:val="正文文本 3 字符1"/>
    <w:link w:val="13"/>
    <w:qFormat/>
    <w:uiPriority w:val="99"/>
    <w:rPr>
      <w:kern w:val="2"/>
      <w:sz w:val="16"/>
      <w:szCs w:val="16"/>
    </w:rPr>
  </w:style>
  <w:style w:type="character" w:customStyle="1" w:styleId="50">
    <w:name w:val="正文文本 字符2"/>
    <w:link w:val="14"/>
    <w:qFormat/>
    <w:uiPriority w:val="0"/>
    <w:rPr>
      <w:rFonts w:ascii="Times New Roman" w:hAnsi="Times New Roman"/>
      <w:kern w:val="2"/>
      <w:sz w:val="21"/>
      <w:szCs w:val="24"/>
    </w:rPr>
  </w:style>
  <w:style w:type="character" w:customStyle="1" w:styleId="51">
    <w:name w:val="正文文本缩进 字符1"/>
    <w:link w:val="15"/>
    <w:qFormat/>
    <w:uiPriority w:val="0"/>
    <w:rPr>
      <w:rFonts w:ascii="仿宋_GB2312" w:hAnsi="Times New Roman" w:eastAsia="仿宋_GB2312" w:cs="Times New Roman"/>
      <w:sz w:val="32"/>
      <w:szCs w:val="20"/>
    </w:rPr>
  </w:style>
  <w:style w:type="character" w:customStyle="1" w:styleId="52">
    <w:name w:val="纯文本 字符4"/>
    <w:link w:val="18"/>
    <w:qFormat/>
    <w:uiPriority w:val="0"/>
    <w:rPr>
      <w:rFonts w:ascii="宋体" w:hAnsi="Courier New" w:eastAsia="宋体" w:cs="Courier New"/>
      <w:szCs w:val="21"/>
    </w:rPr>
  </w:style>
  <w:style w:type="character" w:customStyle="1" w:styleId="53">
    <w:name w:val="日期 字符1"/>
    <w:link w:val="19"/>
    <w:qFormat/>
    <w:uiPriority w:val="99"/>
    <w:rPr>
      <w:rFonts w:ascii="Times New Roman" w:hAnsi="Times New Roman"/>
      <w:kern w:val="2"/>
      <w:sz w:val="21"/>
      <w:szCs w:val="24"/>
    </w:rPr>
  </w:style>
  <w:style w:type="character" w:customStyle="1" w:styleId="54">
    <w:name w:val="批注框文本 字符"/>
    <w:link w:val="20"/>
    <w:qFormat/>
    <w:uiPriority w:val="0"/>
    <w:rPr>
      <w:kern w:val="2"/>
      <w:sz w:val="18"/>
      <w:szCs w:val="18"/>
    </w:rPr>
  </w:style>
  <w:style w:type="character" w:customStyle="1" w:styleId="55">
    <w:name w:val="页脚 字符1"/>
    <w:link w:val="21"/>
    <w:qFormat/>
    <w:uiPriority w:val="99"/>
    <w:rPr>
      <w:sz w:val="18"/>
      <w:szCs w:val="18"/>
    </w:rPr>
  </w:style>
  <w:style w:type="character" w:customStyle="1" w:styleId="56">
    <w:name w:val="页眉 字符1"/>
    <w:link w:val="22"/>
    <w:qFormat/>
    <w:uiPriority w:val="99"/>
    <w:rPr>
      <w:sz w:val="18"/>
      <w:szCs w:val="18"/>
    </w:rPr>
  </w:style>
  <w:style w:type="character" w:customStyle="1" w:styleId="57">
    <w:name w:val="批注主题 字符1"/>
    <w:link w:val="28"/>
    <w:qFormat/>
    <w:uiPriority w:val="99"/>
    <w:rPr>
      <w:rFonts w:ascii="Times New Roman" w:hAnsi="Times New Roman"/>
      <w:b/>
      <w:bCs/>
      <w:kern w:val="2"/>
      <w:sz w:val="21"/>
      <w:szCs w:val="24"/>
    </w:rPr>
  </w:style>
  <w:style w:type="character" w:customStyle="1" w:styleId="58">
    <w:name w:val="正文首行缩进 2 字符"/>
    <w:link w:val="30"/>
    <w:semiHidden/>
    <w:qFormat/>
    <w:uiPriority w:val="99"/>
    <w:rPr>
      <w:kern w:val="2"/>
      <w:sz w:val="21"/>
      <w:szCs w:val="24"/>
    </w:rPr>
  </w:style>
  <w:style w:type="character" w:customStyle="1" w:styleId="59">
    <w:name w:val="标题 2 Char"/>
    <w:qFormat/>
    <w:uiPriority w:val="9"/>
    <w:rPr>
      <w:rFonts w:ascii="Cambria" w:hAnsi="Cambria" w:eastAsia="宋体" w:cs="Times New Roman"/>
      <w:b/>
      <w:bCs/>
      <w:kern w:val="2"/>
      <w:sz w:val="32"/>
      <w:szCs w:val="32"/>
    </w:rPr>
  </w:style>
  <w:style w:type="character" w:customStyle="1" w:styleId="60">
    <w:name w:val="纯文本 字符2"/>
    <w:qFormat/>
    <w:uiPriority w:val="0"/>
    <w:rPr>
      <w:rFonts w:ascii="宋体" w:hAnsi="Courier New" w:eastAsia="宋体" w:cs="Courier New"/>
      <w:szCs w:val="21"/>
    </w:rPr>
  </w:style>
  <w:style w:type="character" w:customStyle="1" w:styleId="61">
    <w:name w:val="apple-style-span"/>
    <w:qFormat/>
    <w:uiPriority w:val="0"/>
  </w:style>
  <w:style w:type="character" w:customStyle="1" w:styleId="62">
    <w:name w:val="纯文本 字符"/>
    <w:qFormat/>
    <w:uiPriority w:val="0"/>
    <w:rPr>
      <w:rFonts w:ascii="宋体" w:hAnsi="Courier New" w:eastAsia="宋体" w:cs="Courier New"/>
      <w:szCs w:val="21"/>
    </w:rPr>
  </w:style>
  <w:style w:type="character" w:customStyle="1" w:styleId="63">
    <w:name w:val="纯文本 字符1"/>
    <w:qFormat/>
    <w:uiPriority w:val="0"/>
    <w:rPr>
      <w:rFonts w:ascii="宋体" w:hAnsi="Courier New"/>
    </w:rPr>
  </w:style>
  <w:style w:type="character" w:customStyle="1" w:styleId="64">
    <w:name w:val="标题 8 Char"/>
    <w:qFormat/>
    <w:uiPriority w:val="0"/>
    <w:rPr>
      <w:rFonts w:ascii="Arial" w:hAnsi="Arial" w:eastAsia="黑体"/>
      <w:kern w:val="2"/>
      <w:sz w:val="24"/>
      <w:szCs w:val="24"/>
    </w:rPr>
  </w:style>
  <w:style w:type="character" w:customStyle="1" w:styleId="65">
    <w:name w:val="纯文本 Char"/>
    <w:qFormat/>
    <w:uiPriority w:val="0"/>
    <w:rPr>
      <w:rFonts w:ascii="宋体" w:hAnsi="Courier New" w:eastAsia="宋体" w:cs="Courier New"/>
      <w:szCs w:val="21"/>
    </w:rPr>
  </w:style>
  <w:style w:type="character" w:customStyle="1" w:styleId="66">
    <w:name w:val="正文文本 Char"/>
    <w:qFormat/>
    <w:uiPriority w:val="0"/>
    <w:rPr>
      <w:rFonts w:ascii="Times New Roman" w:hAnsi="Times New Roman"/>
      <w:kern w:val="2"/>
      <w:sz w:val="21"/>
      <w:szCs w:val="24"/>
    </w:rPr>
  </w:style>
  <w:style w:type="character" w:customStyle="1" w:styleId="67">
    <w:name w:val="批注文字 字符1"/>
    <w:qFormat/>
    <w:uiPriority w:val="0"/>
    <w:rPr>
      <w:rFonts w:ascii="Times New Roman" w:hAnsi="Times New Roman"/>
      <w:kern w:val="2"/>
      <w:sz w:val="21"/>
      <w:szCs w:val="24"/>
    </w:rPr>
  </w:style>
  <w:style w:type="character" w:customStyle="1" w:styleId="68">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69">
    <w:name w:val="标题 1 字符1"/>
    <w:qFormat/>
    <w:uiPriority w:val="0"/>
    <w:rPr>
      <w:b/>
      <w:bCs/>
      <w:kern w:val="44"/>
      <w:sz w:val="44"/>
      <w:szCs w:val="44"/>
    </w:rPr>
  </w:style>
  <w:style w:type="character" w:customStyle="1" w:styleId="70">
    <w:name w:val="正文文本 字符"/>
    <w:qFormat/>
    <w:uiPriority w:val="0"/>
    <w:rPr>
      <w:rFonts w:ascii="Times New Roman" w:hAnsi="Times New Roman"/>
      <w:kern w:val="2"/>
      <w:sz w:val="21"/>
      <w:szCs w:val="24"/>
    </w:rPr>
  </w:style>
  <w:style w:type="character" w:customStyle="1" w:styleId="71">
    <w:name w:val="批注文字 字符"/>
    <w:qFormat/>
    <w:uiPriority w:val="0"/>
    <w:rPr>
      <w:rFonts w:ascii="Times New Roman" w:hAnsi="Times New Roman"/>
      <w:kern w:val="2"/>
      <w:sz w:val="21"/>
      <w:szCs w:val="24"/>
    </w:rPr>
  </w:style>
  <w:style w:type="character" w:customStyle="1" w:styleId="72">
    <w:name w:val="textcontents"/>
    <w:qFormat/>
    <w:uiPriority w:val="0"/>
  </w:style>
  <w:style w:type="character" w:customStyle="1" w:styleId="73">
    <w:name w:val="批注文字 Char"/>
    <w:qFormat/>
    <w:uiPriority w:val="0"/>
    <w:rPr>
      <w:rFonts w:ascii="Times New Roman" w:hAnsi="Times New Roman"/>
      <w:kern w:val="2"/>
      <w:sz w:val="21"/>
      <w:szCs w:val="24"/>
    </w:rPr>
  </w:style>
  <w:style w:type="paragraph" w:customStyle="1" w:styleId="74">
    <w:name w:val="表内文字"/>
    <w:basedOn w:val="1"/>
    <w:qFormat/>
    <w:uiPriority w:val="99"/>
    <w:pPr>
      <w:snapToGrid w:val="0"/>
      <w:spacing w:before="50" w:after="50"/>
      <w:jc w:val="center"/>
    </w:pPr>
    <w:rPr>
      <w:rFonts w:ascii="仿宋_GB2312" w:hAnsi="宋体" w:eastAsia="仿宋_GB2312"/>
      <w:b/>
      <w:color w:val="000000"/>
      <w:sz w:val="32"/>
      <w:szCs w:val="32"/>
    </w:rPr>
  </w:style>
  <w:style w:type="paragraph" w:styleId="75">
    <w:name w:val="List Paragraph"/>
    <w:basedOn w:val="1"/>
    <w:qFormat/>
    <w:uiPriority w:val="99"/>
    <w:pPr>
      <w:ind w:firstLine="420" w:firstLineChars="200"/>
    </w:pPr>
  </w:style>
  <w:style w:type="paragraph" w:customStyle="1" w:styleId="76">
    <w:name w:val="默认段落字体 Para Char Char Char Char Char Char Char Char Char1 Char Char Char Char"/>
    <w:basedOn w:val="1"/>
    <w:qFormat/>
    <w:uiPriority w:val="99"/>
    <w:rPr>
      <w:rFonts w:ascii="Tahoma" w:hAnsi="Tahoma"/>
      <w:sz w:val="24"/>
      <w:szCs w:val="20"/>
    </w:rPr>
  </w:style>
  <w:style w:type="paragraph" w:customStyle="1" w:styleId="77">
    <w:name w:val="Table Paragraph"/>
    <w:basedOn w:val="1"/>
    <w:qFormat/>
    <w:uiPriority w:val="1"/>
    <w:pPr>
      <w:jc w:val="left"/>
    </w:pPr>
    <w:rPr>
      <w:rFonts w:ascii="Calibri" w:hAnsi="Calibri"/>
      <w:kern w:val="0"/>
      <w:sz w:val="22"/>
      <w:szCs w:val="22"/>
      <w:lang w:eastAsia="en-US"/>
    </w:rPr>
  </w:style>
  <w:style w:type="paragraph" w:customStyle="1" w:styleId="78">
    <w:name w:val="Char Char Char Char"/>
    <w:basedOn w:val="1"/>
    <w:qFormat/>
    <w:uiPriority w:val="99"/>
    <w:pPr>
      <w:widowControl/>
      <w:spacing w:after="160" w:line="240" w:lineRule="exact"/>
      <w:jc w:val="left"/>
    </w:pPr>
  </w:style>
  <w:style w:type="character" w:customStyle="1" w:styleId="79">
    <w:name w:val="未处理的提及"/>
    <w:unhideWhenUsed/>
    <w:qFormat/>
    <w:uiPriority w:val="99"/>
    <w:rPr>
      <w:color w:val="605E5C"/>
      <w:shd w:val="clear" w:color="auto" w:fill="E1DFDD"/>
    </w:rPr>
  </w:style>
  <w:style w:type="paragraph" w:customStyle="1" w:styleId="80">
    <w:name w:val="_Style 77"/>
    <w:basedOn w:val="3"/>
    <w:next w:val="1"/>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character" w:customStyle="1" w:styleId="81">
    <w:name w:val="正文2 Char Char"/>
    <w:link w:val="82"/>
    <w:qFormat/>
    <w:uiPriority w:val="0"/>
    <w:rPr>
      <w:sz w:val="24"/>
    </w:rPr>
  </w:style>
  <w:style w:type="paragraph" w:customStyle="1" w:styleId="82">
    <w:name w:val="正文2"/>
    <w:basedOn w:val="1"/>
    <w:link w:val="81"/>
    <w:qFormat/>
    <w:uiPriority w:val="0"/>
    <w:pPr>
      <w:adjustRightInd w:val="0"/>
      <w:spacing w:before="156" w:line="360" w:lineRule="auto"/>
      <w:ind w:firstLine="510" w:firstLineChars="200"/>
    </w:pPr>
    <w:rPr>
      <w:kern w:val="0"/>
      <w:sz w:val="24"/>
      <w:szCs w:val="20"/>
    </w:rPr>
  </w:style>
  <w:style w:type="paragraph" w:customStyle="1" w:styleId="83">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84">
    <w:name w:val="正文缩进1"/>
    <w:basedOn w:val="1"/>
    <w:next w:val="15"/>
    <w:qFormat/>
    <w:uiPriority w:val="99"/>
    <w:pPr>
      <w:autoSpaceDE w:val="0"/>
      <w:autoSpaceDN w:val="0"/>
      <w:adjustRightInd w:val="0"/>
      <w:snapToGrid w:val="0"/>
      <w:spacing w:after="120" w:line="360" w:lineRule="auto"/>
      <w:ind w:left="420" w:leftChars="200" w:firstLine="480" w:firstLineChars="200"/>
    </w:pPr>
    <w:rPr>
      <w:sz w:val="24"/>
      <w:szCs w:val="21"/>
    </w:rPr>
  </w:style>
  <w:style w:type="character" w:customStyle="1" w:styleId="85">
    <w:name w:val="标题 1 字符"/>
    <w:qFormat/>
    <w:uiPriority w:val="9"/>
    <w:rPr>
      <w:b/>
      <w:bCs/>
      <w:kern w:val="44"/>
      <w:sz w:val="44"/>
      <w:szCs w:val="44"/>
    </w:rPr>
  </w:style>
  <w:style w:type="character" w:customStyle="1" w:styleId="86">
    <w:name w:val="标题 2 字符"/>
    <w:qFormat/>
    <w:uiPriority w:val="9"/>
    <w:rPr>
      <w:rFonts w:ascii="Cambria" w:hAnsi="Cambria"/>
      <w:b/>
      <w:bCs/>
      <w:kern w:val="2"/>
      <w:sz w:val="32"/>
      <w:szCs w:val="32"/>
    </w:rPr>
  </w:style>
  <w:style w:type="character" w:customStyle="1" w:styleId="87">
    <w:name w:val="标题 3 字符"/>
    <w:qFormat/>
    <w:uiPriority w:val="9"/>
    <w:rPr>
      <w:b/>
      <w:bCs/>
      <w:kern w:val="2"/>
      <w:sz w:val="32"/>
      <w:szCs w:val="32"/>
    </w:rPr>
  </w:style>
  <w:style w:type="character" w:customStyle="1" w:styleId="88">
    <w:name w:val="标题 5 字符"/>
    <w:qFormat/>
    <w:uiPriority w:val="9"/>
    <w:rPr>
      <w:b/>
      <w:bCs/>
      <w:kern w:val="2"/>
      <w:sz w:val="28"/>
      <w:szCs w:val="28"/>
    </w:rPr>
  </w:style>
  <w:style w:type="character" w:customStyle="1" w:styleId="89">
    <w:name w:val="标题 8 字符"/>
    <w:qFormat/>
    <w:uiPriority w:val="9"/>
    <w:rPr>
      <w:rFonts w:ascii="等线 Light" w:hAnsi="等线 Light" w:eastAsia="等线 Light"/>
      <w:kern w:val="2"/>
      <w:sz w:val="24"/>
      <w:szCs w:val="24"/>
    </w:rPr>
  </w:style>
  <w:style w:type="character" w:customStyle="1" w:styleId="90">
    <w:name w:val="批注文字 字符2"/>
    <w:qFormat/>
    <w:uiPriority w:val="99"/>
    <w:rPr>
      <w:kern w:val="2"/>
      <w:sz w:val="21"/>
      <w:szCs w:val="24"/>
    </w:rPr>
  </w:style>
  <w:style w:type="character" w:customStyle="1" w:styleId="91">
    <w:name w:val="正文文本 3 字符"/>
    <w:qFormat/>
    <w:uiPriority w:val="99"/>
    <w:rPr>
      <w:kern w:val="2"/>
      <w:sz w:val="16"/>
      <w:szCs w:val="16"/>
    </w:rPr>
  </w:style>
  <w:style w:type="character" w:customStyle="1" w:styleId="92">
    <w:name w:val="正文文本 字符1"/>
    <w:qFormat/>
    <w:uiPriority w:val="99"/>
    <w:rPr>
      <w:kern w:val="2"/>
      <w:sz w:val="21"/>
      <w:szCs w:val="24"/>
    </w:rPr>
  </w:style>
  <w:style w:type="character" w:customStyle="1" w:styleId="93">
    <w:name w:val="正文文本缩进 字符"/>
    <w:qFormat/>
    <w:uiPriority w:val="99"/>
    <w:rPr>
      <w:rFonts w:ascii="仿宋_GB2312" w:eastAsia="仿宋_GB2312"/>
      <w:sz w:val="32"/>
    </w:rPr>
  </w:style>
  <w:style w:type="character" w:customStyle="1" w:styleId="94">
    <w:name w:val="纯文本 字符3"/>
    <w:qFormat/>
    <w:uiPriority w:val="99"/>
    <w:rPr>
      <w:rFonts w:ascii="宋体" w:hAnsi="Courier New"/>
      <w:szCs w:val="21"/>
    </w:rPr>
  </w:style>
  <w:style w:type="character" w:customStyle="1" w:styleId="95">
    <w:name w:val="日期 字符"/>
    <w:qFormat/>
    <w:uiPriority w:val="99"/>
    <w:rPr>
      <w:kern w:val="2"/>
      <w:sz w:val="21"/>
      <w:szCs w:val="24"/>
    </w:rPr>
  </w:style>
  <w:style w:type="character" w:customStyle="1" w:styleId="96">
    <w:name w:val="页脚 字符"/>
    <w:qFormat/>
    <w:uiPriority w:val="99"/>
    <w:rPr>
      <w:sz w:val="18"/>
      <w:szCs w:val="18"/>
    </w:rPr>
  </w:style>
  <w:style w:type="character" w:customStyle="1" w:styleId="97">
    <w:name w:val="页眉 字符"/>
    <w:qFormat/>
    <w:uiPriority w:val="99"/>
    <w:rPr>
      <w:sz w:val="18"/>
      <w:szCs w:val="18"/>
    </w:rPr>
  </w:style>
  <w:style w:type="character" w:customStyle="1" w:styleId="98">
    <w:name w:val="批注主题 字符"/>
    <w:qFormat/>
    <w:uiPriority w:val="99"/>
    <w:rPr>
      <w:rFonts w:ascii="Times New Roman" w:hAnsi="Times New Roman"/>
      <w:b/>
      <w:bCs/>
      <w:kern w:val="2"/>
      <w:sz w:val="21"/>
      <w:szCs w:val="24"/>
    </w:rPr>
  </w:style>
  <w:style w:type="paragraph" w:customStyle="1" w:styleId="99">
    <w:name w:val="_Style 94"/>
    <w:basedOn w:val="1"/>
    <w:unhideWhenUsed/>
    <w:qFormat/>
    <w:uiPriority w:val="99"/>
  </w:style>
  <w:style w:type="paragraph" w:customStyle="1" w:styleId="100">
    <w:name w:val="_Style 95"/>
    <w:basedOn w:val="1"/>
    <w:unhideWhenUsed/>
    <w:qFormat/>
    <w:uiPriority w:val="99"/>
  </w:style>
  <w:style w:type="paragraph" w:customStyle="1" w:styleId="101">
    <w:name w:val="msonormal"/>
    <w:basedOn w:val="1"/>
    <w:qFormat/>
    <w:uiPriority w:val="99"/>
    <w:rPr>
      <w:rFonts w:ascii="Calibri" w:hAnsi="Calibri"/>
      <w:kern w:val="0"/>
      <w:sz w:val="24"/>
    </w:rPr>
  </w:style>
  <w:style w:type="paragraph" w:customStyle="1" w:styleId="102">
    <w:name w:val="正文首行缩进 21"/>
    <w:basedOn w:val="15"/>
    <w:next w:val="30"/>
    <w:qFormat/>
    <w:uiPriority w:val="0"/>
  </w:style>
  <w:style w:type="paragraph" w:customStyle="1" w:styleId="103">
    <w:name w:val="正文1"/>
    <w:basedOn w:val="1"/>
    <w:qFormat/>
    <w:uiPriority w:val="0"/>
    <w:pPr>
      <w:widowControl/>
    </w:pPr>
    <w:rPr>
      <w:szCs w:val="21"/>
    </w:rPr>
  </w:style>
  <w:style w:type="paragraph" w:customStyle="1" w:styleId="104">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05">
    <w:name w:val="表格文字"/>
    <w:basedOn w:val="1"/>
    <w:next w:val="14"/>
    <w:qFormat/>
    <w:uiPriority w:val="0"/>
    <w:pPr>
      <w:adjustRightInd w:val="0"/>
      <w:spacing w:line="420" w:lineRule="atLeast"/>
      <w:jc w:val="left"/>
      <w:textAlignment w:val="baseline"/>
    </w:pPr>
    <w:rPr>
      <w:kern w:val="0"/>
    </w:rPr>
  </w:style>
  <w:style w:type="paragraph" w:customStyle="1" w:styleId="106">
    <w:name w:val="WPSOffice手动目录 1"/>
    <w:qFormat/>
    <w:uiPriority w:val="0"/>
    <w:rPr>
      <w:rFonts w:ascii="Times New Roman" w:hAnsi="Times New Roman" w:eastAsia="宋体" w:cs="Times New Roman"/>
      <w:lang w:val="en-US" w:eastAsia="zh-CN" w:bidi="ar-SA"/>
    </w:rPr>
  </w:style>
  <w:style w:type="paragraph" w:customStyle="1" w:styleId="107">
    <w:name w:val="WPSOffice手动目录 2"/>
    <w:qFormat/>
    <w:uiPriority w:val="0"/>
    <w:pPr>
      <w:ind w:left="200" w:left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0" Type="http://schemas.openxmlformats.org/officeDocument/2006/relationships/fontTable" Target="fontTable.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theme" Target="theme/theme1.xml"/><Relationship Id="rId26" Type="http://schemas.openxmlformats.org/officeDocument/2006/relationships/footer" Target="footer18.xml"/><Relationship Id="rId25" Type="http://schemas.openxmlformats.org/officeDocument/2006/relationships/footer" Target="footer17.xml"/><Relationship Id="rId24" Type="http://schemas.openxmlformats.org/officeDocument/2006/relationships/footer" Target="footer16.xml"/><Relationship Id="rId23" Type="http://schemas.openxmlformats.org/officeDocument/2006/relationships/footer" Target="footer15.xml"/><Relationship Id="rId22" Type="http://schemas.openxmlformats.org/officeDocument/2006/relationships/header" Target="header6.xml"/><Relationship Id="rId21" Type="http://schemas.openxmlformats.org/officeDocument/2006/relationships/footer" Target="footer14.xml"/><Relationship Id="rId20" Type="http://schemas.openxmlformats.org/officeDocument/2006/relationships/header" Target="header5.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header" Target="header4.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广西云龙招标有限公司</Company>
  <Pages>98</Pages>
  <Words>1167</Words>
  <Characters>1393</Characters>
  <Lines>1</Lines>
  <Paragraphs>1</Paragraphs>
  <TotalTime>74</TotalTime>
  <ScaleCrop>false</ScaleCrop>
  <LinksUpToDate>false</LinksUpToDate>
  <CharactersWithSpaces>1447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2024-09-24T17:40:00Z</dcterms:created>
  <dc:creator>唐冰</dc:creator>
  <cp:lastModifiedBy>代理修改</cp:lastModifiedBy>
  <cp:lastPrinted>2024-10-20T16:48:00Z</cp:lastPrinted>
  <dcterms:modified xsi:type="dcterms:W3CDTF">2026-09-03T07:17:13Z</dcterms:modified>
  <dc:title>竞争性谈判文件规范</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DE51F8C04E5A4F659065CC54F526A0F0_13</vt:lpwstr>
  </property>
  <property fmtid="{D5CDD505-2E9C-101B-9397-08002B2CF9AE}" pid="4" name="KSOTemplateDocerSaveRecord">
    <vt:lpwstr>eyJoZGlkIjoiNzdiNjM0YWQ0ZmIxZDA4OTExYjYxNmU4NDQ2ODNmOGQiLCJ1c2VySWQiOiIzMjEyNDk1NjEifQ==</vt:lpwstr>
  </property>
</Properties>
</file>