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E1C55">
      <w:pPr>
        <w:widowControl/>
        <w:spacing w:line="360" w:lineRule="auto"/>
        <w:rPr>
          <w:rFonts w:hAnsi="宋体"/>
          <w:color w:val="auto"/>
          <w:sz w:val="21"/>
          <w:szCs w:val="21"/>
          <w:highlight w:val="none"/>
        </w:rPr>
      </w:pPr>
      <w:bookmarkStart w:id="328" w:name="_GoBack"/>
    </w:p>
    <w:p w14:paraId="28591C3F">
      <w:pPr>
        <w:widowControl/>
        <w:spacing w:line="360" w:lineRule="auto"/>
        <w:jc w:val="center"/>
        <w:rPr>
          <w:rFonts w:hAnsi="宋体"/>
          <w:color w:val="auto"/>
          <w:sz w:val="21"/>
          <w:szCs w:val="21"/>
          <w:highlight w:val="none"/>
        </w:rPr>
      </w:pPr>
      <w:r>
        <w:rPr>
          <w:rFonts w:hint="eastAsia" w:ascii="宋体" w:hAnsi="宋体"/>
          <w:color w:val="000000"/>
          <w:highlight w:val="none"/>
        </w:rPr>
        <w:drawing>
          <wp:anchor distT="0" distB="0" distL="114300" distR="114300" simplePos="0" relativeHeight="251659264" behindDoc="0" locked="0" layoutInCell="1" allowOverlap="1">
            <wp:simplePos x="0" y="0"/>
            <wp:positionH relativeFrom="column">
              <wp:posOffset>-206375</wp:posOffset>
            </wp:positionH>
            <wp:positionV relativeFrom="paragraph">
              <wp:posOffset>39370</wp:posOffset>
            </wp:positionV>
            <wp:extent cx="5839460" cy="1295400"/>
            <wp:effectExtent l="0" t="0" r="0" b="0"/>
            <wp:wrapNone/>
            <wp:docPr id="6" name="图片 3" descr="I:\03★工作★（硬盘）\2018年项目-2022年项目-招标\5、2022年项目\（2.28投标入库）南宁轨道地产集团有限责任公司2022-2025年招标代理服务\招标公司-名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03★工作★（硬盘）\2018年项目-2022年项目-招标\5、2022年项目\（2.28投标入库）南宁轨道地产集团有限责任公司2022-2025年招标代理服务\招标公司-名称.png"/>
                    <pic:cNvPicPr>
                      <a:picLocks noChangeAspect="1"/>
                    </pic:cNvPicPr>
                  </pic:nvPicPr>
                  <pic:blipFill>
                    <a:blip r:embed="rId18"/>
                    <a:srcRect r="6451"/>
                    <a:stretch>
                      <a:fillRect/>
                    </a:stretch>
                  </pic:blipFill>
                  <pic:spPr>
                    <a:xfrm>
                      <a:off x="0" y="0"/>
                      <a:ext cx="5839460" cy="1295400"/>
                    </a:xfrm>
                    <a:prstGeom prst="rect">
                      <a:avLst/>
                    </a:prstGeom>
                    <a:noFill/>
                    <a:ln>
                      <a:noFill/>
                    </a:ln>
                  </pic:spPr>
                </pic:pic>
              </a:graphicData>
            </a:graphic>
          </wp:anchor>
        </w:drawing>
      </w:r>
    </w:p>
    <w:p w14:paraId="677BEBB9">
      <w:pPr>
        <w:widowControl/>
        <w:spacing w:line="360" w:lineRule="auto"/>
        <w:jc w:val="center"/>
        <w:rPr>
          <w:rFonts w:hAnsi="宋体"/>
          <w:color w:val="auto"/>
          <w:sz w:val="21"/>
          <w:szCs w:val="21"/>
          <w:highlight w:val="none"/>
        </w:rPr>
      </w:pPr>
    </w:p>
    <w:p w14:paraId="22AC17C5">
      <w:pPr>
        <w:spacing w:after="156" w:line="360" w:lineRule="auto"/>
        <w:jc w:val="center"/>
        <w:outlineLvl w:val="0"/>
        <w:rPr>
          <w:rFonts w:hint="eastAsia" w:ascii="宋体" w:hAnsi="宋体"/>
          <w:b/>
          <w:color w:val="auto"/>
          <w:sz w:val="52"/>
          <w:szCs w:val="52"/>
          <w:highlight w:val="none"/>
        </w:rPr>
      </w:pPr>
    </w:p>
    <w:p w14:paraId="61C03D2B">
      <w:pPr>
        <w:spacing w:before="156" w:line="360" w:lineRule="auto"/>
        <w:jc w:val="both"/>
        <w:outlineLvl w:val="0"/>
        <w:rPr>
          <w:rFonts w:hint="eastAsia" w:ascii="宋体" w:hAnsi="宋体" w:cs="宋体"/>
          <w:b/>
          <w:bCs/>
          <w:color w:val="auto"/>
          <w:sz w:val="72"/>
          <w:szCs w:val="72"/>
          <w:highlight w:val="none"/>
        </w:rPr>
      </w:pPr>
    </w:p>
    <w:p w14:paraId="593F2342">
      <w:pPr>
        <w:spacing w:before="156" w:line="360" w:lineRule="auto"/>
        <w:jc w:val="center"/>
        <w:outlineLvl w:val="0"/>
        <w:rPr>
          <w:rFonts w:ascii="宋体" w:hAnsi="宋体" w:cs="宋体"/>
          <w:b/>
          <w:bCs/>
          <w:color w:val="auto"/>
          <w:sz w:val="72"/>
          <w:szCs w:val="72"/>
          <w:highlight w:val="none"/>
        </w:rPr>
      </w:pPr>
      <w:r>
        <w:rPr>
          <w:rFonts w:hint="eastAsia" w:ascii="宋体" w:hAnsi="宋体" w:cs="宋体"/>
          <w:b/>
          <w:bCs/>
          <w:color w:val="auto"/>
          <w:sz w:val="72"/>
          <w:szCs w:val="72"/>
          <w:highlight w:val="none"/>
        </w:rPr>
        <w:t>竞争性磋商文件</w:t>
      </w:r>
    </w:p>
    <w:p w14:paraId="76D3F565">
      <w:pPr>
        <w:spacing w:before="156" w:line="360" w:lineRule="auto"/>
        <w:jc w:val="center"/>
        <w:outlineLvl w:val="0"/>
        <w:rPr>
          <w:rFonts w:ascii="宋体" w:hAnsi="宋体"/>
          <w:color w:val="auto"/>
          <w:sz w:val="40"/>
          <w:szCs w:val="40"/>
          <w:highlight w:val="none"/>
        </w:rPr>
      </w:pPr>
      <w:r>
        <w:rPr>
          <w:rFonts w:hint="eastAsia" w:ascii="宋体" w:hAnsi="宋体"/>
          <w:color w:val="auto"/>
          <w:sz w:val="40"/>
          <w:szCs w:val="40"/>
          <w:highlight w:val="none"/>
        </w:rPr>
        <w:t>（全流程电子化采购）</w:t>
      </w:r>
    </w:p>
    <w:p w14:paraId="26FF7A8C">
      <w:pPr>
        <w:spacing w:line="360" w:lineRule="auto"/>
        <w:rPr>
          <w:rFonts w:ascii="宋体" w:hAnsi="宋体" w:cs="宋体"/>
          <w:b/>
          <w:color w:val="auto"/>
          <w:sz w:val="48"/>
          <w:szCs w:val="48"/>
          <w:highlight w:val="none"/>
        </w:rPr>
      </w:pPr>
    </w:p>
    <w:p w14:paraId="59ECBE58">
      <w:pPr>
        <w:pStyle w:val="24"/>
        <w:spacing w:line="360" w:lineRule="auto"/>
        <w:jc w:val="center"/>
        <w:rPr>
          <w:rFonts w:hAnsi="宋体" w:cs="宋体"/>
          <w:b/>
          <w:bCs/>
          <w:color w:val="auto"/>
          <w:sz w:val="30"/>
          <w:szCs w:val="30"/>
          <w:highlight w:val="none"/>
        </w:rPr>
      </w:pPr>
    </w:p>
    <w:p w14:paraId="3C0A7F20">
      <w:pPr>
        <w:pStyle w:val="24"/>
        <w:spacing w:line="360" w:lineRule="auto"/>
        <w:ind w:left="638"/>
        <w:rPr>
          <w:rFonts w:hint="eastAsia" w:hAnsi="宋体" w:cs="宋体"/>
          <w:b/>
          <w:bCs/>
          <w:color w:val="auto"/>
          <w:sz w:val="32"/>
          <w:szCs w:val="32"/>
          <w:highlight w:val="none"/>
          <w:lang w:eastAsia="zh-CN"/>
        </w:rPr>
      </w:pPr>
      <w:r>
        <w:rPr>
          <w:rFonts w:hint="eastAsia" w:hAnsi="宋体" w:cs="宋体"/>
          <w:b/>
          <w:bCs/>
          <w:color w:val="auto"/>
          <w:sz w:val="32"/>
          <w:szCs w:val="32"/>
          <w:highlight w:val="none"/>
        </w:rPr>
        <w:t>项目名称：</w:t>
      </w:r>
      <w:r>
        <w:rPr>
          <w:rFonts w:hint="eastAsia" w:hAnsi="宋体" w:cs="宋体"/>
          <w:b/>
          <w:bCs/>
          <w:color w:val="auto"/>
          <w:sz w:val="32"/>
          <w:szCs w:val="32"/>
          <w:highlight w:val="none"/>
          <w:lang w:eastAsia="zh-CN"/>
        </w:rPr>
        <w:t>灵山县十里高中新建项目勘察</w:t>
      </w:r>
    </w:p>
    <w:p w14:paraId="0AC16335">
      <w:pPr>
        <w:pStyle w:val="24"/>
        <w:spacing w:line="360" w:lineRule="auto"/>
        <w:ind w:left="638"/>
        <w:rPr>
          <w:rFonts w:hint="default" w:hAnsi="宋体" w:eastAsia="宋体" w:cs="宋体"/>
          <w:b/>
          <w:bCs/>
          <w:color w:val="auto"/>
          <w:sz w:val="36"/>
          <w:szCs w:val="36"/>
          <w:highlight w:val="none"/>
          <w:lang w:val="en-US" w:eastAsia="zh-CN"/>
        </w:rPr>
      </w:pPr>
      <w:r>
        <w:rPr>
          <w:rFonts w:hint="eastAsia" w:hAnsi="宋体" w:cs="宋体"/>
          <w:b/>
          <w:bCs/>
          <w:color w:val="auto"/>
          <w:sz w:val="32"/>
          <w:szCs w:val="32"/>
          <w:highlight w:val="none"/>
        </w:rPr>
        <w:t>项目编号：</w:t>
      </w:r>
      <w:r>
        <w:rPr>
          <w:rFonts w:hint="eastAsia" w:hAnsi="宋体"/>
          <w:b/>
          <w:color w:val="auto"/>
          <w:sz w:val="32"/>
          <w:szCs w:val="32"/>
          <w:highlight w:val="none"/>
          <w:lang w:eastAsia="zh-CN"/>
        </w:rPr>
        <w:t>QZZC2026-C3-210175-JGJD</w:t>
      </w:r>
    </w:p>
    <w:p w14:paraId="69B10E35">
      <w:pPr>
        <w:pStyle w:val="24"/>
        <w:spacing w:line="360" w:lineRule="auto"/>
        <w:ind w:firstLine="1205"/>
        <w:rPr>
          <w:rFonts w:hAnsi="宋体" w:cs="宋体"/>
          <w:b/>
          <w:bCs/>
          <w:color w:val="auto"/>
          <w:sz w:val="30"/>
          <w:szCs w:val="30"/>
          <w:highlight w:val="none"/>
        </w:rPr>
      </w:pPr>
    </w:p>
    <w:p w14:paraId="2B9E8B02">
      <w:pPr>
        <w:spacing w:line="360" w:lineRule="auto"/>
        <w:ind w:firstLine="1145"/>
        <w:rPr>
          <w:rFonts w:ascii="宋体" w:hAnsi="宋体" w:cs="宋体"/>
          <w:b/>
          <w:bCs/>
          <w:color w:val="auto"/>
          <w:sz w:val="30"/>
          <w:szCs w:val="30"/>
          <w:highlight w:val="none"/>
        </w:rPr>
      </w:pPr>
    </w:p>
    <w:p w14:paraId="6B05EFF5">
      <w:pPr>
        <w:spacing w:line="360" w:lineRule="auto"/>
        <w:rPr>
          <w:rFonts w:ascii="宋体" w:hAnsi="宋体" w:cs="宋体"/>
          <w:color w:val="auto"/>
          <w:sz w:val="30"/>
          <w:szCs w:val="72"/>
          <w:highlight w:val="none"/>
        </w:rPr>
      </w:pPr>
    </w:p>
    <w:p w14:paraId="66717C6D">
      <w:pPr>
        <w:pStyle w:val="24"/>
        <w:spacing w:line="360" w:lineRule="auto"/>
        <w:ind w:firstLine="572"/>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采 购 人：</w:t>
      </w:r>
      <w:r>
        <w:rPr>
          <w:rFonts w:hint="eastAsia" w:hAnsi="宋体" w:cs="宋体"/>
          <w:b/>
          <w:color w:val="auto"/>
          <w:sz w:val="32"/>
          <w:szCs w:val="32"/>
          <w:highlight w:val="none"/>
          <w:lang w:eastAsia="zh-CN"/>
        </w:rPr>
        <w:t>灵山县教育局</w:t>
      </w:r>
    </w:p>
    <w:p w14:paraId="5ABDB11A">
      <w:pPr>
        <w:pStyle w:val="24"/>
        <w:spacing w:line="360" w:lineRule="auto"/>
        <w:ind w:firstLine="572"/>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采购代理机构：</w:t>
      </w:r>
      <w:r>
        <w:rPr>
          <w:rFonts w:hint="eastAsia" w:hAnsi="宋体"/>
          <w:b/>
          <w:color w:val="auto"/>
          <w:sz w:val="32"/>
          <w:szCs w:val="32"/>
          <w:highlight w:val="none"/>
          <w:lang w:eastAsia="zh-CN"/>
        </w:rPr>
        <w:t>广西建设工程机电设备招标中心有限公司</w:t>
      </w:r>
    </w:p>
    <w:p w14:paraId="1050908C">
      <w:pPr>
        <w:pStyle w:val="24"/>
        <w:spacing w:line="360" w:lineRule="auto"/>
        <w:ind w:left="420" w:firstLine="841"/>
        <w:jc w:val="center"/>
        <w:rPr>
          <w:rFonts w:hAnsi="宋体" w:cs="宋体"/>
          <w:b/>
          <w:bCs/>
          <w:color w:val="auto"/>
          <w:sz w:val="30"/>
          <w:szCs w:val="30"/>
          <w:highlight w:val="none"/>
        </w:rPr>
      </w:pPr>
    </w:p>
    <w:p w14:paraId="3B6F060E">
      <w:pPr>
        <w:pStyle w:val="24"/>
        <w:spacing w:line="360" w:lineRule="auto"/>
        <w:ind w:left="420"/>
        <w:jc w:val="center"/>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lang w:eastAsia="zh-CN"/>
        </w:rPr>
        <w:t>2026年</w:t>
      </w:r>
      <w:r>
        <w:rPr>
          <w:rFonts w:hint="eastAsia" w:hAnsi="宋体" w:cs="宋体"/>
          <w:b/>
          <w:bCs/>
          <w:color w:val="auto"/>
          <w:sz w:val="30"/>
          <w:szCs w:val="30"/>
          <w:highlight w:val="none"/>
          <w:lang w:val="en-US" w:eastAsia="zh-CN"/>
        </w:rPr>
        <w:t>8</w:t>
      </w:r>
      <w:r>
        <w:rPr>
          <w:rFonts w:hint="eastAsia" w:hAnsi="宋体" w:cs="宋体"/>
          <w:b/>
          <w:bCs/>
          <w:color w:val="auto"/>
          <w:sz w:val="30"/>
          <w:szCs w:val="30"/>
          <w:highlight w:val="none"/>
          <w:lang w:eastAsia="zh-CN"/>
        </w:rPr>
        <w:t>月</w:t>
      </w:r>
      <w:r>
        <w:rPr>
          <w:rFonts w:hint="eastAsia" w:hAnsi="宋体" w:cs="宋体"/>
          <w:b/>
          <w:bCs/>
          <w:color w:val="auto"/>
          <w:sz w:val="30"/>
          <w:szCs w:val="30"/>
          <w:highlight w:val="none"/>
          <w:lang w:val="en-US" w:eastAsia="zh-CN"/>
        </w:rPr>
        <w:t>21</w:t>
      </w:r>
      <w:r>
        <w:rPr>
          <w:rFonts w:hint="eastAsia" w:hAnsi="宋体" w:cs="宋体"/>
          <w:b/>
          <w:bCs/>
          <w:color w:val="auto"/>
          <w:sz w:val="30"/>
          <w:szCs w:val="30"/>
          <w:highlight w:val="none"/>
          <w:lang w:eastAsia="zh-CN"/>
        </w:rPr>
        <w:t>日</w:t>
      </w:r>
    </w:p>
    <w:p w14:paraId="2DC26C4A">
      <w:pPr>
        <w:spacing w:line="360" w:lineRule="auto"/>
        <w:jc w:val="center"/>
        <w:rPr>
          <w:rFonts w:ascii="宋体" w:hAnsi="宋体" w:cs="宋体"/>
          <w:b/>
          <w:bCs/>
          <w:color w:val="auto"/>
          <w:sz w:val="32"/>
          <w:szCs w:val="32"/>
          <w:highlight w:val="none"/>
        </w:rPr>
      </w:pPr>
    </w:p>
    <w:p w14:paraId="2EF854DF">
      <w:pPr>
        <w:widowControl/>
        <w:jc w:val="center"/>
        <w:rPr>
          <w:rFonts w:ascii="宋体" w:hAnsi="宋体" w:cs="宋体"/>
          <w:b/>
          <w:color w:val="auto"/>
          <w:sz w:val="44"/>
          <w:szCs w:val="44"/>
          <w:highlight w:val="none"/>
        </w:rPr>
      </w:pPr>
      <w:r>
        <w:rPr>
          <w:rFonts w:ascii="宋体" w:hAnsi="宋体" w:cs="宋体"/>
          <w:b/>
          <w:color w:val="auto"/>
          <w:sz w:val="44"/>
          <w:szCs w:val="44"/>
          <w:highlight w:val="none"/>
        </w:rPr>
        <w:br w:type="page"/>
      </w:r>
      <w:r>
        <w:rPr>
          <w:rFonts w:hint="eastAsia" w:ascii="宋体" w:hAnsi="宋体" w:cs="宋体"/>
          <w:b/>
          <w:color w:val="auto"/>
          <w:sz w:val="44"/>
          <w:szCs w:val="44"/>
          <w:highlight w:val="none"/>
        </w:rPr>
        <w:t>目  录</w:t>
      </w:r>
    </w:p>
    <w:p w14:paraId="0669DCE2">
      <w:pPr>
        <w:spacing w:line="400" w:lineRule="exact"/>
        <w:jc w:val="center"/>
        <w:rPr>
          <w:rFonts w:ascii="宋体" w:hAnsi="宋体" w:cs="宋体"/>
          <w:b/>
          <w:color w:val="auto"/>
          <w:sz w:val="44"/>
          <w:szCs w:val="44"/>
          <w:highlight w:val="none"/>
        </w:rPr>
      </w:pPr>
    </w:p>
    <w:p w14:paraId="51312437">
      <w:pPr>
        <w:pStyle w:val="33"/>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aps/>
          <w:color w:val="auto"/>
          <w:sz w:val="28"/>
          <w:szCs w:val="28"/>
          <w:highlight w:val="none"/>
        </w:rPr>
        <w:fldChar w:fldCharType="begin"/>
      </w:r>
      <w:r>
        <w:rPr>
          <w:rFonts w:hint="eastAsia" w:ascii="宋体" w:hAnsi="宋体" w:eastAsia="宋体" w:cs="宋体"/>
          <w:b/>
          <w:bCs/>
          <w:caps/>
          <w:color w:val="auto"/>
          <w:sz w:val="28"/>
          <w:szCs w:val="28"/>
          <w:highlight w:val="none"/>
        </w:rPr>
        <w:instrText xml:space="preserve"> TOC \o "1-3" \h \z \u </w:instrText>
      </w:r>
      <w:r>
        <w:rPr>
          <w:rFonts w:hint="eastAsia" w:ascii="宋体" w:hAnsi="宋体" w:eastAsia="宋体" w:cs="宋体"/>
          <w:b/>
          <w:bCs/>
          <w:caps/>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"_Toc12078" </w:instrText>
      </w:r>
      <w:r>
        <w:rPr>
          <w:rFonts w:hint="eastAsia" w:ascii="宋体" w:hAnsi="宋体" w:eastAsia="宋体" w:cs="宋体"/>
          <w:color w:val="auto"/>
          <w:sz w:val="28"/>
          <w:szCs w:val="28"/>
          <w:highlight w:val="none"/>
        </w:rPr>
        <w:fldChar w:fldCharType="separate"/>
      </w:r>
      <w:r>
        <w:rPr>
          <w:rFonts w:hint="eastAsia" w:ascii="宋体" w:hAnsi="宋体" w:eastAsia="宋体" w:cs="宋体"/>
          <w:b/>
          <w:bCs/>
          <w:color w:val="auto"/>
          <w:sz w:val="28"/>
          <w:szCs w:val="28"/>
          <w:highlight w:val="none"/>
        </w:rPr>
        <w:t>第一章 竞争性磋商公告</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_Toc12078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2</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45A83157">
      <w:pPr>
        <w:pStyle w:val="33"/>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"_Toc26779" </w:instrText>
      </w:r>
      <w:r>
        <w:rPr>
          <w:rFonts w:hint="eastAsia" w:ascii="宋体" w:hAnsi="宋体" w:eastAsia="宋体" w:cs="宋体"/>
          <w:color w:val="auto"/>
          <w:sz w:val="28"/>
          <w:szCs w:val="28"/>
          <w:highlight w:val="none"/>
        </w:rPr>
        <w:fldChar w:fldCharType="separate"/>
      </w:r>
      <w:r>
        <w:rPr>
          <w:rFonts w:hint="eastAsia" w:ascii="宋体" w:hAnsi="宋体" w:eastAsia="宋体" w:cs="宋体"/>
          <w:b/>
          <w:bCs/>
          <w:color w:val="auto"/>
          <w:sz w:val="28"/>
          <w:szCs w:val="28"/>
          <w:highlight w:val="none"/>
        </w:rPr>
        <w:t>第二章 供应商须知</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_Toc26779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6</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386F843A">
      <w:pPr>
        <w:pStyle w:val="33"/>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"_Toc10746" </w:instrText>
      </w:r>
      <w:r>
        <w:rPr>
          <w:rFonts w:hint="eastAsia" w:ascii="宋体" w:hAnsi="宋体" w:eastAsia="宋体" w:cs="宋体"/>
          <w:color w:val="auto"/>
          <w:sz w:val="28"/>
          <w:szCs w:val="28"/>
          <w:highlight w:val="none"/>
        </w:rPr>
        <w:fldChar w:fldCharType="separate"/>
      </w:r>
      <w:r>
        <w:rPr>
          <w:rFonts w:hint="eastAsia" w:ascii="宋体" w:hAnsi="宋体" w:eastAsia="宋体" w:cs="宋体"/>
          <w:b/>
          <w:bCs/>
          <w:color w:val="auto"/>
          <w:sz w:val="28"/>
          <w:szCs w:val="28"/>
          <w:highlight w:val="none"/>
        </w:rPr>
        <w:t>第三章 采购需求</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_Toc10746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29</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3191B6C1">
      <w:pPr>
        <w:pStyle w:val="33"/>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"_Toc10847" </w:instrText>
      </w:r>
      <w:r>
        <w:rPr>
          <w:rFonts w:hint="eastAsia" w:ascii="宋体" w:hAnsi="宋体" w:eastAsia="宋体" w:cs="宋体"/>
          <w:color w:val="auto"/>
          <w:sz w:val="28"/>
          <w:szCs w:val="28"/>
          <w:highlight w:val="none"/>
        </w:rPr>
        <w:fldChar w:fldCharType="separate"/>
      </w:r>
      <w:r>
        <w:rPr>
          <w:rFonts w:hint="eastAsia" w:ascii="宋体" w:hAnsi="宋体" w:eastAsia="宋体" w:cs="宋体"/>
          <w:b/>
          <w:bCs/>
          <w:color w:val="auto"/>
          <w:sz w:val="28"/>
          <w:szCs w:val="28"/>
          <w:highlight w:val="none"/>
        </w:rPr>
        <w:t>第四章  评审程序、评审方法和评审标准</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_Toc10847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36</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34D3F269">
      <w:pPr>
        <w:pStyle w:val="33"/>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"_Toc29529" </w:instrText>
      </w:r>
      <w:r>
        <w:rPr>
          <w:rFonts w:hint="eastAsia" w:ascii="宋体" w:hAnsi="宋体" w:eastAsia="宋体" w:cs="宋体"/>
          <w:color w:val="auto"/>
          <w:sz w:val="28"/>
          <w:szCs w:val="28"/>
          <w:highlight w:val="none"/>
        </w:rPr>
        <w:fldChar w:fldCharType="separate"/>
      </w:r>
      <w:r>
        <w:rPr>
          <w:rFonts w:hint="eastAsia" w:ascii="宋体" w:hAnsi="宋体" w:eastAsia="宋体" w:cs="宋体"/>
          <w:b/>
          <w:bCs/>
          <w:color w:val="auto"/>
          <w:sz w:val="28"/>
          <w:szCs w:val="28"/>
          <w:highlight w:val="none"/>
        </w:rPr>
        <w:t>第五章 响应文件格式</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_Toc29529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50</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108688C7">
      <w:pPr>
        <w:pStyle w:val="33"/>
        <w:keepNext w:val="0"/>
        <w:keepLines w:val="0"/>
        <w:pageBreakBefore w:val="0"/>
        <w:widowControl w:val="0"/>
        <w:tabs>
          <w:tab w:val="right" w:leader="dot" w:pos="9072"/>
        </w:tabs>
        <w:kinsoku/>
        <w:wordWrap/>
        <w:overflowPunct/>
        <w:topLinePunct w:val="0"/>
        <w:autoSpaceDE/>
        <w:autoSpaceDN/>
        <w:bidi w:val="0"/>
        <w:adjustRightInd/>
        <w:snapToGrid/>
        <w:spacing w:line="48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"_Toc13022" </w:instrText>
      </w:r>
      <w:r>
        <w:rPr>
          <w:rFonts w:hint="eastAsia" w:ascii="宋体" w:hAnsi="宋体" w:eastAsia="宋体" w:cs="宋体"/>
          <w:color w:val="auto"/>
          <w:sz w:val="28"/>
          <w:szCs w:val="28"/>
          <w:highlight w:val="none"/>
        </w:rPr>
        <w:fldChar w:fldCharType="separate"/>
      </w:r>
      <w:r>
        <w:rPr>
          <w:rFonts w:hint="eastAsia" w:ascii="宋体" w:hAnsi="宋体" w:eastAsia="宋体" w:cs="宋体"/>
          <w:b/>
          <w:bCs/>
          <w:color w:val="auto"/>
          <w:sz w:val="28"/>
          <w:szCs w:val="28"/>
          <w:highlight w:val="none"/>
        </w:rPr>
        <w:t>第六章 拟签订的合同文本</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_Toc13022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73</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7D29DA9B">
      <w:pPr>
        <w:pStyle w:val="33"/>
        <w:keepNext w:val="0"/>
        <w:keepLines w:val="0"/>
        <w:pageBreakBefore w:val="0"/>
        <w:widowControl w:val="0"/>
        <w:tabs>
          <w:tab w:val="right" w:leader="dot" w:pos="8730"/>
        </w:tabs>
        <w:kinsoku/>
        <w:wordWrap/>
        <w:overflowPunct/>
        <w:topLinePunct w:val="0"/>
        <w:autoSpaceDE/>
        <w:autoSpaceDN/>
        <w:bidi w:val="0"/>
        <w:adjustRightInd/>
        <w:snapToGrid/>
        <w:spacing w:before="120" w:after="120" w:line="480" w:lineRule="auto"/>
        <w:ind w:firstLine="281"/>
        <w:jc w:val="left"/>
        <w:textAlignment w:val="auto"/>
        <w:rPr>
          <w:rFonts w:ascii="宋体" w:hAnsi="宋体" w:cs="宋体"/>
          <w:b/>
          <w:color w:val="auto"/>
          <w:sz w:val="24"/>
          <w:highlight w:val="none"/>
        </w:rPr>
      </w:pPr>
      <w:r>
        <w:rPr>
          <w:rFonts w:hint="eastAsia" w:ascii="宋体" w:hAnsi="宋体" w:eastAsia="宋体" w:cs="宋体"/>
          <w:b/>
          <w:bCs/>
          <w:caps/>
          <w:color w:val="auto"/>
          <w:sz w:val="28"/>
          <w:szCs w:val="28"/>
          <w:highlight w:val="none"/>
        </w:rPr>
        <w:fldChar w:fldCharType="end"/>
      </w:r>
    </w:p>
    <w:p w14:paraId="0F40339A">
      <w:pPr>
        <w:spacing w:line="400" w:lineRule="exact"/>
        <w:jc w:val="left"/>
        <w:rPr>
          <w:rFonts w:ascii="宋体" w:hAnsi="宋体" w:cs="宋体"/>
          <w:b/>
          <w:color w:val="auto"/>
          <w:sz w:val="32"/>
          <w:szCs w:val="32"/>
          <w:highlight w:val="none"/>
        </w:rPr>
      </w:pPr>
    </w:p>
    <w:p w14:paraId="03820F2F">
      <w:pPr>
        <w:spacing w:line="400" w:lineRule="exact"/>
        <w:jc w:val="center"/>
        <w:rPr>
          <w:rFonts w:ascii="宋体" w:hAnsi="宋体" w:cs="宋体"/>
          <w:b/>
          <w:color w:val="auto"/>
          <w:sz w:val="32"/>
          <w:szCs w:val="32"/>
          <w:highlight w:val="none"/>
        </w:rPr>
      </w:pPr>
    </w:p>
    <w:p w14:paraId="79244BB2">
      <w:pPr>
        <w:spacing w:line="400" w:lineRule="exact"/>
        <w:jc w:val="center"/>
        <w:rPr>
          <w:rFonts w:ascii="宋体" w:hAnsi="宋体" w:cs="宋体"/>
          <w:b/>
          <w:color w:val="auto"/>
          <w:sz w:val="32"/>
          <w:szCs w:val="32"/>
          <w:highlight w:val="none"/>
        </w:rPr>
      </w:pPr>
    </w:p>
    <w:p w14:paraId="01E56017">
      <w:pPr>
        <w:spacing w:line="400" w:lineRule="exact"/>
        <w:jc w:val="center"/>
        <w:rPr>
          <w:rFonts w:ascii="宋体" w:hAnsi="宋体" w:cs="宋体"/>
          <w:b/>
          <w:color w:val="auto"/>
          <w:sz w:val="32"/>
          <w:szCs w:val="32"/>
          <w:highlight w:val="none"/>
        </w:rPr>
      </w:pPr>
    </w:p>
    <w:p w14:paraId="39AEA8DD">
      <w:pPr>
        <w:pStyle w:val="38"/>
        <w:tabs>
          <w:tab w:val="right" w:leader="dot" w:pos="8931"/>
          <w:tab w:val="clear" w:pos="8296"/>
        </w:tabs>
        <w:spacing w:line="500" w:lineRule="atLeast"/>
        <w:ind w:left="0"/>
        <w:rPr>
          <w:rFonts w:ascii="宋体" w:hAnsi="宋体" w:cs="宋体"/>
          <w:b/>
          <w:color w:val="auto"/>
          <w:sz w:val="24"/>
          <w:highlight w:val="none"/>
        </w:rPr>
      </w:pPr>
    </w:p>
    <w:p w14:paraId="62E43E85">
      <w:pPr>
        <w:spacing w:line="400" w:lineRule="exact"/>
        <w:jc w:val="left"/>
        <w:rPr>
          <w:rFonts w:ascii="宋体" w:hAnsi="宋体" w:cs="宋体"/>
          <w:b/>
          <w:color w:val="auto"/>
          <w:sz w:val="32"/>
          <w:szCs w:val="32"/>
          <w:highlight w:val="none"/>
        </w:rPr>
      </w:pPr>
    </w:p>
    <w:p w14:paraId="1A43938F">
      <w:pPr>
        <w:spacing w:line="400" w:lineRule="exact"/>
        <w:jc w:val="center"/>
        <w:rPr>
          <w:rFonts w:ascii="宋体" w:hAnsi="宋体" w:cs="宋体"/>
          <w:b/>
          <w:color w:val="auto"/>
          <w:sz w:val="32"/>
          <w:szCs w:val="32"/>
          <w:highlight w:val="none"/>
        </w:rPr>
      </w:pPr>
    </w:p>
    <w:p w14:paraId="20262314">
      <w:pPr>
        <w:spacing w:line="400" w:lineRule="exact"/>
        <w:jc w:val="center"/>
        <w:rPr>
          <w:rFonts w:ascii="宋体" w:hAnsi="宋体" w:cs="宋体"/>
          <w:b/>
          <w:color w:val="auto"/>
          <w:sz w:val="32"/>
          <w:szCs w:val="32"/>
          <w:highlight w:val="none"/>
        </w:rPr>
      </w:pPr>
    </w:p>
    <w:p w14:paraId="6E064AD7">
      <w:pPr>
        <w:spacing w:line="400" w:lineRule="exact"/>
        <w:jc w:val="center"/>
        <w:rPr>
          <w:rFonts w:ascii="宋体" w:hAnsi="宋体" w:cs="宋体"/>
          <w:b/>
          <w:color w:val="auto"/>
          <w:sz w:val="32"/>
          <w:szCs w:val="32"/>
          <w:highlight w:val="none"/>
        </w:rPr>
      </w:pPr>
    </w:p>
    <w:p w14:paraId="2A063258">
      <w:pPr>
        <w:spacing w:line="400" w:lineRule="exact"/>
        <w:jc w:val="center"/>
        <w:rPr>
          <w:rFonts w:ascii="宋体" w:hAnsi="宋体" w:cs="宋体"/>
          <w:b/>
          <w:color w:val="auto"/>
          <w:sz w:val="32"/>
          <w:szCs w:val="32"/>
          <w:highlight w:val="none"/>
        </w:rPr>
      </w:pPr>
    </w:p>
    <w:p w14:paraId="78183094">
      <w:pPr>
        <w:spacing w:line="400" w:lineRule="exact"/>
        <w:rPr>
          <w:rFonts w:ascii="宋体" w:hAnsi="宋体" w:cs="宋体"/>
          <w:b/>
          <w:color w:val="auto"/>
          <w:sz w:val="32"/>
          <w:szCs w:val="32"/>
          <w:highlight w:val="none"/>
        </w:rPr>
        <w:sectPr>
          <w:headerReference r:id="rId4" w:type="first"/>
          <w:footerReference r:id="rId6" w:type="first"/>
          <w:headerReference r:id="rId3" w:type="default"/>
          <w:footerReference r:id="rId5" w:type="default"/>
          <w:pgSz w:w="11906" w:h="16838"/>
          <w:pgMar w:top="1417" w:right="1417" w:bottom="1417" w:left="1417" w:header="851" w:footer="567" w:gutter="0"/>
          <w:pgNumType w:start="0"/>
          <w:cols w:space="720" w:num="1"/>
          <w:titlePg/>
          <w:docGrid w:linePitch="360" w:charSpace="0"/>
        </w:sectPr>
      </w:pPr>
    </w:p>
    <w:p w14:paraId="44852262">
      <w:pPr>
        <w:pStyle w:val="2"/>
        <w:spacing w:line="360" w:lineRule="auto"/>
        <w:jc w:val="center"/>
        <w:rPr>
          <w:rFonts w:ascii="宋体" w:hAnsi="宋体" w:cs="宋体"/>
          <w:color w:val="auto"/>
          <w:sz w:val="32"/>
          <w:szCs w:val="32"/>
          <w:highlight w:val="none"/>
        </w:rPr>
      </w:pPr>
      <w:bookmarkStart w:id="0" w:name="_Toc12078"/>
      <w:r>
        <w:rPr>
          <w:rFonts w:hint="eastAsia" w:ascii="宋体" w:hAnsi="宋体" w:cs="宋体"/>
          <w:color w:val="auto"/>
          <w:sz w:val="32"/>
          <w:szCs w:val="32"/>
          <w:highlight w:val="none"/>
        </w:rPr>
        <w:t>第一章 竞争性磋商公告</w:t>
      </w:r>
      <w:bookmarkEnd w:id="0"/>
    </w:p>
    <w:p w14:paraId="461AFAA0">
      <w:pPr>
        <w:spacing w:line="360" w:lineRule="auto"/>
        <w:jc w:val="center"/>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eastAsia="zh-CN"/>
        </w:rPr>
        <w:t>广西建设工程机电设备招标中心有限公司</w:t>
      </w:r>
    </w:p>
    <w:p w14:paraId="57E39DE8">
      <w:pPr>
        <w:keepNext w:val="0"/>
        <w:keepLines w:val="0"/>
        <w:pageBreakBefore w:val="0"/>
        <w:widowControl w:val="0"/>
        <w:spacing w:line="400" w:lineRule="exact"/>
        <w:jc w:val="center"/>
        <w:rPr>
          <w:rFonts w:ascii="宋体" w:hAnsi="宋体" w:cs="宋体"/>
          <w:b/>
          <w:bCs/>
          <w:color w:val="auto"/>
          <w:sz w:val="24"/>
          <w:highlight w:val="none"/>
        </w:rPr>
      </w:pPr>
      <w:r>
        <w:rPr>
          <w:rFonts w:hint="eastAsia" w:ascii="宋体" w:hAnsi="宋体" w:cs="宋体"/>
          <w:b/>
          <w:bCs/>
          <w:color w:val="auto"/>
          <w:spacing w:val="-11"/>
          <w:sz w:val="24"/>
          <w:highlight w:val="none"/>
          <w:lang w:eastAsia="zh-CN"/>
        </w:rPr>
        <w:t>灵山县十里高中新建项目勘察</w:t>
      </w:r>
      <w:r>
        <w:rPr>
          <w:rFonts w:hint="eastAsia" w:ascii="宋体" w:hAnsi="宋体" w:cs="宋体"/>
          <w:b/>
          <w:bCs/>
          <w:color w:val="auto"/>
          <w:sz w:val="24"/>
          <w:highlight w:val="none"/>
        </w:rPr>
        <w:t>（项目编号：</w:t>
      </w:r>
      <w:r>
        <w:rPr>
          <w:rFonts w:hint="eastAsia" w:ascii="宋体" w:hAnsi="宋体" w:cs="宋体"/>
          <w:b/>
          <w:bCs/>
          <w:color w:val="auto"/>
          <w:sz w:val="24"/>
          <w:highlight w:val="none"/>
          <w:lang w:eastAsia="zh-CN"/>
        </w:rPr>
        <w:t>QZZC2026-C3-210175-JGJD</w:t>
      </w:r>
      <w:r>
        <w:rPr>
          <w:rFonts w:hint="eastAsia" w:ascii="宋体" w:hAnsi="宋体" w:cs="宋体"/>
          <w:b/>
          <w:bCs/>
          <w:color w:val="auto"/>
          <w:sz w:val="24"/>
          <w:highlight w:val="none"/>
        </w:rPr>
        <w:t>）</w:t>
      </w:r>
    </w:p>
    <w:p w14:paraId="731576C1">
      <w:pPr>
        <w:spacing w:line="360" w:lineRule="auto"/>
        <w:jc w:val="center"/>
        <w:rPr>
          <w:rFonts w:ascii="宋体" w:hAnsi="宋体" w:cs="宋体"/>
          <w:color w:val="auto"/>
          <w:sz w:val="24"/>
          <w:highlight w:val="none"/>
        </w:rPr>
      </w:pPr>
      <w:r>
        <w:rPr>
          <w:rFonts w:hint="eastAsia" w:ascii="宋体" w:hAnsi="宋体" w:cs="宋体"/>
          <w:b/>
          <w:bCs/>
          <w:color w:val="auto"/>
          <w:sz w:val="24"/>
          <w:highlight w:val="none"/>
        </w:rPr>
        <w:t>竞争性磋商公告</w:t>
      </w:r>
    </w:p>
    <w:p w14:paraId="233EAF54">
      <w:pPr>
        <w:pBdr>
          <w:top w:val="single" w:color="auto" w:sz="4" w:space="1"/>
          <w:left w:val="single" w:color="auto" w:sz="4" w:space="4"/>
          <w:bottom w:val="single" w:color="auto" w:sz="4" w:space="1"/>
          <w:right w:val="single" w:color="auto" w:sz="4" w:space="4"/>
        </w:pBdr>
        <w:spacing w:line="400" w:lineRule="exact"/>
        <w:ind w:firstLine="480"/>
        <w:rPr>
          <w:rFonts w:ascii="宋体" w:hAnsi="宋体" w:cs="宋体"/>
          <w:color w:val="auto"/>
          <w:sz w:val="24"/>
          <w:highlight w:val="none"/>
        </w:rPr>
      </w:pPr>
      <w:bookmarkStart w:id="1" w:name="_Hlk37430271"/>
      <w:r>
        <w:rPr>
          <w:rFonts w:hint="eastAsia" w:ascii="宋体" w:hAnsi="宋体" w:cs="宋体"/>
          <w:color w:val="auto"/>
          <w:sz w:val="24"/>
          <w:highlight w:val="none"/>
        </w:rPr>
        <w:t>项目概况</w:t>
      </w:r>
    </w:p>
    <w:p w14:paraId="593C3E32">
      <w:pPr>
        <w:pBdr>
          <w:top w:val="single" w:color="auto" w:sz="4" w:space="1"/>
          <w:left w:val="single" w:color="auto" w:sz="4" w:space="4"/>
          <w:bottom w:val="single" w:color="auto" w:sz="4" w:space="1"/>
          <w:right w:val="single" w:color="auto" w:sz="4" w:space="4"/>
        </w:pBdr>
        <w:spacing w:line="400" w:lineRule="exact"/>
        <w:ind w:firstLine="48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lang w:eastAsia="zh-CN"/>
        </w:rPr>
        <w:t>灵山县十里高中新建项目勘察</w:t>
      </w:r>
      <w:r>
        <w:rPr>
          <w:rFonts w:hint="eastAsia" w:ascii="宋体" w:hAnsi="宋体" w:cs="宋体"/>
          <w:color w:val="auto"/>
          <w:sz w:val="24"/>
          <w:highlight w:val="none"/>
        </w:rPr>
        <w:t>的潜在供应商应在广西政府采购云平台（https://www.gcy.zfcg.gxzf.gov.cn/）获取（下载）竞争性磋商文件，并于</w:t>
      </w:r>
      <w:r>
        <w:rPr>
          <w:rFonts w:hint="eastAsia" w:ascii="宋体" w:hAnsi="宋体" w:cs="宋体"/>
          <w:color w:val="auto"/>
          <w:sz w:val="24"/>
          <w:highlight w:val="none"/>
          <w:lang w:eastAsia="zh-CN"/>
        </w:rPr>
        <w:t>20</w:t>
      </w:r>
      <w:r>
        <w:rPr>
          <w:rFonts w:hint="eastAsia" w:ascii="宋体" w:hAnsi="宋体" w:cs="宋体"/>
          <w:color w:val="auto"/>
          <w:sz w:val="24"/>
          <w:highlight w:val="none"/>
          <w:lang w:val="en-US" w:eastAsia="zh-CN"/>
        </w:rPr>
        <w:t>26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日</w:t>
      </w:r>
      <w:r>
        <w:rPr>
          <w:rFonts w:hint="eastAsia" w:ascii="宋体" w:hAnsi="宋体" w:cs="宋体"/>
          <w:color w:val="auto"/>
          <w:sz w:val="24"/>
          <w:highlight w:val="none"/>
        </w:rPr>
        <w:t>09时</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0分</w:t>
      </w:r>
      <w:r>
        <w:rPr>
          <w:rFonts w:hint="eastAsia" w:ascii="宋体" w:hAnsi="宋体" w:cs="宋体"/>
          <w:bCs/>
          <w:color w:val="auto"/>
          <w:sz w:val="24"/>
          <w:highlight w:val="none"/>
        </w:rPr>
        <w:t>（北京时间）前提交响应文件</w:t>
      </w:r>
      <w:r>
        <w:rPr>
          <w:rFonts w:hint="eastAsia" w:ascii="宋体" w:hAnsi="宋体" w:cs="宋体"/>
          <w:color w:val="auto"/>
          <w:sz w:val="24"/>
          <w:highlight w:val="none"/>
        </w:rPr>
        <w:t>。</w:t>
      </w:r>
    </w:p>
    <w:p w14:paraId="580825F3">
      <w:pPr>
        <w:widowControl/>
        <w:spacing w:line="400" w:lineRule="exact"/>
        <w:ind w:firstLine="482"/>
        <w:rPr>
          <w:rFonts w:ascii="宋体" w:hAnsi="宋体" w:cs="宋体"/>
          <w:b/>
          <w:color w:val="auto"/>
          <w:sz w:val="24"/>
          <w:highlight w:val="none"/>
        </w:rPr>
      </w:pPr>
      <w:bookmarkStart w:id="2" w:name="_Hlk37429674"/>
      <w:bookmarkStart w:id="3" w:name="_Toc35393805"/>
      <w:bookmarkStart w:id="4" w:name="_Toc44229885"/>
      <w:bookmarkStart w:id="5" w:name="_Toc28359095"/>
      <w:bookmarkStart w:id="6" w:name="_Toc28359018"/>
      <w:bookmarkStart w:id="7" w:name="_Toc35393636"/>
    </w:p>
    <w:p w14:paraId="6DB0307A">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一、项目基本情况</w:t>
      </w:r>
    </w:p>
    <w:p w14:paraId="2AF0D3B4">
      <w:pPr>
        <w:spacing w:line="440" w:lineRule="exact"/>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灵山县十里高中新建项目勘察</w:t>
      </w:r>
    </w:p>
    <w:p w14:paraId="79BD9656">
      <w:pPr>
        <w:spacing w:line="440" w:lineRule="exact"/>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QZZC2026-C3-210175-JGJD</w:t>
      </w:r>
    </w:p>
    <w:p w14:paraId="60104E3C">
      <w:pPr>
        <w:spacing w:line="440" w:lineRule="exact"/>
        <w:ind w:firstLine="480"/>
        <w:rPr>
          <w:rFonts w:hint="eastAsia" w:ascii="宋体" w:hAnsi="宋体" w:cs="宋体"/>
          <w:color w:val="auto"/>
          <w:sz w:val="24"/>
          <w:highlight w:val="none"/>
        </w:rPr>
      </w:pPr>
      <w:r>
        <w:rPr>
          <w:rFonts w:hint="eastAsia" w:ascii="宋体" w:hAnsi="宋体" w:cs="宋体"/>
          <w:color w:val="auto"/>
          <w:sz w:val="24"/>
          <w:highlight w:val="none"/>
        </w:rPr>
        <w:t>预算金额（人民币）：</w:t>
      </w:r>
      <w:r>
        <w:rPr>
          <w:rFonts w:hint="eastAsia" w:ascii="宋体" w:hAnsi="宋体" w:cs="宋体"/>
          <w:color w:val="auto"/>
          <w:sz w:val="24"/>
          <w:highlight w:val="none"/>
          <w:lang w:val="en-US" w:eastAsia="zh-CN"/>
        </w:rPr>
        <w:t>捌拾捌万零肆佰玖拾元整</w:t>
      </w:r>
      <w:r>
        <w:rPr>
          <w:rFonts w:hint="eastAsia" w:ascii="宋体" w:hAnsi="宋体" w:cs="宋体"/>
          <w:color w:val="auto"/>
          <w:sz w:val="24"/>
          <w:highlight w:val="none"/>
        </w:rPr>
        <w:t>（</w:t>
      </w:r>
      <w:r>
        <w:rPr>
          <w:rFonts w:ascii="宋体" w:hAnsi="宋体" w:cs="宋体"/>
          <w:color w:val="auto"/>
          <w:sz w:val="24"/>
          <w:highlight w:val="none"/>
        </w:rPr>
        <w:t>¥</w:t>
      </w:r>
      <w:r>
        <w:rPr>
          <w:rFonts w:hint="eastAsia" w:ascii="宋体" w:hAnsi="宋体" w:cs="宋体"/>
          <w:color w:val="auto"/>
          <w:sz w:val="24"/>
          <w:highlight w:val="none"/>
          <w:lang w:val="en-US" w:eastAsia="zh-CN"/>
        </w:rPr>
        <w:t>880490.00</w:t>
      </w:r>
      <w:r>
        <w:rPr>
          <w:rFonts w:hint="eastAsia" w:ascii="宋体" w:hAnsi="宋体" w:cs="宋体"/>
          <w:color w:val="auto"/>
          <w:sz w:val="24"/>
          <w:highlight w:val="none"/>
        </w:rPr>
        <w:t>）；</w:t>
      </w:r>
    </w:p>
    <w:p w14:paraId="51011290">
      <w:pPr>
        <w:spacing w:line="440" w:lineRule="exact"/>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最高限价（如有/人民币）：</w:t>
      </w:r>
      <w:r>
        <w:rPr>
          <w:rFonts w:hint="eastAsia" w:ascii="宋体" w:hAnsi="宋体" w:cs="宋体"/>
          <w:color w:val="auto"/>
          <w:sz w:val="24"/>
          <w:highlight w:val="none"/>
          <w:lang w:val="en-US" w:eastAsia="zh-CN"/>
        </w:rPr>
        <w:t>同采购预算</w:t>
      </w:r>
    </w:p>
    <w:p w14:paraId="0B1B0344">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采购需求：</w:t>
      </w:r>
    </w:p>
    <w:tbl>
      <w:tblPr>
        <w:tblStyle w:val="45"/>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10"/>
        <w:gridCol w:w="773"/>
        <w:gridCol w:w="750"/>
        <w:gridCol w:w="2238"/>
        <w:gridCol w:w="1546"/>
        <w:gridCol w:w="1473"/>
      </w:tblGrid>
      <w:tr w14:paraId="0B78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40" w:type="dxa"/>
            <w:noWrap w:val="0"/>
            <w:vAlign w:val="center"/>
          </w:tcPr>
          <w:p w14:paraId="33E5A61B">
            <w:pPr>
              <w:pStyle w:val="249"/>
              <w:spacing w:line="30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1510" w:type="dxa"/>
            <w:noWrap w:val="0"/>
            <w:vAlign w:val="center"/>
          </w:tcPr>
          <w:p w14:paraId="199879E1">
            <w:pPr>
              <w:pStyle w:val="249"/>
              <w:spacing w:line="300" w:lineRule="exact"/>
              <w:jc w:val="center"/>
              <w:rPr>
                <w:rFonts w:ascii="宋体" w:hAnsi="宋体" w:cs="宋体"/>
                <w:color w:val="auto"/>
                <w:sz w:val="24"/>
                <w:highlight w:val="none"/>
              </w:rPr>
            </w:pPr>
            <w:r>
              <w:rPr>
                <w:rFonts w:hint="eastAsia" w:ascii="宋体" w:hAnsi="宋体" w:cs="宋体"/>
                <w:color w:val="auto"/>
                <w:sz w:val="24"/>
                <w:highlight w:val="none"/>
              </w:rPr>
              <w:t>标的名称</w:t>
            </w:r>
          </w:p>
        </w:tc>
        <w:tc>
          <w:tcPr>
            <w:tcW w:w="773" w:type="dxa"/>
            <w:noWrap w:val="0"/>
            <w:vAlign w:val="center"/>
          </w:tcPr>
          <w:p w14:paraId="7782193A">
            <w:pPr>
              <w:pStyle w:val="249"/>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数量</w:t>
            </w:r>
          </w:p>
        </w:tc>
        <w:tc>
          <w:tcPr>
            <w:tcW w:w="750" w:type="dxa"/>
            <w:noWrap w:val="0"/>
            <w:vAlign w:val="center"/>
          </w:tcPr>
          <w:p w14:paraId="0D23EE71">
            <w:pPr>
              <w:pStyle w:val="249"/>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单位</w:t>
            </w:r>
          </w:p>
        </w:tc>
        <w:tc>
          <w:tcPr>
            <w:tcW w:w="2238" w:type="dxa"/>
            <w:noWrap w:val="0"/>
            <w:vAlign w:val="center"/>
          </w:tcPr>
          <w:p w14:paraId="4C062AFF">
            <w:pPr>
              <w:pStyle w:val="249"/>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简要服务要求</w:t>
            </w:r>
          </w:p>
        </w:tc>
        <w:tc>
          <w:tcPr>
            <w:tcW w:w="1546" w:type="dxa"/>
            <w:noWrap w:val="0"/>
            <w:vAlign w:val="center"/>
          </w:tcPr>
          <w:p w14:paraId="2243057D">
            <w:pPr>
              <w:pStyle w:val="249"/>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预算单价</w:t>
            </w:r>
          </w:p>
          <w:p w14:paraId="055B3D94">
            <w:pPr>
              <w:pStyle w:val="249"/>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（万元/人民币）</w:t>
            </w:r>
          </w:p>
        </w:tc>
        <w:tc>
          <w:tcPr>
            <w:tcW w:w="1473" w:type="dxa"/>
            <w:noWrap w:val="0"/>
            <w:vAlign w:val="center"/>
          </w:tcPr>
          <w:p w14:paraId="1ABB7160">
            <w:pPr>
              <w:pStyle w:val="249"/>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单项预算合计（万元/人民币）</w:t>
            </w:r>
          </w:p>
        </w:tc>
      </w:tr>
      <w:tr w14:paraId="313D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540" w:type="dxa"/>
            <w:noWrap w:val="0"/>
            <w:vAlign w:val="center"/>
          </w:tcPr>
          <w:p w14:paraId="2C2DDB8C">
            <w:pPr>
              <w:pStyle w:val="249"/>
              <w:spacing w:line="44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1510" w:type="dxa"/>
            <w:noWrap w:val="0"/>
            <w:vAlign w:val="center"/>
          </w:tcPr>
          <w:p w14:paraId="2A4A8A0D">
            <w:pPr>
              <w:pStyle w:val="249"/>
              <w:spacing w:line="440" w:lineRule="exact"/>
              <w:jc w:val="left"/>
              <w:rPr>
                <w:rFonts w:hint="default" w:ascii="宋体" w:hAnsi="宋体" w:eastAsia="宋体" w:cs="宋体"/>
                <w:color w:val="auto"/>
                <w:sz w:val="24"/>
                <w:highlight w:val="none"/>
                <w:lang w:val="en-US" w:eastAsia="zh-CN"/>
              </w:rPr>
            </w:pPr>
            <w:r>
              <w:rPr>
                <w:rFonts w:hint="eastAsia" w:ascii="宋体" w:hAnsi="宋体" w:cs="宋体"/>
                <w:color w:val="auto"/>
                <w:sz w:val="24"/>
                <w:szCs w:val="24"/>
                <w:highlight w:val="none"/>
                <w:lang w:val="en-US" w:eastAsia="zh-CN" w:bidi="ar-SA"/>
              </w:rPr>
              <w:t>灵山县十里高中新建项目勘察</w:t>
            </w:r>
          </w:p>
        </w:tc>
        <w:tc>
          <w:tcPr>
            <w:tcW w:w="773" w:type="dxa"/>
            <w:noWrap w:val="0"/>
            <w:vAlign w:val="center"/>
          </w:tcPr>
          <w:p w14:paraId="26683C34">
            <w:pPr>
              <w:spacing w:line="44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750" w:type="dxa"/>
            <w:noWrap w:val="0"/>
            <w:vAlign w:val="center"/>
          </w:tcPr>
          <w:p w14:paraId="4E4E0662">
            <w:pPr>
              <w:pStyle w:val="249"/>
              <w:spacing w:line="440" w:lineRule="exact"/>
              <w:jc w:val="center"/>
              <w:rPr>
                <w:rFonts w:ascii="宋体" w:hAnsi="宋体" w:cs="宋体"/>
                <w:color w:val="auto"/>
                <w:sz w:val="24"/>
                <w:highlight w:val="none"/>
              </w:rPr>
            </w:pPr>
            <w:r>
              <w:rPr>
                <w:rFonts w:hint="eastAsia" w:ascii="宋体" w:hAnsi="宋体" w:cs="宋体"/>
                <w:color w:val="auto"/>
                <w:sz w:val="24"/>
                <w:highlight w:val="none"/>
              </w:rPr>
              <w:t>项</w:t>
            </w:r>
          </w:p>
        </w:tc>
        <w:tc>
          <w:tcPr>
            <w:tcW w:w="2238" w:type="dxa"/>
            <w:noWrap w:val="0"/>
            <w:vAlign w:val="center"/>
          </w:tcPr>
          <w:p w14:paraId="7F5F6775">
            <w:pPr>
              <w:pStyle w:val="249"/>
              <w:spacing w:line="440" w:lineRule="exact"/>
              <w:jc w:val="left"/>
              <w:rPr>
                <w:rFonts w:ascii="宋体" w:hAnsi="宋体" w:cs="宋体"/>
                <w:color w:val="auto"/>
                <w:sz w:val="24"/>
                <w:highlight w:val="none"/>
              </w:rPr>
            </w:pPr>
            <w:r>
              <w:rPr>
                <w:rFonts w:hint="eastAsia" w:ascii="宋体" w:hAnsi="宋体" w:cs="宋体"/>
                <w:color w:val="auto"/>
                <w:sz w:val="24"/>
                <w:highlight w:val="none"/>
              </w:rPr>
              <w:t>详见竞争性磋商文件第三章“采购需求”</w:t>
            </w:r>
          </w:p>
        </w:tc>
        <w:tc>
          <w:tcPr>
            <w:tcW w:w="1546" w:type="dxa"/>
            <w:noWrap w:val="0"/>
            <w:vAlign w:val="center"/>
          </w:tcPr>
          <w:p w14:paraId="39435249">
            <w:pPr>
              <w:pStyle w:val="249"/>
              <w:spacing w:line="44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88.0490</w:t>
            </w:r>
          </w:p>
        </w:tc>
        <w:tc>
          <w:tcPr>
            <w:tcW w:w="1473" w:type="dxa"/>
            <w:noWrap w:val="0"/>
            <w:vAlign w:val="center"/>
          </w:tcPr>
          <w:p w14:paraId="221DA373">
            <w:pPr>
              <w:pStyle w:val="249"/>
              <w:spacing w:line="44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88.0490</w:t>
            </w:r>
          </w:p>
        </w:tc>
      </w:tr>
      <w:tr w14:paraId="7106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830" w:type="dxa"/>
            <w:gridSpan w:val="7"/>
            <w:noWrap w:val="0"/>
            <w:vAlign w:val="center"/>
          </w:tcPr>
          <w:p w14:paraId="744DB8C0">
            <w:pPr>
              <w:pStyle w:val="249"/>
              <w:spacing w:line="44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预算合计金额（人民币大写）</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捌拾捌万零肆佰玖拾元整</w:t>
            </w:r>
            <w:r>
              <w:rPr>
                <w:rFonts w:hint="eastAsia" w:ascii="宋体" w:hAnsi="宋体" w:cs="宋体"/>
                <w:color w:val="auto"/>
                <w:sz w:val="24"/>
                <w:highlight w:val="none"/>
              </w:rPr>
              <w:t>（</w:t>
            </w:r>
            <w:r>
              <w:rPr>
                <w:rFonts w:ascii="宋体" w:hAnsi="宋体" w:cs="宋体"/>
                <w:color w:val="auto"/>
                <w:sz w:val="24"/>
                <w:highlight w:val="none"/>
              </w:rPr>
              <w:t>¥</w:t>
            </w:r>
            <w:r>
              <w:rPr>
                <w:rFonts w:hint="eastAsia" w:ascii="宋体" w:hAnsi="宋体" w:cs="宋体"/>
                <w:color w:val="auto"/>
                <w:sz w:val="24"/>
                <w:highlight w:val="none"/>
                <w:lang w:val="en-US" w:eastAsia="zh-CN"/>
              </w:rPr>
              <w:t>880490.00</w:t>
            </w:r>
            <w:r>
              <w:rPr>
                <w:rFonts w:hint="eastAsia" w:ascii="宋体" w:hAnsi="宋体" w:cs="宋体"/>
                <w:color w:val="auto"/>
                <w:sz w:val="24"/>
                <w:highlight w:val="none"/>
              </w:rPr>
              <w:t>）</w:t>
            </w:r>
          </w:p>
        </w:tc>
      </w:tr>
    </w:tbl>
    <w:p w14:paraId="2FE44B89">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详见第三章采购需求表。</w:t>
      </w:r>
    </w:p>
    <w:p w14:paraId="0BFB7F25">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合同履行期限：详见商务条款。</w:t>
      </w:r>
    </w:p>
    <w:p w14:paraId="0269C691">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本项目</w:t>
      </w:r>
      <w:r>
        <w:rPr>
          <w:rFonts w:hint="eastAsia" w:ascii="宋体" w:hAnsi="宋体" w:cs="宋体"/>
          <w:b/>
          <w:color w:val="auto"/>
          <w:sz w:val="24"/>
          <w:highlight w:val="none"/>
        </w:rPr>
        <w:t>是否</w:t>
      </w:r>
      <w:r>
        <w:rPr>
          <w:rFonts w:hint="eastAsia" w:ascii="宋体" w:hAnsi="宋体" w:cs="宋体"/>
          <w:color w:val="auto"/>
          <w:sz w:val="24"/>
          <w:highlight w:val="none"/>
        </w:rPr>
        <w:t>接受联合体：否</w:t>
      </w:r>
    </w:p>
    <w:p w14:paraId="0BC0A6A2">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二、申请人的资格条件：</w:t>
      </w:r>
    </w:p>
    <w:p w14:paraId="29D7DED9">
      <w:pPr>
        <w:spacing w:line="440" w:lineRule="exact"/>
        <w:ind w:firstLine="480"/>
        <w:outlineLvl w:val="2"/>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bidi="ar"/>
        </w:rPr>
        <w:t>.</w:t>
      </w:r>
      <w:r>
        <w:rPr>
          <w:rFonts w:hint="eastAsia" w:ascii="宋体" w:hAnsi="宋体" w:cs="宋体"/>
          <w:color w:val="auto"/>
          <w:sz w:val="24"/>
          <w:highlight w:val="none"/>
        </w:rPr>
        <w:t>满足《中华人民共和国政府采购法》第二十二条规定；</w:t>
      </w:r>
    </w:p>
    <w:p w14:paraId="06199ECB">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bidi="ar"/>
        </w:rPr>
        <w:t>.</w:t>
      </w:r>
      <w:r>
        <w:rPr>
          <w:rFonts w:hint="eastAsia" w:ascii="宋体" w:hAnsi="宋体" w:cs="宋体"/>
          <w:color w:val="auto"/>
          <w:sz w:val="24"/>
          <w:highlight w:val="none"/>
        </w:rPr>
        <w:t>落实政府采购政策需满足的资格要求：</w:t>
      </w:r>
      <w:r>
        <w:rPr>
          <w:rFonts w:hint="eastAsia" w:ascii="宋体" w:hAnsi="宋体" w:cs="宋体"/>
          <w:color w:val="auto"/>
          <w:sz w:val="24"/>
          <w:highlight w:val="none"/>
          <w:lang w:val="en-US" w:eastAsia="zh-CN"/>
        </w:rPr>
        <w:t>不</w:t>
      </w:r>
      <w:r>
        <w:rPr>
          <w:rFonts w:hint="eastAsia" w:ascii="宋体" w:hAnsi="宋体" w:cs="宋体"/>
          <w:color w:val="auto"/>
          <w:sz w:val="24"/>
          <w:highlight w:val="none"/>
        </w:rPr>
        <w:t>专门面向中小企业采购的项目。</w:t>
      </w:r>
    </w:p>
    <w:p w14:paraId="2A71B966">
      <w:pPr>
        <w:spacing w:line="440" w:lineRule="exact"/>
        <w:ind w:firstLine="480"/>
        <w:outlineLvl w:val="2"/>
        <w:rPr>
          <w:rFonts w:hint="eastAsia" w:ascii="宋体" w:hAnsi="宋体" w:eastAsia="宋体" w:cs="宋体"/>
          <w:color w:val="auto"/>
          <w:sz w:val="24"/>
          <w:highlight w:val="none"/>
          <w:lang w:eastAsia="zh-CN"/>
        </w:rPr>
      </w:pPr>
      <w:r>
        <w:rPr>
          <w:rFonts w:hint="eastAsia" w:ascii="宋体" w:hAnsi="宋体" w:cs="宋体"/>
          <w:color w:val="auto"/>
          <w:sz w:val="24"/>
          <w:highlight w:val="none"/>
        </w:rPr>
        <w:t>3</w:t>
      </w:r>
      <w:r>
        <w:rPr>
          <w:rFonts w:hint="eastAsia" w:ascii="宋体" w:hAnsi="宋体" w:cs="宋体"/>
          <w:color w:val="auto"/>
          <w:sz w:val="24"/>
          <w:highlight w:val="none"/>
          <w:lang w:bidi="ar"/>
        </w:rPr>
        <w:t>.</w:t>
      </w:r>
      <w:r>
        <w:rPr>
          <w:rFonts w:hint="eastAsia" w:ascii="宋体" w:hAnsi="宋体" w:cs="宋体"/>
          <w:color w:val="auto"/>
          <w:sz w:val="24"/>
          <w:highlight w:val="none"/>
        </w:rPr>
        <w:t>本项目的特定资格要求：</w:t>
      </w:r>
      <w:r>
        <w:rPr>
          <w:rFonts w:hint="eastAsia" w:ascii="宋体" w:hAnsi="宋体" w:eastAsia="宋体" w:cs="Times New Roman"/>
          <w:color w:val="auto"/>
          <w:sz w:val="24"/>
          <w:szCs w:val="24"/>
          <w:highlight w:val="none"/>
        </w:rPr>
        <w:t>供应商须具备工程勘察综合</w:t>
      </w:r>
      <w:r>
        <w:rPr>
          <w:rFonts w:hint="eastAsia" w:ascii="宋体" w:hAnsi="宋体" w:eastAsia="宋体" w:cs="Times New Roman"/>
          <w:color w:val="auto"/>
          <w:sz w:val="24"/>
          <w:szCs w:val="24"/>
          <w:highlight w:val="none"/>
          <w:lang w:val="en-US" w:eastAsia="zh-CN"/>
        </w:rPr>
        <w:t>资质</w:t>
      </w:r>
      <w:r>
        <w:rPr>
          <w:rFonts w:hint="eastAsia" w:ascii="宋体" w:hAnsi="宋体" w:eastAsia="宋体" w:cs="Times New Roman"/>
          <w:color w:val="auto"/>
          <w:sz w:val="24"/>
          <w:szCs w:val="24"/>
          <w:highlight w:val="none"/>
        </w:rPr>
        <w:t>甲级或工程勘察专业类（岩土工程）</w:t>
      </w:r>
      <w:r>
        <w:rPr>
          <w:rFonts w:ascii="宋体" w:hAnsi="宋体" w:eastAsia="宋体" w:cs="宋体"/>
          <w:color w:val="auto"/>
          <w:sz w:val="24"/>
          <w:szCs w:val="24"/>
          <w:highlight w:val="none"/>
        </w:rPr>
        <w:t>乙级及以上资质</w:t>
      </w:r>
      <w:r>
        <w:rPr>
          <w:rFonts w:hint="eastAsia" w:ascii="宋体" w:hAnsi="宋体" w:cs="宋体"/>
          <w:color w:val="auto"/>
          <w:sz w:val="24"/>
          <w:szCs w:val="24"/>
          <w:highlight w:val="none"/>
          <w:lang w:eastAsia="zh-CN"/>
        </w:rPr>
        <w:t>或</w:t>
      </w:r>
      <w:r>
        <w:rPr>
          <w:rFonts w:hint="eastAsia" w:ascii="宋体" w:hAnsi="宋体" w:eastAsia="宋体" w:cs="Times New Roman"/>
          <w:color w:val="auto"/>
          <w:sz w:val="24"/>
          <w:szCs w:val="24"/>
          <w:highlight w:val="none"/>
        </w:rPr>
        <w:t>工程勘察专业类（岩土工程（勘察））</w:t>
      </w:r>
      <w:r>
        <w:rPr>
          <w:rFonts w:ascii="宋体" w:hAnsi="宋体" w:eastAsia="宋体" w:cs="宋体"/>
          <w:color w:val="auto"/>
          <w:sz w:val="24"/>
          <w:szCs w:val="24"/>
          <w:highlight w:val="none"/>
        </w:rPr>
        <w:t>乙级及以上资质</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项目</w:t>
      </w:r>
      <w:r>
        <w:rPr>
          <w:rFonts w:hint="eastAsia" w:ascii="宋体" w:hAnsi="宋体" w:eastAsia="宋体" w:cs="Times New Roman"/>
          <w:color w:val="auto"/>
          <w:sz w:val="24"/>
          <w:szCs w:val="24"/>
          <w:highlight w:val="none"/>
        </w:rPr>
        <w:t>负责人须具备</w:t>
      </w:r>
      <w:r>
        <w:rPr>
          <w:rFonts w:hint="eastAsia" w:ascii="宋体" w:hAnsi="宋体" w:cs="Times New Roman"/>
          <w:color w:val="auto"/>
          <w:sz w:val="24"/>
          <w:szCs w:val="24"/>
          <w:highlight w:val="none"/>
          <w:lang w:val="en-US" w:eastAsia="zh-CN"/>
        </w:rPr>
        <w:t>工程类高级工程师职称</w:t>
      </w:r>
      <w:r>
        <w:rPr>
          <w:rFonts w:hint="eastAsia" w:ascii="宋体" w:hAnsi="宋体" w:cs="宋体"/>
          <w:color w:val="auto"/>
          <w:sz w:val="24"/>
          <w:highlight w:val="none"/>
          <w:lang w:eastAsia="zh-CN"/>
        </w:rPr>
        <w:t>。</w:t>
      </w:r>
    </w:p>
    <w:p w14:paraId="2817EA3F">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三、获取竞争性磋商文件</w:t>
      </w:r>
    </w:p>
    <w:p w14:paraId="4C3DAF5E">
      <w:pPr>
        <w:spacing w:line="440" w:lineRule="exact"/>
        <w:ind w:firstLine="480"/>
        <w:rPr>
          <w:rFonts w:ascii="宋体" w:hAnsi="宋体" w:cs="宋体"/>
          <w:bCs/>
          <w:color w:val="auto"/>
          <w:sz w:val="24"/>
          <w:highlight w:val="none"/>
        </w:rPr>
      </w:pPr>
      <w:r>
        <w:rPr>
          <w:rFonts w:hint="eastAsia" w:ascii="宋体" w:hAnsi="宋体" w:cs="宋体"/>
          <w:bCs/>
          <w:color w:val="auto"/>
          <w:sz w:val="24"/>
          <w:highlight w:val="none"/>
        </w:rPr>
        <w:t>时间：</w:t>
      </w:r>
      <w:r>
        <w:rPr>
          <w:rFonts w:hint="eastAsia" w:ascii="宋体" w:hAnsi="宋体" w:cs="宋体"/>
          <w:color w:val="auto"/>
          <w:sz w:val="24"/>
          <w:highlight w:val="none"/>
          <w:lang w:eastAsia="zh-CN"/>
        </w:rPr>
        <w:t>2026年</w:t>
      </w:r>
      <w:r>
        <w:rPr>
          <w:rFonts w:hint="eastAsia" w:ascii="宋体" w:hAnsi="宋体" w:cs="宋体"/>
          <w:color w:val="auto"/>
          <w:sz w:val="24"/>
          <w:highlight w:val="none"/>
          <w:lang w:val="en-US" w:eastAsia="zh-CN"/>
        </w:rPr>
        <w:t>8</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21</w:t>
      </w:r>
      <w:r>
        <w:rPr>
          <w:rFonts w:hint="eastAsia" w:ascii="宋体" w:hAnsi="宋体" w:cs="宋体"/>
          <w:color w:val="auto"/>
          <w:sz w:val="24"/>
          <w:highlight w:val="none"/>
          <w:lang w:eastAsia="zh-CN"/>
        </w:rPr>
        <w:t>日</w:t>
      </w:r>
      <w:r>
        <w:rPr>
          <w:rFonts w:hint="eastAsia" w:ascii="宋体" w:hAnsi="宋体" w:cs="宋体"/>
          <w:color w:val="auto"/>
          <w:sz w:val="24"/>
          <w:highlight w:val="none"/>
        </w:rPr>
        <w:t>至</w:t>
      </w:r>
      <w:r>
        <w:rPr>
          <w:rFonts w:hint="eastAsia" w:ascii="宋体" w:hAnsi="宋体" w:cs="宋体"/>
          <w:color w:val="auto"/>
          <w:sz w:val="24"/>
          <w:highlight w:val="none"/>
          <w:lang w:eastAsia="zh-CN"/>
        </w:rPr>
        <w:t>2026年</w:t>
      </w:r>
      <w:r>
        <w:rPr>
          <w:rFonts w:hint="eastAsia" w:ascii="宋体" w:hAnsi="宋体" w:cs="宋体"/>
          <w:color w:val="auto"/>
          <w:sz w:val="24"/>
          <w:highlight w:val="none"/>
          <w:lang w:val="en-US" w:eastAsia="zh-CN"/>
        </w:rPr>
        <w:t>9</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日</w:t>
      </w:r>
      <w:r>
        <w:rPr>
          <w:rFonts w:hint="eastAsia" w:ascii="宋体" w:hAnsi="宋体" w:cs="宋体"/>
          <w:color w:val="auto"/>
          <w:sz w:val="24"/>
          <w:highlight w:val="none"/>
        </w:rPr>
        <w:t>，每</w:t>
      </w:r>
      <w:r>
        <w:rPr>
          <w:rFonts w:hint="eastAsia" w:ascii="宋体" w:hAnsi="宋体" w:cs="宋体"/>
          <w:color w:val="auto"/>
          <w:sz w:val="24"/>
          <w:highlight w:val="none"/>
        </w:rPr>
        <w:t>天上午00:00-12:00，下午12:00-23:59（北京时间，法定节假日除外）</w:t>
      </w:r>
      <w:r>
        <w:rPr>
          <w:rFonts w:hint="eastAsia" w:ascii="宋体" w:hAnsi="宋体" w:cs="宋体"/>
          <w:bCs/>
          <w:color w:val="auto"/>
          <w:sz w:val="24"/>
          <w:highlight w:val="none"/>
        </w:rPr>
        <w:t>。</w:t>
      </w:r>
    </w:p>
    <w:p w14:paraId="1215A213">
      <w:pPr>
        <w:spacing w:line="440" w:lineRule="exact"/>
        <w:ind w:firstLine="480"/>
        <w:rPr>
          <w:rFonts w:ascii="宋体" w:hAnsi="宋体" w:cs="宋体"/>
          <w:bCs/>
          <w:color w:val="auto"/>
          <w:sz w:val="24"/>
          <w:highlight w:val="none"/>
        </w:rPr>
      </w:pPr>
      <w:r>
        <w:rPr>
          <w:rFonts w:hint="eastAsia" w:ascii="宋体" w:hAnsi="宋体" w:cs="宋体"/>
          <w:bCs/>
          <w:color w:val="auto"/>
          <w:sz w:val="24"/>
          <w:highlight w:val="none"/>
        </w:rPr>
        <w:t>地点：广西政府采购云平台（https://www.gcy.zfcg.gxzf.gov.cn/）</w:t>
      </w:r>
    </w:p>
    <w:p w14:paraId="6CFA4A8F">
      <w:pPr>
        <w:spacing w:line="440" w:lineRule="exact"/>
        <w:ind w:firstLine="480"/>
        <w:rPr>
          <w:rFonts w:ascii="宋体" w:hAnsi="宋体" w:cs="宋体"/>
          <w:bCs/>
          <w:color w:val="auto"/>
          <w:sz w:val="24"/>
          <w:highlight w:val="none"/>
        </w:rPr>
      </w:pPr>
      <w:r>
        <w:rPr>
          <w:rFonts w:hint="eastAsia" w:ascii="宋体" w:hAnsi="宋体" w:cs="宋体"/>
          <w:bCs/>
          <w:color w:val="auto"/>
          <w:sz w:val="24"/>
          <w:highlight w:val="none"/>
        </w:rPr>
        <w:t>方式：网上下载。本项目不发放纸质文件，供应商应自行在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bCs/>
          <w:color w:val="auto"/>
          <w:sz w:val="24"/>
          <w:highlight w:val="none"/>
        </w:rPr>
        <w:t>广西政府采购云平台（https://www.gcy.zfcg.gxzf.gov.cn/）下载竞争性磋商文件（操作路径：登录广西政府采购云平台</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项目采购</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获取采购文件</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找到本项目</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点击“申请获取采购文件”），电子响应文件制作需要基于广西政府采购云平台获取的竞争性磋商文件编制，通过其他方式获取竞争性磋商文件的，将有可能导致供应商无法在广西政府采购云平台编制及上传响应文件。</w:t>
      </w:r>
    </w:p>
    <w:p w14:paraId="6B8037C9">
      <w:pPr>
        <w:spacing w:line="440" w:lineRule="exact"/>
        <w:ind w:firstLine="480"/>
        <w:rPr>
          <w:rFonts w:ascii="宋体" w:hAnsi="宋体" w:cs="宋体"/>
          <w:color w:val="auto"/>
          <w:sz w:val="24"/>
          <w:highlight w:val="none"/>
        </w:rPr>
      </w:pPr>
      <w:r>
        <w:rPr>
          <w:rFonts w:hint="eastAsia" w:ascii="宋体" w:hAnsi="宋体" w:cs="宋体"/>
          <w:bCs/>
          <w:color w:val="auto"/>
          <w:sz w:val="24"/>
          <w:highlight w:val="none"/>
        </w:rPr>
        <w:t>售价：0元人民币。</w:t>
      </w:r>
    </w:p>
    <w:p w14:paraId="070711E2">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四、响应文件提交</w:t>
      </w:r>
    </w:p>
    <w:p w14:paraId="12F23142">
      <w:pPr>
        <w:spacing w:line="440" w:lineRule="exact"/>
        <w:ind w:firstLine="480"/>
        <w:rPr>
          <w:rFonts w:ascii="宋体" w:hAnsi="宋体" w:cs="宋体"/>
          <w:color w:val="auto"/>
          <w:sz w:val="24"/>
          <w:highlight w:val="none"/>
          <w:u w:val="single"/>
        </w:rPr>
      </w:pPr>
      <w:r>
        <w:rPr>
          <w:rFonts w:hint="eastAsia" w:ascii="宋体" w:hAnsi="宋体" w:cs="宋体"/>
          <w:color w:val="auto"/>
          <w:sz w:val="24"/>
          <w:highlight w:val="none"/>
        </w:rPr>
        <w:t>1</w:t>
      </w:r>
      <w:r>
        <w:rPr>
          <w:rFonts w:hint="eastAsia" w:ascii="宋体" w:hAnsi="宋体" w:cs="宋体"/>
          <w:color w:val="auto"/>
          <w:sz w:val="24"/>
          <w:highlight w:val="none"/>
          <w:lang w:bidi="ar"/>
        </w:rPr>
        <w:t>.</w:t>
      </w:r>
      <w:r>
        <w:rPr>
          <w:rFonts w:hint="eastAsia" w:ascii="宋体" w:hAnsi="宋体" w:cs="宋体"/>
          <w:color w:val="auto"/>
          <w:sz w:val="24"/>
          <w:highlight w:val="none"/>
        </w:rPr>
        <w:t>首次响应文件提交截止时间</w:t>
      </w:r>
      <w:r>
        <w:rPr>
          <w:rFonts w:hint="eastAsia" w:ascii="宋体" w:hAnsi="宋体" w:cs="宋体"/>
          <w:color w:val="auto"/>
          <w:sz w:val="24"/>
          <w:highlight w:val="none"/>
        </w:rPr>
        <w:t>：</w:t>
      </w:r>
      <w:r>
        <w:rPr>
          <w:rFonts w:hint="eastAsia" w:ascii="宋体" w:hAnsi="宋体" w:cs="宋体"/>
          <w:color w:val="auto"/>
          <w:sz w:val="24"/>
          <w:highlight w:val="none"/>
          <w:lang w:eastAsia="zh-CN"/>
        </w:rPr>
        <w:t>20</w:t>
      </w:r>
      <w:r>
        <w:rPr>
          <w:rFonts w:hint="eastAsia" w:ascii="宋体" w:hAnsi="宋体" w:cs="宋体"/>
          <w:color w:val="auto"/>
          <w:sz w:val="24"/>
          <w:highlight w:val="none"/>
          <w:lang w:val="en-US" w:eastAsia="zh-CN"/>
        </w:rPr>
        <w:t>26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日</w:t>
      </w:r>
      <w:r>
        <w:rPr>
          <w:rFonts w:hint="eastAsia" w:ascii="宋体" w:hAnsi="宋体" w:cs="宋体"/>
          <w:color w:val="auto"/>
          <w:sz w:val="24"/>
          <w:highlight w:val="none"/>
        </w:rPr>
        <w:t>09时</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0分</w:t>
      </w:r>
      <w:r>
        <w:rPr>
          <w:rFonts w:hint="eastAsia" w:ascii="宋体" w:hAnsi="宋体" w:cs="宋体"/>
          <w:bCs/>
          <w:color w:val="auto"/>
          <w:sz w:val="24"/>
          <w:highlight w:val="none"/>
        </w:rPr>
        <w:t>（北京时间）</w:t>
      </w:r>
    </w:p>
    <w:p w14:paraId="40B7F16E">
      <w:pPr>
        <w:spacing w:line="440" w:lineRule="exact"/>
        <w:ind w:firstLine="480"/>
        <w:outlineLvl w:val="2"/>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bidi="ar"/>
        </w:rPr>
        <w:t>.</w:t>
      </w:r>
      <w:r>
        <w:rPr>
          <w:rFonts w:hint="eastAsia" w:ascii="宋体" w:hAnsi="宋体" w:cs="宋体"/>
          <w:color w:val="auto"/>
          <w:sz w:val="24"/>
          <w:highlight w:val="none"/>
        </w:rPr>
        <w:t>地点：</w:t>
      </w:r>
      <w:r>
        <w:rPr>
          <w:rFonts w:hint="eastAsia" w:ascii="宋体" w:hAnsi="宋体" w:cs="宋体"/>
          <w:color w:val="auto"/>
          <w:sz w:val="24"/>
          <w:highlight w:val="none"/>
          <w:lang w:bidi="ar"/>
        </w:rPr>
        <w:t>通过广西政府采购云平台在线提交。</w:t>
      </w:r>
    </w:p>
    <w:p w14:paraId="3A9D4F68">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五、开启</w:t>
      </w:r>
    </w:p>
    <w:p w14:paraId="11C889CB">
      <w:pPr>
        <w:spacing w:line="440" w:lineRule="exact"/>
        <w:ind w:firstLine="480"/>
        <w:rPr>
          <w:rFonts w:ascii="宋体" w:hAnsi="宋体" w:cs="宋体"/>
          <w:bCs/>
          <w:color w:val="auto"/>
          <w:sz w:val="24"/>
          <w:highlight w:val="none"/>
          <w:u w:val="single"/>
        </w:rPr>
      </w:pPr>
      <w:r>
        <w:rPr>
          <w:rFonts w:hint="eastAsia" w:ascii="宋体" w:hAnsi="宋体" w:cs="宋体"/>
          <w:color w:val="auto"/>
          <w:sz w:val="24"/>
          <w:highlight w:val="none"/>
        </w:rPr>
        <w:t>1</w:t>
      </w:r>
      <w:r>
        <w:rPr>
          <w:rFonts w:hint="eastAsia" w:ascii="宋体" w:hAnsi="宋体" w:cs="宋体"/>
          <w:color w:val="auto"/>
          <w:sz w:val="24"/>
          <w:highlight w:val="none"/>
          <w:lang w:bidi="ar"/>
        </w:rPr>
        <w:t>.</w:t>
      </w:r>
      <w:r>
        <w:rPr>
          <w:rFonts w:hint="eastAsia" w:ascii="宋体" w:hAnsi="宋体" w:cs="宋体"/>
          <w:color w:val="auto"/>
          <w:sz w:val="24"/>
          <w:highlight w:val="none"/>
        </w:rPr>
        <w:t>首次响应文件开启</w:t>
      </w:r>
      <w:r>
        <w:rPr>
          <w:rFonts w:hint="eastAsia" w:ascii="宋体" w:hAnsi="宋体" w:cs="宋体"/>
          <w:color w:val="auto"/>
          <w:sz w:val="24"/>
          <w:highlight w:val="none"/>
        </w:rPr>
        <w:t>时间：</w:t>
      </w:r>
      <w:r>
        <w:rPr>
          <w:rFonts w:hint="eastAsia" w:ascii="宋体" w:hAnsi="宋体" w:cs="宋体"/>
          <w:bCs/>
          <w:color w:val="auto"/>
          <w:sz w:val="24"/>
          <w:highlight w:val="none"/>
          <w:lang w:eastAsia="zh-CN"/>
        </w:rPr>
        <w:t>2026年</w:t>
      </w:r>
      <w:r>
        <w:rPr>
          <w:rFonts w:hint="eastAsia" w:ascii="宋体" w:hAnsi="宋体" w:cs="宋体"/>
          <w:bCs/>
          <w:color w:val="auto"/>
          <w:sz w:val="24"/>
          <w:highlight w:val="none"/>
          <w:lang w:val="en-US" w:eastAsia="zh-CN"/>
        </w:rPr>
        <w:t>9</w:t>
      </w:r>
      <w:r>
        <w:rPr>
          <w:rFonts w:hint="eastAsia" w:ascii="宋体" w:hAnsi="宋体" w:cs="宋体"/>
          <w:bCs/>
          <w:color w:val="auto"/>
          <w:sz w:val="24"/>
          <w:highlight w:val="none"/>
          <w:lang w:eastAsia="zh-CN"/>
        </w:rPr>
        <w:t>月</w:t>
      </w:r>
      <w:r>
        <w:rPr>
          <w:rFonts w:hint="eastAsia" w:ascii="宋体" w:hAnsi="宋体" w:cs="宋体"/>
          <w:bCs/>
          <w:color w:val="auto"/>
          <w:sz w:val="24"/>
          <w:highlight w:val="none"/>
          <w:lang w:val="en-US" w:eastAsia="zh-CN"/>
        </w:rPr>
        <w:t>2</w:t>
      </w:r>
      <w:r>
        <w:rPr>
          <w:rFonts w:hint="eastAsia" w:ascii="宋体" w:hAnsi="宋体" w:cs="宋体"/>
          <w:bCs/>
          <w:color w:val="auto"/>
          <w:sz w:val="24"/>
          <w:highlight w:val="none"/>
          <w:lang w:eastAsia="zh-CN"/>
        </w:rPr>
        <w:t>日</w:t>
      </w:r>
      <w:r>
        <w:rPr>
          <w:rFonts w:hint="eastAsia" w:ascii="宋体" w:hAnsi="宋体" w:cs="宋体"/>
          <w:bCs/>
          <w:color w:val="auto"/>
          <w:sz w:val="24"/>
          <w:highlight w:val="none"/>
        </w:rPr>
        <w:t>09时</w:t>
      </w:r>
      <w:r>
        <w:rPr>
          <w:rFonts w:hint="eastAsia" w:ascii="宋体" w:hAnsi="宋体" w:cs="宋体"/>
          <w:bCs/>
          <w:color w:val="auto"/>
          <w:sz w:val="24"/>
          <w:highlight w:val="none"/>
          <w:lang w:val="en-US" w:eastAsia="zh-CN"/>
        </w:rPr>
        <w:t>3</w:t>
      </w:r>
      <w:r>
        <w:rPr>
          <w:rFonts w:hint="eastAsia" w:ascii="宋体" w:hAnsi="宋体" w:cs="宋体"/>
          <w:bCs/>
          <w:color w:val="auto"/>
          <w:sz w:val="24"/>
          <w:highlight w:val="none"/>
        </w:rPr>
        <w:t>0分</w:t>
      </w:r>
      <w:r>
        <w:rPr>
          <w:rFonts w:hint="eastAsia" w:ascii="宋体" w:hAnsi="宋体" w:cs="宋体"/>
          <w:bCs/>
          <w:color w:val="auto"/>
          <w:sz w:val="24"/>
          <w:highlight w:val="none"/>
        </w:rPr>
        <w:t>（北京时间）</w:t>
      </w:r>
    </w:p>
    <w:p w14:paraId="3048E8CD">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bidi="ar"/>
        </w:rPr>
        <w:t>.</w:t>
      </w:r>
      <w:r>
        <w:rPr>
          <w:rFonts w:hint="eastAsia" w:ascii="宋体" w:hAnsi="宋体" w:cs="宋体"/>
          <w:color w:val="auto"/>
          <w:sz w:val="24"/>
          <w:highlight w:val="none"/>
        </w:rPr>
        <w:t>地点：</w:t>
      </w:r>
      <w:r>
        <w:rPr>
          <w:rFonts w:hint="eastAsia" w:ascii="宋体" w:hAnsi="宋体" w:cs="宋体"/>
          <w:color w:val="auto"/>
          <w:sz w:val="24"/>
          <w:highlight w:val="none"/>
          <w:lang w:bidi="ar"/>
        </w:rPr>
        <w:t>本项目将在广西政府采购云平台电子开标大厅解密、开启。</w:t>
      </w:r>
    </w:p>
    <w:p w14:paraId="31762CA8">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六、公告期限</w:t>
      </w:r>
    </w:p>
    <w:p w14:paraId="14FE346C">
      <w:pPr>
        <w:spacing w:line="440" w:lineRule="exact"/>
        <w:ind w:firstLine="480"/>
        <w:rPr>
          <w:rFonts w:ascii="宋体" w:hAnsi="宋体" w:cs="宋体"/>
          <w:color w:val="auto"/>
          <w:sz w:val="24"/>
          <w:highlight w:val="none"/>
        </w:rPr>
      </w:pPr>
      <w:r>
        <w:rPr>
          <w:rFonts w:hint="eastAsia" w:ascii="宋体" w:hAnsi="宋体" w:cs="宋体"/>
          <w:color w:val="auto"/>
          <w:sz w:val="24"/>
          <w:highlight w:val="none"/>
        </w:rPr>
        <w:t>自本公告发布之日起3个工作日。</w:t>
      </w:r>
    </w:p>
    <w:p w14:paraId="18B89921">
      <w:pPr>
        <w:spacing w:line="440" w:lineRule="exact"/>
        <w:ind w:firstLine="480"/>
        <w:outlineLvl w:val="1"/>
        <w:rPr>
          <w:rFonts w:ascii="宋体" w:hAnsi="宋体" w:cs="宋体"/>
          <w:color w:val="auto"/>
          <w:sz w:val="24"/>
          <w:highlight w:val="none"/>
          <w:lang w:bidi="ar"/>
        </w:rPr>
      </w:pPr>
      <w:r>
        <w:rPr>
          <w:rFonts w:hint="eastAsia" w:ascii="宋体" w:hAnsi="宋体" w:cs="宋体"/>
          <w:color w:val="auto"/>
          <w:sz w:val="24"/>
          <w:highlight w:val="none"/>
          <w:lang w:bidi="ar"/>
        </w:rPr>
        <w:t>七、</w:t>
      </w:r>
      <w:r>
        <w:rPr>
          <w:rFonts w:hint="eastAsia" w:ascii="宋体" w:hAnsi="宋体" w:cs="宋体"/>
          <w:b/>
          <w:color w:val="auto"/>
          <w:sz w:val="24"/>
          <w:highlight w:val="none"/>
        </w:rPr>
        <w:t>其他补充事宜</w:t>
      </w:r>
      <w:r>
        <w:rPr>
          <w:rFonts w:hint="eastAsia" w:ascii="宋体" w:hAnsi="宋体" w:cs="宋体"/>
          <w:color w:val="auto"/>
          <w:sz w:val="24"/>
          <w:highlight w:val="none"/>
          <w:lang w:bidi="ar"/>
        </w:rPr>
        <w:t>：</w:t>
      </w:r>
    </w:p>
    <w:p w14:paraId="32485FF9">
      <w:pPr>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1.磋商保证金（须足额交纳）：</w:t>
      </w:r>
      <w:r>
        <w:rPr>
          <w:rFonts w:hint="eastAsia" w:ascii="宋体" w:hAnsi="宋体" w:cs="宋体"/>
          <w:color w:val="auto"/>
          <w:sz w:val="24"/>
          <w:highlight w:val="none"/>
          <w:lang w:val="en-US" w:eastAsia="zh-CN" w:bidi="ar"/>
        </w:rPr>
        <w:t>0</w:t>
      </w:r>
      <w:r>
        <w:rPr>
          <w:rFonts w:hint="eastAsia" w:ascii="宋体" w:hAnsi="宋体" w:cs="宋体"/>
          <w:color w:val="auto"/>
          <w:sz w:val="24"/>
          <w:highlight w:val="none"/>
          <w:lang w:bidi="ar"/>
        </w:rPr>
        <w:t>元；（交纳注意事项详见供应商须知前附表）。</w:t>
      </w:r>
    </w:p>
    <w:p w14:paraId="649E7BF8">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D93682E">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3.根据财政部《关于在政府采购活动中查询及使用信用记录有关问题的通知》（财库〔2016〕125号）的规定，对在“信用中国”网站(www.creditchina.gov.cn) 、中国政府采购网(www.ccgp.gov.cn)被列入失信被执行人、</w:t>
      </w:r>
      <w:r>
        <w:rPr>
          <w:rFonts w:hint="eastAsia" w:ascii="宋体" w:hAnsi="宋体" w:cs="宋体"/>
          <w:color w:val="auto"/>
          <w:sz w:val="24"/>
          <w:highlight w:val="none"/>
        </w:rPr>
        <w:t>重大税收违法失信主体</w:t>
      </w:r>
      <w:r>
        <w:rPr>
          <w:rFonts w:hint="eastAsia" w:ascii="宋体" w:hAnsi="宋体" w:cs="宋体"/>
          <w:color w:val="auto"/>
          <w:sz w:val="24"/>
          <w:highlight w:val="none"/>
          <w:lang w:bidi="ar"/>
        </w:rPr>
        <w:t>、政府采购严重违法失信行为记录名单及其他不符合《中华人民共和国政府采购法》第二十二条规定条件的供应商，不得参与政府采购活动。</w:t>
      </w:r>
    </w:p>
    <w:p w14:paraId="2671FE2D">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4.网上查询地址：中国政府采购网（www.ccgp.gov.cn）、广西政府采购网（zfcg.gxzf.gov.cn）。</w:t>
      </w:r>
    </w:p>
    <w:p w14:paraId="4C4ACA50">
      <w:pPr>
        <w:widowControl/>
        <w:spacing w:line="440" w:lineRule="exact"/>
        <w:ind w:firstLine="480"/>
        <w:outlineLvl w:val="2"/>
        <w:rPr>
          <w:rFonts w:ascii="宋体" w:hAnsi="宋体" w:cs="宋体"/>
          <w:color w:val="auto"/>
          <w:sz w:val="24"/>
          <w:highlight w:val="none"/>
          <w:lang w:bidi="ar"/>
        </w:rPr>
      </w:pPr>
      <w:r>
        <w:rPr>
          <w:rFonts w:hint="eastAsia" w:ascii="宋体" w:hAnsi="宋体" w:cs="宋体"/>
          <w:color w:val="auto"/>
          <w:sz w:val="24"/>
          <w:highlight w:val="none"/>
          <w:lang w:bidi="ar"/>
        </w:rPr>
        <w:t>5.本项目需要落实的政府采购政策：</w:t>
      </w:r>
    </w:p>
    <w:p w14:paraId="7C31EE5A">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（1）政府采购促进中小企业发展。</w:t>
      </w:r>
    </w:p>
    <w:p w14:paraId="70929375">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（2）政府采购支持采用本国产品的政策。</w:t>
      </w:r>
    </w:p>
    <w:p w14:paraId="14EB7A8E">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（3）强制采购节能产品；优先采购节能产品、环境标志产品。</w:t>
      </w:r>
    </w:p>
    <w:p w14:paraId="3FADCD6B">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（4）政府采购促进残疾人就业政策。</w:t>
      </w:r>
    </w:p>
    <w:p w14:paraId="78F875EB">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（5）政府采购支持监狱企业发展。</w:t>
      </w:r>
    </w:p>
    <w:p w14:paraId="52D3392E">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（6）扶持不发达地区和少数民族地区政策</w:t>
      </w:r>
    </w:p>
    <w:p w14:paraId="78C3592D">
      <w:pPr>
        <w:widowControl/>
        <w:spacing w:line="440" w:lineRule="exact"/>
        <w:ind w:firstLine="480"/>
        <w:outlineLvl w:val="2"/>
        <w:rPr>
          <w:rFonts w:ascii="宋体" w:hAnsi="宋体" w:cs="宋体"/>
          <w:color w:val="auto"/>
          <w:sz w:val="24"/>
          <w:highlight w:val="none"/>
          <w:lang w:bidi="ar"/>
        </w:rPr>
      </w:pPr>
      <w:r>
        <w:rPr>
          <w:rFonts w:hint="eastAsia" w:ascii="宋体" w:hAnsi="宋体" w:cs="宋体"/>
          <w:color w:val="auto"/>
          <w:sz w:val="24"/>
          <w:highlight w:val="none"/>
          <w:lang w:bidi="ar"/>
        </w:rPr>
        <w:t>6.磋商注意事项：</w:t>
      </w:r>
    </w:p>
    <w:p w14:paraId="3378C9DE">
      <w:pPr>
        <w:widowControl/>
        <w:spacing w:line="440" w:lineRule="exact"/>
        <w:ind w:firstLine="480"/>
        <w:rPr>
          <w:rFonts w:ascii="宋体" w:hAnsi="宋体" w:cs="宋体"/>
          <w:bCs/>
          <w:color w:val="auto"/>
          <w:sz w:val="24"/>
          <w:highlight w:val="none"/>
        </w:rPr>
      </w:pPr>
      <w:r>
        <w:rPr>
          <w:rFonts w:hint="eastAsia" w:ascii="宋体" w:hAnsi="宋体" w:cs="宋体"/>
          <w:color w:val="auto"/>
          <w:sz w:val="24"/>
          <w:highlight w:val="none"/>
          <w:lang w:bidi="ar"/>
        </w:rPr>
        <w:t>（1）</w:t>
      </w:r>
      <w:r>
        <w:rPr>
          <w:rFonts w:hint="eastAsia" w:ascii="宋体" w:hAnsi="宋体" w:cs="宋体"/>
          <w:color w:val="auto"/>
          <w:sz w:val="24"/>
          <w:highlight w:val="none"/>
        </w:rPr>
        <w:t>响应文件</w:t>
      </w:r>
      <w:r>
        <w:rPr>
          <w:rFonts w:hint="eastAsia" w:ascii="宋体" w:hAnsi="宋体" w:cs="宋体"/>
          <w:color w:val="auto"/>
          <w:sz w:val="24"/>
          <w:highlight w:val="none"/>
          <w:lang w:bidi="ar"/>
        </w:rPr>
        <w:t>提交方式：本项目为全流程电子化政府采购项目，通过广西政府采购云平台（https://www.gcy.zfcg.gxzf.gov.cn/）实行在线电子磋商采购，供应商应先安装“广西政府采购云平台电子交易客户端”（请自行前往广西政府采购云平台进行下载），并按照本项目竞争性磋商文件和广西政府采购云平台的要求编制、加密后在</w:t>
      </w:r>
      <w:r>
        <w:rPr>
          <w:rFonts w:hint="eastAsia" w:ascii="宋体" w:hAnsi="宋体" w:cs="宋体"/>
          <w:color w:val="auto"/>
          <w:sz w:val="24"/>
          <w:highlight w:val="none"/>
        </w:rPr>
        <w:t>首次响应文件提交截止时间</w:t>
      </w:r>
      <w:r>
        <w:rPr>
          <w:rFonts w:hint="eastAsia" w:ascii="宋体" w:hAnsi="宋体" w:cs="宋体"/>
          <w:color w:val="auto"/>
          <w:sz w:val="24"/>
          <w:highlight w:val="none"/>
          <w:lang w:bidi="ar"/>
        </w:rPr>
        <w:t>前通过网络上传至广西政府采购云平台，</w:t>
      </w:r>
      <w:r>
        <w:rPr>
          <w:rFonts w:hint="eastAsia" w:ascii="宋体" w:hAnsi="宋体" w:cs="宋体"/>
          <w:b/>
          <w:color w:val="auto"/>
          <w:sz w:val="24"/>
          <w:highlight w:val="none"/>
          <w:lang w:bidi="ar"/>
        </w:rPr>
        <w:t>供应商在广西政府采购云平台提交电子版响应文件时，请填写参加远程开标活动经办人联系方式。</w:t>
      </w:r>
    </w:p>
    <w:p w14:paraId="5CB8C71B">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（2）供应商应及时熟悉掌握电子标系统操作指南（见广西政府采购云平台电子卖场首页右上角—服务中心—帮助文档—项目采购）：</w:t>
      </w:r>
      <w:r>
        <w:rPr>
          <w:rFonts w:ascii="宋体" w:hAnsi="宋体" w:cs="宋体"/>
          <w:color w:val="auto"/>
          <w:sz w:val="24"/>
          <w:highlight w:val="none"/>
          <w:lang w:bidi="ar"/>
        </w:rPr>
        <w:t>https://helpcenter.zcygov.cn/document/#/document/dashboard?siteCode=gx</w:t>
      </w:r>
      <w:r>
        <w:rPr>
          <w:rFonts w:hint="eastAsia" w:ascii="宋体" w:hAnsi="宋体" w:cs="宋体"/>
          <w:color w:val="auto"/>
          <w:sz w:val="24"/>
          <w:highlight w:val="none"/>
          <w:lang w:bidi="ar"/>
        </w:rPr>
        <w:t>；及时完成CA申领和绑定（见广西壮族自治区政府采购网—办事服务—下载专区-广西政府采购云平台CA证书办理操作指南）。</w:t>
      </w:r>
    </w:p>
    <w:p w14:paraId="014E52DC">
      <w:pPr>
        <w:widowControl/>
        <w:spacing w:line="440" w:lineRule="exact"/>
        <w:ind w:firstLine="480"/>
        <w:rPr>
          <w:rFonts w:ascii="宋体" w:hAnsi="宋体" w:cs="宋体"/>
          <w:color w:val="auto"/>
          <w:sz w:val="24"/>
          <w:highlight w:val="none"/>
          <w:lang w:bidi="ar"/>
        </w:rPr>
      </w:pPr>
      <w:r>
        <w:rPr>
          <w:rFonts w:hint="eastAsia" w:ascii="宋体" w:hAnsi="宋体" w:cs="宋体"/>
          <w:color w:val="auto"/>
          <w:sz w:val="24"/>
          <w:highlight w:val="none"/>
          <w:lang w:bidi="ar"/>
        </w:rPr>
        <w:t>（3）未进行网上注册并办理数字证书（CA认证）的供应商将无法参与本项目政府采购活动，潜在供应商应当在</w:t>
      </w:r>
      <w:r>
        <w:rPr>
          <w:rFonts w:hint="eastAsia" w:ascii="宋体" w:hAnsi="宋体" w:cs="宋体"/>
          <w:color w:val="auto"/>
          <w:sz w:val="24"/>
          <w:highlight w:val="none"/>
        </w:rPr>
        <w:t>首次响应文件提交截止时间</w:t>
      </w:r>
      <w:r>
        <w:rPr>
          <w:rFonts w:hint="eastAsia" w:ascii="宋体" w:hAnsi="宋体" w:cs="宋体"/>
          <w:color w:val="auto"/>
          <w:sz w:val="24"/>
          <w:highlight w:val="none"/>
          <w:lang w:bidi="ar"/>
        </w:rPr>
        <w:t>前，完成电子交易平台上的CA数字证书办理及响应文件的提交。完成CA数字证书办理预计7日左右，供应商只需办理其中一家CA数字证书及签章，建议各供应商抓紧时间办理。</w:t>
      </w:r>
    </w:p>
    <w:p w14:paraId="68982E6D">
      <w:pPr>
        <w:widowControl/>
        <w:spacing w:line="440" w:lineRule="exact"/>
        <w:ind w:firstLine="480"/>
        <w:rPr>
          <w:rFonts w:ascii="宋体" w:hAnsi="宋体" w:cs="宋体"/>
          <w:color w:val="auto"/>
          <w:sz w:val="24"/>
          <w:highlight w:val="none"/>
        </w:rPr>
      </w:pPr>
      <w:r>
        <w:rPr>
          <w:rFonts w:hint="eastAsia" w:ascii="宋体" w:hAnsi="宋体" w:cs="宋体"/>
          <w:color w:val="auto"/>
          <w:sz w:val="24"/>
          <w:highlight w:val="none"/>
          <w:lang w:bidi="ar"/>
        </w:rPr>
        <w:t>（4）为确保网上操作合法、有效和安全，请供应商确保在电子竞争性磋商过程中能够对相关数据电文进行加密和使用电子签章，妥善保管CA数字证书并使用有效的CA数字证书参与整个采购活动。</w:t>
      </w:r>
    </w:p>
    <w:p w14:paraId="250A76EF">
      <w:pPr>
        <w:spacing w:line="440" w:lineRule="exact"/>
        <w:ind w:firstLine="482"/>
        <w:rPr>
          <w:rFonts w:ascii="楷体" w:hAnsi="楷体" w:eastAsia="楷体" w:cs="宋体"/>
          <w:b/>
          <w:bCs/>
          <w:color w:val="auto"/>
          <w:sz w:val="24"/>
          <w:highlight w:val="none"/>
        </w:rPr>
      </w:pPr>
      <w:r>
        <w:rPr>
          <w:rFonts w:hint="eastAsia" w:ascii="楷体" w:hAnsi="楷体" w:eastAsia="楷体" w:cs="宋体"/>
          <w:b/>
          <w:bCs/>
          <w:color w:val="auto"/>
          <w:sz w:val="24"/>
          <w:highlight w:val="none"/>
          <w:lang w:bidi="ar"/>
        </w:rPr>
        <w:t>注：供应商应当在首次响应文件提交截止时间前完成电子响应文件的上传、提交，</w:t>
      </w:r>
      <w:r>
        <w:rPr>
          <w:rFonts w:hint="eastAsia" w:ascii="楷体" w:hAnsi="楷体" w:eastAsia="楷体" w:cs="宋体"/>
          <w:b/>
          <w:color w:val="auto"/>
          <w:sz w:val="24"/>
          <w:highlight w:val="none"/>
        </w:rPr>
        <w:t>首次响应文件提交截止时间</w:t>
      </w:r>
      <w:r>
        <w:rPr>
          <w:rFonts w:hint="eastAsia" w:ascii="楷体" w:hAnsi="楷体" w:eastAsia="楷体" w:cs="宋体"/>
          <w:b/>
          <w:bCs/>
          <w:color w:val="auto"/>
          <w:sz w:val="24"/>
          <w:highlight w:val="none"/>
          <w:lang w:bidi="ar"/>
        </w:rPr>
        <w:t>前可以补充、修改或者撤回响应文件。补充或者修改响应文件的，应当先行撤回原文件，补充、修改后重新上传、提交。</w:t>
      </w:r>
      <w:r>
        <w:rPr>
          <w:rFonts w:hint="eastAsia" w:ascii="楷体" w:hAnsi="楷体" w:eastAsia="楷体" w:cs="宋体"/>
          <w:b/>
          <w:color w:val="auto"/>
          <w:sz w:val="24"/>
          <w:highlight w:val="none"/>
        </w:rPr>
        <w:t>首次响应文件提交截止时间</w:t>
      </w:r>
      <w:r>
        <w:rPr>
          <w:rFonts w:hint="eastAsia" w:ascii="楷体" w:hAnsi="楷体" w:eastAsia="楷体" w:cs="宋体"/>
          <w:b/>
          <w:bCs/>
          <w:color w:val="auto"/>
          <w:sz w:val="24"/>
          <w:highlight w:val="none"/>
          <w:lang w:bidi="ar"/>
        </w:rPr>
        <w:t>前未完成上传、提交的，视为撤回响应文件。</w:t>
      </w:r>
      <w:r>
        <w:rPr>
          <w:rFonts w:hint="eastAsia" w:ascii="楷体" w:hAnsi="楷体" w:eastAsia="楷体" w:cs="宋体"/>
          <w:b/>
          <w:color w:val="auto"/>
          <w:sz w:val="24"/>
          <w:highlight w:val="none"/>
        </w:rPr>
        <w:t>首次响应文件提交截止时间</w:t>
      </w:r>
      <w:r>
        <w:rPr>
          <w:rFonts w:hint="eastAsia" w:ascii="楷体" w:hAnsi="楷体" w:eastAsia="楷体" w:cs="宋体"/>
          <w:b/>
          <w:bCs/>
          <w:color w:val="auto"/>
          <w:sz w:val="24"/>
          <w:highlight w:val="none"/>
          <w:lang w:bidi="ar"/>
        </w:rPr>
        <w:t>以后上传递交的响应文件，广西政府采购云平台将予以拒收。</w:t>
      </w:r>
    </w:p>
    <w:p w14:paraId="48D146E2">
      <w:pPr>
        <w:widowControl/>
        <w:spacing w:line="440" w:lineRule="exact"/>
        <w:ind w:firstLine="480"/>
        <w:rPr>
          <w:rFonts w:ascii="宋体" w:hAnsi="宋体" w:cs="宋体"/>
          <w:b/>
          <w:bCs/>
          <w:color w:val="auto"/>
          <w:sz w:val="24"/>
          <w:highlight w:val="none"/>
        </w:rPr>
      </w:pPr>
      <w:r>
        <w:rPr>
          <w:rFonts w:hint="eastAsia" w:ascii="宋体" w:hAnsi="宋体" w:cs="宋体"/>
          <w:color w:val="auto"/>
          <w:sz w:val="24"/>
          <w:highlight w:val="none"/>
          <w:lang w:bidi="ar"/>
        </w:rPr>
        <w:t>7.CA证书在线解密：首次响应文件开启时，</w:t>
      </w:r>
      <w:r>
        <w:rPr>
          <w:rFonts w:hint="eastAsia" w:ascii="宋体" w:hAnsi="宋体" w:cs="宋体"/>
          <w:color w:val="auto"/>
          <w:sz w:val="24"/>
          <w:highlight w:val="none"/>
          <w:lang w:eastAsia="zh-CN" w:bidi="ar"/>
        </w:rPr>
        <w:t>需要</w:t>
      </w:r>
      <w:r>
        <w:rPr>
          <w:rFonts w:hint="eastAsia" w:ascii="宋体" w:hAnsi="宋体" w:cs="宋体"/>
          <w:color w:val="auto"/>
          <w:sz w:val="24"/>
          <w:highlight w:val="none"/>
          <w:lang w:bidi="ar"/>
        </w:rPr>
        <w:t>供应商携带制作响应文件时用来加密的有效数字证书（CA认证）登录广西政府采购云平台电子开标大厅现场按规定时间对加密的响应文件进行解密，否则后果自负。</w:t>
      </w:r>
    </w:p>
    <w:p w14:paraId="547BA37D">
      <w:pPr>
        <w:widowControl/>
        <w:spacing w:line="440" w:lineRule="exact"/>
        <w:ind w:firstLine="480"/>
        <w:rPr>
          <w:rFonts w:ascii="宋体" w:hAnsi="宋体" w:cs="宋体"/>
          <w:color w:val="auto"/>
          <w:sz w:val="24"/>
          <w:highlight w:val="none"/>
        </w:rPr>
      </w:pPr>
      <w:r>
        <w:rPr>
          <w:rFonts w:hint="eastAsia" w:ascii="宋体" w:hAnsi="宋体" w:cs="宋体"/>
          <w:color w:val="auto"/>
          <w:sz w:val="24"/>
          <w:highlight w:val="none"/>
          <w:lang w:bidi="ar"/>
        </w:rPr>
        <w:t>8.供应商需要在具备有摄像头及语音功能且互联网网络状况良好的电脑登录广西政府采购云平台远程开标大厅参与本次磋商，否则后果自负。</w:t>
      </w:r>
    </w:p>
    <w:p w14:paraId="2E113453">
      <w:pPr>
        <w:widowControl/>
        <w:spacing w:line="440" w:lineRule="exact"/>
        <w:ind w:firstLine="480"/>
        <w:rPr>
          <w:rFonts w:ascii="宋体" w:hAnsi="宋体" w:cs="宋体"/>
          <w:color w:val="auto"/>
          <w:sz w:val="24"/>
          <w:highlight w:val="none"/>
        </w:rPr>
      </w:pPr>
      <w:r>
        <w:rPr>
          <w:rFonts w:hint="eastAsia" w:ascii="宋体" w:hAnsi="宋体" w:cs="宋体"/>
          <w:color w:val="auto"/>
          <w:sz w:val="24"/>
          <w:highlight w:val="none"/>
          <w:lang w:bidi="ar"/>
        </w:rPr>
        <w:t>9.若对项目采购电子交易系统操作有疑问，可登录广西政府采购云平台（https://www.gcy.zfcg.gxzf.gov.cn/），点击右侧咨询小采，获取采小蜜智能服务管家帮助，或拨打广西政府采购云平台服务热线</w:t>
      </w:r>
      <w:r>
        <w:rPr>
          <w:rFonts w:ascii="宋体" w:hAnsi="宋体" w:cs="宋体"/>
          <w:color w:val="auto"/>
          <w:sz w:val="24"/>
          <w:highlight w:val="none"/>
          <w:lang w:bidi="ar"/>
        </w:rPr>
        <w:t>95763</w:t>
      </w:r>
      <w:r>
        <w:rPr>
          <w:rFonts w:hint="eastAsia" w:ascii="宋体" w:hAnsi="宋体" w:cs="宋体"/>
          <w:color w:val="auto"/>
          <w:sz w:val="24"/>
          <w:highlight w:val="none"/>
          <w:lang w:bidi="ar"/>
        </w:rPr>
        <w:t>获取热线服务帮助。</w:t>
      </w:r>
      <w:bookmarkEnd w:id="2"/>
    </w:p>
    <w:p w14:paraId="2F81CC31">
      <w:pPr>
        <w:widowControl/>
        <w:spacing w:line="440" w:lineRule="exact"/>
        <w:ind w:firstLine="482"/>
        <w:outlineLvl w:val="1"/>
        <w:rPr>
          <w:rFonts w:ascii="宋体" w:hAnsi="宋体" w:cs="宋体"/>
          <w:b/>
          <w:color w:val="auto"/>
          <w:sz w:val="24"/>
          <w:highlight w:val="none"/>
        </w:rPr>
      </w:pPr>
      <w:r>
        <w:rPr>
          <w:rFonts w:hint="eastAsia" w:ascii="宋体" w:hAnsi="宋体" w:cs="宋体"/>
          <w:b/>
          <w:color w:val="auto"/>
          <w:sz w:val="24"/>
          <w:highlight w:val="none"/>
        </w:rPr>
        <w:t>八、凡对本次采购提出询问，请按以下方式联系。</w:t>
      </w:r>
      <w:bookmarkEnd w:id="3"/>
      <w:bookmarkEnd w:id="4"/>
      <w:bookmarkEnd w:id="5"/>
      <w:bookmarkEnd w:id="6"/>
      <w:bookmarkEnd w:id="7"/>
    </w:p>
    <w:p w14:paraId="0F529E7E">
      <w:pPr>
        <w:spacing w:line="440" w:lineRule="exact"/>
        <w:ind w:firstLine="648"/>
        <w:jc w:val="left"/>
        <w:outlineLvl w:val="2"/>
        <w:rPr>
          <w:rFonts w:ascii="宋体" w:hAnsi="宋体" w:cs="宋体"/>
          <w:color w:val="auto"/>
          <w:sz w:val="24"/>
          <w:highlight w:val="none"/>
        </w:rPr>
      </w:pPr>
      <w:bookmarkStart w:id="8" w:name="_Toc28359096"/>
      <w:bookmarkStart w:id="9" w:name="_Toc35393637"/>
      <w:bookmarkStart w:id="10" w:name="_Toc28359019"/>
      <w:bookmarkStart w:id="11" w:name="_Toc35393806"/>
      <w:r>
        <w:rPr>
          <w:rFonts w:hint="eastAsia" w:ascii="宋体" w:hAnsi="宋体" w:cs="宋体"/>
          <w:color w:val="auto"/>
          <w:sz w:val="24"/>
          <w:highlight w:val="none"/>
        </w:rPr>
        <w:t>1</w:t>
      </w:r>
      <w:r>
        <w:rPr>
          <w:rFonts w:hint="eastAsia" w:ascii="宋体" w:hAnsi="宋体" w:cs="宋体"/>
          <w:color w:val="auto"/>
          <w:sz w:val="24"/>
          <w:highlight w:val="none"/>
          <w:lang w:bidi="ar"/>
        </w:rPr>
        <w:t>.</w:t>
      </w:r>
      <w:r>
        <w:rPr>
          <w:rFonts w:hint="eastAsia" w:ascii="宋体" w:hAnsi="宋体" w:cs="宋体"/>
          <w:color w:val="auto"/>
          <w:sz w:val="24"/>
          <w:highlight w:val="none"/>
        </w:rPr>
        <w:t>采购人信息</w:t>
      </w:r>
    </w:p>
    <w:p w14:paraId="03710560">
      <w:pPr>
        <w:spacing w:line="440" w:lineRule="exact"/>
        <w:ind w:firstLine="648"/>
        <w:rPr>
          <w:rFonts w:hint="eastAsia" w:ascii="宋体" w:hAnsi="宋体" w:eastAsia="宋体" w:cs="宋体"/>
          <w:color w:val="auto"/>
          <w:sz w:val="24"/>
          <w:highlight w:val="none"/>
          <w:lang w:eastAsia="zh-CN"/>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灵山县教育局</w:t>
      </w:r>
    </w:p>
    <w:p w14:paraId="0AFA7773">
      <w:pPr>
        <w:spacing w:line="440" w:lineRule="exact"/>
        <w:ind w:firstLine="648"/>
        <w:jc w:val="left"/>
        <w:rPr>
          <w:rFonts w:hint="eastAsia" w:ascii="宋体" w:hAnsi="宋体" w:eastAsia="宋体" w:cs="宋体"/>
          <w:color w:val="auto"/>
          <w:sz w:val="24"/>
          <w:highlight w:val="none"/>
          <w:lang w:eastAsia="zh-CN"/>
        </w:rPr>
      </w:pPr>
      <w:bookmarkStart w:id="12" w:name="_Toc28359086"/>
      <w:bookmarkStart w:id="13" w:name="_Toc28359009"/>
      <w:r>
        <w:rPr>
          <w:rFonts w:hint="eastAsia" w:ascii="宋体" w:hAnsi="宋体" w:cs="宋体"/>
          <w:color w:val="auto"/>
          <w:sz w:val="24"/>
          <w:highlight w:val="none"/>
        </w:rPr>
        <w:t>地址：</w:t>
      </w:r>
      <w:r>
        <w:rPr>
          <w:rFonts w:hint="eastAsia" w:ascii="宋体" w:hAnsi="宋体"/>
          <w:color w:val="auto"/>
          <w:sz w:val="24"/>
          <w:highlight w:val="none"/>
          <w:lang w:eastAsia="zh-CN"/>
        </w:rPr>
        <w:t>灵山县灵城镇江南路 30 号</w:t>
      </w:r>
    </w:p>
    <w:p w14:paraId="26FE647A">
      <w:pPr>
        <w:spacing w:line="440" w:lineRule="exact"/>
        <w:ind w:firstLine="648"/>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 xml:space="preserve">宁创良        </w:t>
      </w:r>
      <w:r>
        <w:rPr>
          <w:rFonts w:hint="eastAsia" w:ascii="宋体" w:hAnsi="宋体" w:cs="宋体"/>
          <w:color w:val="auto"/>
          <w:sz w:val="24"/>
          <w:highlight w:val="none"/>
        </w:rPr>
        <w:t xml:space="preserve">  联系方式：</w:t>
      </w:r>
      <w:r>
        <w:rPr>
          <w:rFonts w:hint="eastAsia" w:ascii="宋体" w:hAnsi="宋体" w:cs="宋体"/>
          <w:color w:val="auto"/>
          <w:sz w:val="24"/>
          <w:highlight w:val="none"/>
          <w:lang w:val="en-US" w:eastAsia="zh-CN"/>
        </w:rPr>
        <w:t xml:space="preserve">0777-6428428  </w:t>
      </w:r>
    </w:p>
    <w:p w14:paraId="11171F73">
      <w:pPr>
        <w:spacing w:line="440" w:lineRule="exact"/>
        <w:ind w:firstLine="648"/>
        <w:jc w:val="left"/>
        <w:outlineLvl w:val="2"/>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bidi="ar"/>
        </w:rPr>
        <w:t>.</w:t>
      </w:r>
      <w:r>
        <w:rPr>
          <w:rFonts w:hint="eastAsia" w:ascii="宋体" w:hAnsi="宋体" w:cs="宋体"/>
          <w:color w:val="auto"/>
          <w:sz w:val="24"/>
          <w:highlight w:val="none"/>
        </w:rPr>
        <w:t>采购代理机构信息</w:t>
      </w:r>
      <w:bookmarkEnd w:id="12"/>
      <w:bookmarkEnd w:id="13"/>
    </w:p>
    <w:p w14:paraId="43A4248C">
      <w:pPr>
        <w:spacing w:line="440" w:lineRule="exact"/>
        <w:ind w:firstLine="648"/>
        <w:rPr>
          <w:rFonts w:hint="eastAsia" w:ascii="宋体" w:hAnsi="宋体" w:eastAsia="宋体" w:cs="宋体"/>
          <w:color w:val="auto"/>
          <w:sz w:val="24"/>
          <w:highlight w:val="none"/>
          <w:lang w:eastAsia="zh-CN"/>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广西建设工程机电设备招标中心有限公司</w:t>
      </w:r>
    </w:p>
    <w:p w14:paraId="3154EEC6">
      <w:pPr>
        <w:spacing w:line="440" w:lineRule="exact"/>
        <w:ind w:firstLine="648"/>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color w:val="auto"/>
          <w:sz w:val="24"/>
          <w:highlight w:val="none"/>
          <w:lang w:eastAsia="zh-CN"/>
        </w:rPr>
        <w:t>广西南宁市青秀区枫林路18号广西国控集团（枫林路办公区）裙楼三层</w:t>
      </w:r>
    </w:p>
    <w:p w14:paraId="009DBE41">
      <w:pPr>
        <w:spacing w:line="440" w:lineRule="exact"/>
        <w:ind w:firstLine="648"/>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联系方式：</w:t>
      </w:r>
      <w:bookmarkStart w:id="14" w:name="_Toc28359010"/>
      <w:bookmarkStart w:id="15" w:name="_Toc28359087"/>
      <w:r>
        <w:rPr>
          <w:rFonts w:hint="eastAsia" w:ascii="宋体" w:hAnsi="宋体" w:cs="宋体"/>
          <w:color w:val="auto"/>
          <w:sz w:val="24"/>
          <w:highlight w:val="none"/>
          <w:lang w:eastAsia="zh-CN"/>
        </w:rPr>
        <w:t>0771-2808057</w:t>
      </w:r>
    </w:p>
    <w:p w14:paraId="0A3B637E">
      <w:pPr>
        <w:spacing w:line="440" w:lineRule="exact"/>
        <w:ind w:firstLine="648"/>
        <w:outlineLvl w:val="2"/>
        <w:rPr>
          <w:rFonts w:ascii="宋体" w:hAnsi="宋体" w:cs="宋体"/>
          <w:color w:val="auto"/>
          <w:sz w:val="24"/>
          <w:highlight w:val="none"/>
          <w:u w:val="single"/>
        </w:rPr>
      </w:pPr>
      <w:r>
        <w:rPr>
          <w:rFonts w:hint="eastAsia" w:ascii="宋体" w:hAnsi="宋体" w:cs="宋体"/>
          <w:color w:val="auto"/>
          <w:sz w:val="24"/>
          <w:highlight w:val="none"/>
        </w:rPr>
        <w:t>3</w:t>
      </w:r>
      <w:r>
        <w:rPr>
          <w:rFonts w:hint="eastAsia" w:ascii="宋体" w:hAnsi="宋体" w:cs="宋体"/>
          <w:color w:val="auto"/>
          <w:sz w:val="24"/>
          <w:highlight w:val="none"/>
          <w:lang w:bidi="ar"/>
        </w:rPr>
        <w:t>.</w:t>
      </w:r>
      <w:r>
        <w:rPr>
          <w:rFonts w:hint="eastAsia" w:ascii="宋体" w:hAnsi="宋体" w:cs="宋体"/>
          <w:color w:val="auto"/>
          <w:sz w:val="24"/>
          <w:highlight w:val="none"/>
        </w:rPr>
        <w:t>项目联系方式</w:t>
      </w:r>
      <w:bookmarkEnd w:id="14"/>
      <w:bookmarkEnd w:id="15"/>
    </w:p>
    <w:p w14:paraId="059C40B4">
      <w:pPr>
        <w:spacing w:line="440" w:lineRule="exact"/>
        <w:ind w:firstLine="648"/>
        <w:jc w:val="left"/>
        <w:rPr>
          <w:rFonts w:hint="eastAsia" w:ascii="宋体" w:hAnsi="宋体" w:eastAsia="宋体" w:cs="宋体"/>
          <w:color w:val="auto"/>
          <w:sz w:val="24"/>
          <w:highlight w:val="none"/>
          <w:lang w:eastAsia="zh-CN"/>
        </w:rPr>
      </w:pPr>
      <w:r>
        <w:rPr>
          <w:rFonts w:hint="eastAsia" w:hAnsi="宋体" w:cs="宋体"/>
          <w:color w:val="auto"/>
          <w:sz w:val="24"/>
          <w:highlight w:val="none"/>
        </w:rPr>
        <w:t>项目联系人：</w:t>
      </w:r>
      <w:r>
        <w:rPr>
          <w:rFonts w:hint="eastAsia" w:ascii="宋体" w:hAnsi="宋体" w:cs="宋体"/>
          <w:color w:val="auto"/>
          <w:sz w:val="24"/>
          <w:highlight w:val="none"/>
          <w:lang w:eastAsia="zh-CN"/>
        </w:rPr>
        <w:t>宾胜全</w:t>
      </w: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电 话：</w:t>
      </w:r>
      <w:bookmarkEnd w:id="1"/>
      <w:bookmarkEnd w:id="8"/>
      <w:bookmarkEnd w:id="9"/>
      <w:bookmarkEnd w:id="10"/>
      <w:bookmarkEnd w:id="11"/>
      <w:r>
        <w:rPr>
          <w:rFonts w:hint="eastAsia" w:ascii="宋体" w:hAnsi="宋体" w:cs="宋体"/>
          <w:color w:val="auto"/>
          <w:sz w:val="24"/>
          <w:highlight w:val="none"/>
          <w:lang w:eastAsia="zh-CN"/>
        </w:rPr>
        <w:t>0771-2808057</w:t>
      </w:r>
    </w:p>
    <w:p w14:paraId="7D9486E0">
      <w:pPr>
        <w:spacing w:line="440" w:lineRule="exact"/>
        <w:ind w:firstLine="648"/>
        <w:jc w:val="right"/>
        <w:rPr>
          <w:rFonts w:ascii="宋体" w:hAnsi="宋体" w:cs="宋体"/>
          <w:color w:val="auto"/>
          <w:sz w:val="24"/>
          <w:highlight w:val="none"/>
        </w:rPr>
      </w:pPr>
    </w:p>
    <w:p w14:paraId="583A2A52">
      <w:pPr>
        <w:spacing w:line="440" w:lineRule="exact"/>
        <w:ind w:firstLine="648"/>
        <w:jc w:val="right"/>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采购代理机构：</w:t>
      </w:r>
      <w:r>
        <w:rPr>
          <w:rFonts w:hint="eastAsia" w:ascii="宋体" w:hAnsi="宋体" w:cs="宋体"/>
          <w:color w:val="auto"/>
          <w:sz w:val="24"/>
          <w:highlight w:val="none"/>
          <w:lang w:eastAsia="zh-CN"/>
        </w:rPr>
        <w:t>广西建设工程机电设备招标中心有限公司</w:t>
      </w:r>
    </w:p>
    <w:p w14:paraId="5FA487B2">
      <w:pPr>
        <w:spacing w:line="440" w:lineRule="exact"/>
        <w:ind w:firstLine="648"/>
        <w:jc w:val="right"/>
        <w:rPr>
          <w:rFonts w:hint="eastAsia" w:ascii="宋体" w:hAnsi="宋体" w:eastAsia="宋体" w:cs="宋体"/>
          <w:color w:val="auto"/>
          <w:sz w:val="24"/>
          <w:highlight w:val="none"/>
          <w:lang w:eastAsia="zh-CN"/>
        </w:rPr>
      </w:pPr>
      <w:r>
        <w:rPr>
          <w:rFonts w:hint="eastAsia" w:ascii="宋体" w:hAnsi="宋体" w:cs="宋体"/>
          <w:bCs/>
          <w:color w:val="auto"/>
          <w:sz w:val="24"/>
          <w:highlight w:val="none"/>
          <w:lang w:eastAsia="zh-CN"/>
        </w:rPr>
        <w:t>2026年</w:t>
      </w:r>
      <w:r>
        <w:rPr>
          <w:rFonts w:hint="eastAsia" w:ascii="宋体" w:hAnsi="宋体" w:cs="宋体"/>
          <w:bCs/>
          <w:color w:val="auto"/>
          <w:sz w:val="24"/>
          <w:highlight w:val="none"/>
          <w:lang w:val="en-US" w:eastAsia="zh-CN"/>
        </w:rPr>
        <w:t>8</w:t>
      </w:r>
      <w:r>
        <w:rPr>
          <w:rFonts w:hint="eastAsia" w:ascii="宋体" w:hAnsi="宋体" w:cs="宋体"/>
          <w:bCs/>
          <w:color w:val="auto"/>
          <w:sz w:val="24"/>
          <w:highlight w:val="none"/>
          <w:lang w:eastAsia="zh-CN"/>
        </w:rPr>
        <w:t>月</w:t>
      </w:r>
      <w:r>
        <w:rPr>
          <w:rFonts w:hint="eastAsia" w:ascii="宋体" w:hAnsi="宋体" w:cs="宋体"/>
          <w:bCs/>
          <w:color w:val="auto"/>
          <w:sz w:val="24"/>
          <w:highlight w:val="none"/>
          <w:lang w:val="en-US" w:eastAsia="zh-CN"/>
        </w:rPr>
        <w:t>21</w:t>
      </w:r>
      <w:r>
        <w:rPr>
          <w:rFonts w:hint="eastAsia" w:ascii="宋体" w:hAnsi="宋体" w:cs="宋体"/>
          <w:bCs/>
          <w:color w:val="auto"/>
          <w:sz w:val="24"/>
          <w:highlight w:val="none"/>
          <w:lang w:eastAsia="zh-CN"/>
        </w:rPr>
        <w:t>日</w:t>
      </w:r>
    </w:p>
    <w:p w14:paraId="762A55CA">
      <w:pPr>
        <w:pStyle w:val="2"/>
        <w:jc w:val="center"/>
        <w:rPr>
          <w:rFonts w:ascii="宋体" w:hAnsi="宋体" w:cs="宋体"/>
          <w:color w:val="auto"/>
          <w:highlight w:val="none"/>
        </w:rPr>
      </w:pPr>
      <w:r>
        <w:rPr>
          <w:rFonts w:hint="eastAsia" w:ascii="宋体" w:hAnsi="宋体" w:cs="宋体"/>
          <w:color w:val="auto"/>
          <w:sz w:val="24"/>
          <w:highlight w:val="none"/>
        </w:rPr>
        <w:br w:type="page"/>
      </w:r>
      <w:bookmarkStart w:id="16" w:name="_Toc26779"/>
      <w:r>
        <w:rPr>
          <w:rFonts w:hint="eastAsia" w:ascii="宋体" w:hAnsi="宋体" w:cs="宋体"/>
          <w:color w:val="auto"/>
          <w:highlight w:val="none"/>
        </w:rPr>
        <w:t>第二章 供应商须知</w:t>
      </w:r>
      <w:bookmarkEnd w:id="16"/>
    </w:p>
    <w:p w14:paraId="77910B9F">
      <w:pPr>
        <w:spacing w:line="4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供应商须知前附表</w:t>
      </w:r>
    </w:p>
    <w:p w14:paraId="3DCA1976">
      <w:pPr>
        <w:spacing w:line="400" w:lineRule="exact"/>
        <w:jc w:val="center"/>
        <w:rPr>
          <w:rFonts w:ascii="宋体" w:hAnsi="宋体" w:cs="宋体"/>
          <w:b/>
          <w:color w:val="auto"/>
          <w:sz w:val="32"/>
          <w:szCs w:val="32"/>
          <w:highlight w:val="none"/>
        </w:rPr>
      </w:pPr>
    </w:p>
    <w:tbl>
      <w:tblPr>
        <w:tblStyle w:val="45"/>
        <w:tblW w:w="9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697"/>
      </w:tblGrid>
      <w:tr w14:paraId="55C62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top"/>
          </w:tcPr>
          <w:p w14:paraId="0FCF3683">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条款号</w:t>
            </w:r>
          </w:p>
        </w:tc>
        <w:tc>
          <w:tcPr>
            <w:tcW w:w="8697" w:type="dxa"/>
            <w:noWrap w:val="0"/>
            <w:vAlign w:val="top"/>
          </w:tcPr>
          <w:p w14:paraId="4AC549E4">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内    容</w:t>
            </w:r>
          </w:p>
        </w:tc>
      </w:tr>
      <w:tr w14:paraId="5F38A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DD7B60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8697" w:type="dxa"/>
            <w:noWrap w:val="0"/>
            <w:vAlign w:val="center"/>
          </w:tcPr>
          <w:p w14:paraId="4CEC40AF">
            <w:pPr>
              <w:spacing w:line="360" w:lineRule="auto"/>
              <w:rPr>
                <w:rFonts w:ascii="宋体" w:hAnsi="宋体" w:cs="宋体"/>
                <w:color w:val="auto"/>
                <w:sz w:val="24"/>
                <w:highlight w:val="none"/>
              </w:rPr>
            </w:pPr>
            <w:r>
              <w:rPr>
                <w:rFonts w:hint="eastAsia" w:ascii="宋体" w:hAnsi="宋体" w:cs="宋体"/>
                <w:bCs/>
                <w:color w:val="auto"/>
                <w:sz w:val="24"/>
                <w:highlight w:val="none"/>
              </w:rPr>
              <w:t>供应商的资格条件</w:t>
            </w:r>
            <w:r>
              <w:rPr>
                <w:rFonts w:hint="eastAsia" w:ascii="宋体" w:hAnsi="宋体" w:cs="宋体"/>
                <w:color w:val="auto"/>
                <w:sz w:val="24"/>
                <w:highlight w:val="none"/>
              </w:rPr>
              <w:t>：详见竞争性磋商公告</w:t>
            </w:r>
          </w:p>
        </w:tc>
      </w:tr>
      <w:tr w14:paraId="0ECE0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3FD46F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5.1</w:t>
            </w:r>
          </w:p>
        </w:tc>
        <w:tc>
          <w:tcPr>
            <w:tcW w:w="8697" w:type="dxa"/>
            <w:noWrap w:val="0"/>
            <w:vAlign w:val="center"/>
          </w:tcPr>
          <w:p w14:paraId="02178D0F">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是否接受联合体参加竞争性磋商：</w:t>
            </w:r>
            <w:r>
              <w:rPr>
                <w:rFonts w:hint="eastAsia" w:ascii="宋体" w:hAnsi="宋体" w:cs="宋体"/>
                <w:color w:val="auto"/>
                <w:sz w:val="24"/>
                <w:highlight w:val="none"/>
                <w:lang w:eastAsia="zh-CN"/>
              </w:rPr>
              <w:t>否</w:t>
            </w:r>
          </w:p>
        </w:tc>
      </w:tr>
      <w:tr w14:paraId="72D5D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35891A9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6.2</w:t>
            </w:r>
          </w:p>
        </w:tc>
        <w:tc>
          <w:tcPr>
            <w:tcW w:w="8697" w:type="dxa"/>
            <w:noWrap w:val="0"/>
            <w:vAlign w:val="center"/>
          </w:tcPr>
          <w:p w14:paraId="0B55CB50">
            <w:pPr>
              <w:pStyle w:val="16"/>
              <w:spacing w:line="360" w:lineRule="auto"/>
              <w:rPr>
                <w:rFonts w:ascii="宋体" w:hAnsi="宋体" w:cs="宋体"/>
                <w:b/>
                <w:color w:val="auto"/>
                <w:sz w:val="24"/>
                <w:highlight w:val="none"/>
              </w:rPr>
            </w:pPr>
            <w:r>
              <w:rPr>
                <w:rFonts w:ascii="Wingdings" w:hAnsi="Wingdings" w:eastAsia="Wingdings" w:cs="Wingdings"/>
                <w:b/>
                <w:color w:val="auto"/>
                <w:sz w:val="24"/>
                <w:highlight w:val="none"/>
              </w:rPr>
              <w:t>þ</w:t>
            </w:r>
            <w:r>
              <w:rPr>
                <w:rFonts w:hint="eastAsia" w:ascii="宋体" w:hAnsi="宋体" w:cs="宋体"/>
                <w:b/>
                <w:color w:val="auto"/>
                <w:sz w:val="24"/>
                <w:highlight w:val="none"/>
              </w:rPr>
              <w:t>本项目不允许分包。</w:t>
            </w:r>
          </w:p>
          <w:p w14:paraId="58D3CEE7">
            <w:pPr>
              <w:pStyle w:val="16"/>
              <w:spacing w:line="360" w:lineRule="auto"/>
              <w:rPr>
                <w:rFonts w:ascii="宋体" w:hAnsi="宋体" w:cs="宋体"/>
                <w:color w:val="auto"/>
                <w:sz w:val="24"/>
                <w:highlight w:val="none"/>
              </w:rPr>
            </w:pPr>
            <w:r>
              <w:rPr>
                <w:rFonts w:ascii="Wingdings" w:hAnsi="Wingdings" w:eastAsia="Wingdings" w:cs="Wingdings"/>
                <w:color w:val="auto"/>
                <w:sz w:val="24"/>
                <w:highlight w:val="none"/>
              </w:rPr>
              <w:t>¨</w:t>
            </w:r>
            <w:r>
              <w:rPr>
                <w:rFonts w:hint="eastAsia" w:ascii="宋体" w:hAnsi="宋体" w:cs="宋体"/>
                <w:color w:val="auto"/>
                <w:sz w:val="24"/>
                <w:highlight w:val="none"/>
              </w:rPr>
              <w:t>本项目允许分包：</w:t>
            </w:r>
          </w:p>
          <w:p w14:paraId="3D9ABA90">
            <w:pPr>
              <w:pStyle w:val="16"/>
              <w:spacing w:line="360" w:lineRule="auto"/>
              <w:rPr>
                <w:rFonts w:ascii="宋体" w:hAnsi="宋体" w:cs="宋体"/>
                <w:color w:val="auto"/>
                <w:sz w:val="24"/>
                <w:highlight w:val="none"/>
                <w:u w:val="single"/>
              </w:rPr>
            </w:pPr>
            <w:r>
              <w:rPr>
                <w:rFonts w:hint="eastAsia" w:ascii="宋体" w:hAnsi="宋体" w:cs="宋体"/>
                <w:color w:val="auto"/>
                <w:sz w:val="24"/>
                <w:highlight w:val="none"/>
              </w:rPr>
              <w:t>分包内容：</w:t>
            </w:r>
            <w:r>
              <w:rPr>
                <w:rFonts w:hint="eastAsia" w:ascii="宋体" w:hAnsi="宋体" w:cs="宋体"/>
                <w:color w:val="auto"/>
                <w:sz w:val="24"/>
                <w:highlight w:val="none"/>
                <w:u w:val="single"/>
              </w:rPr>
              <w:t xml:space="preserve">                                     。</w:t>
            </w:r>
          </w:p>
          <w:p w14:paraId="60DB32D7">
            <w:pPr>
              <w:pStyle w:val="16"/>
              <w:spacing w:line="360" w:lineRule="auto"/>
              <w:rPr>
                <w:rFonts w:ascii="宋体" w:hAnsi="宋体" w:cs="宋体"/>
                <w:color w:val="auto"/>
                <w:sz w:val="24"/>
                <w:highlight w:val="none"/>
              </w:rPr>
            </w:pPr>
            <w:r>
              <w:rPr>
                <w:rFonts w:hint="eastAsia" w:ascii="宋体" w:hAnsi="宋体" w:cs="宋体"/>
                <w:color w:val="auto"/>
                <w:sz w:val="24"/>
                <w:highlight w:val="none"/>
              </w:rPr>
              <w:t>分包金额或者比例：</w:t>
            </w:r>
            <w:r>
              <w:rPr>
                <w:rFonts w:hint="eastAsia" w:ascii="宋体" w:hAnsi="宋体" w:cs="宋体"/>
                <w:color w:val="auto"/>
                <w:sz w:val="24"/>
                <w:highlight w:val="none"/>
                <w:u w:val="single"/>
              </w:rPr>
              <w:t xml:space="preserve">                                     。</w:t>
            </w:r>
          </w:p>
        </w:tc>
      </w:tr>
      <w:tr w14:paraId="28DFB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FD7858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12.1.1</w:t>
            </w:r>
          </w:p>
        </w:tc>
        <w:tc>
          <w:tcPr>
            <w:tcW w:w="8697" w:type="dxa"/>
            <w:noWrap w:val="0"/>
            <w:vAlign w:val="center"/>
          </w:tcPr>
          <w:p w14:paraId="2E0E3E2D">
            <w:p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资格证明文件</w:t>
            </w:r>
          </w:p>
          <w:p w14:paraId="4809EA34">
            <w:pPr>
              <w:pStyle w:val="16"/>
              <w:spacing w:line="360" w:lineRule="auto"/>
              <w:rPr>
                <w:rFonts w:ascii="宋体" w:hAnsi="宋体" w:cs="宋体"/>
                <w:color w:val="auto"/>
                <w:sz w:val="24"/>
                <w:highlight w:val="none"/>
              </w:rPr>
            </w:pPr>
            <w:r>
              <w:rPr>
                <w:rFonts w:hint="eastAsia" w:ascii="宋体" w:hAnsi="宋体" w:cs="宋体"/>
                <w:color w:val="auto"/>
                <w:sz w:val="24"/>
                <w:highlight w:val="none"/>
              </w:rPr>
              <w:t>1.供应商为法人或者其他组织的，证明文件为其营业执照复印件（如营业执照或者事业单位法人证书或者执业许可证等）；供应商为自然人的，证明文件为其身份证复印件；（</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0AF8A936">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2.供应商依法缴纳税收的相关材料（截至</w:t>
            </w:r>
            <w:r>
              <w:rPr>
                <w:rFonts w:hint="eastAsia" w:ascii="宋体" w:hAnsi="宋体" w:cs="宋体"/>
                <w:color w:val="auto"/>
                <w:sz w:val="24"/>
                <w:highlight w:val="none"/>
                <w:u w:val="single"/>
              </w:rPr>
              <w:t>首次响应文件提交截止之日半年内任意连续三个月</w:t>
            </w:r>
            <w:r>
              <w:rPr>
                <w:rFonts w:hint="eastAsia" w:ascii="宋体" w:hAnsi="宋体" w:cs="宋体"/>
                <w:color w:val="auto"/>
                <w:sz w:val="24"/>
                <w:highlight w:val="none"/>
              </w:rPr>
              <w:t>的依法缴纳税收的凭据复印件；依法免税的，必须提供相应文件证明。从成立之日起到首次响应文件提交截止之日不足要求月数的，只需提供从成立之日起的依法缴纳税收相应证明文件）；（</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0AA12A91">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3.供应商依法缴纳社会保障资金的相关材料</w:t>
            </w:r>
            <w:r>
              <w:rPr>
                <w:rFonts w:ascii="宋体" w:hAnsi="宋体" w:cs="宋体"/>
                <w:color w:val="auto"/>
                <w:sz w:val="24"/>
                <w:highlight w:val="none"/>
              </w:rPr>
              <w:t>[</w:t>
            </w:r>
            <w:r>
              <w:rPr>
                <w:rFonts w:hint="eastAsia" w:ascii="宋体" w:hAnsi="宋体" w:cs="宋体"/>
                <w:color w:val="auto"/>
                <w:sz w:val="24"/>
                <w:highlight w:val="none"/>
              </w:rPr>
              <w:t>截至</w:t>
            </w:r>
            <w:r>
              <w:rPr>
                <w:rFonts w:hint="eastAsia" w:ascii="宋体" w:hAnsi="宋体" w:cs="宋体"/>
                <w:color w:val="auto"/>
                <w:sz w:val="24"/>
                <w:highlight w:val="none"/>
                <w:u w:val="single"/>
              </w:rPr>
              <w:t>首次响应文件提交截止之日半年内任意连续三个月</w:t>
            </w:r>
            <w:r>
              <w:rPr>
                <w:rFonts w:hint="eastAsia" w:ascii="宋体" w:hAnsi="宋体" w:cs="宋体"/>
                <w:color w:val="auto"/>
                <w:sz w:val="24"/>
                <w:highlight w:val="none"/>
              </w:rPr>
              <w:t>的依法缴纳社会保障资金的缴费凭证（专用收据或者社会保险缴纳清单）复印件；依法不需要缴纳社会保障资金的，必须提供相应文件证明。从成立之日起到首次响应文件提交截止之日不足要求月数的只需提供从成立之日起一个月的依法缴纳社会保障资金的相应证明文件]；（</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259A69E6">
            <w:pPr>
              <w:spacing w:line="360" w:lineRule="auto"/>
              <w:contextualSpacing/>
              <w:jc w:val="left"/>
              <w:rPr>
                <w:rFonts w:ascii="宋体" w:hAnsi="宋体" w:cs="宋体"/>
                <w:b/>
                <w:color w:val="auto"/>
                <w:sz w:val="24"/>
                <w:highlight w:val="none"/>
              </w:rPr>
            </w:pPr>
            <w:r>
              <w:rPr>
                <w:rFonts w:hint="eastAsia" w:ascii="宋体" w:hAnsi="宋体" w:cs="宋体"/>
                <w:color w:val="auto"/>
                <w:sz w:val="24"/>
                <w:highlight w:val="none"/>
              </w:rPr>
              <w:t>4.供应商财务状况报告（提供20</w:t>
            </w:r>
            <w:r>
              <w:rPr>
                <w:rFonts w:hint="eastAsia" w:ascii="宋体" w:hAnsi="宋体" w:cs="宋体"/>
                <w:color w:val="auto"/>
                <w:sz w:val="24"/>
                <w:highlight w:val="none"/>
                <w:lang w:val="en-US" w:eastAsia="zh-CN"/>
              </w:rPr>
              <w:t>25</w:t>
            </w:r>
            <w:r>
              <w:rPr>
                <w:rFonts w:hint="eastAsia" w:ascii="宋体" w:hAnsi="宋体" w:cs="宋体"/>
                <w:color w:val="auto"/>
                <w:sz w:val="24"/>
                <w:highlight w:val="none"/>
              </w:rPr>
              <w:t>年财务状况报告复印件，或者银行出具的资信证明（资信证明应在有效期内，未注明有效期的，银行出具时间至首次响应文件提交截止之日不超过一年）；供应商成立不满一年的应按首次响应文件提交截止之日上一个月的财务状况报告复印件）；</w:t>
            </w:r>
            <w:r>
              <w:rPr>
                <w:rFonts w:hint="eastAsia" w:ascii="宋体" w:hAnsi="宋体" w:cs="宋体"/>
                <w:bCs/>
                <w:color w:val="auto"/>
                <w:sz w:val="24"/>
                <w:highlight w:val="none"/>
              </w:rPr>
              <w:t>（</w:t>
            </w:r>
            <w:r>
              <w:rPr>
                <w:rFonts w:hint="eastAsia" w:ascii="宋体" w:hAnsi="宋体" w:cs="宋体"/>
                <w:b/>
                <w:color w:val="auto"/>
                <w:sz w:val="24"/>
                <w:highlight w:val="none"/>
              </w:rPr>
              <w:t>除自然人外必须提供，否则响应文件按无效响应处理</w:t>
            </w:r>
            <w:r>
              <w:rPr>
                <w:rFonts w:hint="eastAsia" w:ascii="宋体" w:hAnsi="宋体" w:cs="宋体"/>
                <w:bCs/>
                <w:color w:val="auto"/>
                <w:sz w:val="24"/>
                <w:highlight w:val="none"/>
              </w:rPr>
              <w:t>）</w:t>
            </w:r>
          </w:p>
          <w:p w14:paraId="0273D5AB">
            <w:pPr>
              <w:spacing w:line="360" w:lineRule="auto"/>
              <w:jc w:val="left"/>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.供应商直接控股、管理关系信息表（格式后附）；（</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4324DE01">
            <w:pPr>
              <w:spacing w:line="360" w:lineRule="auto"/>
              <w:jc w:val="left"/>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.参与竞争性磋商声明（格式后附）；（</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4F3AF729">
            <w:pPr>
              <w:spacing w:line="360" w:lineRule="auto"/>
              <w:jc w:val="left"/>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.竞争性磋商公告对应的特定资格要求的资格证明材料；</w:t>
            </w:r>
            <w:r>
              <w:rPr>
                <w:rFonts w:hint="eastAsia" w:ascii="宋体" w:hAnsi="宋体" w:cs="宋体"/>
                <w:b/>
                <w:bCs/>
                <w:color w:val="auto"/>
                <w:sz w:val="24"/>
                <w:highlight w:val="none"/>
              </w:rPr>
              <w:t>（公告如有则必须提供</w:t>
            </w:r>
            <w:r>
              <w:rPr>
                <w:rFonts w:hint="eastAsia" w:ascii="宋体" w:hAnsi="宋体" w:cs="宋体"/>
                <w:b/>
                <w:color w:val="auto"/>
                <w:sz w:val="24"/>
                <w:highlight w:val="none"/>
              </w:rPr>
              <w:t>，否则响应文件按无效响应处理</w:t>
            </w:r>
            <w:r>
              <w:rPr>
                <w:rFonts w:hint="eastAsia" w:ascii="宋体" w:hAnsi="宋体" w:cs="宋体"/>
                <w:color w:val="auto"/>
                <w:sz w:val="24"/>
                <w:highlight w:val="none"/>
              </w:rPr>
              <w:t>）</w:t>
            </w:r>
          </w:p>
          <w:p w14:paraId="42AA4462">
            <w:pPr>
              <w:spacing w:line="360" w:lineRule="auto"/>
              <w:jc w:val="left"/>
              <w:rPr>
                <w:rFonts w:ascii="宋体" w:hAnsi="宋体" w:cs="宋体"/>
                <w:b/>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.除磋商文件规定必须提供以外，供应商认为需要提供的其他证明材料；</w:t>
            </w:r>
          </w:p>
          <w:p w14:paraId="6F39C6C9">
            <w:pPr>
              <w:spacing w:line="360" w:lineRule="auto"/>
              <w:jc w:val="left"/>
              <w:rPr>
                <w:rFonts w:ascii="楷体" w:hAnsi="楷体" w:eastAsia="楷体" w:cs="宋体"/>
                <w:b/>
                <w:color w:val="auto"/>
                <w:sz w:val="24"/>
                <w:highlight w:val="none"/>
              </w:rPr>
            </w:pPr>
            <w:r>
              <w:rPr>
                <w:rFonts w:hint="eastAsia" w:ascii="楷体" w:hAnsi="楷体" w:eastAsia="楷体" w:cs="宋体"/>
                <w:b/>
                <w:bCs/>
                <w:color w:val="auto"/>
                <w:sz w:val="24"/>
                <w:highlight w:val="none"/>
              </w:rPr>
              <w:t>【注】</w:t>
            </w:r>
            <w:r>
              <w:rPr>
                <w:rFonts w:ascii="楷体" w:hAnsi="楷体" w:eastAsia="楷体" w:cs="宋体"/>
                <w:b/>
                <w:color w:val="auto"/>
                <w:sz w:val="24"/>
                <w:highlight w:val="none"/>
              </w:rPr>
              <w:t>1.</w:t>
            </w:r>
            <w:r>
              <w:rPr>
                <w:rFonts w:hint="eastAsia" w:ascii="楷体" w:hAnsi="楷体" w:eastAsia="楷体" w:cs="宋体"/>
                <w:b/>
                <w:color w:val="auto"/>
                <w:sz w:val="24"/>
                <w:highlight w:val="none"/>
              </w:rPr>
              <w:t>以上标明“必须提供”的材料属于复印件的，必须加盖供应商公章，否则响应文件按无效响应处理。</w:t>
            </w:r>
          </w:p>
          <w:p w14:paraId="0678050F">
            <w:pPr>
              <w:spacing w:line="360" w:lineRule="auto"/>
              <w:jc w:val="left"/>
              <w:rPr>
                <w:rFonts w:ascii="楷体" w:hAnsi="楷体" w:eastAsia="楷体" w:cs="宋体"/>
                <w:b/>
                <w:color w:val="auto"/>
                <w:sz w:val="24"/>
                <w:highlight w:val="none"/>
              </w:rPr>
            </w:pPr>
            <w:r>
              <w:rPr>
                <w:rFonts w:ascii="楷体" w:hAnsi="楷体" w:eastAsia="楷体" w:cs="宋体"/>
                <w:b/>
                <w:color w:val="auto"/>
                <w:sz w:val="24"/>
                <w:highlight w:val="none"/>
              </w:rPr>
              <w:t>2.</w:t>
            </w:r>
            <w:r>
              <w:rPr>
                <w:rFonts w:hint="eastAsia" w:ascii="楷体" w:hAnsi="楷体" w:eastAsia="楷体" w:cs="宋体"/>
                <w:b/>
                <w:color w:val="auto"/>
                <w:sz w:val="24"/>
                <w:highlight w:val="none"/>
              </w:rPr>
              <w:t>参与竞争性磋商声明必须由法定代表人在规定签章处签字并加盖供应商公章，否则响应文件按无效响应处理。</w:t>
            </w:r>
          </w:p>
          <w:p w14:paraId="2E9C2155">
            <w:pPr>
              <w:spacing w:line="360" w:lineRule="auto"/>
              <w:jc w:val="left"/>
              <w:rPr>
                <w:rFonts w:ascii="楷体" w:hAnsi="楷体" w:eastAsia="楷体" w:cs="宋体"/>
                <w:b/>
                <w:color w:val="auto"/>
                <w:sz w:val="24"/>
                <w:highlight w:val="none"/>
              </w:rPr>
            </w:pPr>
            <w:r>
              <w:rPr>
                <w:rFonts w:ascii="楷体" w:hAnsi="楷体" w:eastAsia="楷体" w:cs="宋体"/>
                <w:b/>
                <w:color w:val="auto"/>
                <w:sz w:val="24"/>
                <w:highlight w:val="none"/>
              </w:rPr>
              <w:t>3.</w:t>
            </w:r>
            <w:r>
              <w:rPr>
                <w:rFonts w:hint="eastAsia" w:ascii="楷体" w:hAnsi="楷体" w:eastAsia="楷体" w:cs="宋体"/>
                <w:b/>
                <w:color w:val="auto"/>
                <w:sz w:val="24"/>
                <w:highlight w:val="none"/>
              </w:rPr>
              <w:t>供应商直接控股、管理关系信息表必须由法定代表人或者委托代理人在规定签章处签字并加盖供应商公章，否则响应文件按无效响应处理。</w:t>
            </w:r>
          </w:p>
          <w:p w14:paraId="4C306B24">
            <w:pPr>
              <w:pStyle w:val="16"/>
              <w:spacing w:line="360" w:lineRule="auto"/>
              <w:rPr>
                <w:rFonts w:ascii="宋体" w:hAnsi="宋体" w:cs="宋体"/>
                <w:b/>
                <w:color w:val="auto"/>
                <w:sz w:val="24"/>
                <w:highlight w:val="none"/>
              </w:rPr>
            </w:pPr>
            <w:r>
              <w:rPr>
                <w:rFonts w:hint="eastAsia" w:ascii="楷体" w:hAnsi="楷体" w:eastAsia="楷体" w:cs="宋体"/>
                <w:b/>
                <w:color w:val="auto"/>
                <w:sz w:val="24"/>
                <w:highlight w:val="none"/>
                <w:lang w:val="en-US" w:eastAsia="zh-CN"/>
              </w:rPr>
              <w:t>4</w:t>
            </w:r>
            <w:r>
              <w:rPr>
                <w:rFonts w:ascii="楷体" w:hAnsi="楷体" w:eastAsia="楷体" w:cs="宋体"/>
                <w:b/>
                <w:color w:val="auto"/>
                <w:sz w:val="24"/>
                <w:highlight w:val="none"/>
              </w:rPr>
              <w:t>.</w:t>
            </w:r>
            <w:r>
              <w:rPr>
                <w:rFonts w:hint="eastAsia" w:ascii="楷体" w:hAnsi="楷体" w:eastAsia="楷体" w:cs="宋体"/>
                <w:b/>
                <w:color w:val="auto"/>
                <w:sz w:val="24"/>
                <w:highlight w:val="none"/>
              </w:rPr>
              <w:t>分公司参加竞争性磋商</w:t>
            </w:r>
            <w:r>
              <w:rPr>
                <w:rFonts w:hint="eastAsia" w:ascii="楷体" w:hAnsi="楷体" w:eastAsia="楷体" w:cs="宋体"/>
                <w:b/>
                <w:bCs/>
                <w:color w:val="auto"/>
                <w:sz w:val="24"/>
                <w:highlight w:val="none"/>
              </w:rPr>
              <w:t>的，应当取得总公司授权</w:t>
            </w:r>
            <w:r>
              <w:rPr>
                <w:rFonts w:hint="eastAsia" w:ascii="楷体" w:hAnsi="楷体" w:eastAsia="楷体" w:cs="宋体"/>
                <w:b/>
                <w:color w:val="auto"/>
                <w:sz w:val="24"/>
                <w:highlight w:val="none"/>
              </w:rPr>
              <w:t>，否则响应文件按无效响应处理。</w:t>
            </w:r>
          </w:p>
        </w:tc>
      </w:tr>
      <w:tr w14:paraId="2DA9A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restart"/>
            <w:noWrap w:val="0"/>
            <w:vAlign w:val="center"/>
          </w:tcPr>
          <w:p w14:paraId="56707D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12.1.2</w:t>
            </w:r>
          </w:p>
          <w:p w14:paraId="39462C39">
            <w:pPr>
              <w:spacing w:line="360" w:lineRule="auto"/>
              <w:jc w:val="center"/>
              <w:rPr>
                <w:rFonts w:ascii="宋体" w:hAnsi="宋体" w:cs="宋体"/>
                <w:color w:val="auto"/>
                <w:sz w:val="24"/>
                <w:highlight w:val="none"/>
              </w:rPr>
            </w:pPr>
          </w:p>
        </w:tc>
        <w:tc>
          <w:tcPr>
            <w:tcW w:w="8697" w:type="dxa"/>
            <w:noWrap w:val="0"/>
            <w:vAlign w:val="center"/>
          </w:tcPr>
          <w:p w14:paraId="4F542F18">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报价文件</w:t>
            </w:r>
          </w:p>
          <w:p w14:paraId="192ACAAE">
            <w:pPr>
              <w:spacing w:line="360" w:lineRule="auto"/>
              <w:rPr>
                <w:rFonts w:ascii="宋体" w:hAnsi="宋体" w:cs="宋体"/>
                <w:color w:val="auto"/>
                <w:sz w:val="24"/>
                <w:highlight w:val="none"/>
              </w:rPr>
            </w:pPr>
            <w:r>
              <w:rPr>
                <w:rFonts w:hint="eastAsia" w:ascii="宋体" w:hAnsi="宋体" w:cs="宋体"/>
                <w:color w:val="auto"/>
                <w:sz w:val="24"/>
                <w:highlight w:val="none"/>
              </w:rPr>
              <w:t>1.无串通参与竞争性磋商行为的承诺函（格式后附）；（</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38F94818">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2.竞争性磋商报价表（格式后附）；（</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3311034A">
            <w:pPr>
              <w:spacing w:line="360" w:lineRule="auto"/>
              <w:jc w:val="left"/>
              <w:rPr>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.中小企业声明函（或残疾人福利性单位声明函或监狱企业声明函，残疾人福利性单位或监狱企业视同小微企业）</w:t>
            </w:r>
            <w:r>
              <w:rPr>
                <w:rFonts w:hint="eastAsia" w:ascii="宋体" w:hAnsi="宋体"/>
                <w:color w:val="auto"/>
                <w:sz w:val="24"/>
                <w:highlight w:val="none"/>
              </w:rPr>
              <w:t>（格式后附）；</w:t>
            </w:r>
            <w:r>
              <w:rPr>
                <w:rFonts w:hint="eastAsia" w:ascii="宋体" w:hAnsi="宋体" w:cs="宋体"/>
                <w:color w:val="auto"/>
                <w:sz w:val="24"/>
                <w:highlight w:val="none"/>
              </w:rPr>
              <w:t>（</w:t>
            </w:r>
            <w:r>
              <w:rPr>
                <w:rFonts w:hint="eastAsia" w:ascii="宋体" w:hAnsi="宋体" w:cs="宋体"/>
                <w:b/>
                <w:color w:val="auto"/>
                <w:sz w:val="24"/>
                <w:highlight w:val="none"/>
                <w:lang w:val="en-US" w:eastAsia="zh-CN"/>
              </w:rPr>
              <w:t>如有请提供</w:t>
            </w:r>
            <w:r>
              <w:rPr>
                <w:rFonts w:hint="eastAsia" w:ascii="宋体" w:hAnsi="宋体" w:cs="宋体"/>
                <w:color w:val="auto"/>
                <w:sz w:val="24"/>
                <w:highlight w:val="none"/>
              </w:rPr>
              <w:t>）</w:t>
            </w:r>
          </w:p>
          <w:p w14:paraId="72040E3A">
            <w:pPr>
              <w:spacing w:line="360" w:lineRule="auto"/>
              <w:rPr>
                <w:rFonts w:ascii="楷体" w:hAnsi="楷体" w:eastAsia="楷体" w:cs="宋体"/>
                <w:b/>
                <w:bCs/>
                <w:color w:val="auto"/>
                <w:sz w:val="24"/>
                <w:highlight w:val="none"/>
              </w:rPr>
            </w:pPr>
            <w:r>
              <w:rPr>
                <w:rFonts w:hint="eastAsia" w:ascii="楷体" w:hAnsi="楷体" w:eastAsia="楷体" w:cs="宋体"/>
                <w:b/>
                <w:color w:val="auto"/>
                <w:sz w:val="24"/>
                <w:highlight w:val="none"/>
              </w:rPr>
              <w:t>注：以上标明“必须提供”的材料属于复印件的，必须加盖供应商公章，否则响应文件按无效响应处理。</w:t>
            </w:r>
          </w:p>
        </w:tc>
      </w:tr>
      <w:tr w14:paraId="02428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noWrap w:val="0"/>
            <w:vAlign w:val="center"/>
          </w:tcPr>
          <w:p w14:paraId="7FF6793D">
            <w:pPr>
              <w:spacing w:line="360" w:lineRule="auto"/>
              <w:jc w:val="center"/>
              <w:rPr>
                <w:rFonts w:ascii="宋体" w:hAnsi="宋体" w:cs="宋体"/>
                <w:color w:val="auto"/>
                <w:sz w:val="24"/>
                <w:highlight w:val="none"/>
              </w:rPr>
            </w:pPr>
          </w:p>
        </w:tc>
        <w:tc>
          <w:tcPr>
            <w:tcW w:w="8697" w:type="dxa"/>
            <w:noWrap w:val="0"/>
            <w:vAlign w:val="center"/>
          </w:tcPr>
          <w:p w14:paraId="21FC94AF">
            <w:pPr>
              <w:spacing w:line="360" w:lineRule="auto"/>
              <w:rPr>
                <w:rFonts w:ascii="宋体" w:hAnsi="宋体" w:cs="宋体"/>
                <w:color w:val="auto"/>
                <w:sz w:val="24"/>
                <w:highlight w:val="none"/>
              </w:rPr>
            </w:pPr>
            <w:r>
              <w:rPr>
                <w:rFonts w:hint="eastAsia" w:ascii="宋体" w:hAnsi="宋体" w:cs="宋体"/>
                <w:b/>
                <w:bCs/>
                <w:color w:val="auto"/>
                <w:sz w:val="24"/>
                <w:highlight w:val="none"/>
              </w:rPr>
              <w:t>商务、服务文件</w:t>
            </w:r>
          </w:p>
          <w:p w14:paraId="1D87B7F3">
            <w:pPr>
              <w:spacing w:line="360" w:lineRule="auto"/>
              <w:jc w:val="left"/>
              <w:rPr>
                <w:rFonts w:ascii="宋体" w:hAnsi="宋体" w:cs="宋体"/>
                <w:color w:val="auto"/>
                <w:sz w:val="24"/>
                <w:highlight w:val="none"/>
              </w:rPr>
            </w:pPr>
            <w:r>
              <w:rPr>
                <w:rFonts w:hint="eastAsia" w:ascii="宋体" w:hAnsi="宋体" w:cs="宋体"/>
                <w:color w:val="auto"/>
                <w:sz w:val="24"/>
                <w:highlight w:val="none"/>
              </w:rPr>
              <w:t>1.法定代表人身份证明及法定代表人有效身份证正反面复印件（格式后附）；（</w:t>
            </w:r>
            <w:r>
              <w:rPr>
                <w:rFonts w:hint="eastAsia" w:ascii="宋体" w:hAnsi="宋体" w:cs="宋体"/>
                <w:b/>
                <w:bCs/>
                <w:color w:val="auto"/>
                <w:sz w:val="24"/>
                <w:highlight w:val="none"/>
              </w:rPr>
              <w:t>除自然人</w:t>
            </w:r>
            <w:r>
              <w:rPr>
                <w:rFonts w:hint="eastAsia" w:ascii="宋体" w:hAnsi="宋体" w:cs="宋体"/>
                <w:color w:val="auto"/>
                <w:sz w:val="24"/>
                <w:highlight w:val="none"/>
              </w:rPr>
              <w:t>参加竞争性磋商</w:t>
            </w:r>
            <w:r>
              <w:rPr>
                <w:rFonts w:hint="eastAsia" w:ascii="宋体" w:hAnsi="宋体" w:cs="宋体"/>
                <w:b/>
                <w:bCs/>
                <w:color w:val="auto"/>
                <w:sz w:val="24"/>
                <w:highlight w:val="none"/>
              </w:rPr>
              <w:t>外</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2B2D0936">
            <w:pPr>
              <w:spacing w:line="360" w:lineRule="auto"/>
              <w:rPr>
                <w:rFonts w:ascii="宋体" w:hAnsi="宋体" w:cs="宋体"/>
                <w:b/>
                <w:color w:val="auto"/>
                <w:sz w:val="24"/>
                <w:highlight w:val="none"/>
              </w:rPr>
            </w:pPr>
            <w:r>
              <w:rPr>
                <w:rFonts w:hint="eastAsia" w:ascii="宋体" w:hAnsi="宋体" w:cs="宋体"/>
                <w:color w:val="auto"/>
                <w:sz w:val="24"/>
                <w:highlight w:val="none"/>
              </w:rPr>
              <w:t>2.授权委托书及委托代理人有效身份证正反面复印件（格式后附）；（</w:t>
            </w:r>
            <w:r>
              <w:rPr>
                <w:rFonts w:hint="eastAsia" w:ascii="宋体" w:hAnsi="宋体" w:cs="宋体"/>
                <w:b/>
                <w:color w:val="auto"/>
                <w:sz w:val="24"/>
                <w:highlight w:val="none"/>
              </w:rPr>
              <w:t>委托时必须提供，否则响应文件按无效响应处理</w:t>
            </w:r>
            <w:r>
              <w:rPr>
                <w:rFonts w:hint="eastAsia" w:ascii="宋体" w:hAnsi="宋体" w:cs="宋体"/>
                <w:color w:val="auto"/>
                <w:sz w:val="24"/>
                <w:highlight w:val="none"/>
              </w:rPr>
              <w:t>）</w:t>
            </w:r>
          </w:p>
          <w:p w14:paraId="2E04DD6D">
            <w:pPr>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.商务要求偏离表（格式后附）；（</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5F8F288F">
            <w:pPr>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.服务要求偏离表（格式后附）；（</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6FCF932C">
            <w:pPr>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.服务方案（格式自拟）；（</w:t>
            </w:r>
            <w:r>
              <w:rPr>
                <w:rFonts w:hint="eastAsia" w:ascii="宋体" w:hAnsi="宋体" w:cs="宋体"/>
                <w:b/>
                <w:color w:val="auto"/>
                <w:sz w:val="24"/>
                <w:highlight w:val="none"/>
              </w:rPr>
              <w:t>必须提供，否则响应文件按无效响应处理</w:t>
            </w:r>
            <w:r>
              <w:rPr>
                <w:rFonts w:hint="eastAsia" w:ascii="宋体" w:hAnsi="宋体" w:cs="宋体"/>
                <w:color w:val="auto"/>
                <w:sz w:val="24"/>
                <w:highlight w:val="none"/>
              </w:rPr>
              <w:t>）</w:t>
            </w:r>
          </w:p>
          <w:p w14:paraId="519F8A33">
            <w:pPr>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 xml:space="preserve">.项目实施人员一览表（格式自拟）； </w:t>
            </w:r>
          </w:p>
          <w:p w14:paraId="373561D5">
            <w:pPr>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.对应采购需求的技术要求、商务要求提供的其他文件资料（格式自拟）；</w:t>
            </w:r>
          </w:p>
          <w:p w14:paraId="5EDEA5A1">
            <w:pPr>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.供应商认为需要提供的其他有关资料。</w:t>
            </w:r>
          </w:p>
          <w:p w14:paraId="3FC84A6A">
            <w:pPr>
              <w:spacing w:line="360" w:lineRule="auto"/>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注：以上标明“必须提供”的材料属于复印件的，必须加盖供应商公章，否则响应文件按无效响应处理。</w:t>
            </w:r>
          </w:p>
        </w:tc>
      </w:tr>
      <w:tr w14:paraId="3F2AD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E5EEF6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15.2</w:t>
            </w:r>
          </w:p>
        </w:tc>
        <w:tc>
          <w:tcPr>
            <w:tcW w:w="8697" w:type="dxa"/>
            <w:noWrap w:val="0"/>
            <w:vAlign w:val="center"/>
          </w:tcPr>
          <w:p w14:paraId="488725A3">
            <w:pPr>
              <w:spacing w:line="360" w:lineRule="auto"/>
              <w:jc w:val="left"/>
              <w:rPr>
                <w:rFonts w:ascii="宋体" w:hAnsi="宋体" w:cs="宋体"/>
                <w:color w:val="auto"/>
                <w:sz w:val="24"/>
                <w:highlight w:val="none"/>
              </w:rPr>
            </w:pPr>
            <w:r>
              <w:rPr>
                <w:rFonts w:hint="eastAsia" w:ascii="宋体" w:hAnsi="宋体" w:cs="宋体"/>
                <w:color w:val="auto"/>
                <w:sz w:val="24"/>
                <w:highlight w:val="none"/>
              </w:rPr>
              <w:t>竞争性磋商报价是完成项目所有服务所需的费用，包括但不限于劳务费、软硬件设备、机具材料费、交通费、数据处理、成果文件编制印刷、质量检查、培训等各种费用和售后服务、税金及其它所有成本费用的总和。合同履行过程中，采购人不再支付合同以外的其他费用。（采购需求另有约定的，从其约定）</w:t>
            </w:r>
          </w:p>
        </w:tc>
      </w:tr>
      <w:tr w14:paraId="4F713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D4DADB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16.2</w:t>
            </w:r>
          </w:p>
        </w:tc>
        <w:tc>
          <w:tcPr>
            <w:tcW w:w="8697" w:type="dxa"/>
            <w:noWrap w:val="0"/>
            <w:vAlign w:val="center"/>
          </w:tcPr>
          <w:p w14:paraId="310DF2A1">
            <w:pPr>
              <w:spacing w:line="360" w:lineRule="auto"/>
              <w:rPr>
                <w:rFonts w:ascii="宋体" w:hAnsi="宋体" w:cs="宋体"/>
                <w:color w:val="auto"/>
                <w:sz w:val="24"/>
                <w:highlight w:val="none"/>
              </w:rPr>
            </w:pPr>
            <w:r>
              <w:rPr>
                <w:rFonts w:hint="eastAsia" w:ascii="宋体" w:hAnsi="宋体" w:cs="宋体"/>
                <w:color w:val="auto"/>
                <w:sz w:val="24"/>
                <w:highlight w:val="none"/>
              </w:rPr>
              <w:t>竞争性磋商有效期：首次响应文件提交截止之日起60天内。</w:t>
            </w:r>
          </w:p>
        </w:tc>
      </w:tr>
      <w:tr w14:paraId="01CF0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C7D224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17.1</w:t>
            </w:r>
          </w:p>
        </w:tc>
        <w:tc>
          <w:tcPr>
            <w:tcW w:w="8697" w:type="dxa"/>
            <w:noWrap w:val="0"/>
            <w:vAlign w:val="center"/>
          </w:tcPr>
          <w:p w14:paraId="365C5ED0">
            <w:pPr>
              <w:spacing w:line="360" w:lineRule="auto"/>
              <w:rPr>
                <w:rFonts w:ascii="宋体" w:hAnsi="宋体" w:cs="宋体"/>
                <w:color w:val="auto"/>
                <w:sz w:val="24"/>
                <w:highlight w:val="none"/>
              </w:rPr>
            </w:pPr>
            <w:r>
              <w:rPr>
                <w:rFonts w:ascii="Wingdings" w:hAnsi="Wingdings" w:eastAsia="Wingdings" w:cs="Wingdings"/>
                <w:color w:val="auto"/>
                <w:sz w:val="24"/>
                <w:highlight w:val="none"/>
              </w:rPr>
              <w:sym w:font="Wingdings" w:char="00FE"/>
            </w:r>
            <w:r>
              <w:rPr>
                <w:rFonts w:hint="eastAsia" w:ascii="宋体" w:hAnsi="宋体" w:cs="宋体"/>
                <w:color w:val="auto"/>
                <w:sz w:val="24"/>
                <w:highlight w:val="none"/>
              </w:rPr>
              <w:t>本项目不收取磋商保证金。</w:t>
            </w:r>
          </w:p>
          <w:p w14:paraId="2450FDA2">
            <w:pPr>
              <w:spacing w:line="360" w:lineRule="auto"/>
              <w:rPr>
                <w:rFonts w:ascii="宋体" w:hAnsi="宋体" w:cs="宋体"/>
                <w:color w:val="auto"/>
                <w:sz w:val="24"/>
                <w:highlight w:val="none"/>
              </w:rPr>
            </w:pPr>
            <w:r>
              <w:rPr>
                <w:rFonts w:ascii="Wingdings" w:hAnsi="Wingdings" w:eastAsia="Wingdings" w:cs="Wingdings"/>
                <w:color w:val="auto"/>
                <w:sz w:val="24"/>
                <w:highlight w:val="none"/>
              </w:rPr>
              <w:sym w:font="Wingdings" w:char="00A8"/>
            </w:r>
            <w:r>
              <w:rPr>
                <w:rFonts w:hint="eastAsia" w:ascii="宋体" w:hAnsi="宋体" w:cs="宋体"/>
                <w:color w:val="auto"/>
                <w:sz w:val="24"/>
                <w:highlight w:val="none"/>
              </w:rPr>
              <w:t>本项目收取磋商保证金。</w:t>
            </w:r>
          </w:p>
          <w:p w14:paraId="05E65514">
            <w:pPr>
              <w:pStyle w:val="18"/>
              <w:rPr>
                <w:rFonts w:ascii="宋体" w:hAnsi="宋体" w:cs="宋体"/>
                <w:color w:val="auto"/>
                <w:sz w:val="24"/>
                <w:highlight w:val="none"/>
              </w:rPr>
            </w:pPr>
            <w:r>
              <w:rPr>
                <w:rFonts w:hint="eastAsia" w:ascii="宋体" w:hAnsi="宋体" w:cs="宋体"/>
                <w:color w:val="auto"/>
                <w:sz w:val="24"/>
                <w:highlight w:val="none"/>
              </w:rPr>
              <w:t>磋商保证金：</w:t>
            </w:r>
            <w:r>
              <w:rPr>
                <w:rFonts w:hint="eastAsia" w:ascii="宋体" w:hAnsi="宋体" w:cs="宋体"/>
                <w:color w:val="auto"/>
                <w:sz w:val="24"/>
                <w:highlight w:val="none"/>
                <w:u w:val="single"/>
              </w:rPr>
              <w:t>详见竞争性磋商公告。</w:t>
            </w:r>
          </w:p>
          <w:p w14:paraId="69D3E4F0">
            <w:pPr>
              <w:pStyle w:val="18"/>
              <w:rPr>
                <w:rFonts w:ascii="宋体" w:hAnsi="宋体" w:cs="宋体"/>
                <w:color w:val="auto"/>
                <w:sz w:val="24"/>
                <w:highlight w:val="none"/>
              </w:rPr>
            </w:pPr>
            <w:r>
              <w:rPr>
                <w:rFonts w:hint="eastAsia" w:ascii="宋体" w:hAnsi="宋体" w:cs="宋体"/>
                <w:color w:val="auto"/>
                <w:sz w:val="24"/>
                <w:highlight w:val="none"/>
              </w:rPr>
              <w:t>保证金专用银行账号：</w:t>
            </w:r>
          </w:p>
          <w:p w14:paraId="48F83972">
            <w:pPr>
              <w:pStyle w:val="18"/>
              <w:rPr>
                <w:rFonts w:hint="eastAsia" w:ascii="宋体" w:hAnsi="宋体" w:cs="宋体"/>
                <w:color w:val="auto"/>
                <w:sz w:val="24"/>
                <w:highlight w:val="none"/>
              </w:rPr>
            </w:pPr>
            <w:r>
              <w:rPr>
                <w:rFonts w:hint="eastAsia" w:ascii="宋体" w:hAnsi="宋体" w:cs="宋体"/>
                <w:color w:val="auto"/>
                <w:sz w:val="24"/>
                <w:highlight w:val="none"/>
              </w:rPr>
              <w:t xml:space="preserve">开户名称： 广西建设工程机电设备招标中心有限公司 </w:t>
            </w:r>
          </w:p>
          <w:p w14:paraId="69198115">
            <w:pPr>
              <w:pStyle w:val="18"/>
              <w:rPr>
                <w:rFonts w:hint="eastAsia" w:ascii="宋体" w:hAnsi="宋体" w:cs="宋体"/>
                <w:color w:val="auto"/>
                <w:sz w:val="24"/>
                <w:highlight w:val="none"/>
              </w:rPr>
            </w:pPr>
            <w:r>
              <w:rPr>
                <w:rFonts w:hint="eastAsia" w:ascii="宋体" w:hAnsi="宋体" w:cs="宋体"/>
                <w:color w:val="auto"/>
                <w:sz w:val="24"/>
                <w:highlight w:val="none"/>
              </w:rPr>
              <w:t>开户银行： 招商银行南宁分行营业部</w:t>
            </w:r>
          </w:p>
          <w:p w14:paraId="7D6AC2DF">
            <w:pPr>
              <w:pStyle w:val="18"/>
              <w:rPr>
                <w:rFonts w:hint="eastAsia" w:ascii="宋体" w:hAnsi="宋体" w:cs="宋体"/>
                <w:color w:val="auto"/>
                <w:sz w:val="24"/>
                <w:highlight w:val="none"/>
              </w:rPr>
            </w:pPr>
            <w:r>
              <w:rPr>
                <w:rFonts w:hint="eastAsia" w:ascii="宋体" w:hAnsi="宋体" w:cs="宋体"/>
                <w:color w:val="auto"/>
                <w:sz w:val="24"/>
                <w:highlight w:val="none"/>
              </w:rPr>
              <w:t>账    号： 7719  0142  3310  201；</w:t>
            </w:r>
          </w:p>
          <w:p w14:paraId="32173556">
            <w:pPr>
              <w:pStyle w:val="18"/>
              <w:rPr>
                <w:rFonts w:hint="eastAsia" w:ascii="宋体" w:hAnsi="宋体" w:cs="宋体"/>
                <w:color w:val="auto"/>
                <w:sz w:val="24"/>
                <w:highlight w:val="none"/>
              </w:rPr>
            </w:pPr>
            <w:r>
              <w:rPr>
                <w:rFonts w:hint="eastAsia" w:ascii="宋体" w:hAnsi="宋体" w:cs="宋体"/>
                <w:color w:val="auto"/>
                <w:sz w:val="24"/>
                <w:highlight w:val="none"/>
              </w:rPr>
              <w:t>邮寄地址：</w:t>
            </w:r>
            <w:r>
              <w:rPr>
                <w:rFonts w:hint="eastAsia" w:ascii="宋体" w:hAnsi="宋体" w:cs="宋体"/>
                <w:color w:val="auto"/>
                <w:sz w:val="24"/>
                <w:highlight w:val="none"/>
                <w:lang w:eastAsia="zh-CN"/>
              </w:rPr>
              <w:t>广西南宁市青秀区枫林路18号广西国控集团（枫林路办公区）裙楼三层</w:t>
            </w:r>
            <w:r>
              <w:rPr>
                <w:rFonts w:hint="eastAsia" w:ascii="宋体" w:hAnsi="宋体" w:cs="宋体"/>
                <w:color w:val="auto"/>
                <w:sz w:val="24"/>
                <w:highlight w:val="none"/>
              </w:rPr>
              <w:t>；</w:t>
            </w:r>
          </w:p>
          <w:p w14:paraId="7CBC8F36">
            <w:pPr>
              <w:pStyle w:val="18"/>
              <w:rPr>
                <w:rFonts w:hint="eastAsia" w:eastAsia="宋体"/>
                <w:color w:val="auto"/>
                <w:highlight w:val="none"/>
                <w:lang w:eastAsia="zh-CN"/>
              </w:rPr>
            </w:pPr>
            <w:r>
              <w:rPr>
                <w:rFonts w:hint="eastAsia" w:ascii="宋体" w:hAnsi="宋体" w:cs="宋体"/>
                <w:color w:val="auto"/>
                <w:sz w:val="24"/>
                <w:highlight w:val="none"/>
              </w:rPr>
              <w:t>收件人：</w:t>
            </w:r>
            <w:r>
              <w:rPr>
                <w:rFonts w:hint="eastAsia" w:ascii="宋体" w:hAnsi="宋体" w:cs="宋体"/>
                <w:color w:val="auto"/>
                <w:sz w:val="24"/>
                <w:highlight w:val="none"/>
                <w:lang w:val="en-US" w:eastAsia="zh-CN"/>
              </w:rPr>
              <w:t>宾胜全</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0771-2808057</w:t>
            </w:r>
          </w:p>
          <w:p w14:paraId="3AA79AA8">
            <w:pPr>
              <w:spacing w:line="360" w:lineRule="auto"/>
              <w:rPr>
                <w:rFonts w:ascii="宋体" w:hAnsi="宋体" w:cs="宋体"/>
                <w:b/>
                <w:bCs/>
                <w:color w:val="auto"/>
                <w:sz w:val="24"/>
                <w:highlight w:val="none"/>
              </w:rPr>
            </w:pPr>
            <w:r>
              <w:rPr>
                <w:rFonts w:hint="eastAsia" w:ascii="宋体" w:hAnsi="宋体" w:cs="宋体"/>
                <w:color w:val="auto"/>
                <w:sz w:val="24"/>
                <w:highlight w:val="none"/>
              </w:rPr>
              <w:t>磋商保证金的交纳方式：银行转账、支票、汇票、本票或者</w:t>
            </w:r>
            <w:r>
              <w:rPr>
                <w:rFonts w:hint="eastAsia" w:ascii="宋体" w:hAnsi="宋体" w:cs="宋体"/>
                <w:color w:val="auto"/>
                <w:sz w:val="24"/>
                <w:highlight w:val="none"/>
                <w:lang w:val="en-US" w:eastAsia="zh-CN"/>
              </w:rPr>
              <w:t>金融机构、</w:t>
            </w:r>
            <w:r>
              <w:rPr>
                <w:rFonts w:hint="eastAsia" w:ascii="宋体" w:hAnsi="宋体" w:cs="宋体"/>
                <w:color w:val="auto"/>
                <w:sz w:val="24"/>
                <w:highlight w:val="none"/>
              </w:rPr>
              <w:t>担保机构出具的保函，禁止采用现钞方式。采用银行转账方式的，在响应文件提交截止时间前交至指定账户并且到账；采用支票、汇票、本票或者保函等方式的，在响应文件提交截止时间前，供应商必须提交支票、汇票、本票或者保函原件。否则视为无效磋商保证金。</w:t>
            </w:r>
            <w:r>
              <w:rPr>
                <w:rFonts w:hint="eastAsia" w:ascii="宋体" w:hAnsi="宋体" w:cs="宋体"/>
                <w:b/>
                <w:bCs/>
                <w:color w:val="auto"/>
                <w:sz w:val="24"/>
                <w:highlight w:val="none"/>
              </w:rPr>
              <w:t>（备注：供应商转账时，</w:t>
            </w:r>
            <w:r>
              <w:rPr>
                <w:rFonts w:hint="eastAsia" w:ascii="宋体" w:hAnsi="宋体" w:cs="宋体"/>
                <w:b/>
                <w:bCs/>
                <w:color w:val="auto"/>
                <w:sz w:val="24"/>
                <w:highlight w:val="none"/>
                <w:lang w:val="en-US" w:eastAsia="zh-CN"/>
              </w:rPr>
              <w:t>请</w:t>
            </w:r>
            <w:r>
              <w:rPr>
                <w:rFonts w:hint="eastAsia" w:ascii="宋体" w:hAnsi="宋体" w:cs="宋体"/>
                <w:b/>
                <w:bCs/>
                <w:color w:val="auto"/>
                <w:sz w:val="24"/>
                <w:highlight w:val="none"/>
              </w:rPr>
              <w:t>在银行转账底单上备注项目</w:t>
            </w:r>
            <w:r>
              <w:rPr>
                <w:rFonts w:hint="eastAsia" w:ascii="宋体" w:hAnsi="宋体" w:cs="宋体"/>
                <w:b/>
                <w:bCs/>
                <w:color w:val="auto"/>
                <w:sz w:val="24"/>
                <w:highlight w:val="none"/>
                <w:lang w:val="en-US" w:eastAsia="zh-CN"/>
              </w:rPr>
              <w:t>编号和分标号</w:t>
            </w:r>
            <w:r>
              <w:rPr>
                <w:rFonts w:hint="eastAsia" w:ascii="宋体" w:hAnsi="宋体" w:cs="宋体"/>
                <w:b/>
                <w:bCs/>
                <w:color w:val="auto"/>
                <w:sz w:val="24"/>
                <w:highlight w:val="none"/>
              </w:rPr>
              <w:t>。）</w:t>
            </w:r>
          </w:p>
          <w:p w14:paraId="522EBFDD">
            <w:pPr>
              <w:spacing w:line="360" w:lineRule="auto"/>
              <w:rPr>
                <w:rFonts w:ascii="宋体" w:hAnsi="宋体" w:cs="宋体"/>
                <w:color w:val="auto"/>
                <w:sz w:val="24"/>
                <w:highlight w:val="none"/>
              </w:rPr>
            </w:pPr>
            <w:r>
              <w:rPr>
                <w:rFonts w:hint="eastAsia" w:ascii="宋体" w:hAnsi="宋体" w:cs="宋体"/>
                <w:color w:val="auto"/>
                <w:sz w:val="24"/>
                <w:highlight w:val="none"/>
              </w:rPr>
              <w:t>相关要求：</w:t>
            </w:r>
          </w:p>
          <w:p w14:paraId="2292307F">
            <w:pPr>
              <w:spacing w:line="360" w:lineRule="auto"/>
              <w:rPr>
                <w:rFonts w:ascii="宋体" w:hAnsi="宋体" w:cs="宋体"/>
                <w:color w:val="auto"/>
                <w:sz w:val="24"/>
                <w:highlight w:val="none"/>
              </w:rPr>
            </w:pPr>
            <w:r>
              <w:rPr>
                <w:rFonts w:hint="eastAsia" w:ascii="宋体" w:hAnsi="宋体" w:cs="宋体"/>
                <w:color w:val="auto"/>
                <w:sz w:val="24"/>
                <w:highlight w:val="none"/>
              </w:rPr>
              <w:t>1.磋商保证金采用银行转账交纳方式的，在响应文件提交截止时间前交至指定账户并且到账，供应商应将银行转账底单的复印件作为磋商保证金提交凭证，放置于报价商务技术文件中，</w:t>
            </w:r>
            <w:r>
              <w:rPr>
                <w:rFonts w:hint="eastAsia" w:ascii="宋体" w:hAnsi="宋体" w:cs="宋体"/>
                <w:b/>
                <w:color w:val="auto"/>
                <w:sz w:val="24"/>
                <w:highlight w:val="none"/>
              </w:rPr>
              <w:t>否则响应文件按无效响应处理</w:t>
            </w:r>
            <w:r>
              <w:rPr>
                <w:rFonts w:hint="eastAsia" w:ascii="宋体" w:hAnsi="宋体" w:cs="宋体"/>
                <w:color w:val="auto"/>
                <w:sz w:val="24"/>
                <w:highlight w:val="none"/>
              </w:rPr>
              <w:t>。</w:t>
            </w:r>
          </w:p>
          <w:p w14:paraId="559B5F43">
            <w:pPr>
              <w:spacing w:line="360" w:lineRule="auto"/>
              <w:rPr>
                <w:rFonts w:ascii="宋体" w:hAnsi="宋体" w:cs="宋体"/>
                <w:b/>
                <w:color w:val="auto"/>
                <w:sz w:val="24"/>
                <w:highlight w:val="none"/>
              </w:rPr>
            </w:pPr>
            <w:r>
              <w:rPr>
                <w:rFonts w:hint="eastAsia" w:ascii="宋体" w:hAnsi="宋体" w:cs="宋体"/>
                <w:color w:val="auto"/>
                <w:sz w:val="24"/>
                <w:highlight w:val="none"/>
              </w:rPr>
              <w:t>2.磋商保证金采用支票、汇票、本票或者金融、担保机构出具的保函交纳方式的，供应商应将支票、汇票、本票或者金融、担保机构出具的保函的复印件作为磋商保证金提交凭证，放置于报价商务技术文件中，</w:t>
            </w:r>
            <w:r>
              <w:rPr>
                <w:rFonts w:hint="eastAsia" w:ascii="宋体" w:hAnsi="宋体" w:cs="宋体"/>
                <w:b/>
                <w:color w:val="auto"/>
                <w:sz w:val="24"/>
                <w:highlight w:val="none"/>
              </w:rPr>
              <w:t>否则响应文件按无效响应处理</w:t>
            </w:r>
            <w:r>
              <w:rPr>
                <w:rFonts w:hint="eastAsia" w:ascii="宋体" w:hAnsi="宋体" w:cs="宋体"/>
                <w:color w:val="auto"/>
                <w:sz w:val="24"/>
                <w:highlight w:val="none"/>
              </w:rPr>
              <w:t>。</w:t>
            </w:r>
            <w:r>
              <w:rPr>
                <w:rFonts w:hint="eastAsia" w:ascii="宋体" w:hAnsi="宋体" w:cs="宋体"/>
                <w:b/>
                <w:color w:val="auto"/>
                <w:sz w:val="24"/>
                <w:highlight w:val="none"/>
              </w:rPr>
              <w:t>供应商必须在首次响应文件提交截止时间前将支票、汇票、本票或者金融、担保机构出具的保函原件提交给采购代理机构，由采购代理机构向供应商出具回执，并妥善保管。</w:t>
            </w:r>
          </w:p>
          <w:p w14:paraId="55853AAA">
            <w:pPr>
              <w:spacing w:line="360" w:lineRule="auto"/>
              <w:rPr>
                <w:rFonts w:ascii="宋体" w:hAnsi="宋体" w:cs="宋体"/>
                <w:b/>
                <w:color w:val="auto"/>
                <w:sz w:val="24"/>
                <w:highlight w:val="none"/>
              </w:rPr>
            </w:pPr>
            <w:r>
              <w:rPr>
                <w:rFonts w:hint="eastAsia" w:ascii="宋体" w:hAnsi="宋体" w:cs="宋体"/>
                <w:color w:val="auto"/>
                <w:sz w:val="24"/>
                <w:highlight w:val="none"/>
              </w:rPr>
              <w:t>3.供应商为联合体的，可以由联合体中的一方或者多方共同交纳磋商保证金，其交纳的保证金对联合体各方均具有约束力。</w:t>
            </w:r>
          </w:p>
          <w:p w14:paraId="1BAC3A9E">
            <w:pPr>
              <w:spacing w:line="360" w:lineRule="auto"/>
              <w:rPr>
                <w:rFonts w:ascii="楷体" w:hAnsi="楷体" w:eastAsia="楷体" w:cs="宋体"/>
                <w:b/>
                <w:color w:val="auto"/>
                <w:sz w:val="24"/>
                <w:highlight w:val="none"/>
              </w:rPr>
            </w:pPr>
            <w:r>
              <w:rPr>
                <w:rFonts w:hint="eastAsia" w:ascii="楷体" w:hAnsi="楷体" w:eastAsia="楷体" w:cs="宋体"/>
                <w:b/>
                <w:color w:val="auto"/>
                <w:sz w:val="24"/>
                <w:highlight w:val="none"/>
              </w:rPr>
              <w:t>【备注】</w:t>
            </w:r>
            <w:r>
              <w:rPr>
                <w:rFonts w:ascii="楷体" w:hAnsi="楷体" w:eastAsia="楷体" w:cs="宋体"/>
                <w:b/>
                <w:color w:val="auto"/>
                <w:sz w:val="24"/>
                <w:highlight w:val="none"/>
              </w:rPr>
              <w:t xml:space="preserve"> </w:t>
            </w:r>
          </w:p>
          <w:p w14:paraId="0665A74C">
            <w:pPr>
              <w:spacing w:line="360" w:lineRule="auto"/>
              <w:rPr>
                <w:rFonts w:ascii="楷体" w:hAnsi="楷体" w:eastAsia="楷体" w:cs="宋体"/>
                <w:b/>
                <w:color w:val="auto"/>
                <w:sz w:val="24"/>
                <w:highlight w:val="none"/>
              </w:rPr>
            </w:pPr>
            <w:r>
              <w:rPr>
                <w:rFonts w:ascii="楷体" w:hAnsi="楷体" w:eastAsia="楷体" w:cs="宋体"/>
                <w:b/>
                <w:color w:val="auto"/>
                <w:sz w:val="24"/>
                <w:highlight w:val="none"/>
              </w:rPr>
              <w:t>1.</w:t>
            </w:r>
            <w:r>
              <w:rPr>
                <w:rFonts w:hint="eastAsia" w:ascii="楷体" w:hAnsi="楷体" w:eastAsia="楷体" w:cs="宋体"/>
                <w:b/>
                <w:color w:val="auto"/>
                <w:sz w:val="24"/>
                <w:highlight w:val="none"/>
              </w:rPr>
              <w:t>磋商保证金在响应文件提交截止时间后提交的，或者不按规定交纳方式交纳的，或者未足额交纳的（包含保函额度不足的），视为无效磋商保证金。</w:t>
            </w:r>
          </w:p>
          <w:p w14:paraId="0A50D0CC">
            <w:pPr>
              <w:spacing w:line="360" w:lineRule="auto"/>
              <w:rPr>
                <w:rFonts w:ascii="楷体" w:hAnsi="楷体" w:eastAsia="楷体" w:cs="宋体"/>
                <w:b/>
                <w:color w:val="auto"/>
                <w:sz w:val="24"/>
                <w:highlight w:val="none"/>
              </w:rPr>
            </w:pPr>
            <w:r>
              <w:rPr>
                <w:rFonts w:ascii="楷体" w:hAnsi="楷体" w:eastAsia="楷体" w:cs="宋体"/>
                <w:b/>
                <w:color w:val="auto"/>
                <w:sz w:val="24"/>
                <w:highlight w:val="none"/>
              </w:rPr>
              <w:t>2.</w:t>
            </w:r>
            <w:r>
              <w:rPr>
                <w:rFonts w:hint="eastAsia" w:ascii="楷体" w:hAnsi="楷体" w:eastAsia="楷体" w:cs="宋体"/>
                <w:b/>
                <w:color w:val="auto"/>
                <w:sz w:val="24"/>
                <w:highlight w:val="none"/>
              </w:rPr>
              <w:t>供应商采用现钞方式或者从个人账户（自然人参加竞争性磋商除外）转出的磋商保证金，视为无效磋商保证金。</w:t>
            </w:r>
          </w:p>
          <w:p w14:paraId="3ACE628D">
            <w:pPr>
              <w:spacing w:line="360" w:lineRule="auto"/>
              <w:rPr>
                <w:rFonts w:ascii="楷体" w:hAnsi="楷体" w:eastAsia="楷体" w:cs="宋体"/>
                <w:b/>
                <w:color w:val="auto"/>
                <w:sz w:val="24"/>
                <w:highlight w:val="none"/>
              </w:rPr>
            </w:pPr>
            <w:r>
              <w:rPr>
                <w:rFonts w:ascii="楷体" w:hAnsi="楷体" w:eastAsia="楷体" w:cs="宋体"/>
                <w:b/>
                <w:color w:val="auto"/>
                <w:sz w:val="24"/>
                <w:highlight w:val="none"/>
              </w:rPr>
              <w:t>3.</w:t>
            </w:r>
            <w:r>
              <w:rPr>
                <w:rFonts w:hint="eastAsia" w:ascii="楷体" w:hAnsi="楷体" w:eastAsia="楷体" w:cs="宋体"/>
                <w:b/>
                <w:color w:val="auto"/>
                <w:sz w:val="24"/>
                <w:highlight w:val="none"/>
              </w:rPr>
              <w:t>支票、汇票或者本票出现无效或者背书情形的，视为无效磋商保证金。</w:t>
            </w:r>
          </w:p>
          <w:p w14:paraId="6D99655A">
            <w:pPr>
              <w:spacing w:line="360" w:lineRule="auto"/>
              <w:rPr>
                <w:rFonts w:ascii="楷体" w:hAnsi="楷体" w:eastAsia="楷体" w:cs="宋体"/>
                <w:b/>
                <w:color w:val="auto"/>
                <w:sz w:val="24"/>
                <w:highlight w:val="none"/>
              </w:rPr>
            </w:pPr>
            <w:r>
              <w:rPr>
                <w:rFonts w:ascii="楷体" w:hAnsi="楷体" w:eastAsia="楷体" w:cs="宋体"/>
                <w:b/>
                <w:color w:val="auto"/>
                <w:sz w:val="24"/>
                <w:highlight w:val="none"/>
              </w:rPr>
              <w:t>4.</w:t>
            </w:r>
            <w:r>
              <w:rPr>
                <w:rFonts w:hint="eastAsia" w:ascii="楷体" w:hAnsi="楷体" w:eastAsia="楷体" w:cs="宋体"/>
                <w:b/>
                <w:color w:val="auto"/>
                <w:sz w:val="24"/>
                <w:highlight w:val="none"/>
              </w:rPr>
              <w:t>保函有效期短于竞争性磋商有效期的，视为无效磋商保证金。</w:t>
            </w:r>
          </w:p>
          <w:p w14:paraId="3938B851">
            <w:pPr>
              <w:spacing w:line="360" w:lineRule="auto"/>
              <w:rPr>
                <w:rFonts w:ascii="宋体" w:hAnsi="宋体" w:cs="宋体"/>
                <w:color w:val="auto"/>
                <w:sz w:val="24"/>
                <w:highlight w:val="none"/>
              </w:rPr>
            </w:pPr>
            <w:r>
              <w:rPr>
                <w:rFonts w:ascii="楷体" w:hAnsi="楷体" w:eastAsia="楷体" w:cs="宋体"/>
                <w:b/>
                <w:color w:val="auto"/>
                <w:sz w:val="24"/>
                <w:highlight w:val="none"/>
              </w:rPr>
              <w:t>5.</w:t>
            </w:r>
            <w:r>
              <w:rPr>
                <w:rFonts w:hint="eastAsia" w:ascii="楷体" w:hAnsi="楷体" w:eastAsia="楷体" w:cs="宋体"/>
                <w:b/>
                <w:color w:val="auto"/>
                <w:sz w:val="24"/>
                <w:highlight w:val="none"/>
              </w:rPr>
              <w:t>采用保函的，必须为无条件保函，否则视为无效磋商保证金。</w:t>
            </w:r>
          </w:p>
        </w:tc>
      </w:tr>
      <w:tr w14:paraId="162E6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92" w:type="dxa"/>
            <w:noWrap w:val="0"/>
            <w:vAlign w:val="center"/>
          </w:tcPr>
          <w:p w14:paraId="6AE8030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18.2</w:t>
            </w:r>
          </w:p>
        </w:tc>
        <w:tc>
          <w:tcPr>
            <w:tcW w:w="8697" w:type="dxa"/>
            <w:noWrap w:val="0"/>
            <w:vAlign w:val="center"/>
          </w:tcPr>
          <w:p w14:paraId="23639B46">
            <w:pPr>
              <w:spacing w:line="360" w:lineRule="auto"/>
              <w:rPr>
                <w:rFonts w:ascii="宋体" w:hAnsi="宋体" w:cs="宋体"/>
                <w:color w:val="auto"/>
                <w:sz w:val="24"/>
                <w:highlight w:val="none"/>
              </w:rPr>
            </w:pPr>
            <w:r>
              <w:rPr>
                <w:rFonts w:hint="eastAsia" w:ascii="宋体" w:hAnsi="宋体" w:cs="宋体"/>
                <w:color w:val="auto"/>
                <w:sz w:val="24"/>
                <w:highlight w:val="none"/>
              </w:rPr>
              <w:t>响应文件应按资格证明文件、报价文件、商务技术文件分别编制，</w:t>
            </w:r>
            <w:r>
              <w:rPr>
                <w:rFonts w:hint="eastAsia" w:ascii="宋体" w:hAnsi="宋体" w:cs="宋体"/>
                <w:color w:val="auto"/>
                <w:sz w:val="24"/>
                <w:highlight w:val="none"/>
                <w:lang w:bidi="ar"/>
              </w:rPr>
              <w:t>并按广西政府采购云平台的要求编制、加密、上传。</w:t>
            </w:r>
          </w:p>
        </w:tc>
      </w:tr>
      <w:tr w14:paraId="1ACC8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92" w:type="dxa"/>
            <w:noWrap w:val="0"/>
            <w:vAlign w:val="center"/>
          </w:tcPr>
          <w:p w14:paraId="364D336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19</w:t>
            </w:r>
            <w:r>
              <w:rPr>
                <w:rFonts w:ascii="宋体" w:hAnsi="宋体" w:cs="宋体"/>
                <w:color w:val="auto"/>
                <w:sz w:val="24"/>
                <w:highlight w:val="none"/>
              </w:rPr>
              <w:t>.2</w:t>
            </w:r>
          </w:p>
        </w:tc>
        <w:tc>
          <w:tcPr>
            <w:tcW w:w="8697" w:type="dxa"/>
            <w:noWrap w:val="0"/>
            <w:vAlign w:val="center"/>
          </w:tcPr>
          <w:p w14:paraId="1945F225">
            <w:pPr>
              <w:spacing w:line="360" w:lineRule="auto"/>
              <w:rPr>
                <w:rFonts w:ascii="宋体" w:hAnsi="宋体" w:cs="宋体"/>
                <w:color w:val="auto"/>
                <w:sz w:val="24"/>
                <w:highlight w:val="none"/>
              </w:rPr>
            </w:pPr>
            <w:r>
              <w:rPr>
                <w:rFonts w:hint="eastAsia" w:ascii="宋体" w:hAnsi="宋体" w:cs="宋体"/>
                <w:color w:val="auto"/>
                <w:sz w:val="24"/>
                <w:highlight w:val="none"/>
              </w:rPr>
              <w:t>本项目不接受电子备份响应文件</w:t>
            </w:r>
          </w:p>
        </w:tc>
      </w:tr>
      <w:tr w14:paraId="6DED5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1CE407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20.1</w:t>
            </w:r>
          </w:p>
        </w:tc>
        <w:tc>
          <w:tcPr>
            <w:tcW w:w="8697" w:type="dxa"/>
            <w:noWrap w:val="0"/>
            <w:vAlign w:val="center"/>
          </w:tcPr>
          <w:p w14:paraId="669DEC75">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首次响应文件提交截止时间：详见竞争性磋商公告。</w:t>
            </w:r>
          </w:p>
          <w:p w14:paraId="78C71501">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首次响应文件提交地点：详见竞争性磋商公告。</w:t>
            </w:r>
          </w:p>
        </w:tc>
      </w:tr>
      <w:tr w14:paraId="57D11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8DCAD5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24.1</w:t>
            </w:r>
          </w:p>
        </w:tc>
        <w:tc>
          <w:tcPr>
            <w:tcW w:w="8697" w:type="dxa"/>
            <w:noWrap w:val="0"/>
            <w:vAlign w:val="center"/>
          </w:tcPr>
          <w:p w14:paraId="106086AD">
            <w:pPr>
              <w:spacing w:line="360" w:lineRule="auto"/>
              <w:rPr>
                <w:rFonts w:ascii="宋体" w:hAnsi="宋体" w:cs="宋体"/>
                <w:color w:val="auto"/>
                <w:sz w:val="24"/>
                <w:highlight w:val="none"/>
                <w:u w:val="single"/>
              </w:rPr>
            </w:pPr>
            <w:r>
              <w:rPr>
                <w:rFonts w:hint="eastAsia" w:ascii="宋体" w:hAnsi="宋体" w:cs="宋体"/>
                <w:color w:val="auto"/>
                <w:sz w:val="24"/>
                <w:highlight w:val="none"/>
              </w:rPr>
              <w:t>磋商小组的人数：3人或以上单数。</w:t>
            </w:r>
          </w:p>
        </w:tc>
      </w:tr>
      <w:tr w14:paraId="70091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11BB02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25.2</w:t>
            </w:r>
          </w:p>
        </w:tc>
        <w:tc>
          <w:tcPr>
            <w:tcW w:w="8697" w:type="dxa"/>
            <w:noWrap w:val="0"/>
            <w:vAlign w:val="center"/>
          </w:tcPr>
          <w:p w14:paraId="43B963C6">
            <w:pPr>
              <w:spacing w:line="360" w:lineRule="auto"/>
              <w:rPr>
                <w:rFonts w:ascii="宋体" w:hAnsi="宋体" w:cs="宋体"/>
                <w:color w:val="auto"/>
                <w:sz w:val="24"/>
                <w:highlight w:val="none"/>
              </w:rPr>
            </w:pPr>
            <w:r>
              <w:rPr>
                <w:rFonts w:hint="eastAsia" w:ascii="宋体" w:hAnsi="宋体" w:cs="宋体"/>
                <w:color w:val="auto"/>
                <w:sz w:val="24"/>
                <w:highlight w:val="none"/>
              </w:rPr>
              <w:t>采购代理机构将依托电子交易平台发起开始解密指令，</w:t>
            </w:r>
            <w:r>
              <w:rPr>
                <w:rFonts w:hint="eastAsia" w:ascii="宋体" w:hAnsi="宋体" w:cs="宋体"/>
                <w:b/>
                <w:color w:val="auto"/>
                <w:sz w:val="24"/>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cs="宋体"/>
                <w:b/>
                <w:bCs/>
                <w:color w:val="auto"/>
                <w:sz w:val="24"/>
                <w:highlight w:val="none"/>
              </w:rPr>
              <w:t>响应文件未按时解密的，</w:t>
            </w:r>
            <w:r>
              <w:rPr>
                <w:rFonts w:hint="eastAsia" w:ascii="宋体" w:hAnsi="宋体" w:cs="宋体"/>
                <w:b/>
                <w:color w:val="auto"/>
                <w:sz w:val="24"/>
                <w:highlight w:val="none"/>
              </w:rPr>
              <w:t>视为响应</w:t>
            </w:r>
            <w:r>
              <w:rPr>
                <w:rFonts w:hint="eastAsia" w:ascii="宋体" w:hAnsi="宋体" w:cs="宋体"/>
                <w:b/>
                <w:bCs/>
                <w:color w:val="auto"/>
                <w:sz w:val="24"/>
                <w:highlight w:val="none"/>
              </w:rPr>
              <w:t>文件无效。</w:t>
            </w:r>
          </w:p>
        </w:tc>
      </w:tr>
      <w:tr w14:paraId="261A9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restart"/>
            <w:noWrap w:val="0"/>
            <w:vAlign w:val="center"/>
          </w:tcPr>
          <w:p w14:paraId="797E44A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26</w:t>
            </w:r>
          </w:p>
        </w:tc>
        <w:tc>
          <w:tcPr>
            <w:tcW w:w="8697" w:type="dxa"/>
            <w:noWrap w:val="0"/>
            <w:vAlign w:val="center"/>
          </w:tcPr>
          <w:p w14:paraId="2B1545E4">
            <w:pPr>
              <w:pStyle w:val="16"/>
              <w:spacing w:line="360" w:lineRule="auto"/>
              <w:jc w:val="both"/>
              <w:rPr>
                <w:rFonts w:ascii="宋体" w:hAnsi="宋体" w:cs="宋体"/>
                <w:color w:val="auto"/>
                <w:sz w:val="24"/>
                <w:highlight w:val="none"/>
              </w:rPr>
            </w:pPr>
            <w:r>
              <w:rPr>
                <w:rFonts w:hint="eastAsia" w:ascii="宋体" w:hAnsi="宋体" w:cs="宋体"/>
                <w:color w:val="auto"/>
                <w:sz w:val="24"/>
                <w:highlight w:val="none"/>
              </w:rPr>
              <w:t>磋商的顺序：按“广西政府采购云平台”系统的编号顺序。</w:t>
            </w:r>
          </w:p>
          <w:p w14:paraId="78019615">
            <w:pPr>
              <w:pStyle w:val="16"/>
              <w:spacing w:line="360" w:lineRule="auto"/>
              <w:jc w:val="both"/>
              <w:rPr>
                <w:rFonts w:ascii="宋体" w:hAnsi="宋体" w:cs="宋体"/>
                <w:b/>
                <w:color w:val="auto"/>
                <w:sz w:val="24"/>
                <w:highlight w:val="none"/>
              </w:rPr>
            </w:pPr>
            <w:r>
              <w:rPr>
                <w:rFonts w:hint="eastAsia" w:ascii="宋体" w:hAnsi="宋体" w:cs="宋体"/>
                <w:b/>
                <w:color w:val="auto"/>
                <w:sz w:val="24"/>
                <w:highlight w:val="none"/>
              </w:rPr>
              <w:t>符合磋商资格的供应商必须在接到磋商通知后规定时间内参加磋商，未在规定时间内参加磋商的视同放弃参加磋商权利，其响应文件按无效响应处理。</w:t>
            </w:r>
          </w:p>
          <w:p w14:paraId="1B1952F1">
            <w:pPr>
              <w:spacing w:line="360" w:lineRule="auto"/>
              <w:rPr>
                <w:rFonts w:ascii="宋体" w:hAnsi="宋体" w:cs="宋体"/>
                <w:color w:val="auto"/>
                <w:sz w:val="24"/>
                <w:highlight w:val="none"/>
              </w:rPr>
            </w:pPr>
            <w:r>
              <w:rPr>
                <w:rFonts w:hint="eastAsia" w:ascii="宋体" w:hAnsi="宋体" w:cs="宋体"/>
                <w:b/>
                <w:color w:val="auto"/>
                <w:sz w:val="24"/>
                <w:highlight w:val="none"/>
              </w:rPr>
              <w:t>注：参与磋商前，供应商法定代表人或者委托代理人向磋商小组出示本人有效证件原件（有效证件可以是身份证（含临时身份证明）或者护照的其中一项）。</w:t>
            </w:r>
          </w:p>
        </w:tc>
      </w:tr>
      <w:tr w14:paraId="5BDA1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Merge w:val="continue"/>
            <w:noWrap w:val="0"/>
            <w:vAlign w:val="center"/>
          </w:tcPr>
          <w:p w14:paraId="11831C16">
            <w:pPr>
              <w:spacing w:line="360" w:lineRule="auto"/>
              <w:jc w:val="center"/>
              <w:rPr>
                <w:rFonts w:ascii="宋体" w:hAnsi="宋体" w:cs="宋体"/>
                <w:color w:val="auto"/>
                <w:sz w:val="24"/>
                <w:highlight w:val="none"/>
              </w:rPr>
            </w:pPr>
          </w:p>
        </w:tc>
        <w:tc>
          <w:tcPr>
            <w:tcW w:w="8697" w:type="dxa"/>
            <w:noWrap w:val="0"/>
            <w:vAlign w:val="center"/>
          </w:tcPr>
          <w:p w14:paraId="11A5C402">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商务要求评审中允许负偏离的条款数为:</w:t>
            </w:r>
            <w:r>
              <w:rPr>
                <w:rFonts w:hint="eastAsia" w:ascii="宋体" w:hAnsi="宋体" w:cs="宋体"/>
                <w:color w:val="auto"/>
                <w:sz w:val="24"/>
                <w:highlight w:val="none"/>
                <w:u w:val="single"/>
              </w:rPr>
              <w:t xml:space="preserve"> 0 </w:t>
            </w:r>
            <w:r>
              <w:rPr>
                <w:rFonts w:hint="eastAsia" w:ascii="宋体" w:hAnsi="宋体" w:cs="宋体"/>
                <w:color w:val="auto"/>
                <w:sz w:val="24"/>
                <w:highlight w:val="none"/>
              </w:rPr>
              <w:t xml:space="preserve"> 项</w:t>
            </w:r>
          </w:p>
          <w:p w14:paraId="44F16E3A">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服务要求评审中允许负偏离的条款数为:</w:t>
            </w:r>
            <w:r>
              <w:rPr>
                <w:rFonts w:hint="eastAsia" w:ascii="宋体" w:hAnsi="宋体" w:cs="宋体"/>
                <w:color w:val="auto"/>
                <w:sz w:val="24"/>
                <w:highlight w:val="none"/>
                <w:u w:val="single"/>
              </w:rPr>
              <w:t xml:space="preserve"> 0  </w:t>
            </w:r>
            <w:r>
              <w:rPr>
                <w:rFonts w:hint="eastAsia" w:ascii="宋体" w:hAnsi="宋体" w:cs="宋体"/>
                <w:color w:val="auto"/>
                <w:sz w:val="24"/>
                <w:highlight w:val="none"/>
              </w:rPr>
              <w:t>项</w:t>
            </w:r>
          </w:p>
        </w:tc>
      </w:tr>
      <w:tr w14:paraId="414B9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528B02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28.1</w:t>
            </w:r>
          </w:p>
        </w:tc>
        <w:tc>
          <w:tcPr>
            <w:tcW w:w="8697" w:type="dxa"/>
            <w:noWrap w:val="0"/>
            <w:vAlign w:val="center"/>
          </w:tcPr>
          <w:p w14:paraId="7637B2E1">
            <w:pPr>
              <w:spacing w:line="360" w:lineRule="auto"/>
              <w:contextualSpacing/>
              <w:rPr>
                <w:rFonts w:ascii="宋体" w:hAnsi="宋体" w:cs="宋体"/>
                <w:color w:val="auto"/>
                <w:sz w:val="24"/>
                <w:highlight w:val="none"/>
              </w:rPr>
            </w:pPr>
            <w:r>
              <w:rPr>
                <w:rFonts w:ascii="Wingdings" w:hAnsi="Wingdings" w:eastAsia="Wingdings" w:cs="Wingdings"/>
                <w:color w:val="auto"/>
                <w:sz w:val="24"/>
                <w:highlight w:val="none"/>
              </w:rPr>
              <w:sym w:font="Wingdings" w:char="00FE"/>
            </w:r>
            <w:r>
              <w:rPr>
                <w:rFonts w:hint="eastAsia" w:ascii="宋体" w:hAnsi="宋体" w:cs="宋体"/>
                <w:color w:val="auto"/>
                <w:sz w:val="24"/>
                <w:highlight w:val="none"/>
              </w:rPr>
              <w:t>本项目不收取履约保证金。</w:t>
            </w:r>
          </w:p>
          <w:p w14:paraId="5C420E74">
            <w:pPr>
              <w:spacing w:line="360" w:lineRule="auto"/>
              <w:contextualSpacing/>
              <w:rPr>
                <w:rFonts w:ascii="宋体" w:hAnsi="宋体" w:cs="宋体"/>
                <w:color w:val="auto"/>
                <w:sz w:val="24"/>
                <w:highlight w:val="none"/>
              </w:rPr>
            </w:pPr>
            <w:r>
              <w:rPr>
                <w:rFonts w:ascii="Wingdings" w:hAnsi="Wingdings" w:eastAsia="Wingdings" w:cs="Wingdings"/>
                <w:color w:val="auto"/>
                <w:sz w:val="24"/>
                <w:highlight w:val="none"/>
              </w:rPr>
              <w:sym w:font="Wingdings" w:char="00A8"/>
            </w:r>
            <w:r>
              <w:rPr>
                <w:rFonts w:hint="eastAsia" w:ascii="宋体" w:hAnsi="宋体" w:cs="宋体"/>
                <w:color w:val="auto"/>
                <w:sz w:val="24"/>
                <w:highlight w:val="none"/>
              </w:rPr>
              <w:t>本项目收取履约保证金：详见商务条款。</w:t>
            </w:r>
          </w:p>
          <w:p w14:paraId="0EF6FD69">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履约保证金递交方式：详见商务条款</w:t>
            </w:r>
          </w:p>
          <w:p w14:paraId="1D43FBB6">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履约保证金退付方式、时间及条件详见商务条款。</w:t>
            </w:r>
          </w:p>
          <w:p w14:paraId="3EE856F9">
            <w:pPr>
              <w:spacing w:line="360" w:lineRule="auto"/>
              <w:contextualSpacing/>
              <w:rPr>
                <w:rFonts w:ascii="楷体" w:hAnsi="楷体" w:eastAsia="楷体" w:cs="宋体"/>
                <w:b/>
                <w:color w:val="auto"/>
                <w:sz w:val="24"/>
                <w:highlight w:val="none"/>
              </w:rPr>
            </w:pPr>
            <w:r>
              <w:rPr>
                <w:rFonts w:hint="eastAsia" w:ascii="楷体" w:hAnsi="楷体" w:eastAsia="楷体" w:cs="宋体"/>
                <w:b/>
                <w:color w:val="auto"/>
                <w:sz w:val="24"/>
                <w:highlight w:val="none"/>
              </w:rPr>
              <w:t>【备注】</w:t>
            </w:r>
          </w:p>
          <w:p w14:paraId="7BB39BF9">
            <w:pPr>
              <w:spacing w:line="360" w:lineRule="auto"/>
              <w:contextualSpacing/>
              <w:rPr>
                <w:rFonts w:ascii="楷体" w:hAnsi="楷体" w:eastAsia="楷体" w:cs="宋体"/>
                <w:b/>
                <w:color w:val="auto"/>
                <w:sz w:val="24"/>
                <w:highlight w:val="none"/>
              </w:rPr>
            </w:pPr>
            <w:r>
              <w:rPr>
                <w:rFonts w:ascii="楷体" w:hAnsi="楷体" w:eastAsia="楷体" w:cs="宋体"/>
                <w:b/>
                <w:color w:val="auto"/>
                <w:sz w:val="24"/>
                <w:highlight w:val="none"/>
              </w:rPr>
              <w:t>1.</w:t>
            </w:r>
            <w:r>
              <w:rPr>
                <w:rFonts w:hint="eastAsia" w:ascii="楷体" w:hAnsi="楷体" w:eastAsia="楷体" w:cs="宋体"/>
                <w:b/>
                <w:color w:val="auto"/>
                <w:sz w:val="24"/>
                <w:highlight w:val="none"/>
              </w:rPr>
              <w:t>根据《广西壮族自治区财政厅关于持续优化政府采购营商环境推动高质量发展的通知》（桂财采〔2024〕55号），采购文件要求中标或者成交供应商提交履约保证金的，履约保证金数额不得超过政府采购合同金额的5%，对中小企业收取的履约保证金数额不得超过政府采购合同金额的2%。</w:t>
            </w:r>
          </w:p>
          <w:p w14:paraId="1F47A9EB">
            <w:pPr>
              <w:spacing w:line="360" w:lineRule="auto"/>
              <w:contextualSpacing/>
              <w:rPr>
                <w:rFonts w:ascii="楷体" w:hAnsi="楷体" w:eastAsia="楷体" w:cs="宋体"/>
                <w:b/>
                <w:color w:val="auto"/>
                <w:sz w:val="24"/>
                <w:highlight w:val="none"/>
              </w:rPr>
            </w:pPr>
            <w:r>
              <w:rPr>
                <w:rFonts w:ascii="楷体" w:hAnsi="楷体" w:eastAsia="楷体" w:cs="宋体"/>
                <w:b/>
                <w:color w:val="auto"/>
                <w:sz w:val="24"/>
                <w:highlight w:val="none"/>
              </w:rPr>
              <w:t>2.</w:t>
            </w:r>
            <w:r>
              <w:rPr>
                <w:rFonts w:hint="eastAsia"/>
                <w:color w:val="auto"/>
                <w:highlight w:val="none"/>
              </w:rPr>
              <w:t xml:space="preserve"> </w:t>
            </w:r>
            <w:r>
              <w:rPr>
                <w:rFonts w:hint="eastAsia" w:ascii="楷体" w:hAnsi="楷体" w:eastAsia="楷体" w:cs="宋体"/>
                <w:b/>
                <w:color w:val="auto"/>
                <w:sz w:val="24"/>
                <w:highlight w:val="none"/>
              </w:rPr>
              <w:t>履约保证金必须足额缴纳，或出具的保函额度必须足额且保函有效期不能低于合同履行期限（即签订采购合同之日起至履行完合同约定的权利及义务之日止），否则视为无效履约保证金。</w:t>
            </w:r>
          </w:p>
          <w:p w14:paraId="6587C0DF">
            <w:pPr>
              <w:spacing w:line="360" w:lineRule="auto"/>
              <w:rPr>
                <w:rFonts w:ascii="楷体" w:hAnsi="楷体" w:eastAsia="楷体" w:cs="宋体"/>
                <w:b/>
                <w:color w:val="auto"/>
                <w:sz w:val="24"/>
                <w:highlight w:val="none"/>
              </w:rPr>
            </w:pPr>
            <w:r>
              <w:rPr>
                <w:rFonts w:ascii="楷体" w:hAnsi="楷体" w:eastAsia="楷体" w:cs="宋体"/>
                <w:b/>
                <w:color w:val="auto"/>
                <w:sz w:val="24"/>
                <w:highlight w:val="none"/>
              </w:rPr>
              <w:t>3.采用保函的，必须为无条件保函</w:t>
            </w:r>
            <w:r>
              <w:rPr>
                <w:rFonts w:hint="eastAsia" w:ascii="楷体" w:hAnsi="楷体" w:eastAsia="楷体" w:cs="宋体"/>
                <w:b/>
                <w:color w:val="auto"/>
                <w:sz w:val="24"/>
                <w:highlight w:val="none"/>
              </w:rPr>
              <w:t>，否则视为无效履约保证金。</w:t>
            </w:r>
          </w:p>
          <w:p w14:paraId="7E5514FD">
            <w:pPr>
              <w:spacing w:line="360" w:lineRule="auto"/>
              <w:rPr>
                <w:rFonts w:ascii="宋体" w:hAnsi="宋体" w:cs="宋体"/>
                <w:color w:val="auto"/>
                <w:sz w:val="24"/>
                <w:highlight w:val="none"/>
              </w:rPr>
            </w:pPr>
            <w:r>
              <w:rPr>
                <w:rFonts w:ascii="楷体" w:hAnsi="楷体" w:eastAsia="楷体" w:cs="宋体"/>
                <w:b/>
                <w:color w:val="auto"/>
                <w:sz w:val="24"/>
                <w:highlight w:val="none"/>
              </w:rPr>
              <w:t>4.</w:t>
            </w:r>
            <w:r>
              <w:rPr>
                <w:rFonts w:hint="eastAsia" w:ascii="楷体" w:hAnsi="楷体" w:eastAsia="楷体" w:cs="宋体"/>
                <w:b/>
                <w:color w:val="auto"/>
                <w:sz w:val="24"/>
                <w:highlight w:val="none"/>
                <w:lang w:val="en-US" w:eastAsia="zh-CN"/>
              </w:rPr>
              <w:t>竞标人</w:t>
            </w:r>
            <w:r>
              <w:rPr>
                <w:rFonts w:ascii="楷体" w:hAnsi="楷体" w:eastAsia="楷体" w:cs="宋体"/>
                <w:b/>
                <w:color w:val="auto"/>
                <w:sz w:val="24"/>
                <w:highlight w:val="none"/>
              </w:rPr>
              <w:t>为联合体的，由联合体其中一方按规定提交的履约保证金，视为有效履约保证金。</w:t>
            </w:r>
          </w:p>
        </w:tc>
      </w:tr>
      <w:tr w14:paraId="69597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585B43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29.1</w:t>
            </w:r>
          </w:p>
        </w:tc>
        <w:tc>
          <w:tcPr>
            <w:tcW w:w="8697" w:type="dxa"/>
            <w:noWrap w:val="0"/>
            <w:vAlign w:val="center"/>
          </w:tcPr>
          <w:p w14:paraId="67C0B93C">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签订合同携带的证明材料： </w:t>
            </w:r>
          </w:p>
          <w:p w14:paraId="64C5D791">
            <w:pPr>
              <w:spacing w:line="360" w:lineRule="auto"/>
              <w:rPr>
                <w:rFonts w:ascii="宋体" w:hAnsi="宋体" w:cs="宋体"/>
                <w:color w:val="auto"/>
                <w:sz w:val="24"/>
                <w:highlight w:val="none"/>
              </w:rPr>
            </w:pPr>
            <w:r>
              <w:rPr>
                <w:rFonts w:hint="eastAsia" w:ascii="宋体" w:hAnsi="宋体" w:cs="宋体"/>
                <w:color w:val="auto"/>
                <w:sz w:val="24"/>
                <w:highlight w:val="none"/>
              </w:rPr>
              <w:t>1.委托代理人负责签订合同的，须携带授权委托书及委托代理人身份证原件等其他资格证件。</w:t>
            </w:r>
          </w:p>
          <w:p w14:paraId="6F18A7B6">
            <w:pPr>
              <w:spacing w:line="360" w:lineRule="auto"/>
              <w:rPr>
                <w:rFonts w:ascii="宋体" w:hAnsi="宋体" w:cs="宋体"/>
                <w:color w:val="auto"/>
                <w:sz w:val="24"/>
                <w:highlight w:val="none"/>
              </w:rPr>
            </w:pPr>
            <w:r>
              <w:rPr>
                <w:rFonts w:hint="eastAsia" w:ascii="宋体" w:hAnsi="宋体" w:cs="宋体"/>
                <w:color w:val="auto"/>
                <w:sz w:val="24"/>
                <w:highlight w:val="none"/>
              </w:rPr>
              <w:t>2.法定代表人负责签订合同的，须携带法定代表人身份证明原件及身份证原件等其他证明材料。</w:t>
            </w:r>
          </w:p>
        </w:tc>
      </w:tr>
      <w:tr w14:paraId="3551A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D35DBE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31.2</w:t>
            </w:r>
          </w:p>
        </w:tc>
        <w:tc>
          <w:tcPr>
            <w:tcW w:w="8697" w:type="dxa"/>
            <w:noWrap w:val="0"/>
            <w:vAlign w:val="center"/>
          </w:tcPr>
          <w:p w14:paraId="637EE61E">
            <w:pPr>
              <w:pStyle w:val="24"/>
              <w:spacing w:line="360" w:lineRule="auto"/>
              <w:rPr>
                <w:rFonts w:hAnsi="宋体" w:cs="宋体"/>
                <w:color w:val="auto"/>
                <w:sz w:val="24"/>
                <w:szCs w:val="24"/>
                <w:highlight w:val="none"/>
              </w:rPr>
            </w:pPr>
            <w:r>
              <w:rPr>
                <w:rFonts w:hint="eastAsia" w:hAnsi="宋体" w:cs="宋体"/>
                <w:color w:val="auto"/>
                <w:sz w:val="24"/>
                <w:szCs w:val="24"/>
                <w:highlight w:val="none"/>
              </w:rPr>
              <w:t>接收质疑函方式：以纸质书面形式。</w:t>
            </w:r>
          </w:p>
          <w:p w14:paraId="2EE3C533">
            <w:pPr>
              <w:pStyle w:val="24"/>
              <w:spacing w:line="360" w:lineRule="auto"/>
              <w:rPr>
                <w:rFonts w:hint="eastAsia" w:hAnsi="宋体" w:eastAsia="宋体" w:cs="宋体"/>
                <w:color w:val="auto"/>
                <w:sz w:val="24"/>
                <w:szCs w:val="24"/>
                <w:highlight w:val="none"/>
                <w:lang w:eastAsia="zh-CN"/>
              </w:rPr>
            </w:pPr>
            <w:r>
              <w:rPr>
                <w:rFonts w:hint="eastAsia" w:hAnsi="宋体" w:cs="宋体"/>
                <w:color w:val="auto"/>
                <w:sz w:val="24"/>
                <w:szCs w:val="24"/>
                <w:highlight w:val="none"/>
              </w:rPr>
              <w:t>质疑联系部门及联系方式：</w:t>
            </w:r>
            <w:r>
              <w:rPr>
                <w:rFonts w:hint="eastAsia" w:hAnsi="宋体" w:cs="宋体"/>
                <w:color w:val="auto"/>
                <w:sz w:val="24"/>
                <w:szCs w:val="24"/>
                <w:highlight w:val="none"/>
                <w:lang w:eastAsia="zh-CN"/>
              </w:rPr>
              <w:t>广西建设工程机电设备招标中心有限公司</w:t>
            </w:r>
          </w:p>
          <w:p w14:paraId="08D71C31">
            <w:pPr>
              <w:pStyle w:val="24"/>
              <w:spacing w:line="360" w:lineRule="auto"/>
              <w:rPr>
                <w:rFonts w:hint="eastAsia" w:hAnsi="宋体" w:eastAsia="宋体" w:cs="宋体"/>
                <w:color w:val="auto"/>
                <w:sz w:val="24"/>
                <w:szCs w:val="24"/>
                <w:highlight w:val="none"/>
                <w:lang w:eastAsia="zh-CN"/>
              </w:rPr>
            </w:pPr>
            <w:r>
              <w:rPr>
                <w:rFonts w:hint="eastAsia" w:hAnsi="宋体" w:cs="宋体"/>
                <w:color w:val="auto"/>
                <w:sz w:val="24"/>
                <w:szCs w:val="24"/>
                <w:highlight w:val="none"/>
              </w:rPr>
              <w:t>质疑联系人：</w:t>
            </w:r>
            <w:r>
              <w:rPr>
                <w:rFonts w:hint="eastAsia" w:hAnsi="宋体" w:cs="宋体"/>
                <w:color w:val="auto"/>
                <w:sz w:val="24"/>
                <w:szCs w:val="24"/>
                <w:highlight w:val="none"/>
                <w:lang w:val="en-US" w:eastAsia="zh-CN"/>
              </w:rPr>
              <w:t>宾胜全</w:t>
            </w:r>
            <w:r>
              <w:rPr>
                <w:rFonts w:hAnsi="宋体" w:cs="宋体"/>
                <w:color w:val="auto"/>
                <w:sz w:val="24"/>
                <w:szCs w:val="24"/>
                <w:highlight w:val="none"/>
              </w:rPr>
              <w:t xml:space="preserve">  </w:t>
            </w:r>
            <w:r>
              <w:rPr>
                <w:rFonts w:hint="eastAsia" w:hAnsi="宋体" w:cs="宋体"/>
                <w:color w:val="auto"/>
                <w:sz w:val="24"/>
                <w:szCs w:val="24"/>
                <w:highlight w:val="none"/>
              </w:rPr>
              <w:t>联系电话：</w:t>
            </w:r>
            <w:r>
              <w:rPr>
                <w:rFonts w:hint="eastAsia" w:hAnsi="宋体" w:cs="宋体"/>
                <w:color w:val="auto"/>
                <w:sz w:val="24"/>
                <w:szCs w:val="24"/>
                <w:highlight w:val="none"/>
                <w:lang w:eastAsia="zh-CN"/>
              </w:rPr>
              <w:t>0771-2808057</w:t>
            </w:r>
          </w:p>
          <w:p w14:paraId="74A65482">
            <w:pPr>
              <w:pStyle w:val="24"/>
              <w:spacing w:line="360" w:lineRule="auto"/>
              <w:rPr>
                <w:rFonts w:hint="eastAsia" w:hAnsi="宋体" w:eastAsia="宋体" w:cs="宋体"/>
                <w:color w:val="auto"/>
                <w:sz w:val="24"/>
                <w:szCs w:val="24"/>
                <w:highlight w:val="none"/>
                <w:lang w:eastAsia="zh-CN"/>
              </w:rPr>
            </w:pPr>
            <w:r>
              <w:rPr>
                <w:rFonts w:hint="eastAsia" w:hAnsi="宋体" w:cs="宋体"/>
                <w:color w:val="auto"/>
                <w:sz w:val="24"/>
                <w:szCs w:val="24"/>
                <w:highlight w:val="none"/>
              </w:rPr>
              <w:t>通讯地址：</w:t>
            </w:r>
            <w:r>
              <w:rPr>
                <w:rFonts w:hint="eastAsia" w:hAnsi="宋体" w:cs="宋体"/>
                <w:color w:val="auto"/>
                <w:sz w:val="24"/>
                <w:szCs w:val="24"/>
                <w:highlight w:val="none"/>
                <w:lang w:eastAsia="zh-CN"/>
              </w:rPr>
              <w:t>广西南宁市青秀区枫林路18号广西国控集团（枫林路办公区）裙楼三层</w:t>
            </w:r>
          </w:p>
          <w:p w14:paraId="4705825B">
            <w:pPr>
              <w:pStyle w:val="24"/>
              <w:spacing w:line="360" w:lineRule="auto"/>
              <w:rPr>
                <w:rFonts w:hAnsi="宋体" w:cs="宋体"/>
                <w:color w:val="auto"/>
                <w:sz w:val="24"/>
                <w:szCs w:val="24"/>
                <w:highlight w:val="none"/>
              </w:rPr>
            </w:pPr>
            <w:r>
              <w:rPr>
                <w:rFonts w:hint="eastAsia" w:hAnsi="宋体" w:cs="宋体"/>
                <w:color w:val="auto"/>
                <w:sz w:val="24"/>
                <w:szCs w:val="24"/>
                <w:highlight w:val="none"/>
              </w:rPr>
              <w:t>业务时间：工作日，上午8:00-12:00；下午15:00-18:00（北京时间）</w:t>
            </w:r>
          </w:p>
        </w:tc>
      </w:tr>
      <w:tr w14:paraId="4AD3C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jc w:val="center"/>
        </w:trPr>
        <w:tc>
          <w:tcPr>
            <w:tcW w:w="992" w:type="dxa"/>
            <w:noWrap w:val="0"/>
            <w:vAlign w:val="center"/>
          </w:tcPr>
          <w:p w14:paraId="350DA24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32.1</w:t>
            </w:r>
          </w:p>
        </w:tc>
        <w:tc>
          <w:tcPr>
            <w:tcW w:w="8697" w:type="dxa"/>
            <w:noWrap w:val="0"/>
            <w:vAlign w:val="center"/>
          </w:tcPr>
          <w:p w14:paraId="73F082EE">
            <w:pPr>
              <w:pStyle w:val="24"/>
              <w:spacing w:line="360" w:lineRule="auto"/>
              <w:rPr>
                <w:rFonts w:hAnsi="宋体" w:cs="宋体"/>
                <w:color w:val="auto"/>
                <w:sz w:val="24"/>
                <w:szCs w:val="24"/>
                <w:highlight w:val="none"/>
              </w:rPr>
            </w:pPr>
            <w:r>
              <w:rPr>
                <w:rFonts w:hint="eastAsia" w:hAnsi="宋体" w:cs="宋体"/>
                <w:color w:val="auto"/>
                <w:sz w:val="24"/>
                <w:szCs w:val="24"/>
                <w:highlight w:val="none"/>
              </w:rPr>
              <w:t>1</w:t>
            </w:r>
            <w:r>
              <w:rPr>
                <w:rFonts w:hint="eastAsia" w:hAnsi="宋体" w:cs="宋体"/>
                <w:color w:val="auto"/>
                <w:sz w:val="24"/>
                <w:highlight w:val="none"/>
                <w:lang w:bidi="ar"/>
              </w:rPr>
              <w:t>.</w:t>
            </w:r>
            <w:r>
              <w:rPr>
                <w:rFonts w:hint="eastAsia" w:hAnsi="宋体" w:cs="宋体"/>
                <w:color w:val="auto"/>
                <w:sz w:val="24"/>
                <w:szCs w:val="24"/>
                <w:highlight w:val="none"/>
              </w:rPr>
              <w:t>采购代理服务费支付方式：本项目的招标代理服务费按以下收费标准向成交供应商收取，领取成交通知书前，成交供应商应向采购代理机构一次付清招标代理服务费。</w:t>
            </w:r>
          </w:p>
          <w:p w14:paraId="68D72768">
            <w:pPr>
              <w:pStyle w:val="24"/>
              <w:spacing w:line="360" w:lineRule="auto"/>
              <w:rPr>
                <w:rFonts w:hAnsi="宋体" w:cs="宋体"/>
                <w:color w:val="auto"/>
                <w:sz w:val="24"/>
                <w:szCs w:val="24"/>
                <w:highlight w:val="none"/>
              </w:rPr>
            </w:pPr>
            <w:r>
              <w:rPr>
                <w:rFonts w:hint="eastAsia" w:hAnsi="宋体" w:cs="宋体"/>
                <w:color w:val="auto"/>
                <w:sz w:val="24"/>
                <w:szCs w:val="24"/>
                <w:highlight w:val="none"/>
              </w:rPr>
              <w:t>2</w:t>
            </w:r>
            <w:r>
              <w:rPr>
                <w:rFonts w:hint="eastAsia" w:hAnsi="宋体" w:cs="宋体"/>
                <w:color w:val="auto"/>
                <w:sz w:val="24"/>
                <w:highlight w:val="none"/>
                <w:lang w:bidi="ar"/>
              </w:rPr>
              <w:t>.</w:t>
            </w:r>
            <w:r>
              <w:rPr>
                <w:rFonts w:hint="eastAsia" w:hAnsi="宋体" w:cs="宋体"/>
                <w:color w:val="auto"/>
                <w:sz w:val="24"/>
                <w:szCs w:val="24"/>
                <w:highlight w:val="none"/>
              </w:rPr>
              <w:t>采购代理服务费收取标准：</w:t>
            </w:r>
          </w:p>
          <w:p w14:paraId="6DE3261A">
            <w:pPr>
              <w:pStyle w:val="24"/>
              <w:spacing w:line="360" w:lineRule="auto"/>
              <w:rPr>
                <w:rFonts w:hAnsi="宋体" w:cs="宋体"/>
                <w:color w:val="auto"/>
                <w:sz w:val="24"/>
                <w:szCs w:val="24"/>
                <w:highlight w:val="none"/>
              </w:rPr>
            </w:pPr>
            <w:r>
              <w:rPr>
                <w:rFonts w:hint="eastAsia" w:hAnsi="宋体" w:cs="宋体"/>
                <w:color w:val="auto"/>
                <w:sz w:val="24"/>
                <w:szCs w:val="24"/>
                <w:highlight w:val="none"/>
              </w:rPr>
              <w:t>以项目成交金额为计费额，按本磋商文件之《供应商须知正文》第32.2条规定的收费计算标准服务类采用差额定率累进法计算出收费基准价格，采购代理服务费收费以收费基准价格</w:t>
            </w:r>
            <w:r>
              <w:rPr>
                <w:rFonts w:hint="eastAsia" w:hAnsi="宋体" w:cs="宋体"/>
                <w:color w:val="auto"/>
                <w:sz w:val="24"/>
                <w:szCs w:val="24"/>
                <w:highlight w:val="none"/>
                <w:lang w:val="en-US" w:eastAsia="zh-CN"/>
              </w:rPr>
              <w:t>下浮20%</w:t>
            </w:r>
            <w:r>
              <w:rPr>
                <w:rFonts w:hint="eastAsia" w:hAnsi="宋体" w:cs="宋体"/>
                <w:color w:val="auto"/>
                <w:sz w:val="24"/>
                <w:szCs w:val="24"/>
                <w:highlight w:val="none"/>
              </w:rPr>
              <w:t>收取。</w:t>
            </w:r>
          </w:p>
          <w:p w14:paraId="60C7672A">
            <w:pPr>
              <w:pStyle w:val="24"/>
              <w:spacing w:line="360" w:lineRule="auto"/>
              <w:rPr>
                <w:rFonts w:hAnsi="宋体" w:cs="宋体"/>
                <w:color w:val="auto"/>
                <w:sz w:val="24"/>
                <w:szCs w:val="24"/>
                <w:highlight w:val="none"/>
              </w:rPr>
            </w:pPr>
            <w:r>
              <w:rPr>
                <w:rFonts w:hint="eastAsia" w:hAnsi="宋体" w:cs="宋体"/>
                <w:color w:val="auto"/>
                <w:sz w:val="24"/>
                <w:szCs w:val="24"/>
                <w:highlight w:val="none"/>
              </w:rPr>
              <w:t>3</w:t>
            </w:r>
            <w:r>
              <w:rPr>
                <w:rFonts w:hint="eastAsia" w:hAnsi="宋体" w:cs="宋体"/>
                <w:color w:val="auto"/>
                <w:sz w:val="24"/>
                <w:highlight w:val="none"/>
                <w:lang w:bidi="ar"/>
              </w:rPr>
              <w:t>.</w:t>
            </w:r>
            <w:r>
              <w:rPr>
                <w:rFonts w:hint="eastAsia" w:hAnsi="宋体" w:cs="宋体"/>
                <w:color w:val="auto"/>
                <w:sz w:val="24"/>
                <w:szCs w:val="24"/>
                <w:highlight w:val="none"/>
              </w:rPr>
              <w:t>采购代理服务费收取银行账号：</w:t>
            </w:r>
          </w:p>
          <w:p w14:paraId="053BCBCD">
            <w:pPr>
              <w:pStyle w:val="24"/>
              <w:spacing w:line="360" w:lineRule="auto"/>
              <w:rPr>
                <w:rFonts w:hint="eastAsia" w:hAnsi="宋体" w:eastAsia="宋体" w:cs="宋体"/>
                <w:color w:val="auto"/>
                <w:sz w:val="24"/>
                <w:szCs w:val="24"/>
                <w:highlight w:val="none"/>
                <w:lang w:eastAsia="zh-CN"/>
              </w:rPr>
            </w:pPr>
            <w:r>
              <w:rPr>
                <w:rFonts w:hint="eastAsia" w:hAnsi="宋体" w:cs="宋体"/>
                <w:color w:val="auto"/>
                <w:sz w:val="24"/>
                <w:szCs w:val="24"/>
                <w:highlight w:val="none"/>
              </w:rPr>
              <w:t>开户名称：</w:t>
            </w:r>
            <w:r>
              <w:rPr>
                <w:rFonts w:hint="eastAsia" w:hAnsi="宋体" w:cs="宋体"/>
                <w:color w:val="auto"/>
                <w:sz w:val="24"/>
                <w:szCs w:val="24"/>
                <w:highlight w:val="none"/>
                <w:lang w:eastAsia="zh-CN"/>
              </w:rPr>
              <w:t>广西建设工程机电设备招标中心有限公司</w:t>
            </w:r>
          </w:p>
          <w:p w14:paraId="3E35216E">
            <w:pPr>
              <w:pStyle w:val="24"/>
              <w:spacing w:line="360" w:lineRule="auto"/>
              <w:rPr>
                <w:rFonts w:hAnsi="宋体" w:cs="宋体"/>
                <w:color w:val="auto"/>
                <w:sz w:val="24"/>
                <w:szCs w:val="24"/>
                <w:highlight w:val="none"/>
              </w:rPr>
            </w:pPr>
            <w:r>
              <w:rPr>
                <w:rFonts w:hint="eastAsia" w:hAnsi="宋体" w:cs="宋体"/>
                <w:color w:val="auto"/>
                <w:sz w:val="24"/>
                <w:szCs w:val="24"/>
                <w:highlight w:val="none"/>
              </w:rPr>
              <w:t>开户银行： 招商银行南宁分行营业部</w:t>
            </w:r>
          </w:p>
          <w:p w14:paraId="0A1DE1C6">
            <w:pPr>
              <w:pStyle w:val="24"/>
              <w:spacing w:line="360" w:lineRule="auto"/>
              <w:rPr>
                <w:rFonts w:hAnsi="宋体" w:cs="宋体"/>
                <w:color w:val="auto"/>
                <w:sz w:val="24"/>
                <w:szCs w:val="24"/>
                <w:highlight w:val="none"/>
              </w:rPr>
            </w:pPr>
            <w:r>
              <w:rPr>
                <w:rFonts w:hint="eastAsia" w:hAnsi="宋体" w:cs="宋体"/>
                <w:color w:val="auto"/>
                <w:sz w:val="24"/>
                <w:szCs w:val="24"/>
                <w:highlight w:val="none"/>
              </w:rPr>
              <w:t>账    号： 7719  0142  3310  201；</w:t>
            </w:r>
          </w:p>
        </w:tc>
      </w:tr>
      <w:tr w14:paraId="698D9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5E0510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33.1</w:t>
            </w:r>
          </w:p>
        </w:tc>
        <w:tc>
          <w:tcPr>
            <w:tcW w:w="8697" w:type="dxa"/>
            <w:noWrap w:val="0"/>
            <w:vAlign w:val="center"/>
          </w:tcPr>
          <w:p w14:paraId="53F4E15D">
            <w:pPr>
              <w:pStyle w:val="24"/>
              <w:spacing w:line="360" w:lineRule="auto"/>
              <w:rPr>
                <w:rFonts w:hAnsi="宋体" w:cs="宋体"/>
                <w:color w:val="auto"/>
                <w:sz w:val="24"/>
                <w:szCs w:val="24"/>
                <w:highlight w:val="none"/>
              </w:rPr>
            </w:pPr>
            <w:r>
              <w:rPr>
                <w:rFonts w:hint="eastAsia" w:hAnsi="宋体" w:cs="宋体"/>
                <w:color w:val="auto"/>
                <w:sz w:val="24"/>
                <w:szCs w:val="24"/>
                <w:highlight w:val="none"/>
              </w:rPr>
              <w:t>解释：构成本磋商文件的各个组成文件应互为解释，互为说明；除磋商文件中有特别规定外，仅适用于竞争性磋商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7DDA0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65A3EB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33.2</w:t>
            </w:r>
          </w:p>
        </w:tc>
        <w:tc>
          <w:tcPr>
            <w:tcW w:w="8697" w:type="dxa"/>
            <w:noWrap w:val="0"/>
            <w:vAlign w:val="center"/>
          </w:tcPr>
          <w:p w14:paraId="2CD29EBB">
            <w:pPr>
              <w:pStyle w:val="24"/>
              <w:spacing w:line="360" w:lineRule="auto"/>
              <w:rPr>
                <w:rFonts w:hAnsi="宋体" w:cs="宋体"/>
                <w:bCs/>
                <w:color w:val="auto"/>
                <w:sz w:val="24"/>
                <w:szCs w:val="24"/>
                <w:highlight w:val="none"/>
              </w:rPr>
            </w:pPr>
            <w:r>
              <w:rPr>
                <w:rFonts w:hint="eastAsia" w:hAnsi="宋体" w:cs="宋体"/>
                <w:bCs/>
                <w:color w:val="auto"/>
                <w:sz w:val="24"/>
                <w:szCs w:val="24"/>
                <w:highlight w:val="none"/>
              </w:rPr>
              <w:t>1.本磋商文件中描述</w:t>
            </w:r>
            <w:r>
              <w:rPr>
                <w:rFonts w:hint="eastAsia" w:hAnsi="宋体" w:cs="宋体"/>
                <w:bCs/>
                <w:color w:val="auto"/>
                <w:sz w:val="24"/>
                <w:szCs w:val="24"/>
                <w:highlight w:val="none"/>
                <w:lang w:val="en-US" w:eastAsia="zh-CN"/>
              </w:rPr>
              <w:t>竞标</w:t>
            </w:r>
            <w:r>
              <w:rPr>
                <w:rFonts w:hint="eastAsia" w:hAnsi="宋体" w:cs="宋体"/>
                <w:bCs/>
                <w:color w:val="auto"/>
                <w:sz w:val="24"/>
                <w:szCs w:val="24"/>
                <w:highlight w:val="none"/>
              </w:rPr>
              <w:t>人的“公章”是指根据我国对公章的管理规定，用供应商法定主体名称制作的印章</w:t>
            </w:r>
            <w:r>
              <w:rPr>
                <w:rFonts w:hint="eastAsia" w:hAnsi="宋体" w:cs="宋体"/>
                <w:color w:val="auto"/>
                <w:sz w:val="24"/>
                <w:szCs w:val="24"/>
                <w:highlight w:val="none"/>
              </w:rPr>
              <w:t>或供应商通过指定电子化政府采购平台办理数字证书（CA认证）获得的以法定主体名称制作的电子印章。</w:t>
            </w:r>
            <w:r>
              <w:rPr>
                <w:rFonts w:hint="eastAsia" w:hAnsi="宋体" w:cs="宋体"/>
                <w:bCs/>
                <w:color w:val="auto"/>
                <w:sz w:val="24"/>
                <w:szCs w:val="24"/>
                <w:highlight w:val="none"/>
              </w:rPr>
              <w:t>除本磋商文件有特殊规定外，供应商的财务章、部门章、分公司章、工会章、合同章、投标专用章、业务专用章及银行的转账章、现金收讫章、现金付讫章等其他形式印章均不能代替公章。</w:t>
            </w:r>
          </w:p>
          <w:p w14:paraId="26492C3F">
            <w:pPr>
              <w:pStyle w:val="24"/>
              <w:spacing w:line="360" w:lineRule="auto"/>
              <w:rPr>
                <w:rFonts w:hAnsi="宋体" w:cs="宋体"/>
                <w:bCs/>
                <w:color w:val="auto"/>
                <w:sz w:val="24"/>
                <w:szCs w:val="24"/>
                <w:highlight w:val="none"/>
              </w:rPr>
            </w:pPr>
            <w:r>
              <w:rPr>
                <w:rFonts w:hint="eastAsia" w:hAnsi="宋体" w:cs="宋体"/>
                <w:bCs/>
                <w:color w:val="auto"/>
                <w:sz w:val="24"/>
                <w:szCs w:val="24"/>
                <w:highlight w:val="none"/>
              </w:rPr>
              <w:t>2.供应商为其他组织或者自然人时，本磋商文件规定的法定代表人指负责人或者自然人。本磋商文件所称负责人是指参加</w:t>
            </w:r>
            <w:r>
              <w:rPr>
                <w:rFonts w:hint="eastAsia" w:hAnsi="宋体" w:cs="宋体"/>
                <w:color w:val="auto"/>
                <w:sz w:val="24"/>
                <w:szCs w:val="24"/>
                <w:highlight w:val="none"/>
              </w:rPr>
              <w:t>竞争性磋商</w:t>
            </w:r>
            <w:r>
              <w:rPr>
                <w:rFonts w:hint="eastAsia" w:hAnsi="宋体" w:cs="宋体"/>
                <w:bCs/>
                <w:color w:val="auto"/>
                <w:sz w:val="24"/>
                <w:szCs w:val="24"/>
                <w:highlight w:val="none"/>
              </w:rPr>
              <w:t>的其他组织营业执照或者执业许可证等证照上的负责人，本磋商文件所称自然人指参与</w:t>
            </w:r>
            <w:r>
              <w:rPr>
                <w:rFonts w:hint="eastAsia" w:hAnsi="宋体" w:cs="宋体"/>
                <w:color w:val="auto"/>
                <w:sz w:val="24"/>
                <w:szCs w:val="24"/>
                <w:highlight w:val="none"/>
              </w:rPr>
              <w:t>竞争性磋商</w:t>
            </w:r>
            <w:r>
              <w:rPr>
                <w:rFonts w:hint="eastAsia" w:hAnsi="宋体" w:cs="宋体"/>
                <w:bCs/>
                <w:color w:val="auto"/>
                <w:sz w:val="24"/>
                <w:szCs w:val="24"/>
                <w:highlight w:val="none"/>
              </w:rPr>
              <w:t>的自然人本人，且应具备独立承担民事责任能力，自然人应当为年满18岁以上成年人（十六周岁以上的未成年人，以自己的劳动收入为主要生活来源的，视为完全民事行为能力人）。</w:t>
            </w:r>
          </w:p>
          <w:p w14:paraId="50BD5FD6">
            <w:pPr>
              <w:pStyle w:val="24"/>
              <w:spacing w:line="360" w:lineRule="auto"/>
              <w:rPr>
                <w:rFonts w:hAnsi="宋体" w:cs="宋体"/>
                <w:bCs/>
                <w:color w:val="auto"/>
                <w:sz w:val="24"/>
                <w:szCs w:val="24"/>
                <w:highlight w:val="none"/>
              </w:rPr>
            </w:pPr>
            <w:r>
              <w:rPr>
                <w:rFonts w:hint="eastAsia" w:hAnsi="宋体" w:cs="宋体"/>
                <w:bCs/>
                <w:color w:val="auto"/>
                <w:sz w:val="24"/>
                <w:szCs w:val="24"/>
                <w:highlight w:val="none"/>
              </w:rPr>
              <w:t>3.本磋商文件中描述</w:t>
            </w:r>
            <w:r>
              <w:rPr>
                <w:rFonts w:hint="eastAsia" w:hAnsi="宋体" w:cs="宋体"/>
                <w:bCs/>
                <w:color w:val="auto"/>
                <w:sz w:val="24"/>
                <w:szCs w:val="24"/>
                <w:highlight w:val="none"/>
                <w:lang w:val="en-US" w:eastAsia="zh-CN"/>
              </w:rPr>
              <w:t>竞标</w:t>
            </w:r>
            <w:r>
              <w:rPr>
                <w:rFonts w:hint="eastAsia" w:hAnsi="宋体" w:cs="宋体"/>
                <w:bCs/>
                <w:color w:val="auto"/>
                <w:sz w:val="24"/>
                <w:szCs w:val="24"/>
                <w:highlight w:val="none"/>
              </w:rPr>
              <w:t>人的“签字”是指供应商的法定代表人或者委托代理人</w:t>
            </w:r>
            <w:r>
              <w:rPr>
                <w:rFonts w:hint="eastAsia" w:hAnsi="宋体" w:cs="宋体"/>
                <w:color w:val="auto"/>
                <w:sz w:val="24"/>
                <w:szCs w:val="24"/>
                <w:highlight w:val="none"/>
              </w:rPr>
              <w:t>在文件规定签署处签名或者指供应商通过指定电子化政府采购平台办理数字证书（CA认证）获得的以供应商法定代表人或者委托代理人姓名制作的电子印章签名的行为，私章、印鉴等其他形式均不能代替签字</w:t>
            </w:r>
            <w:r>
              <w:rPr>
                <w:rFonts w:hint="eastAsia" w:hAnsi="宋体" w:cs="宋体"/>
                <w:bCs/>
                <w:color w:val="auto"/>
                <w:sz w:val="24"/>
                <w:szCs w:val="24"/>
                <w:highlight w:val="none"/>
              </w:rPr>
              <w:t>。</w:t>
            </w:r>
          </w:p>
          <w:p w14:paraId="5FDB372A">
            <w:pPr>
              <w:pStyle w:val="24"/>
              <w:spacing w:line="360" w:lineRule="auto"/>
              <w:rPr>
                <w:rFonts w:hAnsi="宋体" w:cs="宋体"/>
                <w:bCs/>
                <w:color w:val="auto"/>
                <w:sz w:val="24"/>
                <w:szCs w:val="24"/>
                <w:highlight w:val="none"/>
              </w:rPr>
            </w:pPr>
            <w:r>
              <w:rPr>
                <w:rFonts w:hint="eastAsia" w:hAnsi="宋体" w:cs="宋体"/>
                <w:bCs/>
                <w:color w:val="auto"/>
                <w:sz w:val="24"/>
                <w:szCs w:val="24"/>
                <w:highlight w:val="none"/>
              </w:rPr>
              <w:t>4.本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7F51FB1C">
            <w:pPr>
              <w:pStyle w:val="24"/>
              <w:spacing w:line="360" w:lineRule="auto"/>
              <w:rPr>
                <w:rFonts w:hAnsi="宋体" w:cs="宋体"/>
                <w:bCs/>
                <w:color w:val="auto"/>
                <w:sz w:val="24"/>
                <w:szCs w:val="24"/>
                <w:highlight w:val="none"/>
              </w:rPr>
            </w:pPr>
            <w:r>
              <w:rPr>
                <w:rFonts w:hAnsi="宋体" w:cs="宋体"/>
                <w:bCs/>
                <w:color w:val="auto"/>
                <w:sz w:val="24"/>
                <w:szCs w:val="24"/>
                <w:highlight w:val="none"/>
              </w:rPr>
              <w:t>5</w:t>
            </w:r>
            <w:r>
              <w:rPr>
                <w:rFonts w:hint="eastAsia" w:hAnsi="宋体" w:cs="宋体"/>
                <w:bCs/>
                <w:color w:val="auto"/>
                <w:sz w:val="24"/>
                <w:szCs w:val="24"/>
                <w:highlight w:val="none"/>
              </w:rPr>
              <w:t>.自然人参加</w:t>
            </w:r>
            <w:r>
              <w:rPr>
                <w:rFonts w:hint="eastAsia" w:hAnsi="宋体" w:cs="宋体"/>
                <w:color w:val="auto"/>
                <w:sz w:val="24"/>
                <w:szCs w:val="24"/>
                <w:highlight w:val="none"/>
              </w:rPr>
              <w:t>竞争性磋商</w:t>
            </w:r>
            <w:r>
              <w:rPr>
                <w:rFonts w:hint="eastAsia" w:hAnsi="宋体" w:cs="宋体"/>
                <w:bCs/>
                <w:color w:val="auto"/>
                <w:sz w:val="24"/>
                <w:szCs w:val="24"/>
                <w:highlight w:val="none"/>
              </w:rPr>
              <w:t>的，磋商文件规定盖公章处由自然人摁手指指印。</w:t>
            </w:r>
          </w:p>
          <w:p w14:paraId="2F048DCA">
            <w:pPr>
              <w:pStyle w:val="24"/>
              <w:spacing w:line="360" w:lineRule="auto"/>
              <w:rPr>
                <w:rFonts w:hAnsi="宋体" w:cs="宋体"/>
                <w:color w:val="auto"/>
                <w:sz w:val="24"/>
                <w:szCs w:val="24"/>
                <w:highlight w:val="none"/>
              </w:rPr>
            </w:pPr>
            <w:r>
              <w:rPr>
                <w:rFonts w:hAnsi="宋体" w:cs="宋体"/>
                <w:bCs/>
                <w:color w:val="auto"/>
                <w:sz w:val="24"/>
                <w:highlight w:val="none"/>
              </w:rPr>
              <w:t>6</w:t>
            </w:r>
            <w:r>
              <w:rPr>
                <w:rFonts w:hint="eastAsia" w:hAnsi="宋体" w:cs="宋体"/>
                <w:bCs/>
                <w:color w:val="auto"/>
                <w:sz w:val="24"/>
                <w:highlight w:val="none"/>
              </w:rPr>
              <w:t>.本磋商文件所称的“以上”“以下”“以内”“届满”，包括本数；所称的“不满”“超过”“以外”，不包括本数。</w:t>
            </w:r>
          </w:p>
        </w:tc>
      </w:tr>
    </w:tbl>
    <w:p w14:paraId="1FDB4F18">
      <w:pPr>
        <w:spacing w:line="400" w:lineRule="exact"/>
        <w:jc w:val="center"/>
        <w:outlineLvl w:val="1"/>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供应商须知正文</w:t>
      </w:r>
    </w:p>
    <w:p w14:paraId="47CE39D2">
      <w:pPr>
        <w:spacing w:line="400" w:lineRule="exact"/>
        <w:jc w:val="center"/>
        <w:rPr>
          <w:rFonts w:ascii="宋体" w:hAnsi="宋体" w:cs="宋体"/>
          <w:b/>
          <w:color w:val="auto"/>
          <w:sz w:val="32"/>
          <w:szCs w:val="32"/>
          <w:highlight w:val="none"/>
        </w:rPr>
      </w:pPr>
    </w:p>
    <w:p w14:paraId="0E27ED5F">
      <w:pPr>
        <w:spacing w:line="360" w:lineRule="auto"/>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t>一、总则</w:t>
      </w:r>
    </w:p>
    <w:p w14:paraId="4E53528E">
      <w:pPr>
        <w:spacing w:line="400" w:lineRule="exact"/>
        <w:rPr>
          <w:rFonts w:ascii="宋体" w:hAnsi="宋体" w:cs="宋体"/>
          <w:color w:val="auto"/>
          <w:sz w:val="21"/>
          <w:szCs w:val="21"/>
          <w:highlight w:val="none"/>
        </w:rPr>
      </w:pPr>
    </w:p>
    <w:p w14:paraId="6479D2CB">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1.适用范围</w:t>
      </w:r>
    </w:p>
    <w:p w14:paraId="16C9B28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关于政府采购有关规定的约束和保护。</w:t>
      </w:r>
    </w:p>
    <w:p w14:paraId="5114E18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1.2</w:t>
      </w:r>
      <w:r>
        <w:rPr>
          <w:rFonts w:hint="eastAsia" w:ascii="宋体" w:hAnsi="宋体" w:cs="宋体"/>
          <w:color w:val="auto"/>
          <w:spacing w:val="-6"/>
          <w:sz w:val="24"/>
          <w:highlight w:val="none"/>
        </w:rPr>
        <w:t>本竞争性磋商文件（以下简称磋商文件）适用于本项目的所有采购程序和环节（</w:t>
      </w:r>
      <w:r>
        <w:rPr>
          <w:rFonts w:hint="eastAsia" w:ascii="宋体" w:hAnsi="宋体" w:cs="宋体"/>
          <w:color w:val="auto"/>
          <w:spacing w:val="-6"/>
          <w:sz w:val="24"/>
          <w:highlight w:val="none"/>
          <w:lang w:eastAsia="zh-CN"/>
        </w:rPr>
        <w:t>法律法规</w:t>
      </w:r>
      <w:r>
        <w:rPr>
          <w:rFonts w:hint="eastAsia" w:ascii="宋体" w:hAnsi="宋体" w:cs="宋体"/>
          <w:color w:val="auto"/>
          <w:spacing w:val="-6"/>
          <w:sz w:val="24"/>
          <w:highlight w:val="none"/>
        </w:rPr>
        <w:t>另有规定的，从其规定）。</w:t>
      </w:r>
    </w:p>
    <w:p w14:paraId="2199D223">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2.定义</w:t>
      </w:r>
    </w:p>
    <w:p w14:paraId="1035E96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2.1“采购人”是指依法进行政府采购的国家机关、事业单位、团体组织。</w:t>
      </w:r>
    </w:p>
    <w:p w14:paraId="7C6087E6">
      <w:pPr>
        <w:spacing w:line="360" w:lineRule="auto"/>
        <w:ind w:firstLine="480"/>
        <w:rPr>
          <w:rFonts w:ascii="宋体" w:hAnsi="宋体" w:cs="宋体"/>
          <w:color w:val="auto"/>
          <w:sz w:val="24"/>
          <w:highlight w:val="none"/>
          <w:u w:val="single"/>
        </w:rPr>
      </w:pPr>
      <w:r>
        <w:rPr>
          <w:rFonts w:hint="eastAsia" w:ascii="宋体" w:hAnsi="宋体" w:cs="宋体"/>
          <w:color w:val="auto"/>
          <w:sz w:val="24"/>
          <w:highlight w:val="none"/>
        </w:rPr>
        <w:t>2.2“采购代理机构”是指政府采购集中采购机构和集中采购机构以外的采购代理机构。</w:t>
      </w:r>
    </w:p>
    <w:p w14:paraId="3297076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2.3“供应商”是指向采购人提供货物、工程或者服务的法人、其他组织或者自然人。</w:t>
      </w:r>
    </w:p>
    <w:p w14:paraId="7D92C2D1">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2.4“服务”是指除货物和工程以外的其他政府采购对象。</w:t>
      </w:r>
    </w:p>
    <w:p w14:paraId="3B953C6B">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2.5“</w:t>
      </w:r>
      <w:r>
        <w:rPr>
          <w:rFonts w:hint="eastAsia" w:hAnsi="宋体" w:cs="宋体"/>
          <w:color w:val="auto"/>
          <w:sz w:val="24"/>
          <w:highlight w:val="none"/>
        </w:rPr>
        <w:t>竞争性磋商</w:t>
      </w:r>
      <w:r>
        <w:rPr>
          <w:rFonts w:hint="eastAsia" w:ascii="宋体" w:hAnsi="宋体" w:cs="宋体"/>
          <w:color w:val="auto"/>
          <w:sz w:val="24"/>
          <w:highlight w:val="none"/>
        </w:rPr>
        <w:t>”是指供应商按照本项目竞争性磋商公告或者邀请函规定的方式获取磋商文件、提交响应文件并希望获得标的的行为。</w:t>
      </w:r>
    </w:p>
    <w:p w14:paraId="0227D522">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2.6“书面形式”是指合同书、信件和数据电文（包括电报、电传、传真、电子数据交换和电子邮件）等可以有形地表现所载内容的形式。</w:t>
      </w:r>
    </w:p>
    <w:p w14:paraId="782ABC01">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2.7“响应文件”</w:t>
      </w:r>
      <w:r>
        <w:rPr>
          <w:rFonts w:hint="eastAsia" w:ascii="宋体" w:hAnsi="宋体" w:cs="宋体"/>
          <w:color w:val="auto"/>
          <w:spacing w:val="-6"/>
          <w:sz w:val="24"/>
          <w:highlight w:val="none"/>
        </w:rPr>
        <w:t>是指：供应商根据本磋商文件要求，编制包含资格证明、报价商务技术等所有内容的文件。</w:t>
      </w:r>
    </w:p>
    <w:p w14:paraId="2C82F4D8">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2.8“实质性要求”是指磋商文件中已经指明不满足则响应文件按无效响应处理的条款，或者不能负偏离的条款，或者采购需求中带“▲”的条款。</w:t>
      </w:r>
    </w:p>
    <w:p w14:paraId="75C5CE8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2.9“正偏离”，是指响应文件对磋商文件“采购需求”中有关条款作出的响应优于条款要求并有利于采购人的情形。</w:t>
      </w:r>
    </w:p>
    <w:p w14:paraId="732695B6">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2.10“负偏离”，是指响应文件对磋商文件“采购需求”中有关条款作出的响应不满足条款要求，导致采购人要求不能得到满足的情形。</w:t>
      </w:r>
    </w:p>
    <w:p w14:paraId="5BC641C5">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2.11“允许负偏离的条款”是指采购需求中的不属于“实质性要求”的条款。</w:t>
      </w:r>
    </w:p>
    <w:p w14:paraId="2CB7A6F4">
      <w:pPr>
        <w:spacing w:line="360" w:lineRule="auto"/>
        <w:ind w:firstLine="480"/>
        <w:contextualSpacing/>
        <w:outlineLvl w:val="3"/>
        <w:rPr>
          <w:rFonts w:ascii="宋体" w:hAnsi="宋体" w:cs="宋体"/>
          <w:color w:val="auto"/>
          <w:sz w:val="24"/>
          <w:highlight w:val="none"/>
        </w:rPr>
      </w:pPr>
      <w:r>
        <w:rPr>
          <w:rFonts w:hint="eastAsia" w:ascii="宋体" w:hAnsi="宋体" w:cs="宋体"/>
          <w:color w:val="auto"/>
          <w:sz w:val="24"/>
          <w:highlight w:val="none"/>
        </w:rPr>
        <w:t>2.12“首次报价”是指供应商提交的首次响应文件中的报价。</w:t>
      </w:r>
    </w:p>
    <w:p w14:paraId="11CB45F0">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3.供应商的资格条件</w:t>
      </w:r>
    </w:p>
    <w:p w14:paraId="15955CC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供应商的资格条件详见“供应商须知前附表”。</w:t>
      </w:r>
    </w:p>
    <w:p w14:paraId="475557D9">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4.</w:t>
      </w:r>
      <w:r>
        <w:rPr>
          <w:rFonts w:hint="eastAsia" w:hAnsi="宋体" w:cs="宋体"/>
          <w:b/>
          <w:color w:val="auto"/>
          <w:sz w:val="24"/>
          <w:highlight w:val="none"/>
        </w:rPr>
        <w:t>竞争性磋商</w:t>
      </w:r>
      <w:r>
        <w:rPr>
          <w:rFonts w:hint="eastAsia" w:ascii="宋体" w:hAnsi="宋体" w:cs="宋体"/>
          <w:b/>
          <w:bCs/>
          <w:color w:val="auto"/>
          <w:sz w:val="24"/>
          <w:highlight w:val="none"/>
        </w:rPr>
        <w:t>费用</w:t>
      </w:r>
    </w:p>
    <w:p w14:paraId="3A5E89A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供应商应承担参与本次采购活动有关的所有费用，包括但不限于获取磋商文件、勘查现场、编制和提交响应文件、参加磋商与应答、签订合同等，不论</w:t>
      </w:r>
      <w:r>
        <w:rPr>
          <w:rFonts w:hint="eastAsia" w:hAnsi="宋体" w:cs="宋体"/>
          <w:color w:val="auto"/>
          <w:sz w:val="24"/>
          <w:highlight w:val="none"/>
        </w:rPr>
        <w:t>竞争性磋商</w:t>
      </w:r>
      <w:r>
        <w:rPr>
          <w:rFonts w:hint="eastAsia" w:ascii="宋体" w:hAnsi="宋体" w:cs="宋体"/>
          <w:color w:val="auto"/>
          <w:sz w:val="24"/>
          <w:highlight w:val="none"/>
        </w:rPr>
        <w:t>结果如何，均应自行承担。</w:t>
      </w:r>
    </w:p>
    <w:p w14:paraId="02362FB4">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5.联合体参加竞争性磋商</w:t>
      </w:r>
    </w:p>
    <w:p w14:paraId="7D61538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5.1本项目是否接受联合体参加竞争性磋商，详见“供应商须知前附表”。</w:t>
      </w:r>
    </w:p>
    <w:p w14:paraId="3299026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5.2如接受联合体参加</w:t>
      </w:r>
      <w:r>
        <w:rPr>
          <w:rFonts w:hint="eastAsia" w:hAnsi="宋体" w:cs="宋体"/>
          <w:color w:val="auto"/>
          <w:sz w:val="24"/>
          <w:highlight w:val="none"/>
        </w:rPr>
        <w:t>竞争性磋商</w:t>
      </w:r>
      <w:r>
        <w:rPr>
          <w:rFonts w:hint="eastAsia" w:ascii="宋体" w:hAnsi="宋体" w:cs="宋体"/>
          <w:color w:val="auto"/>
          <w:sz w:val="24"/>
          <w:highlight w:val="none"/>
        </w:rPr>
        <w:t>，相关要求详见“供应商须知前附表”。</w:t>
      </w:r>
    </w:p>
    <w:p w14:paraId="7CCA109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5.3</w:t>
      </w:r>
      <w:bookmarkStart w:id="17" w:name="_Hlk66782192"/>
      <w:r>
        <w:rPr>
          <w:rFonts w:hint="eastAsia" w:ascii="宋体" w:hAnsi="宋体" w:cs="宋体"/>
          <w:color w:val="auto"/>
          <w:sz w:val="24"/>
          <w:highlight w:val="none"/>
        </w:rPr>
        <w:t>根据《政府采购促进中小企业发展管理办法》（财库〔2020〕46号）及《关于进一步加大政府采购支持中小企业力度的通知》（财库〔2022〕19号 ）调整对小微企业的价格评审优惠幅度。货物服务采购项目给予小微企业的价格扣除优惠20%。大中型企业与小微企业组成联合体或者大中型企业向小微企业分包的，对于联合协议约定小微企业的合同份额占到合同总金额 30%以上的，评审优惠</w:t>
      </w:r>
      <w:r>
        <w:rPr>
          <w:rFonts w:ascii="宋体" w:hAnsi="宋体" w:cs="宋体"/>
          <w:color w:val="auto"/>
          <w:sz w:val="24"/>
          <w:highlight w:val="none"/>
        </w:rPr>
        <w:t>6%</w:t>
      </w:r>
      <w:r>
        <w:rPr>
          <w:rFonts w:hint="eastAsia" w:ascii="宋体" w:hAnsi="宋体" w:cs="宋体"/>
          <w:color w:val="auto"/>
          <w:sz w:val="24"/>
          <w:highlight w:val="none"/>
        </w:rPr>
        <w:t>，用扣除后的价格参加评审。</w:t>
      </w:r>
      <w:bookmarkEnd w:id="17"/>
    </w:p>
    <w:p w14:paraId="1431EF21">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2B1B078F">
      <w:pPr>
        <w:pStyle w:val="6"/>
        <w:keepNext w:val="0"/>
        <w:keepLines w:val="0"/>
        <w:spacing w:before="0" w:after="0" w:line="360" w:lineRule="auto"/>
        <w:ind w:left="420"/>
        <w:rPr>
          <w:rFonts w:ascii="宋体" w:hAnsi="宋体" w:cs="宋体"/>
          <w:b w:val="0"/>
          <w:color w:val="auto"/>
          <w:sz w:val="24"/>
          <w:szCs w:val="24"/>
          <w:highlight w:val="none"/>
        </w:rPr>
      </w:pPr>
      <w:bookmarkStart w:id="18" w:name="_Toc254970673"/>
      <w:bookmarkStart w:id="19" w:name="_Toc254970532"/>
      <w:r>
        <w:rPr>
          <w:rFonts w:hint="eastAsia" w:ascii="宋体" w:hAnsi="宋体" w:cs="宋体"/>
          <w:b w:val="0"/>
          <w:color w:val="auto"/>
          <w:sz w:val="24"/>
          <w:szCs w:val="24"/>
          <w:highlight w:val="none"/>
        </w:rPr>
        <w:t>6.1本项目不允许转包。</w:t>
      </w:r>
    </w:p>
    <w:p w14:paraId="53D89E8D">
      <w:pPr>
        <w:pStyle w:val="6"/>
        <w:keepNext w:val="0"/>
        <w:keepLines w:val="0"/>
        <w:spacing w:before="0" w:after="0" w:line="360" w:lineRule="auto"/>
        <w:ind w:firstLine="360"/>
        <w:rPr>
          <w:rFonts w:ascii="宋体" w:hAnsi="宋体" w:cs="宋体"/>
          <w:b w:val="0"/>
          <w:color w:val="auto"/>
          <w:sz w:val="24"/>
          <w:szCs w:val="24"/>
          <w:highlight w:val="none"/>
        </w:rPr>
      </w:pPr>
      <w:r>
        <w:rPr>
          <w:rFonts w:hint="eastAsia" w:ascii="宋体" w:hAnsi="宋体" w:cs="宋体"/>
          <w:b w:val="0"/>
          <w:color w:val="auto"/>
          <w:sz w:val="24"/>
          <w:szCs w:val="24"/>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3B04B81B">
      <w:pPr>
        <w:pStyle w:val="6"/>
        <w:keepNext w:val="0"/>
        <w:keepLines w:val="0"/>
        <w:spacing w:before="0" w:after="0" w:line="360" w:lineRule="auto"/>
        <w:ind w:firstLine="360"/>
        <w:rPr>
          <w:rFonts w:ascii="宋体" w:hAnsi="宋体" w:cs="宋体"/>
          <w:b w:val="0"/>
          <w:color w:val="auto"/>
          <w:sz w:val="24"/>
          <w:szCs w:val="24"/>
          <w:highlight w:val="none"/>
        </w:rPr>
      </w:pPr>
      <w:r>
        <w:rPr>
          <w:rFonts w:hint="eastAsia" w:ascii="宋体" w:hAnsi="宋体" w:cs="宋体"/>
          <w:b w:val="0"/>
          <w:color w:val="auto"/>
          <w:sz w:val="24"/>
          <w:szCs w:val="24"/>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6776E179">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7.特别说明</w:t>
      </w:r>
      <w:bookmarkEnd w:id="18"/>
      <w:bookmarkEnd w:id="19"/>
    </w:p>
    <w:p w14:paraId="2053DB13">
      <w:pPr>
        <w:spacing w:line="360" w:lineRule="auto"/>
        <w:ind w:firstLine="480"/>
        <w:rPr>
          <w:rFonts w:ascii="宋体" w:hAnsi="宋体" w:cs="宋体"/>
          <w:color w:val="auto"/>
          <w:sz w:val="24"/>
          <w:highlight w:val="none"/>
        </w:rPr>
      </w:pPr>
      <w:bookmarkStart w:id="20" w:name="_8.1提供相同品牌产品且通过资格审查、符合性审查的不同投标人参加同一合"/>
      <w:bookmarkEnd w:id="20"/>
      <w:r>
        <w:rPr>
          <w:rFonts w:hint="eastAsia" w:ascii="宋体" w:hAnsi="宋体" w:cs="宋体"/>
          <w:color w:val="auto"/>
          <w:sz w:val="24"/>
          <w:highlight w:val="none"/>
        </w:rPr>
        <w:t>7.1</w:t>
      </w:r>
      <w:bookmarkStart w:id="21" w:name="_Hlk65832145"/>
      <w:r>
        <w:rPr>
          <w:rFonts w:hint="eastAsia" w:ascii="宋体" w:hAnsi="宋体" w:cs="宋体"/>
          <w:color w:val="auto"/>
          <w:sz w:val="24"/>
          <w:highlight w:val="none"/>
        </w:rPr>
        <w:t>如果本磋商文件要求提供供应商或制造商的资格、信誉、荣誉、业绩与企业认证等材料的，资格、信誉、荣誉、业绩与企业认证等必须为供应商或者制造商所拥有或自身获得 。</w:t>
      </w:r>
      <w:bookmarkEnd w:id="21"/>
    </w:p>
    <w:p w14:paraId="283ADD7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7.2供应商应仔细阅读磋商文件的所有内容，按照磋商文件的要求提交响应文件，并对所提供的全部资料的真实性承担法律责任。</w:t>
      </w:r>
    </w:p>
    <w:p w14:paraId="28CC395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7.3供应商在参与</w:t>
      </w:r>
      <w:r>
        <w:rPr>
          <w:rFonts w:hint="eastAsia" w:hAnsi="宋体" w:cs="宋体"/>
          <w:color w:val="auto"/>
          <w:sz w:val="24"/>
          <w:highlight w:val="none"/>
        </w:rPr>
        <w:t>竞争性磋商</w:t>
      </w:r>
      <w:r>
        <w:rPr>
          <w:rFonts w:hint="eastAsia" w:ascii="宋体" w:hAnsi="宋体" w:cs="宋体"/>
          <w:color w:val="auto"/>
          <w:sz w:val="24"/>
          <w:highlight w:val="none"/>
        </w:rPr>
        <w:t>活动中提供任何疑似虚假材料，将报监管部门查处；签订合同后发现的，成交供应商须依法赔偿采购人，且民事赔偿并不免除违法供应商的行政与刑事责任。</w:t>
      </w:r>
    </w:p>
    <w:p w14:paraId="1457B64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7.4在政府采购活动中，采购人员及相关人员与供应商有下列利害关系之一的，应当回避：</w:t>
      </w:r>
    </w:p>
    <w:p w14:paraId="5AFAB61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（1）参加采购活动前3年内与供应商存在劳动关系；</w:t>
      </w:r>
    </w:p>
    <w:p w14:paraId="521E823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（2）参加采购活动前3年内担任供应商的董事、监事；</w:t>
      </w:r>
    </w:p>
    <w:p w14:paraId="4FC2527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（3）参加采购活动前3年内是供应商的控股股东或者实际控制人；</w:t>
      </w:r>
    </w:p>
    <w:p w14:paraId="66EF11C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（4）与供应商的法定代表人或者负责人有夫妻、直系血亲、三代以内旁系血亲或者近姻亲关系；</w:t>
      </w:r>
    </w:p>
    <w:p w14:paraId="3D03859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（5）与供应商有其他可能影响政府采购活动公平、公正进行的关系。</w:t>
      </w:r>
    </w:p>
    <w:p w14:paraId="6E25C6E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0D21F5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7.5有下列情形之一的视为供应商相互串通参与</w:t>
      </w:r>
      <w:r>
        <w:rPr>
          <w:rFonts w:hint="eastAsia" w:hAnsi="宋体" w:cs="宋体"/>
          <w:color w:val="auto"/>
          <w:sz w:val="24"/>
          <w:highlight w:val="none"/>
        </w:rPr>
        <w:t>竞争性磋商</w:t>
      </w:r>
      <w:r>
        <w:rPr>
          <w:rFonts w:hint="eastAsia" w:ascii="宋体" w:hAnsi="宋体" w:cs="宋体"/>
          <w:color w:val="auto"/>
          <w:sz w:val="24"/>
          <w:highlight w:val="none"/>
        </w:rPr>
        <w:t>，响应文件将被视为无效：</w:t>
      </w:r>
    </w:p>
    <w:p w14:paraId="2A3355C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（1）不同供应商的响应文件由同一单位或者个人编制；或者不同供应商报名的IP地址一致的；或者编制响应文件硬件设备CPU编号、硬盘编号、网卡地址一致的情况；</w:t>
      </w:r>
    </w:p>
    <w:p w14:paraId="170437B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（2）不同供应商委托同一单位或者个人办理</w:t>
      </w:r>
      <w:r>
        <w:rPr>
          <w:rFonts w:hint="eastAsia" w:hAnsi="宋体" w:cs="宋体"/>
          <w:color w:val="auto"/>
          <w:sz w:val="24"/>
          <w:highlight w:val="none"/>
        </w:rPr>
        <w:t>竞争性磋商</w:t>
      </w:r>
      <w:r>
        <w:rPr>
          <w:rFonts w:hint="eastAsia" w:ascii="宋体" w:hAnsi="宋体" w:cs="宋体"/>
          <w:color w:val="auto"/>
          <w:sz w:val="24"/>
          <w:highlight w:val="none"/>
        </w:rPr>
        <w:t>事宜；</w:t>
      </w:r>
    </w:p>
    <w:p w14:paraId="6442C8D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（3）不同的供应商的响应文件载明的项目管理员为同一个人；</w:t>
      </w:r>
    </w:p>
    <w:p w14:paraId="2DEA585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（4）不同供应商的响应文件异常一致或者报价呈规律性差异；</w:t>
      </w:r>
    </w:p>
    <w:p w14:paraId="7E76215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3CD2D232">
      <w:pPr>
        <w:tabs>
          <w:tab w:val="left" w:pos="6931"/>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r>
        <w:rPr>
          <w:rFonts w:hint="eastAsia" w:ascii="宋体" w:hAnsi="宋体" w:cs="宋体"/>
          <w:color w:val="auto"/>
          <w:sz w:val="24"/>
          <w:highlight w:val="none"/>
          <w:lang w:eastAsia="zh-CN"/>
        </w:rPr>
        <w:t>；</w:t>
      </w:r>
      <w:r>
        <w:rPr>
          <w:rFonts w:hint="eastAsia" w:ascii="宋体" w:hAnsi="宋体" w:cs="宋体"/>
          <w:color w:val="auto"/>
          <w:sz w:val="24"/>
          <w:highlight w:val="none"/>
        </w:rPr>
        <w:tab/>
      </w:r>
    </w:p>
    <w:p w14:paraId="0FD62D88">
      <w:pPr>
        <w:tabs>
          <w:tab w:val="left" w:pos="6931"/>
        </w:tabs>
        <w:spacing w:line="360" w:lineRule="auto"/>
        <w:ind w:firstLine="48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7</w:t>
      </w:r>
      <w:r>
        <w:rPr>
          <w:rFonts w:hint="eastAsia" w:ascii="宋体" w:hAnsi="宋体" w:cs="宋体"/>
          <w:color w:val="auto"/>
          <w:sz w:val="24"/>
          <w:highlight w:val="none"/>
          <w:lang w:eastAsia="zh-CN"/>
        </w:rPr>
        <w:t>）</w:t>
      </w:r>
      <w:r>
        <w:rPr>
          <w:rFonts w:hint="eastAsia" w:ascii="宋体" w:hAnsi="宋体" w:cs="宋体"/>
          <w:color w:val="auto"/>
          <w:sz w:val="24"/>
          <w:highlight w:val="none"/>
        </w:rPr>
        <w:t>不同供应商报名的IP地址一致的</w:t>
      </w:r>
      <w:r>
        <w:rPr>
          <w:rFonts w:hint="eastAsia" w:ascii="宋体" w:hAnsi="宋体" w:cs="宋体"/>
          <w:color w:val="auto"/>
          <w:sz w:val="24"/>
          <w:highlight w:val="none"/>
          <w:lang w:eastAsia="zh-CN"/>
        </w:rPr>
        <w:t>；</w:t>
      </w:r>
    </w:p>
    <w:p w14:paraId="0AD2E7D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）供应商之间协商报价等响应文件的实质性内容；</w:t>
      </w:r>
    </w:p>
    <w:p w14:paraId="24C6262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）供应商之间约定成交供应商；</w:t>
      </w:r>
    </w:p>
    <w:p w14:paraId="08AD183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）供应商之间约定部分供应商放弃参与竞争性磋商或者成交；</w:t>
      </w:r>
    </w:p>
    <w:p w14:paraId="4063411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11</w:t>
      </w:r>
      <w:r>
        <w:rPr>
          <w:rFonts w:hint="eastAsia" w:ascii="宋体" w:hAnsi="宋体" w:cs="宋体"/>
          <w:color w:val="auto"/>
          <w:sz w:val="24"/>
          <w:highlight w:val="none"/>
        </w:rPr>
        <w:t>）属于同一集团、协会、商会等组织成员的供应商按照该组织要求协同参与竞争性磋商；</w:t>
      </w:r>
    </w:p>
    <w:p w14:paraId="2AE04AFE">
      <w:pPr>
        <w:pStyle w:val="18"/>
        <w:ind w:firstLine="480"/>
        <w:rPr>
          <w:color w:val="auto"/>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12</w:t>
      </w:r>
      <w:r>
        <w:rPr>
          <w:rFonts w:hint="eastAsia" w:ascii="宋体" w:hAnsi="宋体" w:cs="宋体"/>
          <w:color w:val="auto"/>
          <w:sz w:val="24"/>
          <w:highlight w:val="none"/>
        </w:rPr>
        <w:t>）供应商之间为谋取成交或者排斥特定供应商而采取的其他联合行动。</w:t>
      </w:r>
    </w:p>
    <w:p w14:paraId="571940B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7.6供应商有下列情形之一的，属于恶意串通行为，将报同级监督管理部门：</w:t>
      </w:r>
    </w:p>
    <w:p w14:paraId="763FF3B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1C16325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414420B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（3）供应商之间协商报价、技术方案等响应文件或者响应文件的实质性内容；</w:t>
      </w:r>
    </w:p>
    <w:p w14:paraId="47FD47E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2C1B581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（5）供应商之间事先约定一致抬高或者压低报价，或者在政府采购活动中事先约定轮流以高价位或者低价位成交，或者事先约定由某一特定供应商成交，然后再参加竞争性磋商；</w:t>
      </w:r>
    </w:p>
    <w:p w14:paraId="1D36C79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5E73FD3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（7）供应商与采购人或者采购代理机构之间、供应商相互之间，为谋求特定供应商成交或者排斥其他供应商的其他串通行为。</w:t>
      </w:r>
    </w:p>
    <w:p w14:paraId="310CEB97">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7.7竞争性磋商委托</w:t>
      </w:r>
    </w:p>
    <w:p w14:paraId="4F9F356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供应商代表参加竞争性磋商活动过程中必须携带个人有效身份证件。如供应商代表不是法定代表人，须持有授权委托书（按第五章要求格式填写）。</w:t>
      </w:r>
    </w:p>
    <w:p w14:paraId="75910755">
      <w:pPr>
        <w:pStyle w:val="18"/>
        <w:ind w:firstLine="420"/>
        <w:rPr>
          <w:color w:val="auto"/>
          <w:highlight w:val="none"/>
        </w:rPr>
      </w:pPr>
    </w:p>
    <w:p w14:paraId="767EF4B9">
      <w:pPr>
        <w:spacing w:line="360" w:lineRule="auto"/>
        <w:jc w:val="center"/>
        <w:outlineLvl w:val="1"/>
        <w:rPr>
          <w:rFonts w:ascii="宋体" w:hAnsi="宋体" w:cs="宋体"/>
          <w:b/>
          <w:bCs/>
          <w:color w:val="auto"/>
          <w:sz w:val="24"/>
          <w:highlight w:val="none"/>
        </w:rPr>
      </w:pPr>
      <w:bookmarkStart w:id="22" w:name="_Toc254970675"/>
      <w:bookmarkStart w:id="23" w:name="_Toc254970534"/>
      <w:r>
        <w:rPr>
          <w:rFonts w:hint="eastAsia" w:ascii="宋体" w:hAnsi="宋体" w:cs="宋体"/>
          <w:b/>
          <w:bCs/>
          <w:color w:val="auto"/>
          <w:sz w:val="24"/>
          <w:highlight w:val="none"/>
        </w:rPr>
        <w:t>二、磋商文件</w:t>
      </w:r>
      <w:bookmarkEnd w:id="22"/>
      <w:bookmarkEnd w:id="23"/>
    </w:p>
    <w:p w14:paraId="403985E8">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8.磋商文件的构成</w:t>
      </w:r>
    </w:p>
    <w:p w14:paraId="6BAB8DE4">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（1）竞争性磋商公告；</w:t>
      </w:r>
    </w:p>
    <w:p w14:paraId="50F1EFD5">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 xml:space="preserve">（2）供应商须知； </w:t>
      </w:r>
    </w:p>
    <w:p w14:paraId="5DE57AB8">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（3）采购需求；</w:t>
      </w:r>
    </w:p>
    <w:p w14:paraId="3F7301D8">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（4）评审程序、评审方法和评审标准；</w:t>
      </w:r>
    </w:p>
    <w:p w14:paraId="57C67946">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（5）响应文件格式；</w:t>
      </w:r>
    </w:p>
    <w:p w14:paraId="40352423">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（6）</w:t>
      </w:r>
      <w:r>
        <w:rPr>
          <w:rFonts w:hint="eastAsia" w:ascii="宋体" w:hAnsi="宋体"/>
          <w:color w:val="auto"/>
          <w:sz w:val="24"/>
          <w:highlight w:val="none"/>
        </w:rPr>
        <w:t>拟签订的</w:t>
      </w:r>
      <w:r>
        <w:rPr>
          <w:rFonts w:hint="eastAsia" w:ascii="宋体" w:hAnsi="宋体" w:cs="宋体"/>
          <w:color w:val="auto"/>
          <w:sz w:val="24"/>
          <w:highlight w:val="none"/>
        </w:rPr>
        <w:t>合同文本。</w:t>
      </w:r>
    </w:p>
    <w:p w14:paraId="44F119B2">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9.供应商的询问</w:t>
      </w:r>
    </w:p>
    <w:p w14:paraId="2C493A0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应认真阅读磋商文件的采购需求，如供应商对磋商文件有疑问的，如要求采购人做出澄清或者修改的，供应商尽可能在提交首次响应文件截止之日前，以纸质书面形式向采购人、采购代理机构提出，否则，由此产生的后果由供应商自行负责。</w:t>
      </w:r>
    </w:p>
    <w:p w14:paraId="69E381D1">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10.磋商文件的澄清和修改</w:t>
      </w:r>
    </w:p>
    <w:p w14:paraId="2A066D0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10.1提交首次响应文件截止之日前，采购人或者采购代理机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之日至少5日前，在原公告发布媒体上发布更正公告；不足5日的，采购人、采购代理机构应当顺延提交首次响应文件截止时间。澄清或者更正公告在竞争性磋商公告发布媒体上发布，一经发布，视作已以书面形式通知所有获取竞争性磋商文件的潜在供应商，不再另行通知，所有潜在供应商应密切关注竞争性磋商公告发布媒体，因未能及时获知，由此产生的后果均应自行承担。</w:t>
      </w:r>
    </w:p>
    <w:p w14:paraId="401F5E2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10.2采购人和采购代理机构可以视采购具体情况，变更首次响应文件提交截止时间和开启时间，并在原公告发布媒体上发布更正公告。</w:t>
      </w:r>
    </w:p>
    <w:p w14:paraId="4DFD350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10.3磋商文件澄清、答复、修改、补充的内容为磋商文件的组成部分。</w:t>
      </w:r>
      <w:r>
        <w:rPr>
          <w:rFonts w:hint="eastAsia" w:ascii="宋体" w:hAnsi="宋体" w:cs="宋体"/>
          <w:b/>
          <w:color w:val="auto"/>
          <w:sz w:val="24"/>
          <w:highlight w:val="none"/>
        </w:rPr>
        <w:t>当磋商文件与磋商文件的澄清、答复、修改、补充通知就同一内容的表述不一致时，以最后发出的文件为准。</w:t>
      </w:r>
    </w:p>
    <w:p w14:paraId="29D7704B">
      <w:pPr>
        <w:spacing w:line="360" w:lineRule="auto"/>
        <w:ind w:firstLine="482"/>
        <w:rPr>
          <w:rFonts w:ascii="宋体" w:hAnsi="宋体" w:cs="宋体"/>
          <w:b/>
          <w:color w:val="auto"/>
          <w:sz w:val="24"/>
          <w:highlight w:val="none"/>
        </w:rPr>
      </w:pPr>
      <w:r>
        <w:rPr>
          <w:rFonts w:hint="eastAsia" w:ascii="宋体" w:hAnsi="宋体" w:cs="宋体"/>
          <w:b/>
          <w:color w:val="auto"/>
          <w:sz w:val="24"/>
          <w:highlight w:val="none"/>
        </w:rPr>
        <w:t>10.4响应文件未按磋商文件的澄清、修改后的内容编制的，其响应文件作无效响应处理。</w:t>
      </w:r>
    </w:p>
    <w:p w14:paraId="6D680022">
      <w:pPr>
        <w:spacing w:line="360" w:lineRule="auto"/>
        <w:jc w:val="center"/>
        <w:outlineLvl w:val="1"/>
        <w:rPr>
          <w:rFonts w:ascii="宋体" w:hAnsi="宋体" w:cs="宋体"/>
          <w:b/>
          <w:bCs/>
          <w:color w:val="auto"/>
          <w:sz w:val="24"/>
          <w:highlight w:val="none"/>
        </w:rPr>
      </w:pPr>
      <w:r>
        <w:rPr>
          <w:rFonts w:hint="eastAsia" w:ascii="宋体" w:hAnsi="宋体" w:cs="宋体"/>
          <w:b/>
          <w:bCs/>
          <w:color w:val="auto"/>
          <w:sz w:val="24"/>
          <w:highlight w:val="none"/>
        </w:rPr>
        <w:t>三、响应文件的编制</w:t>
      </w:r>
    </w:p>
    <w:p w14:paraId="448C18BB">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10A6722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供应商必须按照磋商文件的要求编制响应文件，并对其提交的响应文件的真实性、合法性承担法律责任。响应文件必须对磋商文件做出实质性响应。</w:t>
      </w:r>
    </w:p>
    <w:p w14:paraId="31F230FD">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12.响应文件的组成</w:t>
      </w:r>
    </w:p>
    <w:p w14:paraId="3A38B4BD">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12.1响应文件由资格证明文件、报价商务服务文件两部分组成。</w:t>
      </w:r>
    </w:p>
    <w:p w14:paraId="4E413867">
      <w:pPr>
        <w:spacing w:line="360" w:lineRule="auto"/>
        <w:ind w:left="900" w:hanging="480"/>
        <w:rPr>
          <w:rFonts w:ascii="宋体" w:hAnsi="宋体" w:cs="宋体"/>
          <w:color w:val="auto"/>
          <w:sz w:val="24"/>
          <w:highlight w:val="none"/>
        </w:rPr>
      </w:pPr>
      <w:r>
        <w:rPr>
          <w:rFonts w:hint="eastAsia" w:ascii="宋体" w:hAnsi="宋体" w:cs="宋体"/>
          <w:color w:val="auto"/>
          <w:sz w:val="24"/>
          <w:highlight w:val="none"/>
        </w:rPr>
        <w:t>12.1.1资格证明文件：详见须知前附表</w:t>
      </w:r>
    </w:p>
    <w:p w14:paraId="633EA70F">
      <w:pPr>
        <w:spacing w:line="360" w:lineRule="auto"/>
        <w:ind w:left="900" w:hanging="480"/>
        <w:rPr>
          <w:rFonts w:ascii="宋体" w:hAnsi="宋体" w:cs="宋体"/>
          <w:color w:val="auto"/>
          <w:sz w:val="24"/>
          <w:highlight w:val="none"/>
        </w:rPr>
      </w:pPr>
      <w:r>
        <w:rPr>
          <w:rFonts w:hint="eastAsia" w:ascii="宋体" w:hAnsi="宋体" w:cs="宋体"/>
          <w:color w:val="auto"/>
          <w:sz w:val="24"/>
          <w:highlight w:val="none"/>
        </w:rPr>
        <w:t>12.1.2报价商务服务文件：详见须知前附表</w:t>
      </w:r>
    </w:p>
    <w:p w14:paraId="0B9A4B45">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13.计量单位</w:t>
      </w:r>
    </w:p>
    <w:p w14:paraId="4DC1F21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磋商文件已有明确规定的，使用磋商文件规定的计量单位；磋商文件没有规定的，应采用中华人民共和国法定计量单位，货币种类为人民币，否则视同未响应。</w:t>
      </w:r>
    </w:p>
    <w:p w14:paraId="47335422">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14.竞争性磋商的风险</w:t>
      </w:r>
    </w:p>
    <w:p w14:paraId="753DCBC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供应商没有按照磋商文件要求提供全部资料，或者供应商没有对磋商文件在各方面做出实质性响应可能导致其响应无效，是供应商应当考虑的风险。</w:t>
      </w:r>
    </w:p>
    <w:p w14:paraId="1AF78C57">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15.竞争性磋商报价</w:t>
      </w:r>
    </w:p>
    <w:p w14:paraId="5A4405CA">
      <w:pPr>
        <w:tabs>
          <w:tab w:val="left" w:pos="2492"/>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15.1竞争性磋商报价应按磋商文件中“竞争性磋商报价表”格式填写。</w:t>
      </w:r>
    </w:p>
    <w:p w14:paraId="7499E837">
      <w:pPr>
        <w:tabs>
          <w:tab w:val="left" w:pos="2492"/>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15.2竞争性磋商报价的内容见“供应商须知前附表”。</w:t>
      </w:r>
    </w:p>
    <w:p w14:paraId="09DC52EF">
      <w:pPr>
        <w:spacing w:line="360" w:lineRule="auto"/>
        <w:ind w:left="426"/>
        <w:rPr>
          <w:rFonts w:ascii="宋体" w:hAnsi="宋体" w:cs="宋体"/>
          <w:color w:val="auto"/>
          <w:sz w:val="24"/>
          <w:highlight w:val="none"/>
        </w:rPr>
      </w:pPr>
      <w:r>
        <w:rPr>
          <w:rFonts w:hint="eastAsia" w:ascii="宋体" w:hAnsi="宋体" w:cs="宋体"/>
          <w:color w:val="auto"/>
          <w:sz w:val="24"/>
          <w:highlight w:val="none"/>
        </w:rPr>
        <w:t>15.3竞争性磋商报价要求</w:t>
      </w:r>
    </w:p>
    <w:p w14:paraId="5E1D45DB">
      <w:pPr>
        <w:spacing w:line="360" w:lineRule="auto"/>
        <w:ind w:firstLine="482"/>
        <w:rPr>
          <w:rFonts w:ascii="宋体" w:hAnsi="宋体" w:cs="宋体"/>
          <w:b/>
          <w:color w:val="auto"/>
          <w:sz w:val="24"/>
          <w:highlight w:val="none"/>
        </w:rPr>
      </w:pPr>
      <w:r>
        <w:rPr>
          <w:rFonts w:hint="eastAsia" w:ascii="宋体" w:hAnsi="宋体" w:cs="宋体"/>
          <w:b/>
          <w:color w:val="auto"/>
          <w:sz w:val="24"/>
          <w:highlight w:val="none"/>
        </w:rPr>
        <w:t>15.3.1供应商的竞争性磋商报价应符合以下要求，否则响应文件按无效响应处理：</w:t>
      </w:r>
    </w:p>
    <w:p w14:paraId="269F466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（1）供应商必须就“采购需求”中所竞标的每个分标的全部内容分别作完整唯一总价报价，不得存在漏项报价；</w:t>
      </w:r>
    </w:p>
    <w:p w14:paraId="40104415">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（2）供应商必须就所竞标的分标的单项内容作唯一报价。</w:t>
      </w:r>
    </w:p>
    <w:p w14:paraId="24B92AC2">
      <w:pPr>
        <w:spacing w:line="360" w:lineRule="auto"/>
        <w:ind w:firstLine="480"/>
        <w:rPr>
          <w:rFonts w:ascii="宋体" w:hAnsi="宋体" w:cs="宋体"/>
          <w:color w:val="auto"/>
          <w:sz w:val="24"/>
          <w:highlight w:val="none"/>
        </w:rPr>
      </w:pPr>
      <w:r>
        <w:rPr>
          <w:rFonts w:ascii="宋体" w:hAnsi="宋体" w:cs="宋体"/>
          <w:color w:val="auto"/>
          <w:sz w:val="24"/>
          <w:highlight w:val="none"/>
        </w:rPr>
        <w:t>15.3.2</w:t>
      </w:r>
      <w:r>
        <w:rPr>
          <w:rFonts w:hint="eastAsia" w:ascii="宋体" w:hAnsi="宋体" w:cs="宋体"/>
          <w:color w:val="auto"/>
          <w:sz w:val="24"/>
          <w:highlight w:val="none"/>
        </w:rPr>
        <w:t>竞争性磋商报价（包含首次报价、最后报价）超过所开展竞争性磋商分标规定的采购预算金额或者最高限价的，其响应文件将按无效响应处理。</w:t>
      </w:r>
      <w:bookmarkStart w:id="24" w:name="_Hlk42592874"/>
    </w:p>
    <w:p w14:paraId="315268AA">
      <w:pPr>
        <w:spacing w:line="360" w:lineRule="auto"/>
        <w:ind w:firstLine="480"/>
        <w:rPr>
          <w:rFonts w:ascii="宋体" w:hAnsi="宋体" w:cs="宋体"/>
          <w:color w:val="auto"/>
          <w:sz w:val="24"/>
          <w:highlight w:val="none"/>
        </w:rPr>
      </w:pPr>
      <w:r>
        <w:rPr>
          <w:rFonts w:ascii="宋体" w:hAnsi="宋体" w:cs="宋体"/>
          <w:color w:val="auto"/>
          <w:sz w:val="24"/>
          <w:highlight w:val="none"/>
        </w:rPr>
        <w:t>15.3.3</w:t>
      </w:r>
      <w:r>
        <w:rPr>
          <w:rFonts w:hint="eastAsia" w:ascii="宋体" w:hAnsi="宋体" w:cs="宋体"/>
          <w:color w:val="auto"/>
          <w:sz w:val="24"/>
          <w:highlight w:val="none"/>
        </w:rPr>
        <w:t>竞争性磋商报价（包含首次报价、最后报价）超过分项采购预算金额或者最高限价的，其响应文件将按无效处理。</w:t>
      </w:r>
      <w:bookmarkEnd w:id="24"/>
    </w:p>
    <w:p w14:paraId="2B746CBD">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16.竞争性磋商有效期</w:t>
      </w:r>
    </w:p>
    <w:p w14:paraId="0D0FCECB">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16.1竞争性磋商有效期是指为保证采购人有足够的时间在提交响应文件后完成评审、确定成交供应商、合同签订等工作而要求供应商提交的响应文件在一定时间内保持有效的期限。</w:t>
      </w:r>
    </w:p>
    <w:p w14:paraId="3587E72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16.2 竞争性磋商有效期应由供应商按“供应商须知前附表”规定的期限作出响应。</w:t>
      </w:r>
    </w:p>
    <w:p w14:paraId="1619C2F8">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16.3供应商的响应文件在竞争性磋商有效期内均保持有效。</w:t>
      </w:r>
    </w:p>
    <w:p w14:paraId="7C07F263">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17.磋商保证金</w:t>
      </w:r>
    </w:p>
    <w:p w14:paraId="0D89C7BC">
      <w:pPr>
        <w:spacing w:line="360" w:lineRule="auto"/>
        <w:ind w:left="420"/>
        <w:rPr>
          <w:rFonts w:ascii="宋体" w:hAnsi="宋体" w:cs="宋体"/>
          <w:color w:val="auto"/>
          <w:sz w:val="24"/>
          <w:highlight w:val="none"/>
        </w:rPr>
      </w:pPr>
      <w:r>
        <w:rPr>
          <w:rFonts w:hint="eastAsia" w:ascii="宋体" w:hAnsi="宋体" w:cs="宋体"/>
          <w:color w:val="auto"/>
          <w:sz w:val="24"/>
          <w:highlight w:val="none"/>
        </w:rPr>
        <w:t>17.1供应商须按“供应商须知前附表”的规定提交磋商保证金。</w:t>
      </w:r>
    </w:p>
    <w:p w14:paraId="7F875D8E">
      <w:pPr>
        <w:spacing w:line="360" w:lineRule="auto"/>
        <w:ind w:left="420"/>
        <w:rPr>
          <w:rFonts w:ascii="宋体" w:hAnsi="宋体" w:cs="宋体"/>
          <w:color w:val="auto"/>
          <w:sz w:val="24"/>
          <w:highlight w:val="none"/>
        </w:rPr>
      </w:pPr>
      <w:r>
        <w:rPr>
          <w:rFonts w:hint="eastAsia" w:ascii="宋体" w:hAnsi="宋体" w:cs="宋体"/>
          <w:color w:val="auto"/>
          <w:sz w:val="24"/>
          <w:highlight w:val="none"/>
        </w:rPr>
        <w:t>17.2磋商保证金的退还</w:t>
      </w:r>
    </w:p>
    <w:p w14:paraId="5894DA50">
      <w:pPr>
        <w:spacing w:line="360" w:lineRule="auto"/>
        <w:ind w:firstLine="480"/>
        <w:rPr>
          <w:rFonts w:ascii="宋体" w:hAnsi="宋体" w:cs="宋体"/>
          <w:color w:val="auto"/>
          <w:sz w:val="24"/>
          <w:highlight w:val="none"/>
        </w:rPr>
      </w:pPr>
      <w:bookmarkStart w:id="25" w:name="_Hlk66782243"/>
      <w:r>
        <w:rPr>
          <w:rFonts w:hint="eastAsia" w:ascii="宋体" w:hAnsi="宋体" w:cs="宋体"/>
          <w:color w:val="auto"/>
          <w:sz w:val="24"/>
          <w:highlight w:val="none"/>
        </w:rPr>
        <w:t>未</w:t>
      </w:r>
      <w:r>
        <w:rPr>
          <w:rFonts w:hint="eastAsia" w:ascii="宋体" w:hAnsi="宋体" w:cs="宋体"/>
          <w:color w:val="auto"/>
          <w:spacing w:val="-6"/>
          <w:sz w:val="24"/>
          <w:highlight w:val="none"/>
        </w:rPr>
        <w:t>成交供应商的磋商保证金自成交通知书发出之日起5个工作日内退还；</w:t>
      </w:r>
      <w:r>
        <w:rPr>
          <w:rFonts w:hint="eastAsia" w:ascii="宋体" w:hAnsi="宋体" w:cs="宋体"/>
          <w:color w:val="auto"/>
          <w:sz w:val="24"/>
          <w:highlight w:val="none"/>
        </w:rPr>
        <w:t>成交供应商的磋商保证金自签订合同之日起5个工作日内退还。</w:t>
      </w:r>
      <w:bookmarkEnd w:id="25"/>
      <w:r>
        <w:rPr>
          <w:rFonts w:hint="eastAsia" w:ascii="宋体" w:hAnsi="宋体" w:cs="宋体"/>
          <w:color w:val="auto"/>
          <w:sz w:val="24"/>
          <w:highlight w:val="none"/>
        </w:rPr>
        <w:t xml:space="preserve"> </w:t>
      </w:r>
    </w:p>
    <w:p w14:paraId="68FA3937">
      <w:pPr>
        <w:spacing w:line="360" w:lineRule="auto"/>
        <w:ind w:left="420"/>
        <w:rPr>
          <w:rFonts w:ascii="宋体" w:hAnsi="宋体" w:cs="宋体"/>
          <w:color w:val="auto"/>
          <w:sz w:val="24"/>
          <w:highlight w:val="none"/>
        </w:rPr>
      </w:pPr>
      <w:r>
        <w:rPr>
          <w:rFonts w:hint="eastAsia" w:ascii="宋体" w:hAnsi="宋体" w:cs="宋体"/>
          <w:color w:val="auto"/>
          <w:sz w:val="24"/>
          <w:highlight w:val="none"/>
        </w:rPr>
        <w:t>17.3磋商保证金不计息。</w:t>
      </w:r>
    </w:p>
    <w:p w14:paraId="543C75E9">
      <w:pPr>
        <w:spacing w:line="360" w:lineRule="auto"/>
        <w:ind w:left="420"/>
        <w:rPr>
          <w:rFonts w:ascii="宋体" w:hAnsi="宋体" w:cs="宋体"/>
          <w:color w:val="auto"/>
          <w:sz w:val="24"/>
          <w:highlight w:val="none"/>
        </w:rPr>
      </w:pPr>
      <w:r>
        <w:rPr>
          <w:rFonts w:hint="eastAsia" w:ascii="宋体" w:hAnsi="宋体" w:cs="宋体"/>
          <w:color w:val="auto"/>
          <w:sz w:val="24"/>
          <w:highlight w:val="none"/>
        </w:rPr>
        <w:t xml:space="preserve">17.4供应商有下列情形之一的，磋商保证金将不予退还： </w:t>
      </w:r>
    </w:p>
    <w:p w14:paraId="6342343B">
      <w:pPr>
        <w:spacing w:line="360" w:lineRule="auto"/>
        <w:ind w:left="420"/>
        <w:rPr>
          <w:rFonts w:ascii="宋体" w:hAnsi="宋体" w:cs="宋体"/>
          <w:color w:val="auto"/>
          <w:sz w:val="24"/>
          <w:highlight w:val="none"/>
        </w:rPr>
      </w:pPr>
      <w:r>
        <w:rPr>
          <w:rFonts w:hint="eastAsia" w:ascii="宋体" w:hAnsi="宋体" w:cs="宋体"/>
          <w:color w:val="auto"/>
          <w:sz w:val="24"/>
          <w:highlight w:val="none"/>
        </w:rPr>
        <w:t>（1）供应商在提交首次响应文件截止时间后撤回响应文件的；</w:t>
      </w:r>
    </w:p>
    <w:p w14:paraId="07D44AC1">
      <w:pPr>
        <w:spacing w:line="360" w:lineRule="auto"/>
        <w:ind w:left="420"/>
        <w:rPr>
          <w:rFonts w:ascii="宋体" w:hAnsi="宋体" w:cs="宋体"/>
          <w:color w:val="auto"/>
          <w:sz w:val="24"/>
          <w:highlight w:val="none"/>
        </w:rPr>
      </w:pPr>
      <w:r>
        <w:rPr>
          <w:rFonts w:hint="eastAsia" w:ascii="宋体" w:hAnsi="宋体" w:cs="宋体"/>
          <w:color w:val="auto"/>
          <w:sz w:val="24"/>
          <w:highlight w:val="none"/>
        </w:rPr>
        <w:t>（2）未按规定提交履约保证金的；</w:t>
      </w:r>
    </w:p>
    <w:p w14:paraId="60BFB65C">
      <w:pPr>
        <w:spacing w:line="360" w:lineRule="auto"/>
        <w:ind w:left="420"/>
        <w:rPr>
          <w:rFonts w:ascii="宋体" w:hAnsi="宋体" w:cs="宋体"/>
          <w:color w:val="auto"/>
          <w:sz w:val="24"/>
          <w:highlight w:val="none"/>
        </w:rPr>
      </w:pPr>
      <w:r>
        <w:rPr>
          <w:rFonts w:hint="eastAsia" w:ascii="宋体" w:hAnsi="宋体" w:cs="宋体"/>
          <w:color w:val="auto"/>
          <w:sz w:val="24"/>
          <w:highlight w:val="none"/>
        </w:rPr>
        <w:t>（3）供应商在响应文件中提供虚假材料的；</w:t>
      </w:r>
    </w:p>
    <w:p w14:paraId="14E1D89F">
      <w:pPr>
        <w:spacing w:line="360" w:lineRule="auto"/>
        <w:ind w:firstLine="420"/>
        <w:rPr>
          <w:rFonts w:ascii="宋体" w:hAnsi="宋体" w:cs="宋体"/>
          <w:color w:val="auto"/>
          <w:sz w:val="24"/>
          <w:highlight w:val="none"/>
        </w:rPr>
      </w:pPr>
      <w:r>
        <w:rPr>
          <w:rFonts w:hint="eastAsia" w:ascii="宋体" w:hAnsi="宋体" w:cs="宋体"/>
          <w:color w:val="auto"/>
          <w:sz w:val="24"/>
          <w:highlight w:val="none"/>
        </w:rPr>
        <w:t>（4）除因不可抗力或者磋商文件认可的情形以外，成交供应商不与采购人签订合同的；</w:t>
      </w:r>
    </w:p>
    <w:p w14:paraId="5C4F7F52">
      <w:pPr>
        <w:spacing w:line="360" w:lineRule="auto"/>
        <w:ind w:left="420"/>
        <w:rPr>
          <w:rFonts w:ascii="宋体" w:hAnsi="宋体" w:cs="宋体"/>
          <w:color w:val="auto"/>
          <w:sz w:val="24"/>
          <w:highlight w:val="none"/>
        </w:rPr>
      </w:pPr>
      <w:r>
        <w:rPr>
          <w:rFonts w:hint="eastAsia" w:ascii="宋体" w:hAnsi="宋体" w:cs="宋体"/>
          <w:color w:val="auto"/>
          <w:sz w:val="24"/>
          <w:highlight w:val="none"/>
        </w:rPr>
        <w:t>（5）供应商与采购人、其他供应商或者采购代理机构恶意串通的；</w:t>
      </w:r>
    </w:p>
    <w:p w14:paraId="01981055">
      <w:pPr>
        <w:spacing w:line="360" w:lineRule="auto"/>
        <w:ind w:left="420"/>
        <w:rPr>
          <w:rFonts w:ascii="宋体" w:hAnsi="宋体" w:cs="宋体"/>
          <w:color w:val="auto"/>
          <w:sz w:val="24"/>
          <w:highlight w:val="none"/>
        </w:rPr>
      </w:pPr>
      <w:r>
        <w:rPr>
          <w:rFonts w:hint="eastAsia" w:ascii="宋体" w:hAnsi="宋体" w:cs="宋体"/>
          <w:color w:val="auto"/>
          <w:sz w:val="24"/>
          <w:highlight w:val="none"/>
        </w:rPr>
        <w:t>（6）法律法规规定的其他情形。</w:t>
      </w:r>
    </w:p>
    <w:p w14:paraId="122AC111">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3828FF03">
      <w:pPr>
        <w:spacing w:line="360" w:lineRule="auto"/>
        <w:ind w:firstLine="480"/>
        <w:rPr>
          <w:rFonts w:ascii="宋体" w:hAnsi="宋体" w:cs="宋体"/>
          <w:color w:val="auto"/>
          <w:spacing w:val="-6"/>
          <w:sz w:val="24"/>
          <w:highlight w:val="none"/>
        </w:rPr>
      </w:pPr>
      <w:r>
        <w:rPr>
          <w:rFonts w:hint="eastAsia" w:ascii="宋体" w:hAnsi="宋体" w:cs="宋体"/>
          <w:color w:val="auto"/>
          <w:sz w:val="24"/>
          <w:highlight w:val="none"/>
        </w:rPr>
        <w:t>18.1供应商应按本磋商文件规定的格式和顺序编制响应文件并标注页码，响应文件内容</w:t>
      </w:r>
      <w:r>
        <w:rPr>
          <w:rFonts w:hint="eastAsia" w:ascii="宋体" w:hAnsi="宋体" w:cs="宋体"/>
          <w:color w:val="auto"/>
          <w:spacing w:val="-6"/>
          <w:sz w:val="24"/>
          <w:highlight w:val="none"/>
        </w:rPr>
        <w:t>不完整、编排混乱导致响应文件被误读、漏读或者查找不到相关内容的，</w:t>
      </w:r>
      <w:r>
        <w:rPr>
          <w:rFonts w:hint="eastAsia" w:ascii="宋体" w:hAnsi="宋体" w:cs="宋体"/>
          <w:color w:val="auto"/>
          <w:sz w:val="24"/>
          <w:highlight w:val="none"/>
        </w:rPr>
        <w:t>由此引发的</w:t>
      </w:r>
      <w:r>
        <w:rPr>
          <w:rFonts w:hint="eastAsia" w:ascii="宋体" w:hAnsi="宋体" w:cs="宋体"/>
          <w:color w:val="auto"/>
          <w:spacing w:val="-6"/>
          <w:sz w:val="24"/>
          <w:highlight w:val="none"/>
        </w:rPr>
        <w:t>后果由供应商承担。</w:t>
      </w:r>
    </w:p>
    <w:p w14:paraId="7C0AC45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18.2响应文件应按资格证明文件、报价商务服务文件分别编制电子文件，</w:t>
      </w:r>
      <w:r>
        <w:rPr>
          <w:rFonts w:hint="eastAsia" w:ascii="宋体" w:hAnsi="宋体" w:cs="宋体"/>
          <w:color w:val="auto"/>
          <w:sz w:val="24"/>
          <w:highlight w:val="none"/>
          <w:lang w:bidi="ar"/>
        </w:rPr>
        <w:t>并按广西政府采购云平台的要求编制、加密、上传。</w:t>
      </w:r>
    </w:p>
    <w:p w14:paraId="419C569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18.</w:t>
      </w:r>
      <w:bookmarkStart w:id="26" w:name="_Hlk65832699"/>
      <w:r>
        <w:rPr>
          <w:rFonts w:hint="eastAsia" w:ascii="宋体" w:hAnsi="宋体" w:cs="宋体"/>
          <w:color w:val="auto"/>
          <w:sz w:val="24"/>
          <w:highlight w:val="none"/>
        </w:rPr>
        <w:t>3响应文件须由供应商在规定位</w:t>
      </w:r>
      <w:r>
        <w:rPr>
          <w:rFonts w:hint="eastAsia" w:ascii="宋体" w:hAnsi="宋体" w:cs="宋体"/>
          <w:color w:val="auto"/>
          <w:sz w:val="24"/>
          <w:highlight w:val="none"/>
          <w:lang w:eastAsia="zh-CN"/>
        </w:rPr>
        <w:t>置加</w:t>
      </w:r>
      <w:r>
        <w:rPr>
          <w:rFonts w:hint="eastAsia" w:ascii="宋体" w:hAnsi="宋体" w:cs="宋体"/>
          <w:color w:val="auto"/>
          <w:sz w:val="24"/>
          <w:highlight w:val="none"/>
        </w:rPr>
        <w:t>盖公章并签字</w:t>
      </w:r>
      <w:bookmarkStart w:id="27" w:name="_Hlk65832569"/>
      <w:r>
        <w:rPr>
          <w:rFonts w:hint="eastAsia" w:ascii="宋体" w:hAnsi="宋体" w:cs="宋体"/>
          <w:color w:val="auto"/>
          <w:sz w:val="24"/>
          <w:highlight w:val="none"/>
        </w:rPr>
        <w:t>（具体以供应商须知前附表或响应文件格式规定为准）</w:t>
      </w:r>
      <w:bookmarkEnd w:id="26"/>
      <w:bookmarkEnd w:id="27"/>
      <w:r>
        <w:rPr>
          <w:rFonts w:hint="eastAsia" w:ascii="宋体" w:hAnsi="宋体" w:cs="宋体"/>
          <w:color w:val="auto"/>
          <w:sz w:val="24"/>
          <w:highlight w:val="none"/>
        </w:rPr>
        <w:t>，否则其响应文件按无效响应处理。</w:t>
      </w:r>
    </w:p>
    <w:p w14:paraId="05E5350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18.4响应文件中标注的供应商名称应与营业执照（事业单位法人证书、执业许可证、自然人身份证）及公章一致，否则其响应文件按无效响应处理。</w:t>
      </w:r>
    </w:p>
    <w:p w14:paraId="38B36A3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18.5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14:paraId="0EEEAECF">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19.响应文件的加密、解密及电子备份响应文件</w:t>
      </w:r>
    </w:p>
    <w:p w14:paraId="2AAA48E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19.1电子响应文件编制完成后，供应商应按广西政府采购云平台的要求进行加密，并在规定时间内解密，否则，由此产生的后果由供应商自行负责。</w:t>
      </w:r>
    </w:p>
    <w:p w14:paraId="2FE1F237">
      <w:pPr>
        <w:spacing w:line="360" w:lineRule="auto"/>
        <w:ind w:firstLine="480"/>
        <w:rPr>
          <w:color w:val="auto"/>
          <w:highlight w:val="none"/>
        </w:rPr>
      </w:pPr>
      <w:r>
        <w:rPr>
          <w:rFonts w:ascii="宋体" w:hAnsi="宋体" w:cs="宋体"/>
          <w:color w:val="auto"/>
          <w:sz w:val="24"/>
          <w:highlight w:val="none"/>
        </w:rPr>
        <w:t>19.2</w:t>
      </w:r>
      <w:r>
        <w:rPr>
          <w:rFonts w:hint="eastAsia" w:ascii="宋体" w:hAnsi="宋体" w:cs="宋体"/>
          <w:color w:val="auto"/>
          <w:sz w:val="24"/>
          <w:highlight w:val="none"/>
        </w:rPr>
        <w:t>电子备份响应文件是指通过“广西政府采购云平台电子投标客户端”在线编制生成且后缀名为“</w:t>
      </w:r>
      <w:r>
        <w:rPr>
          <w:rFonts w:ascii="宋体" w:hAnsi="宋体" w:cs="宋体"/>
          <w:color w:val="auto"/>
          <w:sz w:val="24"/>
          <w:highlight w:val="none"/>
        </w:rPr>
        <w:t>bfbs</w:t>
      </w:r>
      <w:r>
        <w:rPr>
          <w:rFonts w:hint="eastAsia" w:ascii="宋体" w:hAnsi="宋体" w:cs="宋体"/>
          <w:color w:val="auto"/>
          <w:sz w:val="24"/>
          <w:highlight w:val="none"/>
        </w:rPr>
        <w:t>”的文件，是否接受电子备份响应文件详见在“供应商须知前附表”。</w:t>
      </w:r>
    </w:p>
    <w:p w14:paraId="698E0861">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20.响应文件的提交</w:t>
      </w:r>
    </w:p>
    <w:p w14:paraId="5D3D722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20.1供应商必须在“供应商须知前附表”规定的时间和地点提交响应文件。</w:t>
      </w:r>
    </w:p>
    <w:p w14:paraId="5890C05E">
      <w:pPr>
        <w:widowControl/>
        <w:spacing w:line="360" w:lineRule="auto"/>
        <w:ind w:firstLine="480"/>
        <w:rPr>
          <w:rFonts w:ascii="宋体" w:hAnsi="宋体" w:cs="宋体"/>
          <w:b/>
          <w:color w:val="auto"/>
          <w:sz w:val="24"/>
          <w:highlight w:val="none"/>
          <w:lang w:bidi="ar"/>
        </w:rPr>
      </w:pPr>
      <w:r>
        <w:rPr>
          <w:rFonts w:hint="eastAsia" w:ascii="宋体" w:hAnsi="宋体" w:cs="宋体"/>
          <w:color w:val="auto"/>
          <w:sz w:val="24"/>
          <w:highlight w:val="none"/>
        </w:rPr>
        <w:t>20.2</w:t>
      </w:r>
      <w:r>
        <w:rPr>
          <w:rFonts w:hint="eastAsia" w:ascii="宋体" w:hAnsi="宋体" w:cs="宋体"/>
          <w:color w:val="auto"/>
          <w:sz w:val="24"/>
          <w:highlight w:val="none"/>
          <w:lang w:bidi="ar"/>
        </w:rPr>
        <w:t>本项目为全流程电子化政府采购项目，通过广西政府采购云平台（https://www.gcy.zfcg.gxzf.gov.cn/）实行在线电子</w:t>
      </w:r>
      <w:r>
        <w:rPr>
          <w:rFonts w:hint="eastAsia" w:ascii="宋体" w:hAnsi="宋体" w:cs="宋体"/>
          <w:color w:val="auto"/>
          <w:sz w:val="24"/>
          <w:highlight w:val="none"/>
        </w:rPr>
        <w:t>竞争性磋商</w:t>
      </w:r>
      <w:r>
        <w:rPr>
          <w:rFonts w:hint="eastAsia" w:ascii="宋体" w:hAnsi="宋体" w:cs="宋体"/>
          <w:color w:val="auto"/>
          <w:sz w:val="24"/>
          <w:highlight w:val="none"/>
          <w:lang w:bidi="ar"/>
        </w:rPr>
        <w:t>，供应商应先安装“广西政府采购云平台电子交易客户端”（请自行前往广西政府采购云平台进行下载），并按照本项目竞争性磋商文件和广西政府采购云平台的要求编制、加密后在首次响应文件提交截止时间前通过网络上传至广西政府采购云平台，</w:t>
      </w:r>
      <w:r>
        <w:rPr>
          <w:rFonts w:hint="eastAsia" w:ascii="宋体" w:hAnsi="宋体" w:cs="宋体"/>
          <w:b/>
          <w:color w:val="auto"/>
          <w:sz w:val="24"/>
          <w:highlight w:val="none"/>
          <w:lang w:bidi="ar"/>
        </w:rPr>
        <w:t>供应商在广西政府采购云平台提交电子版响应文件时，请填写参加远程开标活动经办人联系方式。</w:t>
      </w:r>
    </w:p>
    <w:p w14:paraId="3223B7D0">
      <w:pPr>
        <w:pStyle w:val="6"/>
        <w:keepNext w:val="0"/>
        <w:keepLines w:val="0"/>
        <w:spacing w:before="0" w:after="0" w:line="360" w:lineRule="auto"/>
        <w:ind w:firstLine="480"/>
        <w:jc w:val="left"/>
        <w:rPr>
          <w:rFonts w:ascii="宋体" w:hAnsi="宋体" w:cs="宋体"/>
          <w:b w:val="0"/>
          <w:color w:val="auto"/>
          <w:sz w:val="24"/>
          <w:szCs w:val="24"/>
          <w:highlight w:val="none"/>
        </w:rPr>
      </w:pPr>
      <w:r>
        <w:rPr>
          <w:rFonts w:hint="eastAsia" w:ascii="宋体" w:hAnsi="宋体" w:cs="宋体"/>
          <w:b w:val="0"/>
          <w:color w:val="auto"/>
          <w:sz w:val="24"/>
          <w:szCs w:val="24"/>
          <w:highlight w:val="none"/>
        </w:rPr>
        <w:t>20.3未在规定时间内上传或者未按广西政府采购云平台的要求编制、加密的电子响应文件，广西政府采购云平台将拒收。</w:t>
      </w:r>
    </w:p>
    <w:p w14:paraId="3C12CD3E">
      <w:pPr>
        <w:pStyle w:val="14"/>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20.4电子响应文件提交方</w:t>
      </w:r>
      <w:r>
        <w:rPr>
          <w:rFonts w:hint="eastAsia" w:ascii="宋体" w:hAnsi="宋体" w:cs="宋体"/>
          <w:bCs/>
          <w:color w:val="auto"/>
          <w:sz w:val="24"/>
          <w:szCs w:val="24"/>
          <w:highlight w:val="none"/>
        </w:rPr>
        <w:t>式见“竞争性磋商公告”</w:t>
      </w:r>
      <w:r>
        <w:rPr>
          <w:rFonts w:hint="eastAsia" w:ascii="宋体" w:hAnsi="宋体" w:cs="宋体"/>
          <w:color w:val="auto"/>
          <w:sz w:val="24"/>
          <w:szCs w:val="24"/>
          <w:highlight w:val="none"/>
        </w:rPr>
        <w:t>中“四、响应文件提交”。</w:t>
      </w:r>
    </w:p>
    <w:p w14:paraId="3B486E94">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5CC58A58">
      <w:pPr>
        <w:spacing w:line="360" w:lineRule="auto"/>
        <w:ind w:firstLine="480"/>
        <w:rPr>
          <w:rFonts w:ascii="宋体" w:hAnsi="宋体" w:cs="宋体"/>
          <w:bCs/>
          <w:color w:val="auto"/>
          <w:sz w:val="24"/>
          <w:highlight w:val="none"/>
          <w:lang w:bidi="ar"/>
        </w:rPr>
      </w:pPr>
      <w:r>
        <w:rPr>
          <w:rFonts w:hint="eastAsia" w:ascii="宋体" w:hAnsi="宋体" w:cs="宋体"/>
          <w:bCs/>
          <w:color w:val="auto"/>
          <w:sz w:val="24"/>
          <w:highlight w:val="none"/>
          <w:lang w:bidi="ar"/>
        </w:rPr>
        <w:t>21.1供应商应当在首次响应文件提交截止时间前完成电子响应文件的上传、提交，首次响应文件提交截止时间前可以补充、修改或者撤回响应文件。补充或者修改响应文件的，应当先行撤回原文件，补充、修改后重新上传、提交。首次响应文件提交截止时间前未完成上传、提交的，视为撤回响应文件。首次响应文件提交截止时间以后上传提交的响应文件，广西政府采购云平台将予以拒收。</w:t>
      </w:r>
    </w:p>
    <w:p w14:paraId="6FC14665">
      <w:pPr>
        <w:spacing w:line="360" w:lineRule="auto"/>
        <w:ind w:firstLine="482"/>
        <w:outlineLvl w:val="2"/>
        <w:rPr>
          <w:rFonts w:ascii="宋体" w:hAnsi="宋体" w:cs="宋体"/>
          <w:b/>
          <w:bCs/>
          <w:color w:val="auto"/>
          <w:sz w:val="24"/>
          <w:highlight w:val="none"/>
        </w:rPr>
      </w:pPr>
      <w:bookmarkStart w:id="28" w:name="_Hlk45702405"/>
      <w:r>
        <w:rPr>
          <w:rFonts w:hint="eastAsia" w:ascii="宋体" w:hAnsi="宋体" w:cs="宋体"/>
          <w:b/>
          <w:bCs/>
          <w:color w:val="auto"/>
          <w:sz w:val="24"/>
          <w:highlight w:val="none"/>
        </w:rPr>
        <w:t>22.首次响应文件的退回</w:t>
      </w:r>
    </w:p>
    <w:p w14:paraId="6B54FBD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22.1在首次响应文件提交截止时间止提交响应文件的供应商不足3家时，采购代理机构将根据广西政府采购云平台的操作将电子版响应文件退回，除此之外采购人和采购代理机构对已提交的电子响应文件概不退回。</w:t>
      </w:r>
    </w:p>
    <w:p w14:paraId="3B6CD938">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23.截止时间后的撤回</w:t>
      </w:r>
    </w:p>
    <w:p w14:paraId="4AB3C2E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23.1供应商在首次响应文件提交截止时间后书面通知采购人、采购代理机构书面撤回响应文件的，将根据本磋商文件《供应商须知正文》第17.4条的规定不予退还其磋商保证金。</w:t>
      </w:r>
      <w:bookmarkEnd w:id="28"/>
    </w:p>
    <w:p w14:paraId="488FC6AE">
      <w:pPr>
        <w:spacing w:line="360" w:lineRule="auto"/>
        <w:jc w:val="center"/>
        <w:outlineLvl w:val="1"/>
        <w:rPr>
          <w:rFonts w:ascii="宋体" w:hAnsi="宋体" w:cs="宋体"/>
          <w:b/>
          <w:bCs/>
          <w:color w:val="auto"/>
          <w:sz w:val="24"/>
          <w:highlight w:val="none"/>
        </w:rPr>
      </w:pPr>
      <w:r>
        <w:rPr>
          <w:rFonts w:hint="eastAsia" w:ascii="宋体" w:hAnsi="宋体" w:cs="宋体"/>
          <w:b/>
          <w:bCs/>
          <w:color w:val="auto"/>
          <w:sz w:val="24"/>
          <w:highlight w:val="none"/>
        </w:rPr>
        <w:t>四、评审及磋商</w:t>
      </w:r>
    </w:p>
    <w:p w14:paraId="376244EF">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24.磋商小组成立</w:t>
      </w:r>
    </w:p>
    <w:p w14:paraId="6D35BF3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17DA99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C6F6B30">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25.首次响应文件的开启</w:t>
      </w:r>
    </w:p>
    <w:p w14:paraId="1FC1D0C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25.1首次响应文件由磋商小组或者采购代理机构在“供应商须知前附表”规定的时间开启。</w:t>
      </w:r>
    </w:p>
    <w:p w14:paraId="1B41103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25.2 响应文件解密：采购代理机构将在“供应商须知前附表”规定的时间通过电子交易平台组织响应文件开启，采购代理机构将依托电子交易平台发起开始解密指令，</w:t>
      </w:r>
      <w:r>
        <w:rPr>
          <w:rFonts w:hint="eastAsia" w:ascii="宋体" w:hAnsi="宋体" w:cs="宋体"/>
          <w:b/>
          <w:color w:val="auto"/>
          <w:sz w:val="24"/>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cs="宋体"/>
          <w:b/>
          <w:bCs/>
          <w:color w:val="auto"/>
          <w:sz w:val="24"/>
          <w:highlight w:val="none"/>
        </w:rPr>
        <w:t>响应文件未按时解密的，</w:t>
      </w:r>
      <w:r>
        <w:rPr>
          <w:rFonts w:hint="eastAsia" w:ascii="宋体" w:hAnsi="宋体" w:cs="宋体"/>
          <w:b/>
          <w:color w:val="auto"/>
          <w:sz w:val="24"/>
          <w:highlight w:val="none"/>
        </w:rPr>
        <w:t>视为响应</w:t>
      </w:r>
      <w:r>
        <w:rPr>
          <w:rFonts w:hint="eastAsia" w:ascii="宋体" w:hAnsi="宋体" w:cs="宋体"/>
          <w:b/>
          <w:bCs/>
          <w:color w:val="auto"/>
          <w:sz w:val="24"/>
          <w:highlight w:val="none"/>
        </w:rPr>
        <w:t>文件无效。</w:t>
      </w:r>
      <w:r>
        <w:rPr>
          <w:rFonts w:hint="eastAsia" w:ascii="宋体" w:hAnsi="宋体" w:cs="宋体"/>
          <w:color w:val="auto"/>
          <w:sz w:val="24"/>
          <w:highlight w:val="none"/>
        </w:rPr>
        <w:t>（解密异常情况处理：详见本章26.</w:t>
      </w:r>
      <w:r>
        <w:rPr>
          <w:rFonts w:ascii="宋体" w:hAnsi="宋体" w:cs="宋体"/>
          <w:color w:val="auto"/>
          <w:sz w:val="24"/>
          <w:highlight w:val="none"/>
        </w:rPr>
        <w:t>3</w:t>
      </w:r>
      <w:r>
        <w:rPr>
          <w:rFonts w:hint="eastAsia" w:ascii="宋体" w:hAnsi="宋体" w:cs="宋体"/>
          <w:color w:val="auto"/>
          <w:sz w:val="24"/>
          <w:highlight w:val="none"/>
        </w:rPr>
        <w:t>电子交易活动的中止。）</w:t>
      </w:r>
    </w:p>
    <w:p w14:paraId="4539AF9A">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25.3成功解密响应文件的供应商不足3家的，不得磋商。</w:t>
      </w:r>
    </w:p>
    <w:p w14:paraId="14B1D056">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26.评审程序、评审方法和评审标准</w:t>
      </w:r>
    </w:p>
    <w:p w14:paraId="0CE5A63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26.1磋商小组按照“第四章 评审程序、评审方法和评审标准”规定的方法、评审因素、标准和程序对响应文件进行评审。</w:t>
      </w:r>
    </w:p>
    <w:p w14:paraId="11C22ED2">
      <w:pPr>
        <w:spacing w:line="360" w:lineRule="auto"/>
        <w:ind w:firstLine="480"/>
        <w:rPr>
          <w:color w:val="auto"/>
          <w:highlight w:val="none"/>
        </w:rPr>
      </w:pPr>
      <w:r>
        <w:rPr>
          <w:rFonts w:hint="eastAsia" w:ascii="宋体" w:hAnsi="宋体" w:cs="宋体"/>
          <w:color w:val="auto"/>
          <w:sz w:val="24"/>
          <w:highlight w:val="none"/>
        </w:rPr>
        <w:t>26.</w:t>
      </w:r>
      <w:r>
        <w:rPr>
          <w:rFonts w:ascii="宋体" w:hAnsi="宋体" w:cs="宋体"/>
          <w:color w:val="auto"/>
          <w:sz w:val="24"/>
          <w:highlight w:val="none"/>
        </w:rPr>
        <w:t>2</w:t>
      </w:r>
      <w:r>
        <w:rPr>
          <w:rFonts w:hint="eastAsia" w:ascii="宋体" w:hAnsi="宋体" w:cs="宋体"/>
          <w:color w:val="auto"/>
          <w:sz w:val="24"/>
          <w:highlight w:val="none"/>
        </w:rPr>
        <w:t>磋商小组成员要依法独立评审，并对评审意见承担个人责任。磋商小组成员对需要共同认定的事项存在争议的，按照少数服从多数的</w:t>
      </w:r>
      <w:r>
        <w:rPr>
          <w:rFonts w:hint="eastAsia" w:ascii="宋体" w:hAnsi="宋体" w:cs="宋体"/>
          <w:color w:val="auto"/>
          <w:sz w:val="24"/>
          <w:highlight w:val="none"/>
          <w:lang w:eastAsia="zh-CN"/>
        </w:rPr>
        <w:t>原则作出结论</w:t>
      </w:r>
      <w:r>
        <w:rPr>
          <w:rFonts w:hint="eastAsia" w:ascii="宋体" w:hAnsi="宋体" w:cs="宋体"/>
          <w:color w:val="auto"/>
          <w:sz w:val="24"/>
          <w:highlight w:val="none"/>
        </w:rPr>
        <w:t>。持不同意见的磋商小组成员应当在评审报告上签署不同意见并说明理由，否则视为同意。</w:t>
      </w:r>
    </w:p>
    <w:p w14:paraId="324E0BA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26.</w:t>
      </w:r>
      <w:r>
        <w:rPr>
          <w:rFonts w:ascii="宋体" w:hAnsi="宋体" w:cs="宋体"/>
          <w:color w:val="auto"/>
          <w:sz w:val="24"/>
          <w:highlight w:val="none"/>
        </w:rPr>
        <w:t>3</w:t>
      </w:r>
      <w:r>
        <w:rPr>
          <w:rFonts w:hint="eastAsia" w:ascii="宋体" w:hAnsi="宋体" w:cs="宋体"/>
          <w:color w:val="auto"/>
          <w:sz w:val="24"/>
          <w:highlight w:val="none"/>
        </w:rPr>
        <w:t>电子交易活动的中止。采购过程中出现以下情形，导致电子交易平台无法正常运行，或者无法保证电子交易的公平、公正和安全时，采购机构可中止电子交易活动：</w:t>
      </w:r>
    </w:p>
    <w:p w14:paraId="7BBD360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（1）电子交易平台发生故障而无法登录访问的； </w:t>
      </w:r>
    </w:p>
    <w:p w14:paraId="2F6BB8B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（2）电子交易平台应用或数据库出现错误，不能进行正常操作的；</w:t>
      </w:r>
    </w:p>
    <w:p w14:paraId="3C9CFB6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（3）电子交易平台发现严重安全漏洞，有潜在泄密危险的；</w:t>
      </w:r>
    </w:p>
    <w:p w14:paraId="7A092D3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（4）病毒发作导致不能进行正常操作的； </w:t>
      </w:r>
    </w:p>
    <w:p w14:paraId="76AA899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5</w:t>
      </w:r>
      <w:r>
        <w:rPr>
          <w:rFonts w:hint="eastAsia" w:ascii="宋体" w:hAnsi="宋体" w:cs="宋体"/>
          <w:color w:val="auto"/>
          <w:sz w:val="24"/>
          <w:highlight w:val="none"/>
        </w:rPr>
        <w:t>）其他无法保证电子交易的公平、公正和安全的情况。</w:t>
      </w:r>
    </w:p>
    <w:p w14:paraId="6DBBD04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26.</w:t>
      </w:r>
      <w:r>
        <w:rPr>
          <w:rFonts w:ascii="宋体" w:hAnsi="宋体" w:cs="宋体"/>
          <w:color w:val="auto"/>
          <w:sz w:val="24"/>
          <w:highlight w:val="none"/>
        </w:rPr>
        <w:t>4</w:t>
      </w:r>
      <w:r>
        <w:rPr>
          <w:rFonts w:hint="eastAsia" w:ascii="宋体" w:hAnsi="宋体" w:cs="宋体"/>
          <w:color w:val="auto"/>
          <w:sz w:val="24"/>
          <w:highlight w:val="none"/>
        </w:rPr>
        <w:t>出现以上情形，不影响采购公平、公正性的，采购代理机构可以待上述情形消除后继续组织电子交易活动；影响或可能影响采购公平、公正性的，经采购代理机构确认后，应当重新采购。</w:t>
      </w:r>
    </w:p>
    <w:p w14:paraId="3A9ED260">
      <w:pPr>
        <w:pStyle w:val="24"/>
        <w:spacing w:line="360" w:lineRule="auto"/>
        <w:ind w:firstLine="482"/>
        <w:rPr>
          <w:rFonts w:hint="eastAsia" w:hAnsi="宋体" w:cs="宋体"/>
          <w:b/>
          <w:bCs/>
          <w:color w:val="auto"/>
          <w:sz w:val="24"/>
          <w:szCs w:val="24"/>
          <w:highlight w:val="none"/>
        </w:rPr>
      </w:pPr>
      <w:r>
        <w:rPr>
          <w:rFonts w:hint="eastAsia" w:hAnsi="宋体" w:cs="宋体"/>
          <w:b/>
          <w:bCs/>
          <w:color w:val="auto"/>
          <w:sz w:val="24"/>
          <w:szCs w:val="24"/>
          <w:highlight w:val="none"/>
          <w:lang w:val="en-US" w:eastAsia="zh-CN"/>
        </w:rPr>
        <w:t>26</w:t>
      </w:r>
      <w:r>
        <w:rPr>
          <w:rFonts w:hint="eastAsia" w:hAnsi="宋体" w:cs="宋体"/>
          <w:b/>
          <w:bCs/>
          <w:color w:val="auto"/>
          <w:sz w:val="24"/>
          <w:szCs w:val="24"/>
          <w:highlight w:val="none"/>
        </w:rPr>
        <w:t>.5 政府采购异常低价审查</w:t>
      </w:r>
    </w:p>
    <w:p w14:paraId="53EEFCB0">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根据《关于推动解决政府采购异常低价问题的通知》（财库〔2026〕2 号）的规定，本项目明确内容如下：</w:t>
      </w:r>
    </w:p>
    <w:p w14:paraId="51A7F0F2">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（一）政府采购评审中出现下列情形之一的，</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应当启动异常低价投标（响应）审查程序：</w:t>
      </w:r>
    </w:p>
    <w:p w14:paraId="5193FF54">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 xml:space="preserve">1.投标（响应）报价低于全部通过符合性审查供应商投标（响应）报价平均值 </w:t>
      </w:r>
      <w:r>
        <w:rPr>
          <w:rFonts w:hint="eastAsia" w:hAnsi="宋体" w:cs="宋体"/>
          <w:color w:val="auto"/>
          <w:sz w:val="24"/>
          <w:szCs w:val="24"/>
          <w:highlight w:val="none"/>
          <w:lang w:val="en-US" w:eastAsia="zh-CN"/>
        </w:rPr>
        <w:t>60</w:t>
      </w:r>
      <w:r>
        <w:rPr>
          <w:rFonts w:hint="eastAsia" w:hAnsi="宋体" w:cs="宋体"/>
          <w:color w:val="auto"/>
          <w:sz w:val="24"/>
          <w:szCs w:val="24"/>
          <w:highlight w:val="none"/>
        </w:rPr>
        <w:t>%的，即投标（响应）报价&lt;全部通过符合性审查供应商投标（响应）报价平均值×</w:t>
      </w:r>
      <w:r>
        <w:rPr>
          <w:rFonts w:hint="eastAsia" w:hAnsi="宋体" w:cs="宋体"/>
          <w:color w:val="auto"/>
          <w:sz w:val="24"/>
          <w:szCs w:val="24"/>
          <w:highlight w:val="none"/>
          <w:lang w:val="en-US" w:eastAsia="zh-CN"/>
        </w:rPr>
        <w:t>60</w:t>
      </w:r>
      <w:r>
        <w:rPr>
          <w:rFonts w:hint="eastAsia" w:hAnsi="宋体" w:cs="宋体"/>
          <w:color w:val="auto"/>
          <w:sz w:val="24"/>
          <w:szCs w:val="24"/>
          <w:highlight w:val="none"/>
        </w:rPr>
        <w:t>%；</w:t>
      </w:r>
    </w:p>
    <w:p w14:paraId="7D26D605">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 xml:space="preserve">2.投标（响应）报价低于通过符合性审查的次低报价供应商投标（响应）报价 </w:t>
      </w:r>
      <w:r>
        <w:rPr>
          <w:rFonts w:hint="eastAsia" w:hAnsi="宋体" w:cs="宋体"/>
          <w:color w:val="auto"/>
          <w:sz w:val="24"/>
          <w:szCs w:val="24"/>
          <w:highlight w:val="none"/>
          <w:lang w:val="en-US" w:eastAsia="zh-CN"/>
        </w:rPr>
        <w:t>60</w:t>
      </w:r>
      <w:r>
        <w:rPr>
          <w:rFonts w:hint="eastAsia" w:hAnsi="宋体" w:cs="宋体"/>
          <w:color w:val="auto"/>
          <w:sz w:val="24"/>
          <w:szCs w:val="24"/>
          <w:highlight w:val="none"/>
        </w:rPr>
        <w:t>%的，即投标（响应）报价&lt;通过符合性审查的次低报价供应商投标（响应）报价×</w:t>
      </w:r>
      <w:r>
        <w:rPr>
          <w:rFonts w:hint="eastAsia" w:hAnsi="宋体" w:cs="宋体"/>
          <w:color w:val="auto"/>
          <w:sz w:val="24"/>
          <w:szCs w:val="24"/>
          <w:highlight w:val="none"/>
          <w:lang w:val="en-US" w:eastAsia="zh-CN"/>
        </w:rPr>
        <w:t>60</w:t>
      </w:r>
      <w:r>
        <w:rPr>
          <w:rFonts w:hint="eastAsia" w:hAnsi="宋体" w:cs="宋体"/>
          <w:color w:val="auto"/>
          <w:sz w:val="24"/>
          <w:szCs w:val="24"/>
          <w:highlight w:val="none"/>
        </w:rPr>
        <w:t>%；</w:t>
      </w:r>
    </w:p>
    <w:p w14:paraId="470564C0">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 xml:space="preserve">3.投标（响应）报价低于采购项目最高限价 </w:t>
      </w:r>
      <w:r>
        <w:rPr>
          <w:rFonts w:hint="eastAsia" w:hAnsi="宋体" w:cs="宋体"/>
          <w:color w:val="auto"/>
          <w:sz w:val="24"/>
          <w:szCs w:val="24"/>
          <w:highlight w:val="none"/>
          <w:lang w:val="en-US" w:eastAsia="zh-CN"/>
        </w:rPr>
        <w:t>65</w:t>
      </w:r>
      <w:r>
        <w:rPr>
          <w:rFonts w:hint="eastAsia" w:hAnsi="宋体" w:cs="宋体"/>
          <w:color w:val="auto"/>
          <w:sz w:val="24"/>
          <w:szCs w:val="24"/>
          <w:highlight w:val="none"/>
        </w:rPr>
        <w:t xml:space="preserve">%的，即投标（响应）报价&lt;采购项目最高限价× </w:t>
      </w:r>
      <w:r>
        <w:rPr>
          <w:rFonts w:hint="eastAsia" w:hAnsi="宋体" w:cs="宋体"/>
          <w:color w:val="auto"/>
          <w:sz w:val="24"/>
          <w:szCs w:val="24"/>
          <w:highlight w:val="none"/>
          <w:lang w:val="en-US" w:eastAsia="zh-CN"/>
        </w:rPr>
        <w:t>65</w:t>
      </w:r>
      <w:r>
        <w:rPr>
          <w:rFonts w:hint="eastAsia" w:hAnsi="宋体" w:cs="宋体"/>
          <w:color w:val="auto"/>
          <w:sz w:val="24"/>
          <w:szCs w:val="24"/>
          <w:highlight w:val="none"/>
        </w:rPr>
        <w:t>%；</w:t>
      </w:r>
    </w:p>
    <w:p w14:paraId="6390CB33">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4.</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基于专业判断，认为供应商报价过低，有可能影响产品质量或者不能诚信履约的其他情形。</w:t>
      </w:r>
    </w:p>
    <w:p w14:paraId="2FE1510D">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相关法律法规对供应商报价有规定的，从其规定。</w:t>
      </w:r>
    </w:p>
    <w:p w14:paraId="201F0F23">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（二）</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启动异常低价投标（响应）审查后，属于前述第 1 项至第4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w:t>
      </w:r>
    </w:p>
    <w:p w14:paraId="78C6FB86">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应当将其作为无效投标（响应）处理。</w:t>
      </w:r>
    </w:p>
    <w:p w14:paraId="556E1B89">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采购人、采购代理机构应当为</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在评审现场及时获取同类项目中标（成交）价格、类似产品市场价格水平、行业人工费用标准、国家有关部门指导行业协会发布的行业平均成本等相关信息资料提供便利。</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借助互联网等渠道查询相关信息的，应当严格遵守评审工作纪律，不得实施影响评审公正的行为。</w:t>
      </w:r>
    </w:p>
    <w:p w14:paraId="7FF86039">
      <w:pPr>
        <w:pStyle w:val="24"/>
        <w:spacing w:line="360" w:lineRule="auto"/>
        <w:ind w:firstLine="480"/>
        <w:rPr>
          <w:rFonts w:hint="eastAsia" w:hAnsi="宋体" w:cs="宋体"/>
          <w:color w:val="auto"/>
          <w:sz w:val="24"/>
          <w:szCs w:val="24"/>
          <w:highlight w:val="none"/>
        </w:rPr>
      </w:pPr>
      <w:r>
        <w:rPr>
          <w:rFonts w:hint="eastAsia" w:hAnsi="宋体" w:cs="宋体"/>
          <w:color w:val="auto"/>
          <w:sz w:val="24"/>
          <w:szCs w:val="24"/>
          <w:highlight w:val="none"/>
        </w:rPr>
        <w:t>异常低价投标（响应）审查的启动原因、审查意见和审查结果应当在评审报告中记录，并随供应商提供的相关书面说明及证明材料，以及</w:t>
      </w:r>
      <w:r>
        <w:rPr>
          <w:rFonts w:hint="eastAsia" w:hAnsi="宋体" w:cs="宋体"/>
          <w:color w:val="auto"/>
          <w:sz w:val="24"/>
          <w:szCs w:val="24"/>
          <w:highlight w:val="none"/>
          <w:lang w:eastAsia="zh-CN"/>
        </w:rPr>
        <w:t>评审小组</w:t>
      </w:r>
      <w:r>
        <w:rPr>
          <w:rFonts w:hint="eastAsia" w:hAnsi="宋体" w:cs="宋体"/>
          <w:color w:val="auto"/>
          <w:sz w:val="24"/>
          <w:szCs w:val="24"/>
          <w:highlight w:val="none"/>
        </w:rPr>
        <w:t>有关互联网浏览、查询历史一并归档。</w:t>
      </w:r>
    </w:p>
    <w:p w14:paraId="4E0C6FF5">
      <w:pPr>
        <w:pStyle w:val="24"/>
        <w:spacing w:line="360" w:lineRule="auto"/>
        <w:ind w:firstLine="480"/>
        <w:rPr>
          <w:rFonts w:hint="eastAsia" w:ascii="宋体" w:hAnsi="宋体" w:cs="宋体"/>
          <w:color w:val="auto"/>
          <w:sz w:val="24"/>
          <w:highlight w:val="none"/>
        </w:rPr>
      </w:pPr>
      <w:r>
        <w:rPr>
          <w:rFonts w:hint="eastAsia" w:hAnsi="宋体" w:cs="宋体"/>
          <w:color w:val="auto"/>
          <w:sz w:val="24"/>
          <w:szCs w:val="24"/>
          <w:highlight w:val="none"/>
        </w:rPr>
        <w:t>书面证明应当按照 “第四章  评标方法及评标标准</w:t>
      </w:r>
      <w:r>
        <w:rPr>
          <w:rFonts w:hint="eastAsia" w:hAnsi="宋体" w:cs="宋体"/>
          <w:color w:val="auto"/>
          <w:sz w:val="24"/>
          <w:szCs w:val="24"/>
          <w:highlight w:val="none"/>
          <w:lang w:val="en-US" w:eastAsia="zh-CN"/>
        </w:rPr>
        <w:t xml:space="preserve"> 5.5</w:t>
      </w:r>
      <w:r>
        <w:rPr>
          <w:rFonts w:hint="eastAsia" w:hAnsi="宋体" w:cs="宋体"/>
          <w:color w:val="auto"/>
          <w:sz w:val="24"/>
          <w:szCs w:val="24"/>
          <w:highlight w:val="none"/>
        </w:rPr>
        <w:t>”的规定提交。</w:t>
      </w:r>
    </w:p>
    <w:p w14:paraId="5D93155B">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0415780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27.1 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2E2192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27.2采购代理机构应当在成交供应商确定后2个工作日内，在省级以上财政部门指定的媒体上公告成交结果，同时向成交供应商发出成交通知书。</w:t>
      </w:r>
      <w:r>
        <w:rPr>
          <w:rFonts w:hint="eastAsia" w:ascii="宋体" w:hAnsi="宋体" w:cs="宋体"/>
          <w:b/>
          <w:color w:val="auto"/>
          <w:sz w:val="24"/>
          <w:highlight w:val="none"/>
        </w:rPr>
        <w:t>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w:t>
      </w:r>
      <w:r>
        <w:rPr>
          <w:rFonts w:hint="eastAsia" w:ascii="宋体" w:hAnsi="宋体" w:cs="宋体"/>
          <w:color w:val="auto"/>
          <w:sz w:val="24"/>
          <w:highlight w:val="none"/>
        </w:rPr>
        <w:t>排名第二的成交候选人因上述规定的同样原因被取消成交资格的，采购人可以确定排名第三的成交候选人为成交供应商，以此类推。以上信息查询记录及相关证据与磋商文件一并保存。</w:t>
      </w:r>
      <w:bookmarkStart w:id="29" w:name="_Hlk66782294"/>
      <w:r>
        <w:rPr>
          <w:rFonts w:hint="eastAsia" w:ascii="宋体" w:hAnsi="宋体" w:cs="宋体"/>
          <w:color w:val="auto"/>
          <w:sz w:val="24"/>
          <w:highlight w:val="none"/>
        </w:rPr>
        <w:t>成交供应商享受《政府采购促进中小企业发展管理办法》（财库〔2020〕46号）及《关于进一步加大政府采购支持中小企业力度的通知》（财库〔2022〕19号）规定的中小企业扶持政策的，采购人、采购代理机构应当随成交结果公开成交供应商的《中小企业声明函》。</w:t>
      </w:r>
      <w:bookmarkEnd w:id="29"/>
    </w:p>
    <w:p w14:paraId="71A45B4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27.3成交供应商拒绝签订政府采购合同（包括但不限于放弃成交、因不可抗力不能履行合同而放弃签订合同），采购人可以按照评审报告推荐的成交候选人名单排序，确定下一候选人为成交供应商，也可以重新开展政府采购活动。拒绝签订政府采购合同的成交供应商不得参加对该项目重新开展的采购活动。</w:t>
      </w:r>
    </w:p>
    <w:p w14:paraId="61DEA5CE">
      <w:pPr>
        <w:pStyle w:val="16"/>
        <w:spacing w:line="360" w:lineRule="auto"/>
        <w:ind w:firstLine="482"/>
        <w:rPr>
          <w:b/>
          <w:color w:val="auto"/>
          <w:highlight w:val="none"/>
        </w:rPr>
      </w:pPr>
      <w:r>
        <w:rPr>
          <w:rFonts w:hint="eastAsia" w:ascii="宋体" w:hAnsi="宋体" w:cs="宋体"/>
          <w:b/>
          <w:color w:val="auto"/>
          <w:sz w:val="24"/>
          <w:highlight w:val="none"/>
        </w:rPr>
        <w:t>成交供应商拒绝与采购人签订合同的，其</w:t>
      </w:r>
      <w:r>
        <w:rPr>
          <w:rFonts w:hint="eastAsia" w:ascii="宋体" w:hAnsi="宋体" w:cs="宋体"/>
          <w:b/>
          <w:color w:val="auto"/>
          <w:sz w:val="24"/>
          <w:highlight w:val="none"/>
          <w:lang w:val="en-US" w:eastAsia="zh-CN"/>
        </w:rPr>
        <w:t>磋商</w:t>
      </w:r>
      <w:r>
        <w:rPr>
          <w:rFonts w:hint="eastAsia" w:ascii="宋体" w:hAnsi="宋体" w:cs="宋体"/>
          <w:b/>
          <w:color w:val="auto"/>
          <w:sz w:val="24"/>
          <w:highlight w:val="none"/>
        </w:rPr>
        <w:t>保证金不予退还，并上缴国库。给采购人造成损失，或（并）因此延误采购人教学科研计划的，须依据《中华人民共和国民法典》第五百条、《政府采购非招标采购方式管理办法（财政部令第</w:t>
      </w:r>
      <w:r>
        <w:rPr>
          <w:rFonts w:ascii="宋体" w:hAnsi="宋体" w:cs="宋体"/>
          <w:b/>
          <w:color w:val="auto"/>
          <w:sz w:val="24"/>
          <w:highlight w:val="none"/>
        </w:rPr>
        <w:t>74号）》第二十二条、第五十四条规定承担赔偿损失等法律责任，采购人有权将成交供应商的失信行为报财政部门记入诚信档案，以示惩戒。</w:t>
      </w:r>
    </w:p>
    <w:p w14:paraId="036095D3">
      <w:pPr>
        <w:spacing w:line="360" w:lineRule="auto"/>
        <w:ind w:firstLine="480"/>
        <w:rPr>
          <w:rFonts w:ascii="宋体" w:hAnsi="宋体" w:cs="宋体"/>
          <w:color w:val="auto"/>
          <w:sz w:val="24"/>
          <w:highlight w:val="none"/>
        </w:rPr>
      </w:pPr>
      <w:r>
        <w:rPr>
          <w:rFonts w:ascii="宋体" w:hAnsi="宋体" w:cs="宋体"/>
          <w:color w:val="auto"/>
          <w:sz w:val="24"/>
          <w:highlight w:val="none"/>
        </w:rPr>
        <w:t>27.4</w:t>
      </w:r>
      <w:r>
        <w:rPr>
          <w:rFonts w:hint="eastAsia" w:ascii="宋体" w:hAnsi="宋体" w:cs="宋体"/>
          <w:color w:val="auto"/>
          <w:sz w:val="24"/>
          <w:highlight w:val="none"/>
        </w:rPr>
        <w:t>出现下列情形之一的，采购人或者采购代理机构应当终止竞争性磋商采购活动，发布项目终止公告并说明原因，重新开展采购活动：</w:t>
      </w:r>
    </w:p>
    <w:p w14:paraId="041B390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w:t>
      </w:r>
      <w:r>
        <w:rPr>
          <w:rFonts w:hint="eastAsia" w:ascii="宋体" w:hAnsi="宋体" w:cs="宋体"/>
          <w:color w:val="auto"/>
          <w:sz w:val="24"/>
          <w:highlight w:val="none"/>
        </w:rPr>
        <w:t>）因情况变化，不再符合规定的竞争性磋商采购方式适用情形的；</w:t>
      </w:r>
    </w:p>
    <w:p w14:paraId="365F0747">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2</w:t>
      </w:r>
      <w:r>
        <w:rPr>
          <w:rFonts w:hint="eastAsia" w:ascii="宋体" w:hAnsi="宋体" w:cs="宋体"/>
          <w:color w:val="auto"/>
          <w:sz w:val="24"/>
          <w:highlight w:val="none"/>
        </w:rPr>
        <w:t>）出现影响采购公正的违法、违规行为的；</w:t>
      </w:r>
    </w:p>
    <w:p w14:paraId="12A6A29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3</w:t>
      </w:r>
      <w:r>
        <w:rPr>
          <w:rFonts w:hint="eastAsia" w:ascii="宋体" w:hAnsi="宋体" w:cs="宋体"/>
          <w:color w:val="auto"/>
          <w:sz w:val="24"/>
          <w:highlight w:val="none"/>
        </w:rPr>
        <w:t>）除“第四章</w:t>
      </w:r>
      <w:r>
        <w:rPr>
          <w:rFonts w:ascii="宋体" w:hAnsi="宋体" w:cs="宋体"/>
          <w:color w:val="auto"/>
          <w:sz w:val="24"/>
          <w:highlight w:val="none"/>
        </w:rPr>
        <w:t xml:space="preserve"> </w:t>
      </w:r>
      <w:r>
        <w:rPr>
          <w:rFonts w:hint="eastAsia" w:ascii="宋体" w:hAnsi="宋体" w:cs="宋体"/>
          <w:color w:val="auto"/>
          <w:sz w:val="24"/>
          <w:highlight w:val="none"/>
        </w:rPr>
        <w:t>评审程序、评审方法和评审标准”第</w:t>
      </w:r>
      <w:r>
        <w:rPr>
          <w:rFonts w:ascii="宋体" w:hAnsi="宋体" w:cs="宋体"/>
          <w:color w:val="auto"/>
          <w:sz w:val="24"/>
          <w:highlight w:val="none"/>
        </w:rPr>
        <w:t>4.3</w:t>
      </w:r>
      <w:r>
        <w:rPr>
          <w:rFonts w:hint="eastAsia" w:ascii="宋体" w:hAnsi="宋体" w:cs="宋体"/>
          <w:color w:val="auto"/>
          <w:sz w:val="24"/>
          <w:highlight w:val="none"/>
        </w:rPr>
        <w:t>条规定的情形外，在采购过程中符合要求的供应商或者报价未超过采购预算的供应商不足</w:t>
      </w:r>
      <w:r>
        <w:rPr>
          <w:rFonts w:ascii="宋体" w:hAnsi="宋体" w:cs="宋体"/>
          <w:color w:val="auto"/>
          <w:sz w:val="24"/>
          <w:highlight w:val="none"/>
        </w:rPr>
        <w:t>3</w:t>
      </w:r>
      <w:r>
        <w:rPr>
          <w:rFonts w:hint="eastAsia" w:ascii="宋体" w:hAnsi="宋体" w:cs="宋体"/>
          <w:color w:val="auto"/>
          <w:sz w:val="24"/>
          <w:highlight w:val="none"/>
        </w:rPr>
        <w:t>家的。</w:t>
      </w:r>
    </w:p>
    <w:p w14:paraId="26382F14">
      <w:pPr>
        <w:spacing w:line="360" w:lineRule="auto"/>
        <w:ind w:firstLine="480"/>
        <w:rPr>
          <w:rFonts w:ascii="宋体" w:hAnsi="宋体" w:cs="宋体"/>
          <w:color w:val="auto"/>
          <w:sz w:val="24"/>
          <w:highlight w:val="none"/>
        </w:rPr>
      </w:pPr>
      <w:r>
        <w:rPr>
          <w:rFonts w:ascii="宋体" w:hAnsi="宋体" w:cs="宋体"/>
          <w:color w:val="auto"/>
          <w:sz w:val="24"/>
          <w:highlight w:val="none"/>
        </w:rPr>
        <w:t xml:space="preserve">27.5 </w:t>
      </w:r>
      <w:r>
        <w:rPr>
          <w:rFonts w:hint="eastAsia" w:ascii="宋体" w:hAnsi="宋体" w:cs="宋体"/>
          <w:color w:val="auto"/>
          <w:sz w:val="24"/>
          <w:highlight w:val="none"/>
        </w:rPr>
        <w:t>在采购活动中因重大变故，采购任务取消的，采购人或者采购代理机构应当终止采购活动，通知所有参加采购活动的供应商，并将项目实施情况和采购任务取消原因报送本级财政部门。</w:t>
      </w:r>
    </w:p>
    <w:p w14:paraId="4AF87965">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28.履约保证金</w:t>
      </w:r>
    </w:p>
    <w:p w14:paraId="6A244C8A">
      <w:pPr>
        <w:spacing w:line="360" w:lineRule="auto"/>
        <w:ind w:firstLine="484"/>
        <w:rPr>
          <w:rFonts w:ascii="宋体" w:hAnsi="宋体" w:cs="宋体"/>
          <w:color w:val="auto"/>
          <w:sz w:val="24"/>
          <w:highlight w:val="none"/>
        </w:rPr>
      </w:pPr>
      <w:r>
        <w:rPr>
          <w:rFonts w:hint="eastAsia" w:ascii="宋体" w:hAnsi="宋体" w:cs="宋体"/>
          <w:color w:val="auto"/>
          <w:sz w:val="24"/>
          <w:highlight w:val="none"/>
        </w:rPr>
        <w:t>28.1 履约保证金的金额、提交方式、退付的时间和条件详见 “供应商须知前附表”。成交供应商未按规定提交履约保证金的，视为拒绝与采购人签订合同。</w:t>
      </w:r>
    </w:p>
    <w:p w14:paraId="090577EA">
      <w:pPr>
        <w:spacing w:line="360" w:lineRule="auto"/>
        <w:ind w:firstLine="484"/>
        <w:rPr>
          <w:rFonts w:ascii="宋体" w:hAnsi="宋体" w:cs="宋体"/>
          <w:color w:val="auto"/>
          <w:sz w:val="24"/>
          <w:highlight w:val="none"/>
        </w:rPr>
      </w:pPr>
      <w:r>
        <w:rPr>
          <w:rFonts w:hint="eastAsia" w:ascii="宋体" w:hAnsi="宋体" w:cs="宋体"/>
          <w:color w:val="auto"/>
          <w:sz w:val="24"/>
          <w:highlight w:val="none"/>
        </w:rPr>
        <w:t>28.2在履约保证金退还日期前，若成交供应商的开户名称、开户银行、</w:t>
      </w:r>
      <w:r>
        <w:rPr>
          <w:rFonts w:hint="eastAsia" w:ascii="宋体" w:hAnsi="宋体" w:cs="宋体"/>
          <w:color w:val="auto"/>
          <w:sz w:val="24"/>
          <w:highlight w:val="none"/>
          <w:lang w:eastAsia="zh-CN"/>
        </w:rPr>
        <w:t>账号</w:t>
      </w:r>
      <w:r>
        <w:rPr>
          <w:rFonts w:hint="eastAsia" w:ascii="宋体" w:hAnsi="宋体" w:cs="宋体"/>
          <w:color w:val="auto"/>
          <w:sz w:val="24"/>
          <w:highlight w:val="none"/>
        </w:rPr>
        <w:t>有变动的，请以书面形式通知履约保证金收取单位，否则由此产生的后果由成交供应商自行承担。</w:t>
      </w:r>
    </w:p>
    <w:p w14:paraId="3E607F6E">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29.签订合同</w:t>
      </w:r>
    </w:p>
    <w:p w14:paraId="6CAD668D">
      <w:pPr>
        <w:spacing w:line="360" w:lineRule="auto"/>
        <w:ind w:firstLine="484"/>
        <w:rPr>
          <w:rFonts w:ascii="宋体" w:hAnsi="宋体" w:cs="宋体"/>
          <w:color w:val="auto"/>
          <w:sz w:val="24"/>
          <w:highlight w:val="none"/>
        </w:rPr>
      </w:pPr>
      <w:r>
        <w:rPr>
          <w:rFonts w:hint="eastAsia" w:ascii="宋体" w:hAnsi="宋体" w:cs="宋体"/>
          <w:color w:val="auto"/>
          <w:sz w:val="24"/>
          <w:highlight w:val="none"/>
        </w:rPr>
        <w:t>29.1成交供应商在收到成交通知书（书面或电子）后，应当在签订合同时向采购人出示相关证明材料，具体内容详见 “供应商须知前附表”，经采购人核验合格后方可签订合同（书面或电子）。如成交供应商为联合体的，联合体各方应当共同与采购人签订采购合同，就采购合同约定的事项对采购人承担连带责任。</w:t>
      </w:r>
    </w:p>
    <w:p w14:paraId="501552BB">
      <w:pPr>
        <w:spacing w:line="360" w:lineRule="auto"/>
        <w:ind w:firstLine="484"/>
        <w:rPr>
          <w:rFonts w:ascii="宋体" w:hAnsi="宋体" w:cs="宋体"/>
          <w:color w:val="auto"/>
          <w:sz w:val="24"/>
          <w:highlight w:val="none"/>
        </w:rPr>
      </w:pPr>
      <w:r>
        <w:rPr>
          <w:rFonts w:hint="eastAsia" w:ascii="宋体" w:hAnsi="宋体" w:cs="宋体"/>
          <w:color w:val="auto"/>
          <w:sz w:val="24"/>
          <w:highlight w:val="none"/>
        </w:rPr>
        <w:t>29.2签订合同时间：按成交通知书规定的时间与采购人签订政府采购合同（最长不能超过25日）。</w:t>
      </w:r>
    </w:p>
    <w:p w14:paraId="77115D93">
      <w:pPr>
        <w:spacing w:line="360" w:lineRule="auto"/>
        <w:ind w:firstLine="487"/>
        <w:rPr>
          <w:rFonts w:ascii="宋体" w:hAnsi="宋体" w:cs="宋体"/>
          <w:b/>
          <w:color w:val="auto"/>
          <w:sz w:val="24"/>
          <w:highlight w:val="none"/>
        </w:rPr>
      </w:pPr>
      <w:r>
        <w:rPr>
          <w:rFonts w:ascii="宋体" w:hAnsi="宋体" w:cs="宋体"/>
          <w:b/>
          <w:color w:val="auto"/>
          <w:sz w:val="24"/>
          <w:highlight w:val="none"/>
        </w:rPr>
        <w:t>29.3成交供应</w:t>
      </w:r>
      <w:r>
        <w:rPr>
          <w:rFonts w:hint="eastAsia" w:ascii="宋体" w:hAnsi="宋体" w:cs="宋体"/>
          <w:b/>
          <w:color w:val="auto"/>
          <w:sz w:val="24"/>
          <w:highlight w:val="none"/>
        </w:rPr>
        <w:t>商拒绝与采购人签订合同的，按照本磋商文件之《供应商须知正文》第</w:t>
      </w:r>
      <w:r>
        <w:rPr>
          <w:rFonts w:ascii="宋体" w:hAnsi="宋体" w:cs="宋体"/>
          <w:b/>
          <w:color w:val="auto"/>
          <w:sz w:val="24"/>
          <w:highlight w:val="none"/>
        </w:rPr>
        <w:t>27.3条的规定执行。</w:t>
      </w:r>
    </w:p>
    <w:p w14:paraId="1D1F4669">
      <w:pPr>
        <w:spacing w:line="360" w:lineRule="auto"/>
        <w:ind w:firstLine="484"/>
        <w:rPr>
          <w:rFonts w:ascii="宋体" w:hAnsi="宋体" w:cs="宋体"/>
          <w:color w:val="auto"/>
          <w:sz w:val="24"/>
          <w:highlight w:val="none"/>
        </w:rPr>
      </w:pPr>
      <w:r>
        <w:rPr>
          <w:rFonts w:ascii="宋体" w:hAnsi="宋体" w:cs="宋体"/>
          <w:color w:val="auto"/>
          <w:sz w:val="24"/>
          <w:highlight w:val="none"/>
        </w:rPr>
        <w:t>29.4</w:t>
      </w:r>
      <w:r>
        <w:rPr>
          <w:rFonts w:hint="eastAsia" w:ascii="宋体" w:hAnsi="宋体" w:cs="宋体"/>
          <w:color w:val="auto"/>
          <w:sz w:val="24"/>
          <w:highlight w:val="none"/>
        </w:rPr>
        <w:t>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5603D3A">
      <w:pPr>
        <w:spacing w:line="360" w:lineRule="auto"/>
        <w:ind w:firstLine="484"/>
        <w:rPr>
          <w:rFonts w:ascii="宋体" w:hAnsi="宋体" w:cs="宋体"/>
          <w:color w:val="auto"/>
          <w:sz w:val="24"/>
          <w:highlight w:val="none"/>
        </w:rPr>
      </w:pPr>
      <w:r>
        <w:rPr>
          <w:rFonts w:ascii="宋体" w:hAnsi="宋体" w:cs="宋体"/>
          <w:color w:val="auto"/>
          <w:sz w:val="24"/>
          <w:highlight w:val="none"/>
        </w:rPr>
        <w:t>29.5</w:t>
      </w:r>
      <w:r>
        <w:rPr>
          <w:rFonts w:hint="eastAsia" w:ascii="宋体" w:hAnsi="宋体" w:cs="宋体"/>
          <w:color w:val="auto"/>
          <w:sz w:val="24"/>
          <w:highlight w:val="none"/>
        </w:rPr>
        <w:t>采购人或成交供应商不得单方面向合同另一方提出任何磋商文件没有约定的条件或不合理的要求，作为签订合同的条件；也不得协商另行订立背离磋商文件和合同实质性内容的协议。</w:t>
      </w:r>
    </w:p>
    <w:p w14:paraId="3305E2A6">
      <w:pPr>
        <w:spacing w:line="360" w:lineRule="auto"/>
        <w:ind w:firstLine="484"/>
        <w:rPr>
          <w:rFonts w:ascii="宋体" w:hAnsi="宋体" w:cs="宋体"/>
          <w:color w:val="auto"/>
          <w:sz w:val="24"/>
          <w:highlight w:val="none"/>
        </w:rPr>
      </w:pPr>
      <w:r>
        <w:rPr>
          <w:rFonts w:ascii="宋体" w:hAnsi="宋体" w:cs="宋体"/>
          <w:color w:val="auto"/>
          <w:sz w:val="24"/>
          <w:highlight w:val="none"/>
        </w:rPr>
        <w:t>29.6</w:t>
      </w:r>
      <w:r>
        <w:rPr>
          <w:rFonts w:hint="eastAsia" w:ascii="宋体" w:hAnsi="宋体" w:cs="宋体"/>
          <w:color w:val="auto"/>
          <w:sz w:val="24"/>
          <w:highlight w:val="none"/>
        </w:rPr>
        <w:t>如签订合同并生效后，供应商无故拒绝或延期，除按照合同条款处理外，将承担相应的法律责任。</w:t>
      </w:r>
    </w:p>
    <w:p w14:paraId="726A6E80">
      <w:pPr>
        <w:spacing w:line="360" w:lineRule="auto"/>
        <w:ind w:firstLine="484"/>
        <w:rPr>
          <w:rFonts w:ascii="宋体" w:hAnsi="宋体" w:cs="宋体"/>
          <w:color w:val="auto"/>
          <w:sz w:val="24"/>
          <w:highlight w:val="none"/>
        </w:rPr>
      </w:pPr>
      <w:r>
        <w:rPr>
          <w:rFonts w:ascii="宋体" w:hAnsi="宋体" w:cs="宋体"/>
          <w:color w:val="auto"/>
          <w:sz w:val="24"/>
          <w:highlight w:val="none"/>
        </w:rPr>
        <w:t>29.7</w:t>
      </w:r>
      <w:r>
        <w:rPr>
          <w:rFonts w:hint="eastAsia" w:ascii="宋体" w:hAnsi="宋体" w:cs="宋体"/>
          <w:color w:val="auto"/>
          <w:sz w:val="24"/>
          <w:highlight w:val="none"/>
        </w:rPr>
        <w:t>政府采购合同履行中，采购人需追加与合同标的相同的货物、工程或者服务的，在不改变合同其他条款的前提下，可以与供应商协商签订补充合同，但所有补充合同的采购金额不得超过原合同采购金额的</w:t>
      </w:r>
      <w:r>
        <w:rPr>
          <w:rFonts w:ascii="宋体" w:hAnsi="宋体" w:cs="宋体"/>
          <w:color w:val="auto"/>
          <w:sz w:val="24"/>
          <w:highlight w:val="none"/>
        </w:rPr>
        <w:t>10%</w:t>
      </w:r>
      <w:r>
        <w:rPr>
          <w:rFonts w:hint="eastAsia" w:ascii="宋体" w:hAnsi="宋体" w:cs="宋体"/>
          <w:color w:val="auto"/>
          <w:sz w:val="24"/>
          <w:highlight w:val="none"/>
        </w:rPr>
        <w:t>。</w:t>
      </w:r>
    </w:p>
    <w:p w14:paraId="6101BC41">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30.政府采购合同公告</w:t>
      </w:r>
    </w:p>
    <w:p w14:paraId="57D2791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7006E95">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31.询问、质疑和投诉</w:t>
      </w:r>
    </w:p>
    <w:p w14:paraId="725D93F6">
      <w:pPr>
        <w:pStyle w:val="14"/>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31.1供应商对政府采购活动事项有疑问的，可以向采购人、采购代理机构提出询问，采购人或者采购代理机构应当在3个工作日内对供应商依法提出的询问</w:t>
      </w:r>
      <w:r>
        <w:rPr>
          <w:rFonts w:hint="eastAsia" w:ascii="宋体" w:hAnsi="宋体" w:cs="宋体"/>
          <w:color w:val="auto"/>
          <w:sz w:val="24"/>
          <w:szCs w:val="24"/>
          <w:highlight w:val="none"/>
          <w:lang w:eastAsia="zh-CN"/>
        </w:rPr>
        <w:t>作出</w:t>
      </w:r>
      <w:r>
        <w:rPr>
          <w:rFonts w:hint="eastAsia" w:ascii="宋体" w:hAnsi="宋体" w:cs="宋体"/>
          <w:color w:val="auto"/>
          <w:sz w:val="24"/>
          <w:szCs w:val="24"/>
          <w:highlight w:val="none"/>
        </w:rPr>
        <w:t>答复，但答复的内容不得涉及商业秘密。</w:t>
      </w:r>
    </w:p>
    <w:p w14:paraId="3BE86E5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31.2供应商认为磋商文件、采购过程或者成交结果使自己的合法权益受到损害的，应当在知道或者应知其权益受到损害之日起7个工作日内，以纸质书面形式向采购人、采购代理机构提出质疑，接收质疑函的方式、联系部门、联系电话和通讯地址等信息详见“供应商须知前附表”。具体质疑起算时间如下：</w:t>
      </w:r>
    </w:p>
    <w:p w14:paraId="1A93DB7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（1）对可以质疑的磋商文件提出质疑的，为收到磋商文件之日或者竞争性磋商公告期限届满之日；</w:t>
      </w:r>
    </w:p>
    <w:p w14:paraId="3005337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（2）对采购过程提出质疑的，为各采购程序环节结束之日；</w:t>
      </w:r>
    </w:p>
    <w:p w14:paraId="3C4B2B8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（3）对成交结果提出质疑的，为成交结果公告期限届满之日。</w:t>
      </w:r>
    </w:p>
    <w:p w14:paraId="5745F56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867249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31.4供应商提出质疑应当提交质疑函和必要的证明材料，针对同一采购程序环节的质疑必须在法定质疑期内一次性提出。质疑函应当包括下列内容</w:t>
      </w:r>
      <w:r>
        <w:rPr>
          <w:rFonts w:hint="eastAsia" w:ascii="宋体" w:hAnsi="宋体" w:cs="宋体"/>
          <w:bCs/>
          <w:color w:val="auto"/>
          <w:sz w:val="24"/>
          <w:highlight w:val="none"/>
        </w:rPr>
        <w:t>（质疑函格式后附）</w:t>
      </w:r>
      <w:r>
        <w:rPr>
          <w:rFonts w:hint="eastAsia" w:ascii="宋体" w:hAnsi="宋体" w:cs="宋体"/>
          <w:color w:val="auto"/>
          <w:sz w:val="24"/>
          <w:highlight w:val="none"/>
        </w:rPr>
        <w:t>：</w:t>
      </w:r>
    </w:p>
    <w:p w14:paraId="5664BE7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（1）供应商的姓名或者名称、地址、邮编、联系人及联系电话；</w:t>
      </w:r>
    </w:p>
    <w:p w14:paraId="2EA20C6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（2）质疑项目的名称、编号；</w:t>
      </w:r>
    </w:p>
    <w:p w14:paraId="02F497B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（3）具体、明确的质疑事项和与质疑事项相关的请求；</w:t>
      </w:r>
    </w:p>
    <w:p w14:paraId="01D4F3C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（4）事实依据；</w:t>
      </w:r>
    </w:p>
    <w:p w14:paraId="621ED6A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（5）必要的法律依据；</w:t>
      </w:r>
    </w:p>
    <w:p w14:paraId="6023279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（6）提出质疑的日期。</w:t>
      </w:r>
    </w:p>
    <w:p w14:paraId="4F60C03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供应商为自然人的，应当由本人签字；供应商为法人或者其他组织的，应当由法定代表人、主要负责人，或者其委托代理人签字或者盖章，并加盖公章。</w:t>
      </w:r>
    </w:p>
    <w:p w14:paraId="008F9D0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45AE01F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（1）对采购文件提出的质疑，依法通过澄清或者修改可以继续开展采购活动的，澄清或者修改采购文件后继续开展采购活动；否则应当修改采购文件后重新开展采购活动。</w:t>
      </w:r>
    </w:p>
    <w:p w14:paraId="011996D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（2）对采购过程或者成交结果提出的质疑，合格供应商符合法定数量时，可以从合格的成交候选人中另行确定成交供应商的，应当依法另行确定成交供应商；否则应当重新开展采购活动。</w:t>
      </w:r>
    </w:p>
    <w:p w14:paraId="0755E1A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质疑答复导致成交结果改变的，采购人或者采购代理机构应当将有关情况书面报告本级财政部门。</w:t>
      </w:r>
    </w:p>
    <w:p w14:paraId="2340A2A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DA47AB1">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32.其他内容</w:t>
      </w:r>
    </w:p>
    <w:p w14:paraId="0943A0C4">
      <w:pPr>
        <w:tabs>
          <w:tab w:val="left" w:pos="2835"/>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32.1代理服务费：代理服</w:t>
      </w:r>
      <w:r>
        <w:rPr>
          <w:rFonts w:hint="eastAsia" w:ascii="宋体" w:hAnsi="宋体" w:cs="宋体"/>
          <w:color w:val="auto"/>
          <w:sz w:val="24"/>
          <w:highlight w:val="none"/>
          <w:lang w:eastAsia="zh-CN"/>
        </w:rPr>
        <w:t>务费</w:t>
      </w:r>
      <w:r>
        <w:rPr>
          <w:rFonts w:hint="eastAsia" w:ascii="宋体" w:hAnsi="宋体" w:cs="宋体"/>
          <w:color w:val="auto"/>
          <w:sz w:val="24"/>
          <w:highlight w:val="none"/>
        </w:rPr>
        <w:t>收取标准及缴费账户详见“供应商须知前附表”，供应商为联合体的，可以由联合体中的一方或者多方共同交纳代理服务费。</w:t>
      </w:r>
    </w:p>
    <w:p w14:paraId="0B36E075">
      <w:pPr>
        <w:tabs>
          <w:tab w:val="left" w:pos="2835"/>
        </w:tabs>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32.2代理服务费收费计算标准：</w:t>
      </w:r>
    </w:p>
    <w:p w14:paraId="0A04B74F">
      <w:pPr>
        <w:pStyle w:val="18"/>
        <w:rPr>
          <w:color w:val="auto"/>
          <w:highlight w:val="none"/>
        </w:rPr>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6482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77E7A16A">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费率</w:t>
            </w:r>
          </w:p>
          <w:p w14:paraId="5176B215">
            <w:pPr>
              <w:spacing w:line="360" w:lineRule="auto"/>
              <w:rPr>
                <w:rFonts w:ascii="宋体" w:hAnsi="宋体" w:cs="宋体"/>
                <w:color w:val="auto"/>
                <w:sz w:val="24"/>
                <w:highlight w:val="none"/>
              </w:rPr>
            </w:pPr>
            <w:r>
              <w:rPr>
                <w:rFonts w:hint="eastAsia" w:ascii="宋体" w:hAnsi="宋体" w:cs="宋体"/>
                <w:color w:val="auto"/>
                <w:sz w:val="24"/>
                <w:highlight w:val="none"/>
              </w:rPr>
              <w:t>金额（人民币）</w:t>
            </w:r>
          </w:p>
        </w:tc>
        <w:tc>
          <w:tcPr>
            <w:tcW w:w="1659" w:type="dxa"/>
            <w:noWrap w:val="0"/>
            <w:vAlign w:val="center"/>
          </w:tcPr>
          <w:p w14:paraId="12020D9A">
            <w:pPr>
              <w:spacing w:line="360" w:lineRule="auto"/>
              <w:ind w:firstLine="120"/>
              <w:jc w:val="center"/>
              <w:rPr>
                <w:rFonts w:ascii="宋体" w:hAnsi="宋体" w:cs="宋体"/>
                <w:color w:val="auto"/>
                <w:sz w:val="24"/>
                <w:highlight w:val="none"/>
              </w:rPr>
            </w:pPr>
            <w:r>
              <w:rPr>
                <w:rFonts w:hint="eastAsia" w:ascii="宋体" w:hAnsi="宋体" w:cs="宋体"/>
                <w:color w:val="auto"/>
                <w:sz w:val="24"/>
                <w:highlight w:val="none"/>
              </w:rPr>
              <w:t>货物类</w:t>
            </w:r>
          </w:p>
        </w:tc>
        <w:tc>
          <w:tcPr>
            <w:tcW w:w="1532" w:type="dxa"/>
            <w:noWrap w:val="0"/>
            <w:vAlign w:val="center"/>
          </w:tcPr>
          <w:p w14:paraId="6361AFC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服务类</w:t>
            </w:r>
          </w:p>
        </w:tc>
        <w:tc>
          <w:tcPr>
            <w:tcW w:w="1546" w:type="dxa"/>
            <w:noWrap w:val="0"/>
            <w:vAlign w:val="center"/>
          </w:tcPr>
          <w:p w14:paraId="16E7916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工程类</w:t>
            </w:r>
          </w:p>
        </w:tc>
      </w:tr>
      <w:tr w14:paraId="2959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5C15E676">
            <w:pPr>
              <w:spacing w:line="360" w:lineRule="auto"/>
              <w:rPr>
                <w:rFonts w:ascii="宋体" w:hAnsi="宋体" w:cs="宋体"/>
                <w:color w:val="auto"/>
                <w:sz w:val="24"/>
                <w:highlight w:val="none"/>
              </w:rPr>
            </w:pPr>
            <w:r>
              <w:rPr>
                <w:rFonts w:hint="eastAsia" w:ascii="宋体" w:hAnsi="宋体" w:cs="宋体"/>
                <w:color w:val="auto"/>
                <w:sz w:val="24"/>
                <w:highlight w:val="none"/>
              </w:rPr>
              <w:t>100万元以下</w:t>
            </w:r>
          </w:p>
        </w:tc>
        <w:tc>
          <w:tcPr>
            <w:tcW w:w="1659" w:type="dxa"/>
            <w:noWrap w:val="0"/>
            <w:vAlign w:val="top"/>
          </w:tcPr>
          <w:p w14:paraId="14FDF84F">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1.5%                </w:t>
            </w:r>
          </w:p>
        </w:tc>
        <w:tc>
          <w:tcPr>
            <w:tcW w:w="1532" w:type="dxa"/>
            <w:noWrap w:val="0"/>
            <w:vAlign w:val="top"/>
          </w:tcPr>
          <w:p w14:paraId="20D0E4E9">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1.5%</w:t>
            </w:r>
          </w:p>
        </w:tc>
        <w:tc>
          <w:tcPr>
            <w:tcW w:w="1546" w:type="dxa"/>
            <w:noWrap w:val="0"/>
            <w:vAlign w:val="top"/>
          </w:tcPr>
          <w:p w14:paraId="5DB3EFEC">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 xml:space="preserve">1.0% </w:t>
            </w:r>
          </w:p>
        </w:tc>
      </w:tr>
      <w:tr w14:paraId="7473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4F587906">
            <w:pPr>
              <w:spacing w:line="360" w:lineRule="auto"/>
              <w:rPr>
                <w:rFonts w:ascii="宋体" w:hAnsi="宋体" w:cs="宋体"/>
                <w:color w:val="auto"/>
                <w:sz w:val="24"/>
                <w:highlight w:val="none"/>
              </w:rPr>
            </w:pPr>
            <w:r>
              <w:rPr>
                <w:rFonts w:hint="eastAsia" w:ascii="宋体" w:hAnsi="宋体" w:cs="宋体"/>
                <w:color w:val="auto"/>
                <w:sz w:val="24"/>
                <w:highlight w:val="none"/>
              </w:rPr>
              <w:t>100～500万元</w:t>
            </w:r>
          </w:p>
        </w:tc>
        <w:tc>
          <w:tcPr>
            <w:tcW w:w="1659" w:type="dxa"/>
            <w:noWrap w:val="0"/>
            <w:vAlign w:val="top"/>
          </w:tcPr>
          <w:p w14:paraId="5AAF1D05">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 xml:space="preserve">1.1%                 </w:t>
            </w:r>
          </w:p>
        </w:tc>
        <w:tc>
          <w:tcPr>
            <w:tcW w:w="1532" w:type="dxa"/>
            <w:noWrap w:val="0"/>
            <w:vAlign w:val="top"/>
          </w:tcPr>
          <w:p w14:paraId="05CDAC4A">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0.8%</w:t>
            </w:r>
          </w:p>
        </w:tc>
        <w:tc>
          <w:tcPr>
            <w:tcW w:w="1546" w:type="dxa"/>
            <w:noWrap w:val="0"/>
            <w:vAlign w:val="top"/>
          </w:tcPr>
          <w:p w14:paraId="0DE25D5A">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 xml:space="preserve">0.7% </w:t>
            </w:r>
          </w:p>
        </w:tc>
      </w:tr>
      <w:tr w14:paraId="46D2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34F1FB72">
            <w:pPr>
              <w:spacing w:line="360" w:lineRule="auto"/>
              <w:rPr>
                <w:rFonts w:ascii="宋体" w:hAnsi="宋体" w:cs="宋体"/>
                <w:color w:val="auto"/>
                <w:sz w:val="24"/>
                <w:highlight w:val="none"/>
              </w:rPr>
            </w:pPr>
            <w:r>
              <w:rPr>
                <w:rFonts w:hint="eastAsia" w:ascii="宋体" w:hAnsi="宋体" w:cs="宋体"/>
                <w:color w:val="auto"/>
                <w:sz w:val="24"/>
                <w:highlight w:val="none"/>
              </w:rPr>
              <w:t>500～1000万元</w:t>
            </w:r>
          </w:p>
        </w:tc>
        <w:tc>
          <w:tcPr>
            <w:tcW w:w="1659" w:type="dxa"/>
            <w:noWrap w:val="0"/>
            <w:vAlign w:val="top"/>
          </w:tcPr>
          <w:p w14:paraId="32CEA1E1">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0.8%                </w:t>
            </w:r>
          </w:p>
        </w:tc>
        <w:tc>
          <w:tcPr>
            <w:tcW w:w="1532" w:type="dxa"/>
            <w:noWrap w:val="0"/>
            <w:vAlign w:val="top"/>
          </w:tcPr>
          <w:p w14:paraId="64517A46">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0.45%</w:t>
            </w:r>
          </w:p>
        </w:tc>
        <w:tc>
          <w:tcPr>
            <w:tcW w:w="1546" w:type="dxa"/>
            <w:noWrap w:val="0"/>
            <w:vAlign w:val="top"/>
          </w:tcPr>
          <w:p w14:paraId="265DAB5A">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0.55%</w:t>
            </w:r>
          </w:p>
        </w:tc>
      </w:tr>
      <w:tr w14:paraId="478A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3E1D0BD9">
            <w:pPr>
              <w:spacing w:line="360" w:lineRule="auto"/>
              <w:rPr>
                <w:rFonts w:ascii="宋体" w:hAnsi="宋体" w:cs="宋体"/>
                <w:color w:val="auto"/>
                <w:sz w:val="24"/>
                <w:highlight w:val="none"/>
              </w:rPr>
            </w:pPr>
            <w:r>
              <w:rPr>
                <w:rFonts w:hint="eastAsia" w:ascii="宋体" w:hAnsi="宋体" w:cs="宋体"/>
                <w:color w:val="auto"/>
                <w:sz w:val="24"/>
                <w:highlight w:val="none"/>
              </w:rPr>
              <w:t>1000～5000万元</w:t>
            </w:r>
          </w:p>
        </w:tc>
        <w:tc>
          <w:tcPr>
            <w:tcW w:w="1659" w:type="dxa"/>
            <w:noWrap w:val="0"/>
            <w:vAlign w:val="top"/>
          </w:tcPr>
          <w:p w14:paraId="4D3856DF">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 xml:space="preserve">0.5%                </w:t>
            </w:r>
          </w:p>
        </w:tc>
        <w:tc>
          <w:tcPr>
            <w:tcW w:w="1532" w:type="dxa"/>
            <w:noWrap w:val="0"/>
            <w:vAlign w:val="top"/>
          </w:tcPr>
          <w:p w14:paraId="37B8075D">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0.25%</w:t>
            </w:r>
          </w:p>
        </w:tc>
        <w:tc>
          <w:tcPr>
            <w:tcW w:w="1546" w:type="dxa"/>
            <w:noWrap w:val="0"/>
            <w:vAlign w:val="top"/>
          </w:tcPr>
          <w:p w14:paraId="09CDFDBA">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 xml:space="preserve">0.35% </w:t>
            </w:r>
          </w:p>
        </w:tc>
      </w:tr>
      <w:tr w14:paraId="7E97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0BCBEAF4">
            <w:pPr>
              <w:spacing w:line="360" w:lineRule="auto"/>
              <w:rPr>
                <w:rFonts w:ascii="宋体" w:hAnsi="宋体" w:cs="宋体"/>
                <w:color w:val="auto"/>
                <w:sz w:val="24"/>
                <w:highlight w:val="none"/>
              </w:rPr>
            </w:pPr>
            <w:r>
              <w:rPr>
                <w:rFonts w:hint="eastAsia" w:ascii="宋体" w:hAnsi="宋体" w:cs="宋体"/>
                <w:color w:val="auto"/>
                <w:sz w:val="24"/>
                <w:highlight w:val="none"/>
              </w:rPr>
              <w:t>5000万元～1亿元</w:t>
            </w:r>
          </w:p>
        </w:tc>
        <w:tc>
          <w:tcPr>
            <w:tcW w:w="1659" w:type="dxa"/>
            <w:noWrap w:val="0"/>
            <w:vAlign w:val="top"/>
          </w:tcPr>
          <w:p w14:paraId="709CA383">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 xml:space="preserve">0.25%                 </w:t>
            </w:r>
          </w:p>
        </w:tc>
        <w:tc>
          <w:tcPr>
            <w:tcW w:w="1532" w:type="dxa"/>
            <w:noWrap w:val="0"/>
            <w:vAlign w:val="top"/>
          </w:tcPr>
          <w:p w14:paraId="6479CA45">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0.1%</w:t>
            </w:r>
          </w:p>
        </w:tc>
        <w:tc>
          <w:tcPr>
            <w:tcW w:w="1546" w:type="dxa"/>
            <w:noWrap w:val="0"/>
            <w:vAlign w:val="top"/>
          </w:tcPr>
          <w:p w14:paraId="5C7F9673">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0.2%</w:t>
            </w:r>
          </w:p>
        </w:tc>
      </w:tr>
      <w:tr w14:paraId="58302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04632170">
            <w:pPr>
              <w:spacing w:line="360" w:lineRule="auto"/>
              <w:rPr>
                <w:rFonts w:ascii="宋体" w:hAnsi="宋体" w:cs="宋体"/>
                <w:color w:val="auto"/>
                <w:sz w:val="24"/>
                <w:highlight w:val="none"/>
              </w:rPr>
            </w:pPr>
            <w:r>
              <w:rPr>
                <w:rFonts w:hint="eastAsia" w:ascii="宋体" w:hAnsi="宋体" w:cs="宋体"/>
                <w:color w:val="auto"/>
                <w:sz w:val="24"/>
                <w:highlight w:val="none"/>
              </w:rPr>
              <w:t>1～5亿元</w:t>
            </w:r>
          </w:p>
        </w:tc>
        <w:tc>
          <w:tcPr>
            <w:tcW w:w="1659" w:type="dxa"/>
            <w:noWrap w:val="0"/>
            <w:vAlign w:val="top"/>
          </w:tcPr>
          <w:p w14:paraId="04604D0D">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0.05%</w:t>
            </w:r>
          </w:p>
        </w:tc>
        <w:tc>
          <w:tcPr>
            <w:tcW w:w="1532" w:type="dxa"/>
            <w:noWrap w:val="0"/>
            <w:vAlign w:val="top"/>
          </w:tcPr>
          <w:p w14:paraId="0AED9BD5">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0.05%</w:t>
            </w:r>
          </w:p>
        </w:tc>
        <w:tc>
          <w:tcPr>
            <w:tcW w:w="1546" w:type="dxa"/>
            <w:noWrap w:val="0"/>
            <w:vAlign w:val="top"/>
          </w:tcPr>
          <w:p w14:paraId="23B9C3D0">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0.05%</w:t>
            </w:r>
          </w:p>
        </w:tc>
      </w:tr>
      <w:tr w14:paraId="717C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4F07D15B">
            <w:pPr>
              <w:spacing w:line="360" w:lineRule="auto"/>
              <w:rPr>
                <w:rFonts w:ascii="宋体" w:hAnsi="宋体" w:cs="宋体"/>
                <w:color w:val="auto"/>
                <w:sz w:val="24"/>
                <w:highlight w:val="none"/>
              </w:rPr>
            </w:pPr>
            <w:r>
              <w:rPr>
                <w:rFonts w:hint="eastAsia" w:ascii="宋体" w:hAnsi="宋体" w:cs="宋体"/>
                <w:color w:val="auto"/>
                <w:sz w:val="24"/>
                <w:highlight w:val="none"/>
              </w:rPr>
              <w:t>5～10亿元</w:t>
            </w:r>
          </w:p>
        </w:tc>
        <w:tc>
          <w:tcPr>
            <w:tcW w:w="1659" w:type="dxa"/>
            <w:noWrap w:val="0"/>
            <w:vAlign w:val="top"/>
          </w:tcPr>
          <w:p w14:paraId="3DB19F02">
            <w:pPr>
              <w:spacing w:line="360" w:lineRule="auto"/>
              <w:ind w:firstLine="120"/>
              <w:rPr>
                <w:rFonts w:ascii="宋体" w:hAnsi="宋体" w:cs="宋体"/>
                <w:color w:val="auto"/>
                <w:sz w:val="24"/>
                <w:highlight w:val="none"/>
              </w:rPr>
            </w:pPr>
            <w:r>
              <w:rPr>
                <w:rFonts w:hint="eastAsia" w:ascii="宋体" w:hAnsi="宋体" w:cs="宋体"/>
                <w:color w:val="auto"/>
                <w:sz w:val="24"/>
                <w:highlight w:val="none"/>
              </w:rPr>
              <w:t>0.035%</w:t>
            </w:r>
          </w:p>
        </w:tc>
        <w:tc>
          <w:tcPr>
            <w:tcW w:w="1532" w:type="dxa"/>
            <w:noWrap w:val="0"/>
            <w:vAlign w:val="top"/>
          </w:tcPr>
          <w:p w14:paraId="25422614">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0.035%</w:t>
            </w:r>
          </w:p>
        </w:tc>
        <w:tc>
          <w:tcPr>
            <w:tcW w:w="1546" w:type="dxa"/>
            <w:noWrap w:val="0"/>
            <w:vAlign w:val="top"/>
          </w:tcPr>
          <w:p w14:paraId="6DBCCA6B">
            <w:pPr>
              <w:spacing w:line="360" w:lineRule="auto"/>
              <w:ind w:firstLine="120"/>
              <w:rPr>
                <w:rFonts w:ascii="宋体" w:hAnsi="宋体" w:cs="宋体"/>
                <w:color w:val="auto"/>
                <w:sz w:val="24"/>
                <w:highlight w:val="none"/>
              </w:rPr>
            </w:pPr>
            <w:r>
              <w:rPr>
                <w:rFonts w:hint="eastAsia" w:ascii="宋体" w:hAnsi="宋体" w:cs="宋体"/>
                <w:color w:val="auto"/>
                <w:sz w:val="24"/>
                <w:highlight w:val="none"/>
              </w:rPr>
              <w:t>0.035%</w:t>
            </w:r>
          </w:p>
        </w:tc>
      </w:tr>
      <w:tr w14:paraId="6382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328D17C8">
            <w:pPr>
              <w:spacing w:line="360" w:lineRule="auto"/>
              <w:rPr>
                <w:rFonts w:ascii="宋体" w:hAnsi="宋体" w:cs="宋体"/>
                <w:color w:val="auto"/>
                <w:sz w:val="24"/>
                <w:highlight w:val="none"/>
              </w:rPr>
            </w:pPr>
            <w:r>
              <w:rPr>
                <w:rFonts w:hint="eastAsia" w:ascii="宋体" w:hAnsi="宋体" w:cs="宋体"/>
                <w:color w:val="auto"/>
                <w:sz w:val="24"/>
                <w:highlight w:val="none"/>
              </w:rPr>
              <w:t>10～50亿元</w:t>
            </w:r>
          </w:p>
        </w:tc>
        <w:tc>
          <w:tcPr>
            <w:tcW w:w="1659" w:type="dxa"/>
            <w:noWrap w:val="0"/>
            <w:vAlign w:val="top"/>
          </w:tcPr>
          <w:p w14:paraId="20C42FE1">
            <w:pPr>
              <w:spacing w:line="360" w:lineRule="auto"/>
              <w:ind w:firstLine="120"/>
              <w:rPr>
                <w:rFonts w:ascii="宋体" w:hAnsi="宋体" w:cs="宋体"/>
                <w:color w:val="auto"/>
                <w:sz w:val="24"/>
                <w:highlight w:val="none"/>
              </w:rPr>
            </w:pPr>
            <w:r>
              <w:rPr>
                <w:rFonts w:hint="eastAsia" w:ascii="宋体" w:hAnsi="宋体" w:cs="宋体"/>
                <w:color w:val="auto"/>
                <w:sz w:val="24"/>
                <w:highlight w:val="none"/>
              </w:rPr>
              <w:t>0.008%</w:t>
            </w:r>
          </w:p>
        </w:tc>
        <w:tc>
          <w:tcPr>
            <w:tcW w:w="1532" w:type="dxa"/>
            <w:noWrap w:val="0"/>
            <w:vAlign w:val="top"/>
          </w:tcPr>
          <w:p w14:paraId="3001367C">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0.008%</w:t>
            </w:r>
          </w:p>
        </w:tc>
        <w:tc>
          <w:tcPr>
            <w:tcW w:w="1546" w:type="dxa"/>
            <w:noWrap w:val="0"/>
            <w:vAlign w:val="top"/>
          </w:tcPr>
          <w:p w14:paraId="7FBD1247">
            <w:pPr>
              <w:spacing w:line="360" w:lineRule="auto"/>
              <w:ind w:firstLine="120"/>
              <w:rPr>
                <w:rFonts w:ascii="宋体" w:hAnsi="宋体" w:cs="宋体"/>
                <w:color w:val="auto"/>
                <w:sz w:val="24"/>
                <w:highlight w:val="none"/>
              </w:rPr>
            </w:pPr>
            <w:r>
              <w:rPr>
                <w:rFonts w:hint="eastAsia" w:ascii="宋体" w:hAnsi="宋体" w:cs="宋体"/>
                <w:color w:val="auto"/>
                <w:sz w:val="24"/>
                <w:highlight w:val="none"/>
              </w:rPr>
              <w:t>0.008%</w:t>
            </w:r>
          </w:p>
        </w:tc>
      </w:tr>
      <w:tr w14:paraId="1B7F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5001C6D1">
            <w:pPr>
              <w:spacing w:line="360" w:lineRule="auto"/>
              <w:rPr>
                <w:rFonts w:ascii="宋体" w:hAnsi="宋体" w:cs="宋体"/>
                <w:color w:val="auto"/>
                <w:sz w:val="24"/>
                <w:highlight w:val="none"/>
              </w:rPr>
            </w:pPr>
            <w:r>
              <w:rPr>
                <w:rFonts w:hint="eastAsia" w:ascii="宋体" w:hAnsi="宋体" w:cs="宋体"/>
                <w:color w:val="auto"/>
                <w:sz w:val="24"/>
                <w:highlight w:val="none"/>
              </w:rPr>
              <w:t>50～100亿元</w:t>
            </w:r>
          </w:p>
        </w:tc>
        <w:tc>
          <w:tcPr>
            <w:tcW w:w="1659" w:type="dxa"/>
            <w:noWrap w:val="0"/>
            <w:vAlign w:val="top"/>
          </w:tcPr>
          <w:p w14:paraId="4B301160">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0.006%</w:t>
            </w:r>
          </w:p>
        </w:tc>
        <w:tc>
          <w:tcPr>
            <w:tcW w:w="1532" w:type="dxa"/>
            <w:noWrap w:val="0"/>
            <w:vAlign w:val="top"/>
          </w:tcPr>
          <w:p w14:paraId="3E582C5B">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0.006%</w:t>
            </w:r>
          </w:p>
        </w:tc>
        <w:tc>
          <w:tcPr>
            <w:tcW w:w="1546" w:type="dxa"/>
            <w:noWrap w:val="0"/>
            <w:vAlign w:val="top"/>
          </w:tcPr>
          <w:p w14:paraId="600CB8AC">
            <w:pPr>
              <w:spacing w:line="360" w:lineRule="auto"/>
              <w:ind w:firstLine="120"/>
              <w:rPr>
                <w:rFonts w:ascii="宋体" w:hAnsi="宋体" w:cs="宋体"/>
                <w:color w:val="auto"/>
                <w:sz w:val="24"/>
                <w:highlight w:val="none"/>
              </w:rPr>
            </w:pPr>
            <w:r>
              <w:rPr>
                <w:rFonts w:hint="eastAsia" w:ascii="宋体" w:hAnsi="宋体" w:cs="宋体"/>
                <w:color w:val="auto"/>
                <w:sz w:val="24"/>
                <w:highlight w:val="none"/>
              </w:rPr>
              <w:t>0.006%</w:t>
            </w:r>
          </w:p>
        </w:tc>
      </w:tr>
      <w:tr w14:paraId="6731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554AD500">
            <w:pPr>
              <w:spacing w:line="360" w:lineRule="auto"/>
              <w:rPr>
                <w:rFonts w:ascii="宋体" w:hAnsi="宋体" w:cs="宋体"/>
                <w:color w:val="auto"/>
                <w:sz w:val="24"/>
                <w:highlight w:val="none"/>
              </w:rPr>
            </w:pPr>
            <w:r>
              <w:rPr>
                <w:rFonts w:hint="eastAsia" w:ascii="宋体" w:hAnsi="宋体" w:cs="宋体"/>
                <w:color w:val="auto"/>
                <w:sz w:val="24"/>
                <w:highlight w:val="none"/>
              </w:rPr>
              <w:t>100亿元以上</w:t>
            </w:r>
          </w:p>
        </w:tc>
        <w:tc>
          <w:tcPr>
            <w:tcW w:w="1659" w:type="dxa"/>
            <w:noWrap w:val="0"/>
            <w:vAlign w:val="top"/>
          </w:tcPr>
          <w:p w14:paraId="4AFA64EC">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0.004%</w:t>
            </w:r>
          </w:p>
        </w:tc>
        <w:tc>
          <w:tcPr>
            <w:tcW w:w="1532" w:type="dxa"/>
            <w:noWrap w:val="0"/>
            <w:vAlign w:val="top"/>
          </w:tcPr>
          <w:p w14:paraId="0674B5B8">
            <w:pPr>
              <w:spacing w:line="360" w:lineRule="auto"/>
              <w:ind w:firstLine="240"/>
              <w:rPr>
                <w:rFonts w:ascii="宋体" w:hAnsi="宋体" w:cs="宋体"/>
                <w:color w:val="auto"/>
                <w:sz w:val="24"/>
                <w:highlight w:val="none"/>
              </w:rPr>
            </w:pPr>
            <w:r>
              <w:rPr>
                <w:rFonts w:hint="eastAsia" w:ascii="宋体" w:hAnsi="宋体" w:cs="宋体"/>
                <w:color w:val="auto"/>
                <w:sz w:val="24"/>
                <w:highlight w:val="none"/>
              </w:rPr>
              <w:t>0.004%</w:t>
            </w:r>
          </w:p>
        </w:tc>
        <w:tc>
          <w:tcPr>
            <w:tcW w:w="1546" w:type="dxa"/>
            <w:noWrap w:val="0"/>
            <w:vAlign w:val="top"/>
          </w:tcPr>
          <w:p w14:paraId="725D22F6">
            <w:pPr>
              <w:spacing w:line="360" w:lineRule="auto"/>
              <w:ind w:firstLine="120"/>
              <w:rPr>
                <w:rFonts w:ascii="宋体" w:hAnsi="宋体" w:cs="宋体"/>
                <w:color w:val="auto"/>
                <w:sz w:val="24"/>
                <w:highlight w:val="none"/>
              </w:rPr>
            </w:pPr>
            <w:r>
              <w:rPr>
                <w:rFonts w:hint="eastAsia" w:ascii="宋体" w:hAnsi="宋体" w:cs="宋体"/>
                <w:color w:val="auto"/>
                <w:sz w:val="24"/>
                <w:highlight w:val="none"/>
              </w:rPr>
              <w:t>0.004%</w:t>
            </w:r>
          </w:p>
        </w:tc>
      </w:tr>
    </w:tbl>
    <w:p w14:paraId="3BC81EA9">
      <w:pPr>
        <w:spacing w:line="360" w:lineRule="auto"/>
        <w:ind w:firstLine="482"/>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47457E36">
      <w:pPr>
        <w:spacing w:line="360" w:lineRule="auto"/>
        <w:ind w:firstLine="480"/>
        <w:rPr>
          <w:rFonts w:ascii="楷体" w:hAnsi="楷体" w:eastAsia="楷体" w:cs="宋体"/>
          <w:color w:val="auto"/>
          <w:sz w:val="24"/>
          <w:highlight w:val="none"/>
        </w:rPr>
      </w:pPr>
      <w:r>
        <w:rPr>
          <w:rFonts w:hint="eastAsia" w:ascii="楷体" w:hAnsi="楷体" w:eastAsia="楷体" w:cs="宋体"/>
          <w:color w:val="auto"/>
          <w:sz w:val="24"/>
          <w:highlight w:val="none"/>
        </w:rPr>
        <w:t>（</w:t>
      </w:r>
      <w:r>
        <w:rPr>
          <w:rFonts w:ascii="楷体" w:hAnsi="楷体" w:eastAsia="楷体" w:cs="宋体"/>
          <w:color w:val="auto"/>
          <w:sz w:val="24"/>
          <w:highlight w:val="none"/>
        </w:rPr>
        <w:t>1）按本表费率计算的收费标准为采购代理的收费价格；</w:t>
      </w:r>
    </w:p>
    <w:p w14:paraId="5FE0107D">
      <w:pPr>
        <w:spacing w:line="360" w:lineRule="auto"/>
        <w:ind w:firstLine="480"/>
        <w:rPr>
          <w:rFonts w:ascii="楷体" w:hAnsi="楷体" w:eastAsia="楷体" w:cs="宋体"/>
          <w:color w:val="auto"/>
          <w:sz w:val="24"/>
          <w:highlight w:val="none"/>
        </w:rPr>
      </w:pPr>
      <w:r>
        <w:rPr>
          <w:rFonts w:hint="eastAsia" w:ascii="楷体" w:hAnsi="楷体" w:eastAsia="楷体" w:cs="宋体"/>
          <w:color w:val="auto"/>
          <w:sz w:val="24"/>
          <w:highlight w:val="none"/>
        </w:rPr>
        <w:t>（</w:t>
      </w:r>
      <w:r>
        <w:rPr>
          <w:rFonts w:ascii="楷体" w:hAnsi="楷体" w:eastAsia="楷体" w:cs="宋体"/>
          <w:color w:val="auto"/>
          <w:sz w:val="24"/>
          <w:highlight w:val="none"/>
        </w:rPr>
        <w:t>2）采购代理收费按差额定率累进法计算。</w:t>
      </w:r>
    </w:p>
    <w:p w14:paraId="0B664340">
      <w:pPr>
        <w:spacing w:line="360" w:lineRule="auto"/>
        <w:ind w:firstLine="482"/>
        <w:outlineLvl w:val="3"/>
        <w:rPr>
          <w:rFonts w:ascii="宋体" w:hAnsi="宋体" w:cs="宋体"/>
          <w:b/>
          <w:color w:val="auto"/>
          <w:sz w:val="24"/>
          <w:highlight w:val="none"/>
        </w:rPr>
      </w:pPr>
      <w:r>
        <w:rPr>
          <w:rFonts w:ascii="宋体" w:hAnsi="宋体" w:cs="宋体"/>
          <w:b/>
          <w:color w:val="auto"/>
          <w:sz w:val="24"/>
          <w:highlight w:val="none"/>
        </w:rPr>
        <w:t xml:space="preserve">32.3 </w:t>
      </w:r>
      <w:r>
        <w:rPr>
          <w:rFonts w:hint="eastAsia" w:ascii="宋体" w:hAnsi="宋体" w:cs="宋体"/>
          <w:b/>
          <w:color w:val="auto"/>
          <w:sz w:val="24"/>
          <w:highlight w:val="none"/>
        </w:rPr>
        <w:t>代理服务费交纳银行</w:t>
      </w:r>
      <w:r>
        <w:rPr>
          <w:rFonts w:hint="eastAsia" w:ascii="宋体" w:hAnsi="宋体" w:cs="宋体"/>
          <w:b/>
          <w:color w:val="auto"/>
          <w:sz w:val="24"/>
          <w:highlight w:val="none"/>
          <w:lang w:eastAsia="zh-CN"/>
        </w:rPr>
        <w:t>账号</w:t>
      </w:r>
      <w:r>
        <w:rPr>
          <w:rFonts w:hint="eastAsia" w:ascii="宋体" w:hAnsi="宋体" w:cs="宋体"/>
          <w:b/>
          <w:color w:val="auto"/>
          <w:sz w:val="24"/>
          <w:highlight w:val="none"/>
        </w:rPr>
        <w:t>信息</w:t>
      </w:r>
    </w:p>
    <w:p w14:paraId="2962DF77">
      <w:pPr>
        <w:pStyle w:val="18"/>
        <w:ind w:firstLine="480"/>
        <w:rPr>
          <w:rFonts w:ascii="宋体" w:hAnsi="宋体" w:cs="宋体"/>
          <w:color w:val="auto"/>
          <w:sz w:val="24"/>
          <w:highlight w:val="none"/>
        </w:rPr>
      </w:pPr>
      <w:r>
        <w:rPr>
          <w:rFonts w:hint="eastAsia" w:ascii="宋体" w:hAnsi="宋体" w:cs="宋体"/>
          <w:color w:val="auto"/>
          <w:sz w:val="24"/>
          <w:highlight w:val="none"/>
        </w:rPr>
        <w:t>开户名称：</w:t>
      </w:r>
      <w:r>
        <w:rPr>
          <w:rFonts w:hint="eastAsia" w:ascii="宋体" w:hAnsi="宋体" w:cs="宋体"/>
          <w:color w:val="auto"/>
          <w:sz w:val="24"/>
          <w:highlight w:val="none"/>
          <w:lang w:eastAsia="zh-CN"/>
        </w:rPr>
        <w:t>广西建设工程机电设备招标中心有限公司</w:t>
      </w:r>
      <w:r>
        <w:rPr>
          <w:rFonts w:hint="eastAsia" w:ascii="宋体" w:hAnsi="宋体" w:cs="宋体"/>
          <w:color w:val="auto"/>
          <w:sz w:val="24"/>
          <w:highlight w:val="none"/>
        </w:rPr>
        <w:t xml:space="preserve"> </w:t>
      </w:r>
    </w:p>
    <w:p w14:paraId="4FC24633">
      <w:pPr>
        <w:pStyle w:val="18"/>
        <w:ind w:firstLine="480"/>
        <w:rPr>
          <w:rFonts w:ascii="宋体" w:hAnsi="宋体" w:cs="宋体"/>
          <w:color w:val="auto"/>
          <w:sz w:val="24"/>
          <w:highlight w:val="none"/>
        </w:rPr>
      </w:pPr>
      <w:r>
        <w:rPr>
          <w:rFonts w:hint="eastAsia" w:ascii="宋体" w:hAnsi="宋体" w:cs="宋体"/>
          <w:color w:val="auto"/>
          <w:sz w:val="24"/>
          <w:highlight w:val="none"/>
        </w:rPr>
        <w:t>开户银行：招商银行南宁分行营业部</w:t>
      </w:r>
    </w:p>
    <w:p w14:paraId="1921E577">
      <w:pPr>
        <w:pStyle w:val="18"/>
        <w:ind w:firstLine="480"/>
        <w:rPr>
          <w:rFonts w:ascii="宋体" w:hAnsi="宋体" w:cs="宋体"/>
          <w:color w:val="auto"/>
          <w:sz w:val="24"/>
          <w:highlight w:val="none"/>
        </w:rPr>
      </w:pPr>
      <w:r>
        <w:rPr>
          <w:rFonts w:hint="eastAsia" w:ascii="宋体" w:hAnsi="宋体" w:cs="宋体"/>
          <w:color w:val="auto"/>
          <w:sz w:val="24"/>
          <w:highlight w:val="none"/>
        </w:rPr>
        <w:t>银行账号：7719 0142 3310 201</w:t>
      </w:r>
    </w:p>
    <w:p w14:paraId="02C5473B">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33.需要补充的其他内容</w:t>
      </w:r>
    </w:p>
    <w:p w14:paraId="0C9CF035">
      <w:pPr>
        <w:pStyle w:val="24"/>
        <w:spacing w:line="360" w:lineRule="auto"/>
        <w:ind w:firstLine="480"/>
        <w:rPr>
          <w:rFonts w:hAnsi="宋体" w:cs="宋体"/>
          <w:color w:val="auto"/>
          <w:sz w:val="24"/>
          <w:szCs w:val="24"/>
          <w:highlight w:val="none"/>
        </w:rPr>
      </w:pPr>
      <w:r>
        <w:rPr>
          <w:rFonts w:hint="eastAsia" w:hAnsi="宋体" w:cs="宋体"/>
          <w:color w:val="auto"/>
          <w:sz w:val="24"/>
          <w:szCs w:val="24"/>
          <w:highlight w:val="none"/>
        </w:rPr>
        <w:t>33.1本磋商文件解释规则详见“供应商须知前附表”。</w:t>
      </w:r>
    </w:p>
    <w:p w14:paraId="4B5C8A3B">
      <w:pPr>
        <w:pStyle w:val="24"/>
        <w:spacing w:line="360" w:lineRule="auto"/>
        <w:ind w:firstLine="480"/>
        <w:rPr>
          <w:rFonts w:hAnsi="宋体" w:cs="宋体"/>
          <w:color w:val="auto"/>
          <w:sz w:val="24"/>
          <w:szCs w:val="24"/>
          <w:highlight w:val="none"/>
        </w:rPr>
      </w:pPr>
      <w:r>
        <w:rPr>
          <w:rFonts w:hint="eastAsia" w:hAnsi="宋体" w:cs="宋体"/>
          <w:color w:val="auto"/>
          <w:sz w:val="24"/>
          <w:szCs w:val="24"/>
          <w:highlight w:val="none"/>
        </w:rPr>
        <w:t>33.2 其他事项详见“供应商须知前附表”。</w:t>
      </w:r>
    </w:p>
    <w:p w14:paraId="2471191B">
      <w:pPr>
        <w:pStyle w:val="24"/>
        <w:spacing w:line="360" w:lineRule="auto"/>
        <w:ind w:firstLine="480"/>
        <w:rPr>
          <w:rFonts w:hAnsi="宋体" w:cs="宋体"/>
          <w:color w:val="auto"/>
          <w:sz w:val="24"/>
          <w:szCs w:val="24"/>
          <w:highlight w:val="none"/>
        </w:rPr>
      </w:pPr>
      <w:r>
        <w:rPr>
          <w:rFonts w:hint="eastAsia" w:hAnsi="宋体" w:cs="宋体"/>
          <w:color w:val="auto"/>
          <w:sz w:val="24"/>
          <w:szCs w:val="24"/>
          <w:highlight w:val="none"/>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0EC71EA">
      <w:pPr>
        <w:pStyle w:val="24"/>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（1）在货物采购项目中，货物由中小企业制造，即货物由中小企业生产且使用该中小企业商号或者注册商标，不对其中涉及的工程承建商和服务的承接商作出要求；</w:t>
      </w:r>
    </w:p>
    <w:p w14:paraId="053C50DB">
      <w:pPr>
        <w:pStyle w:val="24"/>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（2）在工程采购项目中，工程由中小企业承建，即工程施工单位为中小企业，不对其中涉及的货物的制造商和服务的承接商作出要求；</w:t>
      </w:r>
    </w:p>
    <w:p w14:paraId="00B4EE3D">
      <w:pPr>
        <w:pStyle w:val="24"/>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3F44BF0C">
      <w:pPr>
        <w:pStyle w:val="24"/>
        <w:spacing w:line="360" w:lineRule="auto"/>
        <w:ind w:firstLine="480"/>
        <w:rPr>
          <w:rFonts w:hAnsi="宋体" w:cs="宋体"/>
          <w:color w:val="auto"/>
          <w:sz w:val="24"/>
          <w:szCs w:val="24"/>
          <w:highlight w:val="none"/>
        </w:rPr>
      </w:pPr>
      <w:r>
        <w:rPr>
          <w:rFonts w:hint="eastAsia" w:hAnsi="宋体" w:cs="宋体"/>
          <w:color w:val="auto"/>
          <w:sz w:val="24"/>
          <w:szCs w:val="24"/>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62C28610">
      <w:pPr>
        <w:pStyle w:val="24"/>
        <w:spacing w:line="360" w:lineRule="auto"/>
        <w:ind w:firstLine="480"/>
        <w:rPr>
          <w:rFonts w:hAnsi="宋体" w:cs="宋体"/>
          <w:b/>
          <w:color w:val="auto"/>
          <w:sz w:val="32"/>
          <w:szCs w:val="32"/>
          <w:highlight w:val="none"/>
        </w:rPr>
      </w:pPr>
      <w:r>
        <w:rPr>
          <w:rFonts w:hint="eastAsia" w:hAnsi="宋体" w:cs="宋体"/>
          <w:color w:val="auto"/>
          <w:sz w:val="24"/>
          <w:szCs w:val="24"/>
          <w:highlight w:val="none"/>
        </w:rPr>
        <w:t>依据本磋商文件规定享受扶持政策获得政府采购合同的，小微企业不得将合同分包给大中型企业，中型企业不得将合同分包给大型企业。</w:t>
      </w:r>
    </w:p>
    <w:p w14:paraId="3F8FD708">
      <w:pPr>
        <w:pStyle w:val="24"/>
        <w:spacing w:before="120" w:after="120" w:line="360" w:lineRule="auto"/>
        <w:jc w:val="center"/>
        <w:outlineLvl w:val="0"/>
        <w:rPr>
          <w:rFonts w:hAnsi="宋体" w:cs="宋体"/>
          <w:b/>
          <w:bCs/>
          <w:color w:val="auto"/>
          <w:sz w:val="44"/>
          <w:szCs w:val="44"/>
          <w:highlight w:val="none"/>
        </w:rPr>
      </w:pPr>
      <w:r>
        <w:rPr>
          <w:rFonts w:hint="eastAsia" w:hAnsi="宋体" w:cs="宋体"/>
          <w:color w:val="auto"/>
          <w:highlight w:val="none"/>
        </w:rPr>
        <w:br w:type="page"/>
      </w:r>
      <w:bookmarkStart w:id="30" w:name="_Toc10746"/>
      <w:r>
        <w:rPr>
          <w:rStyle w:val="206"/>
          <w:rFonts w:hint="eastAsia"/>
          <w:color w:val="auto"/>
          <w:highlight w:val="none"/>
        </w:rPr>
        <w:t>第三章 采购需求</w:t>
      </w:r>
      <w:bookmarkEnd w:id="30"/>
    </w:p>
    <w:p w14:paraId="5E679A20">
      <w:pPr>
        <w:spacing w:line="440" w:lineRule="exact"/>
        <w:jc w:val="center"/>
        <w:rPr>
          <w:rFonts w:ascii="宋体" w:hAnsi="宋体" w:cs="宋体"/>
          <w:b/>
          <w:color w:val="auto"/>
          <w:sz w:val="32"/>
          <w:szCs w:val="32"/>
          <w:highlight w:val="none"/>
        </w:rPr>
      </w:pPr>
    </w:p>
    <w:p w14:paraId="3A8CA778">
      <w:pPr>
        <w:spacing w:before="65" w:line="228" w:lineRule="auto"/>
        <w:ind w:left="16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说明：</w:t>
      </w:r>
    </w:p>
    <w:p w14:paraId="0FAA4269">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1. 为落实政府采购政策需满足的要求：</w:t>
      </w:r>
    </w:p>
    <w:p w14:paraId="366D27A2">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1）本竞争性磋商采购文件所称中小企业必须符合《政府采购促进中小企业发展管理办法》（财库〔2020〕46 号）的规定。</w:t>
      </w:r>
    </w:p>
    <w:p w14:paraId="1332F3D8">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2.“实质性要求 ”是指采购需求中带“▲ ”的条款或者不能负偏离的条款或者已经指明不满足按 响应文件作无效处理的条款。</w:t>
      </w:r>
    </w:p>
    <w:p w14:paraId="2640C0A1">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3.供应商应根据自身实际情况如实响应竞争性磋商文件，不得仅将竞争性磋商文件内容简单复制 粘贴作为竞标响应，还应当提供相关证明材料，否则将作无效响应处理（定制采购项目不适用本条款）。 对于重要技术条款或技术参数应当在响应文件中提供技术支持资料，技术支持资料以竞争性磋商文件 中规定的形式为准，否则将视为无效技术支持资料。</w:t>
      </w:r>
    </w:p>
    <w:p w14:paraId="19216A3E">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4.供应商必须自行为其竞标产品侵犯他人的知识产权或者专利成果的行为承担相应法律责任。</w:t>
      </w:r>
    </w:p>
    <w:p w14:paraId="11B749F8">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5.本服务需求一览表中内容如与“合同主要条款及格式 ”相关条款不一致的，以本表为准。</w:t>
      </w:r>
    </w:p>
    <w:p w14:paraId="4D1E72E5">
      <w:pPr>
        <w:spacing w:before="31" w:line="283" w:lineRule="auto"/>
        <w:ind w:left="152" w:right="159" w:firstLine="415"/>
        <w:rPr>
          <w:rFonts w:hint="eastAsia" w:ascii="宋体" w:hAnsi="宋体" w:eastAsia="宋体" w:cs="宋体"/>
          <w:b w:val="0"/>
          <w:bCs w:val="0"/>
          <w:color w:val="auto"/>
          <w:spacing w:val="7"/>
          <w:sz w:val="24"/>
          <w:szCs w:val="24"/>
          <w:highlight w:val="none"/>
        </w:rPr>
      </w:pPr>
      <w:r>
        <w:rPr>
          <w:rFonts w:hint="eastAsia" w:ascii="宋体" w:hAnsi="宋体" w:eastAsia="宋体" w:cs="宋体"/>
          <w:b w:val="0"/>
          <w:bCs w:val="0"/>
          <w:color w:val="auto"/>
          <w:spacing w:val="7"/>
          <w:sz w:val="24"/>
          <w:szCs w:val="24"/>
          <w:highlight w:val="none"/>
        </w:rPr>
        <w:t>6.项目标的所属行业为：其他未列明行业。</w:t>
      </w:r>
      <w:r>
        <w:rPr>
          <w:rFonts w:hint="eastAsia" w:ascii="宋体" w:hAnsi="宋体" w:eastAsia="宋体" w:cs="宋体"/>
          <w:b w:val="0"/>
          <w:bCs w:val="0"/>
          <w:color w:val="auto"/>
          <w:spacing w:val="7"/>
          <w:sz w:val="24"/>
          <w:szCs w:val="24"/>
          <w:highlight w:val="none"/>
        </w:rPr>
        <w:br w:type="page"/>
      </w:r>
    </w:p>
    <w:tbl>
      <w:tblPr>
        <w:tblStyle w:val="45"/>
        <w:tblW w:w="9982" w:type="dxa"/>
        <w:tblInd w:w="-6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62"/>
        <w:gridCol w:w="203"/>
        <w:gridCol w:w="840"/>
        <w:gridCol w:w="855"/>
        <w:gridCol w:w="6022"/>
      </w:tblGrid>
      <w:tr w14:paraId="6723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57C86A89">
            <w:pPr>
              <w:spacing w:before="31" w:line="283" w:lineRule="auto"/>
              <w:ind w:right="159"/>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pacing w:val="7"/>
                <w:sz w:val="24"/>
                <w:szCs w:val="24"/>
                <w:highlight w:val="none"/>
                <w:lang w:val="en-US" w:eastAsia="zh-CN"/>
              </w:rPr>
              <w:t>序号</w:t>
            </w: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024BFCFD">
            <w:pPr>
              <w:spacing w:before="31" w:line="283" w:lineRule="auto"/>
              <w:ind w:right="159"/>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服务名称</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3B284D3">
            <w:pPr>
              <w:bidi w:val="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数量</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E7C0637">
            <w:pPr>
              <w:bidi w:val="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单位</w:t>
            </w:r>
          </w:p>
        </w:tc>
        <w:tc>
          <w:tcPr>
            <w:tcW w:w="6022" w:type="dxa"/>
            <w:tcBorders>
              <w:top w:val="single" w:color="auto" w:sz="4" w:space="0"/>
              <w:left w:val="single" w:color="auto" w:sz="4" w:space="0"/>
              <w:bottom w:val="single" w:color="auto" w:sz="4" w:space="0"/>
              <w:right w:val="single" w:color="auto" w:sz="4" w:space="0"/>
            </w:tcBorders>
            <w:noWrap w:val="0"/>
            <w:vAlign w:val="center"/>
          </w:tcPr>
          <w:p w14:paraId="52ADA87A">
            <w:pPr>
              <w:spacing w:before="31" w:line="283" w:lineRule="auto"/>
              <w:ind w:right="159"/>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服务</w:t>
            </w:r>
            <w:r>
              <w:rPr>
                <w:rFonts w:hint="eastAsia" w:ascii="宋体" w:hAnsi="宋体" w:eastAsia="宋体" w:cs="宋体"/>
                <w:b/>
                <w:bCs/>
                <w:color w:val="auto"/>
                <w:sz w:val="24"/>
                <w:szCs w:val="24"/>
                <w:highlight w:val="none"/>
                <w:lang w:val="en-US" w:eastAsia="zh-CN"/>
              </w:rPr>
              <w:t>需求</w:t>
            </w:r>
          </w:p>
        </w:tc>
      </w:tr>
      <w:tr w14:paraId="16FD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0833F8DC">
            <w:pPr>
              <w:keepNext w:val="0"/>
              <w:keepLines w:val="0"/>
              <w:pageBreakBefore w:val="0"/>
              <w:widowControl w:val="0"/>
              <w:kinsoku/>
              <w:wordWrap/>
              <w:overflowPunct/>
              <w:topLinePunct w:val="0"/>
              <w:autoSpaceDE/>
              <w:autoSpaceDN w:val="0"/>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349304F0">
            <w:pPr>
              <w:keepNext w:val="0"/>
              <w:keepLines w:val="0"/>
              <w:pageBreakBefore w:val="0"/>
              <w:widowControl w:val="0"/>
              <w:kinsoku/>
              <w:wordWrap/>
              <w:overflowPunct/>
              <w:topLinePunct w:val="0"/>
              <w:autoSpaceDE/>
              <w:autoSpaceDN w:val="0"/>
              <w:bidi w:val="0"/>
              <w:adjustRightInd/>
              <w:snapToGrid w:val="0"/>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cs="宋体"/>
                <w:color w:val="auto"/>
                <w:sz w:val="24"/>
                <w:highlight w:val="none"/>
                <w:lang w:eastAsia="zh-CN"/>
              </w:rPr>
              <w:t>灵山县十里高中新建项目勘察</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1365B5D">
            <w:pPr>
              <w:keepNext w:val="0"/>
              <w:keepLines w:val="0"/>
              <w:pageBreakBefore w:val="0"/>
              <w:widowControl w:val="0"/>
              <w:kinsoku/>
              <w:wordWrap/>
              <w:overflowPunct/>
              <w:topLinePunct w:val="0"/>
              <w:autoSpaceDE/>
              <w:autoSpaceDN w:val="0"/>
              <w:bidi w:val="0"/>
              <w:adjustRightInd/>
              <w:snapToGrid w:val="0"/>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31964985">
            <w:pPr>
              <w:keepNext w:val="0"/>
              <w:keepLines w:val="0"/>
              <w:pageBreakBefore w:val="0"/>
              <w:widowControl w:val="0"/>
              <w:kinsoku/>
              <w:wordWrap/>
              <w:overflowPunct/>
              <w:topLinePunct w:val="0"/>
              <w:autoSpaceDE/>
              <w:autoSpaceDN w:val="0"/>
              <w:bidi w:val="0"/>
              <w:adjustRightInd/>
              <w:snapToGrid w:val="0"/>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6022" w:type="dxa"/>
            <w:tcBorders>
              <w:top w:val="single" w:color="auto" w:sz="4" w:space="0"/>
              <w:left w:val="single" w:color="auto" w:sz="4" w:space="0"/>
              <w:bottom w:val="single" w:color="auto" w:sz="4" w:space="0"/>
              <w:right w:val="single" w:color="auto" w:sz="4" w:space="0"/>
            </w:tcBorders>
            <w:noWrap w:val="0"/>
            <w:vAlign w:val="top"/>
          </w:tcPr>
          <w:p w14:paraId="386B4F2E">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一、项目概况：</w:t>
            </w:r>
          </w:p>
          <w:p w14:paraId="7A969D29">
            <w:pPr>
              <w:keepNext w:val="0"/>
              <w:keepLines w:val="0"/>
              <w:pageBreakBefore w:val="0"/>
              <w:widowControl w:val="0"/>
              <w:numPr>
                <w:ilvl w:val="0"/>
                <w:numId w:val="0"/>
              </w:numPr>
              <w:kinsoku/>
              <w:wordWrap/>
              <w:overflowPunct/>
              <w:topLinePunct w:val="0"/>
              <w:autoSpaceDE/>
              <w:autoSpaceDN w:val="0"/>
              <w:bidi w:val="0"/>
              <w:adjustRightInd/>
              <w:snapToGrid w:val="0"/>
              <w:spacing w:line="44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项目位于广西钦州市灵山县，占地127亩，最大容纳学生规模3000人，主要内容有：综合教学楼、食堂、宿舍楼、体育场、设备站房及地面地下停车场等，总投资3.4亿元，建筑面积约7.3万平方米。</w:t>
            </w:r>
          </w:p>
          <w:p w14:paraId="1637A9D6">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二、勘察服务范围与内容</w:t>
            </w:r>
          </w:p>
          <w:p w14:paraId="6EF7A183">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1.服务内容与要求：</w:t>
            </w:r>
          </w:p>
          <w:p w14:paraId="343B4BE6">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按照中华人民共和国现行的建筑工程勘察文件有关规定及地方的现行规程、规范、标准和要求，提供满足设计、施工要求的勘察成果，包括但不限于以下内容：</w:t>
            </w:r>
          </w:p>
          <w:p w14:paraId="30867812">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（1）按照国家有关工程建设标准强制性条文和建设部等部门关于勘察方面的现行技术标准、规范、规程、定额、办法、示例等有关规定，完成本工程的勘察工作；</w:t>
            </w:r>
          </w:p>
          <w:p w14:paraId="7414E655">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（2）按现行国家勘察规范做好勘察的质量管理工作，建立健全勘察质量保证体系，加强勘察全过程的质量控制，建立完整的勘察文件的项目负责、审核、审定、会签和批准制度，并对本合同工程的勘察质量</w:t>
            </w:r>
            <w:r>
              <w:rPr>
                <w:rFonts w:hint="eastAsia" w:ascii="宋体" w:hAnsi="宋体" w:cs="宋体"/>
                <w:color w:val="auto"/>
                <w:sz w:val="24"/>
                <w:szCs w:val="24"/>
                <w:highlight w:val="none"/>
                <w:lang w:val="en-US" w:eastAsia="zh-CN"/>
              </w:rPr>
              <w:t>终身</w:t>
            </w:r>
            <w:r>
              <w:rPr>
                <w:rFonts w:hint="eastAsia" w:ascii="宋体" w:hAnsi="宋体" w:eastAsia="宋体" w:cs="宋体"/>
                <w:color w:val="auto"/>
                <w:sz w:val="24"/>
                <w:szCs w:val="24"/>
                <w:highlight w:val="none"/>
                <w:lang w:val="en-US" w:eastAsia="zh-CN"/>
              </w:rPr>
              <w:t>负责；</w:t>
            </w:r>
          </w:p>
          <w:p w14:paraId="2BADEEDA">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（3）勘察成果必须真实、准确、可靠。由于提供的勘察成果资料质量不合格，需负责无偿给予补充完善使其达到质量合格；</w:t>
            </w:r>
          </w:p>
          <w:p w14:paraId="05016E53">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（4）在勘察前，提出勘察纲要或勘察组织设计，并积极认真开展勘察工作，保质按时完成任务；</w:t>
            </w:r>
          </w:p>
          <w:p w14:paraId="3384AFEE">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（5）派工程技术人员按国家技术规范、标准、采购人的任务委托书、设计技术要求和勘察工作计划进行现场踏勘，确定勘察手段、勘察工作量。</w:t>
            </w:r>
          </w:p>
          <w:p w14:paraId="736AA980">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（6）勘察文件的编制必须严格执行国家基本建设程序、工程建设标准强制性条文及有关工程建设的</w:t>
            </w:r>
            <w:r>
              <w:rPr>
                <w:rFonts w:hint="eastAsia" w:ascii="宋体" w:hAnsi="宋体" w:cs="宋体"/>
                <w:color w:val="auto"/>
                <w:sz w:val="24"/>
                <w:szCs w:val="24"/>
                <w:highlight w:val="none"/>
                <w:lang w:val="en-US" w:eastAsia="zh-CN"/>
              </w:rPr>
              <w:t>法律法规</w:t>
            </w:r>
            <w:r>
              <w:rPr>
                <w:rFonts w:hint="eastAsia" w:ascii="宋体" w:hAnsi="宋体" w:eastAsia="宋体" w:cs="宋体"/>
                <w:color w:val="auto"/>
                <w:sz w:val="24"/>
                <w:szCs w:val="24"/>
                <w:highlight w:val="none"/>
                <w:lang w:val="en-US" w:eastAsia="zh-CN"/>
              </w:rPr>
              <w:t>、规章、规范、标准、规程、定额和合同的要求；</w:t>
            </w:r>
          </w:p>
          <w:p w14:paraId="788E3DDC">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（7）勘察依据的基本资料应完整、准确、可靠；</w:t>
            </w:r>
          </w:p>
          <w:p w14:paraId="44F3C716">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（8）勘察文件的深度应满足详细勘察阶段的有关规定要求，并符合相关规范的要求；</w:t>
            </w:r>
          </w:p>
          <w:p w14:paraId="262E88E5">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积极配合采购人解决工程设计施工过程中有关工程地质方面的问题。在勘察过程中，应协助采购人与本项目相干扰的铁路、管线、电力电信及其他相关建筑设施或特殊保护区域的主管部门签订责任明确的书面协议，确保本项目顺利实施；</w:t>
            </w:r>
          </w:p>
          <w:p w14:paraId="0006FB7B">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（10）提供的勘察文件必须接受采购人或采购人委托的咨询审查单位及采购人的上级行政主管部门的审查，凡审查意见中提出的问题，成交供应商应逐条</w:t>
            </w:r>
            <w:r>
              <w:rPr>
                <w:rFonts w:hint="eastAsia" w:ascii="宋体" w:hAnsi="宋体" w:cs="宋体"/>
                <w:color w:val="auto"/>
                <w:sz w:val="24"/>
                <w:szCs w:val="24"/>
                <w:highlight w:val="none"/>
                <w:lang w:val="en-US" w:eastAsia="zh-CN"/>
              </w:rPr>
              <w:t>得到</w:t>
            </w:r>
            <w:r>
              <w:rPr>
                <w:rFonts w:hint="eastAsia" w:ascii="宋体" w:hAnsi="宋体" w:eastAsia="宋体" w:cs="宋体"/>
                <w:color w:val="auto"/>
                <w:sz w:val="24"/>
                <w:szCs w:val="24"/>
                <w:highlight w:val="none"/>
                <w:lang w:val="en-US" w:eastAsia="zh-CN"/>
              </w:rPr>
              <w:t>认真贯彻落实，提交书面的反馈意见并免费修改勘察文件直到满足审批为准。</w:t>
            </w:r>
          </w:p>
          <w:p w14:paraId="6B550FB3">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（11）应积极配合采购人进行各项相关工作，并按采购人要求派遣合格的勘察代表参与做好施工后续服务。</w:t>
            </w:r>
          </w:p>
          <w:p w14:paraId="7CE84CCE">
            <w:pPr>
              <w:keepNext w:val="0"/>
              <w:keepLines w:val="0"/>
              <w:pageBreakBefore w:val="0"/>
              <w:widowControl w:val="0"/>
              <w:kinsoku/>
              <w:wordWrap/>
              <w:overflowPunct/>
              <w:topLinePunct w:val="0"/>
              <w:autoSpaceDE/>
              <w:bidi w:val="0"/>
              <w:adjustRightIn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4.质量要求：合格，真实反映地质情况，符合有关国家质量标准、技术规范及规程并满足设计、施工要求，并通过有关行政主管部门备案。</w:t>
            </w:r>
          </w:p>
        </w:tc>
      </w:tr>
      <w:tr w14:paraId="5E60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982" w:type="dxa"/>
            <w:gridSpan w:val="6"/>
            <w:tcBorders>
              <w:top w:val="single" w:color="auto" w:sz="4" w:space="0"/>
              <w:left w:val="single" w:color="auto" w:sz="4" w:space="0"/>
              <w:bottom w:val="single" w:color="auto" w:sz="4" w:space="0"/>
              <w:right w:val="single" w:color="auto" w:sz="4" w:space="0"/>
            </w:tcBorders>
            <w:noWrap w:val="0"/>
            <w:vAlign w:val="center"/>
          </w:tcPr>
          <w:p w14:paraId="0370401D">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bidi="ar"/>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、商务要求表</w:t>
            </w:r>
          </w:p>
        </w:tc>
      </w:tr>
      <w:tr w14:paraId="62D2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2683E426">
            <w:pPr>
              <w:keepNext w:val="0"/>
              <w:keepLines w:val="0"/>
              <w:pageBreakBefore w:val="0"/>
              <w:widowControl w:val="0"/>
              <w:kinsoku/>
              <w:wordWrap/>
              <w:overflowPunct/>
              <w:topLinePunct w:val="0"/>
              <w:autoSpaceDE/>
              <w:autoSpaceDN w:val="0"/>
              <w:bidi w:val="0"/>
              <w:adjustRightInd/>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合同签订时间</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0625ACBE">
            <w:pPr>
              <w:pStyle w:val="24"/>
              <w:keepNext w:val="0"/>
              <w:keepLines w:val="0"/>
              <w:pageBreakBefore w:val="0"/>
              <w:widowControl w:val="0"/>
              <w:kinsoku/>
              <w:wordWrap/>
              <w:overflowPunct/>
              <w:topLinePunct w:val="0"/>
              <w:autoSpaceDE/>
              <w:autoSpaceDN w:val="0"/>
              <w:bidi w:val="0"/>
              <w:adjustRightInd/>
              <w:snapToGrid w:val="0"/>
              <w:spacing w:line="440" w:lineRule="exact"/>
              <w:ind w:left="120" w:leftChars="0" w:hanging="120" w:hangingChars="50"/>
              <w:jc w:val="both"/>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自成交通知书发出之日起</w:t>
            </w:r>
            <w:r>
              <w:rPr>
                <w:rFonts w:hint="eastAsia"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个工作日内</w:t>
            </w:r>
            <w:r>
              <w:rPr>
                <w:rFonts w:hint="eastAsia" w:ascii="宋体" w:hAnsi="宋体" w:eastAsia="宋体" w:cs="宋体"/>
                <w:color w:val="auto"/>
                <w:sz w:val="24"/>
                <w:szCs w:val="24"/>
                <w:highlight w:val="none"/>
              </w:rPr>
              <w:t>。</w:t>
            </w:r>
          </w:p>
        </w:tc>
      </w:tr>
      <w:tr w14:paraId="5DDA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378E4D98">
            <w:pPr>
              <w:keepNext w:val="0"/>
              <w:keepLines w:val="0"/>
              <w:pageBreakBefore w:val="0"/>
              <w:widowControl w:val="0"/>
              <w:kinsoku/>
              <w:wordWrap/>
              <w:overflowPunct/>
              <w:topLinePunct w:val="0"/>
              <w:autoSpaceDE/>
              <w:autoSpaceDN w:val="0"/>
              <w:bidi w:val="0"/>
              <w:adjustRightInd/>
              <w:snapToGrid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服务时间</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48D05195">
            <w:pPr>
              <w:pStyle w:val="24"/>
              <w:keepNext w:val="0"/>
              <w:keepLines w:val="0"/>
              <w:pageBreakBefore w:val="0"/>
              <w:widowControl w:val="0"/>
              <w:kinsoku/>
              <w:wordWrap/>
              <w:overflowPunct/>
              <w:topLinePunct w:val="0"/>
              <w:autoSpaceDE/>
              <w:autoSpaceDN w:val="0"/>
              <w:bidi w:val="0"/>
              <w:adjustRightInd/>
              <w:snapToGrid w:val="0"/>
              <w:spacing w:line="440" w:lineRule="exact"/>
              <w:ind w:left="120" w:leftChars="0" w:hanging="120" w:hangingChars="50"/>
              <w:jc w:val="both"/>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合同签订后至项目竣工验收完成之日止</w:t>
            </w:r>
            <w:r>
              <w:rPr>
                <w:rFonts w:hint="eastAsia"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30日历日内完成初步勘察、详细勘察并取得审查合格证书</w:t>
            </w:r>
          </w:p>
        </w:tc>
      </w:tr>
      <w:tr w14:paraId="0E33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4C2B55F4">
            <w:pPr>
              <w:keepNext w:val="0"/>
              <w:keepLines w:val="0"/>
              <w:pageBreakBefore w:val="0"/>
              <w:widowControl w:val="0"/>
              <w:kinsoku/>
              <w:wordWrap/>
              <w:overflowPunct/>
              <w:topLinePunct w:val="0"/>
              <w:autoSpaceDE/>
              <w:autoSpaceDN w:val="0"/>
              <w:bidi w:val="0"/>
              <w:adjustRightInd/>
              <w:snapToGrid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服务标准</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1F8B1278">
            <w:pPr>
              <w:keepNext w:val="0"/>
              <w:keepLines w:val="0"/>
              <w:pageBreakBefore w:val="0"/>
              <w:widowControl w:val="0"/>
              <w:kinsoku/>
              <w:wordWrap/>
              <w:overflowPunct/>
              <w:topLinePunct w:val="0"/>
              <w:autoSpaceDE/>
              <w:autoSpaceDN w:val="0"/>
              <w:bidi w:val="0"/>
              <w:adjustRightInd/>
              <w:snapToGrid w:val="0"/>
              <w:spacing w:line="440" w:lineRule="exact"/>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符合现行国家相关标准、行业标准、地方标准或者其他标准、规范。</w:t>
            </w:r>
          </w:p>
        </w:tc>
      </w:tr>
      <w:tr w14:paraId="54CC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5221553B">
            <w:pPr>
              <w:keepNext w:val="0"/>
              <w:keepLines w:val="0"/>
              <w:pageBreakBefore w:val="0"/>
              <w:widowControl w:val="0"/>
              <w:kinsoku/>
              <w:wordWrap/>
              <w:overflowPunct/>
              <w:topLinePunct w:val="0"/>
              <w:autoSpaceDE/>
              <w:autoSpaceDN w:val="0"/>
              <w:bidi w:val="0"/>
              <w:adjustRightInd/>
              <w:snapToGrid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245C9F8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签订合同后7个工作日内预付合同价的30%；</w:t>
            </w:r>
            <w:r>
              <w:rPr>
                <w:rFonts w:hint="eastAsia" w:ascii="宋体" w:hAnsi="宋体" w:eastAsia="宋体" w:cs="宋体"/>
                <w:color w:val="auto"/>
                <w:sz w:val="24"/>
                <w:szCs w:val="24"/>
                <w:highlight w:val="none"/>
                <w:lang w:val="en-US" w:eastAsia="zh-CN"/>
              </w:rPr>
              <w:t>完成项目勘察工作及成果经审查获得审查合格书后，支付至合同</w:t>
            </w:r>
            <w:r>
              <w:rPr>
                <w:rFonts w:hint="eastAsia" w:ascii="宋体" w:hAnsi="宋体" w:cs="宋体"/>
                <w:color w:val="auto"/>
                <w:sz w:val="24"/>
                <w:szCs w:val="24"/>
                <w:highlight w:val="none"/>
                <w:lang w:val="en-US" w:eastAsia="zh-CN"/>
              </w:rPr>
              <w:t>价</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90</w:t>
            </w:r>
            <w:r>
              <w:rPr>
                <w:rFonts w:hint="eastAsia" w:ascii="宋体" w:hAnsi="宋体" w:eastAsia="宋体" w:cs="宋体"/>
                <w:color w:val="auto"/>
                <w:sz w:val="24"/>
                <w:szCs w:val="24"/>
                <w:highlight w:val="none"/>
                <w:lang w:val="en-US" w:eastAsia="zh-CN"/>
              </w:rPr>
              <w:t>%，剩余部分经采购人（或采购人委托的第三方咨询机构）审定勘察结算费用后一次性付清。</w:t>
            </w:r>
          </w:p>
          <w:p w14:paraId="665041A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2.成交供应商在向采购人申请拨付服务款项时，须开具同等金额发票给采购人，采购人在收到发票后30个日历日内支付。如成交供应商未按国家要求开具发票，采购人有权拒绝支付。</w:t>
            </w:r>
          </w:p>
          <w:p w14:paraId="456B0B94">
            <w:pPr>
              <w:pStyle w:val="2"/>
              <w:rPr>
                <w:rFonts w:hint="eastAsia"/>
                <w:highlight w:val="none"/>
                <w:lang w:val="en-US" w:eastAsia="zh-CN"/>
              </w:rPr>
            </w:pPr>
            <w:r>
              <w:rPr>
                <w:rFonts w:hint="eastAsia" w:ascii="宋体" w:hAnsi="宋体" w:eastAsia="宋体" w:cs="宋体"/>
                <w:b w:val="0"/>
                <w:bCs w:val="0"/>
                <w:color w:val="auto"/>
                <w:sz w:val="24"/>
                <w:szCs w:val="24"/>
                <w:highlight w:val="none"/>
                <w:lang w:val="en-US" w:eastAsia="zh-CN" w:bidi="ar-SA"/>
              </w:rPr>
              <w:t>注：本合同资金来源为财政资金，具体款项支付程序及时间按照财政部门相关规定执行。中标人应按财政部门要求及时提供相关资料，否则采购人有权不予支付，由此造成勘察费用审批滞后的相关风险由中标人自行承担。</w:t>
            </w:r>
          </w:p>
        </w:tc>
      </w:tr>
      <w:tr w14:paraId="2961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394E6B5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成果及服务要求</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75E6D474">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1.成果要求：</w:t>
            </w:r>
          </w:p>
          <w:p w14:paraId="462F910A">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（1）采购人确定方案设计后5日内启动勘察，30日历日内完成初步勘察、详细勘察并取得审查合格证书。项目实施过程中负责向采购人和相关参建单位进行资料交底、处理有关岩土工程方面的问题，包括补勘等。</w:t>
            </w:r>
          </w:p>
          <w:p w14:paraId="0C7121F5">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（2）成交供应商无条件配合采购人分期、分批勘察以及相关报建报批要求。</w:t>
            </w:r>
          </w:p>
          <w:p w14:paraId="6C967A1B">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（3）以上提供的技术标准咨询及设计服务成果，按采购人要求进行修订、打印及装订，提交纸质成果一式12份（初步勘察和详细勘察各6份），电子档案光盘1份。</w:t>
            </w:r>
          </w:p>
          <w:p w14:paraId="2B01E1C7">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2.服务要求：</w:t>
            </w:r>
          </w:p>
          <w:p w14:paraId="1AD25B7B">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（1）合同签订生效后，成交供应商能在采购人确定方案设计后5个日历日内启动项目勘察工作，指派项目工作人员，全职人员必须与响应文件一致。</w:t>
            </w:r>
          </w:p>
          <w:p w14:paraId="14BEA243">
            <w:pPr>
              <w:spacing w:line="360" w:lineRule="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（2）成交供应商应对项目有关情况保密，若因成交供应商的管理、工作人员责任心等原因造成采购人项目建设信息或资料外泄，由此产生的全部经济赔偿责任与相关法律责任均由成交供应商承担。</w:t>
            </w:r>
          </w:p>
          <w:p w14:paraId="1063E370">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bidi="ar-SA"/>
              </w:rPr>
              <w:t>（3）成交供应商</w:t>
            </w:r>
            <w:r>
              <w:rPr>
                <w:rFonts w:hint="eastAsia" w:ascii="宋体" w:hAnsi="宋体" w:cs="宋体"/>
                <w:b w:val="0"/>
                <w:bCs w:val="0"/>
                <w:color w:val="auto"/>
                <w:sz w:val="24"/>
                <w:szCs w:val="24"/>
                <w:highlight w:val="none"/>
                <w:lang w:val="en-US" w:eastAsia="zh-CN" w:bidi="ar-SA"/>
              </w:rPr>
              <w:t>须</w:t>
            </w:r>
            <w:r>
              <w:rPr>
                <w:rFonts w:hint="eastAsia" w:ascii="宋体" w:hAnsi="宋体" w:eastAsia="宋体" w:cs="宋体"/>
                <w:b w:val="0"/>
                <w:bCs w:val="0"/>
                <w:color w:val="auto"/>
                <w:sz w:val="24"/>
                <w:szCs w:val="24"/>
                <w:highlight w:val="none"/>
                <w:lang w:val="en-US" w:eastAsia="zh-CN" w:bidi="ar-SA"/>
              </w:rPr>
              <w:t>具有能完成本项目工作所需的设施设备。</w:t>
            </w:r>
          </w:p>
        </w:tc>
      </w:tr>
      <w:tr w14:paraId="4ACB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69DD45A1">
            <w:pPr>
              <w:keepNext w:val="0"/>
              <w:keepLines w:val="0"/>
              <w:pageBreakBefore w:val="0"/>
              <w:widowControl w:val="0"/>
              <w:kinsoku/>
              <w:wordWrap/>
              <w:overflowPunct/>
              <w:topLinePunct w:val="0"/>
              <w:autoSpaceDE/>
              <w:autoSpaceDN w:val="0"/>
              <w:bidi w:val="0"/>
              <w:adjustRightInd/>
              <w:snapToGrid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采购控制价</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7B66ABEA">
            <w:pPr>
              <w:keepNext w:val="0"/>
              <w:keepLines w:val="0"/>
              <w:pageBreakBefore w:val="0"/>
              <w:widowControl w:val="0"/>
              <w:kinsoku/>
              <w:wordWrap/>
              <w:overflowPunct/>
              <w:topLinePunct w:val="0"/>
              <w:autoSpaceDE/>
              <w:bidi w:val="0"/>
              <w:adjustRightInd/>
              <w:spacing w:line="440" w:lineRule="exact"/>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采购控制价</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880490.00</w:t>
            </w:r>
            <w:r>
              <w:rPr>
                <w:rFonts w:hint="eastAsia" w:ascii="宋体" w:hAnsi="宋体" w:cs="宋体"/>
                <w:color w:val="auto"/>
                <w:sz w:val="24"/>
                <w:szCs w:val="24"/>
                <w:highlight w:val="none"/>
                <w:lang w:val="en-US" w:eastAsia="zh-CN"/>
              </w:rPr>
              <w:t>元</w:t>
            </w:r>
          </w:p>
        </w:tc>
      </w:tr>
      <w:tr w14:paraId="04D9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trPr>
        <w:tc>
          <w:tcPr>
            <w:tcW w:w="2062" w:type="dxa"/>
            <w:gridSpan w:val="2"/>
            <w:tcBorders>
              <w:top w:val="single" w:color="auto" w:sz="4" w:space="0"/>
              <w:left w:val="single" w:color="auto" w:sz="4" w:space="0"/>
              <w:bottom w:val="single" w:color="auto" w:sz="4" w:space="0"/>
              <w:right w:val="single" w:color="auto" w:sz="4" w:space="0"/>
            </w:tcBorders>
            <w:noWrap w:val="0"/>
            <w:vAlign w:val="center"/>
          </w:tcPr>
          <w:p w14:paraId="07A25B88">
            <w:pPr>
              <w:keepNext w:val="0"/>
              <w:keepLines w:val="0"/>
              <w:pageBreakBefore w:val="0"/>
              <w:widowControl w:val="0"/>
              <w:kinsoku/>
              <w:wordWrap/>
              <w:overflowPunct/>
              <w:topLinePunct w:val="0"/>
              <w:autoSpaceDE/>
              <w:autoSpaceDN w:val="0"/>
              <w:bidi w:val="0"/>
              <w:adjustRightInd/>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7920" w:type="dxa"/>
            <w:gridSpan w:val="4"/>
            <w:tcBorders>
              <w:top w:val="single" w:color="auto" w:sz="4" w:space="0"/>
              <w:left w:val="single" w:color="auto" w:sz="4" w:space="0"/>
              <w:bottom w:val="single" w:color="auto" w:sz="4" w:space="0"/>
              <w:right w:val="single" w:color="auto" w:sz="4" w:space="0"/>
            </w:tcBorders>
            <w:noWrap w:val="0"/>
            <w:vAlign w:val="center"/>
          </w:tcPr>
          <w:p w14:paraId="788FA64E">
            <w:pPr>
              <w:keepNext w:val="0"/>
              <w:keepLines w:val="0"/>
              <w:pageBreakBefore w:val="0"/>
              <w:widowControl w:val="0"/>
              <w:kinsoku/>
              <w:wordWrap/>
              <w:overflowPunct/>
              <w:topLinePunct w:val="0"/>
              <w:autoSpaceDE/>
              <w:bidi w:val="0"/>
              <w:adjustRightInd/>
              <w:spacing w:line="440" w:lineRule="exact"/>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本项目按总包干报价，供应商的</w:t>
            </w:r>
            <w:r>
              <w:rPr>
                <w:rFonts w:hint="eastAsia" w:ascii="宋体" w:hAnsi="宋体" w:eastAsia="宋体" w:cs="宋体"/>
                <w:sz w:val="24"/>
                <w:szCs w:val="24"/>
                <w:highlight w:val="none"/>
                <w:lang w:eastAsia="zh-CN"/>
              </w:rPr>
              <w:t>投标报价</w:t>
            </w:r>
            <w:r>
              <w:rPr>
                <w:rFonts w:hint="eastAsia" w:ascii="宋体" w:hAnsi="宋体" w:eastAsia="宋体" w:cs="宋体"/>
                <w:sz w:val="24"/>
                <w:szCs w:val="24"/>
                <w:highlight w:val="none"/>
              </w:rPr>
              <w:t>应包括完成本次采购范围内全部</w:t>
            </w:r>
            <w:r>
              <w:rPr>
                <w:rFonts w:hint="eastAsia" w:ascii="宋体" w:hAnsi="宋体" w:eastAsia="宋体" w:cs="宋体"/>
                <w:sz w:val="24"/>
                <w:szCs w:val="24"/>
                <w:highlight w:val="none"/>
                <w:lang w:val="en-US" w:eastAsia="zh-CN"/>
              </w:rPr>
              <w:t>勘察服务</w:t>
            </w:r>
            <w:r>
              <w:rPr>
                <w:rFonts w:hint="eastAsia" w:ascii="宋体" w:hAnsi="宋体" w:eastAsia="宋体" w:cs="宋体"/>
                <w:sz w:val="24"/>
                <w:szCs w:val="24"/>
                <w:highlight w:val="none"/>
              </w:rPr>
              <w:t>工作</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初步勘察及详细勘察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的所有费用</w:t>
            </w:r>
            <w:r>
              <w:rPr>
                <w:rFonts w:hint="eastAsia" w:ascii="宋体" w:hAnsi="宋体" w:eastAsia="宋体" w:cs="宋体"/>
                <w:sz w:val="24"/>
                <w:szCs w:val="24"/>
                <w:highlight w:val="none"/>
                <w:lang w:val="en-US" w:eastAsia="zh-CN"/>
              </w:rPr>
              <w:t>包含但不限于勘察设备、劳务、管理、交通、维护、保险、利润、税金与政策性文件规定及合同包含的所有风险、责任等各项应有的费用，包括勘察的临时用地，查明勘察点的地下埋藏物、青苗赔偿、拆除地下障碍物、临时交通道路、临建设施、用水用电以及水上作业船等一切费用；包括钻孔、取样及原位测试、室内试验、工程勘察实物工作收费、技术工作费、人员设备调遣费、临时设施费、钻孔损坏地上及鱼塘附着物的赔偿费用、临时措施费、勘察设备、劳务、管理、交通、维护、保险、利润、税金、政策性文件规定及获取控制点费用，场地租用费、办理城市道路行政许可及城市道路恢复、合同包含的所有风险、责任以及未载明但为完成本工程勘察所必须的全部工作所采取的措施费用等一切费用。</w:t>
            </w:r>
          </w:p>
        </w:tc>
      </w:tr>
    </w:tbl>
    <w:p w14:paraId="10D3D55B">
      <w:pPr>
        <w:pStyle w:val="24"/>
        <w:jc w:val="left"/>
        <w:rPr>
          <w:rFonts w:hAnsi="宋体" w:cs="宋体"/>
          <w:bCs/>
          <w:color w:val="auto"/>
          <w:sz w:val="24"/>
          <w:highlight w:val="none"/>
          <w:u w:val="single"/>
        </w:rPr>
      </w:pPr>
    </w:p>
    <w:p w14:paraId="22FD05B6">
      <w:pPr>
        <w:pStyle w:val="24"/>
        <w:jc w:val="left"/>
        <w:rPr>
          <w:rFonts w:hAnsi="宋体" w:cs="宋体"/>
          <w:bCs/>
          <w:color w:val="auto"/>
          <w:sz w:val="24"/>
          <w:highlight w:val="none"/>
          <w:u w:val="single"/>
        </w:rPr>
      </w:pPr>
    </w:p>
    <w:p w14:paraId="26AAF6A7">
      <w:pPr>
        <w:rPr>
          <w:color w:val="auto"/>
          <w:highlight w:val="none"/>
        </w:rPr>
      </w:pPr>
      <w:r>
        <w:rPr>
          <w:rFonts w:hint="eastAsia"/>
          <w:color w:val="auto"/>
          <w:highlight w:val="none"/>
        </w:rPr>
        <w:br w:type="page"/>
      </w:r>
    </w:p>
    <w:p w14:paraId="19472EE8">
      <w:pPr>
        <w:pStyle w:val="24"/>
        <w:jc w:val="left"/>
        <w:rPr>
          <w:rFonts w:hAnsi="宋体" w:cs="宋体"/>
          <w:color w:val="auto"/>
          <w:sz w:val="32"/>
          <w:szCs w:val="32"/>
          <w:highlight w:val="none"/>
        </w:rPr>
      </w:pPr>
      <w:r>
        <w:rPr>
          <w:rFonts w:hint="eastAsia" w:hAnsi="宋体" w:cs="宋体"/>
          <w:color w:val="auto"/>
          <w:sz w:val="32"/>
          <w:szCs w:val="32"/>
          <w:highlight w:val="none"/>
        </w:rPr>
        <w:t>附：</w:t>
      </w:r>
    </w:p>
    <w:p w14:paraId="08306479">
      <w:pPr>
        <w:jc w:val="center"/>
        <w:rPr>
          <w:rFonts w:ascii="宋体" w:hAnsi="宋体" w:cs="宋体"/>
          <w:color w:val="auto"/>
          <w:sz w:val="44"/>
          <w:szCs w:val="44"/>
          <w:highlight w:val="none"/>
        </w:rPr>
      </w:pPr>
      <w:r>
        <w:rPr>
          <w:rFonts w:hint="eastAsia" w:ascii="宋体" w:hAnsi="宋体" w:cs="宋体"/>
          <w:color w:val="auto"/>
          <w:sz w:val="44"/>
          <w:szCs w:val="44"/>
          <w:highlight w:val="none"/>
        </w:rPr>
        <w:t>中小微企业划型标准</w:t>
      </w:r>
    </w:p>
    <w:p w14:paraId="7931DE72">
      <w:pPr>
        <w:ind w:left="1871"/>
        <w:rPr>
          <w:rFonts w:ascii="宋体" w:hAnsi="宋体" w:cs="宋体"/>
          <w:color w:val="auto"/>
          <w:sz w:val="21"/>
          <w:szCs w:val="21"/>
          <w:highlight w:val="none"/>
        </w:rPr>
      </w:pPr>
    </w:p>
    <w:tbl>
      <w:tblPr>
        <w:tblStyle w:val="45"/>
        <w:tblW w:w="0" w:type="auto"/>
        <w:jc w:val="center"/>
        <w:tblLayout w:type="fixed"/>
        <w:tblCellMar>
          <w:top w:w="0" w:type="dxa"/>
          <w:left w:w="108" w:type="dxa"/>
          <w:bottom w:w="0" w:type="dxa"/>
          <w:right w:w="108" w:type="dxa"/>
        </w:tblCellMar>
      </w:tblPr>
      <w:tblGrid>
        <w:gridCol w:w="1701"/>
        <w:gridCol w:w="1384"/>
        <w:gridCol w:w="913"/>
        <w:gridCol w:w="1620"/>
        <w:gridCol w:w="1440"/>
        <w:gridCol w:w="925"/>
      </w:tblGrid>
      <w:tr w14:paraId="5BE00F72">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07DA392B">
            <w:pPr>
              <w:widowControl/>
              <w:jc w:val="center"/>
              <w:rPr>
                <w:rFonts w:ascii="宋体" w:hAnsi="宋体" w:cs="宋体"/>
                <w:b/>
                <w:color w:val="auto"/>
                <w:sz w:val="24"/>
                <w:highlight w:val="none"/>
              </w:rPr>
            </w:pPr>
            <w:r>
              <w:rPr>
                <w:rFonts w:hint="eastAsia" w:ascii="宋体" w:hAnsi="宋体" w:cs="宋体"/>
                <w:b/>
                <w:color w:val="auto"/>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1FE2481B">
            <w:pPr>
              <w:widowControl/>
              <w:jc w:val="center"/>
              <w:rPr>
                <w:rFonts w:ascii="宋体" w:hAnsi="宋体" w:cs="宋体"/>
                <w:b/>
                <w:color w:val="auto"/>
                <w:sz w:val="24"/>
                <w:highlight w:val="none"/>
              </w:rPr>
            </w:pPr>
            <w:r>
              <w:rPr>
                <w:rFonts w:hint="eastAsia" w:ascii="宋体" w:hAnsi="宋体" w:cs="宋体"/>
                <w:b/>
                <w:color w:val="auto"/>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7A6E191F">
            <w:pPr>
              <w:widowControl/>
              <w:jc w:val="center"/>
              <w:rPr>
                <w:rFonts w:ascii="宋体" w:hAnsi="宋体" w:cs="宋体"/>
                <w:b/>
                <w:color w:val="auto"/>
                <w:sz w:val="24"/>
                <w:highlight w:val="none"/>
              </w:rPr>
            </w:pPr>
            <w:r>
              <w:rPr>
                <w:rFonts w:hint="eastAsia" w:ascii="宋体" w:hAnsi="宋体" w:cs="宋体"/>
                <w:b/>
                <w:color w:val="auto"/>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58806A21">
            <w:pPr>
              <w:widowControl/>
              <w:jc w:val="center"/>
              <w:rPr>
                <w:rFonts w:ascii="宋体" w:hAnsi="宋体" w:cs="宋体"/>
                <w:b/>
                <w:color w:val="auto"/>
                <w:sz w:val="24"/>
                <w:highlight w:val="none"/>
              </w:rPr>
            </w:pPr>
            <w:r>
              <w:rPr>
                <w:rFonts w:hint="eastAsia" w:ascii="宋体" w:hAnsi="宋体" w:cs="宋体"/>
                <w:b/>
                <w:color w:val="auto"/>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5D16727A">
            <w:pPr>
              <w:widowControl/>
              <w:jc w:val="center"/>
              <w:rPr>
                <w:rFonts w:ascii="宋体" w:hAnsi="宋体" w:cs="宋体"/>
                <w:b/>
                <w:color w:val="auto"/>
                <w:sz w:val="24"/>
                <w:highlight w:val="none"/>
              </w:rPr>
            </w:pPr>
            <w:r>
              <w:rPr>
                <w:rFonts w:hint="eastAsia" w:ascii="宋体" w:hAnsi="宋体" w:cs="宋体"/>
                <w:b/>
                <w:color w:val="auto"/>
                <w:sz w:val="24"/>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593D842B">
            <w:pPr>
              <w:widowControl/>
              <w:jc w:val="center"/>
              <w:rPr>
                <w:rFonts w:ascii="宋体" w:hAnsi="宋体" w:cs="宋体"/>
                <w:b/>
                <w:color w:val="auto"/>
                <w:sz w:val="24"/>
                <w:highlight w:val="none"/>
              </w:rPr>
            </w:pPr>
            <w:r>
              <w:rPr>
                <w:rFonts w:hint="eastAsia" w:ascii="宋体" w:hAnsi="宋体" w:cs="宋体"/>
                <w:b/>
                <w:color w:val="auto"/>
                <w:sz w:val="24"/>
                <w:highlight w:val="none"/>
              </w:rPr>
              <w:t>微型</w:t>
            </w:r>
          </w:p>
        </w:tc>
      </w:tr>
      <w:tr w14:paraId="771F1F93">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3BAC9D1A">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农、林、牧、渔</w:t>
            </w:r>
          </w:p>
        </w:tc>
        <w:tc>
          <w:tcPr>
            <w:tcW w:w="1384" w:type="dxa"/>
            <w:tcBorders>
              <w:top w:val="nil"/>
              <w:left w:val="nil"/>
              <w:bottom w:val="single" w:color="auto" w:sz="4" w:space="0"/>
              <w:right w:val="single" w:color="auto" w:sz="4" w:space="0"/>
            </w:tcBorders>
            <w:noWrap w:val="0"/>
            <w:vAlign w:val="center"/>
          </w:tcPr>
          <w:p w14:paraId="3B526B4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ED75D1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FD1F0A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1C8AF3B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7D57D49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Y＜50</w:t>
            </w:r>
          </w:p>
        </w:tc>
      </w:tr>
      <w:tr w14:paraId="12943BF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6C222BB7">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4BA8597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7A453F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3F24CB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0769449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55D6065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X＜20</w:t>
            </w:r>
          </w:p>
        </w:tc>
      </w:tr>
      <w:tr w14:paraId="0BF0EDB0">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748BFDE">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0D11C6F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60FFE2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4AAE21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62DE178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54CA1A1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Y＜300</w:t>
            </w:r>
          </w:p>
        </w:tc>
      </w:tr>
      <w:tr w14:paraId="000699A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E5E04F9">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15363D1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96935A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8169C1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1A69C38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3983FEA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Y＜300</w:t>
            </w:r>
          </w:p>
        </w:tc>
      </w:tr>
      <w:tr w14:paraId="1C07B949">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6B92C84">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6BC5608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4F59A63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F454F8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0EF6F94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23820F2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Z＜300</w:t>
            </w:r>
          </w:p>
        </w:tc>
      </w:tr>
      <w:tr w14:paraId="19E094B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099FDB4">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67AEFAA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A76F27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DF1162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3FDFC21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6E70BF7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X＜5</w:t>
            </w:r>
          </w:p>
        </w:tc>
      </w:tr>
      <w:tr w14:paraId="65D2340D">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A2B6198">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0D5DF86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345621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4BB996E">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68DD2F7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7B018E4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Y＜1000</w:t>
            </w:r>
          </w:p>
        </w:tc>
      </w:tr>
      <w:tr w14:paraId="010EBA7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D38F14C">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465C8D5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9F44D9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111064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424E9E4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62B2A46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r w14:paraId="58017D7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174E0CF">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52F9ADC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9C6B7B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71063D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7FF859A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4BFE95E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1A5CE72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3B22E21">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5C1685C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EE248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DEA891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5367674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681B9C2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X＜20</w:t>
            </w:r>
          </w:p>
        </w:tc>
      </w:tr>
      <w:tr w14:paraId="2FDF9B2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E1361C6">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15B125A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2839B6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CFE2F3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68D765D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200≤Y＜3000</w:t>
            </w:r>
          </w:p>
        </w:tc>
        <w:tc>
          <w:tcPr>
            <w:tcW w:w="925" w:type="dxa"/>
            <w:tcBorders>
              <w:top w:val="nil"/>
              <w:left w:val="nil"/>
              <w:bottom w:val="single" w:color="auto" w:sz="4" w:space="0"/>
              <w:right w:val="single" w:color="auto" w:sz="4" w:space="0"/>
            </w:tcBorders>
            <w:noWrap w:val="0"/>
            <w:vAlign w:val="center"/>
          </w:tcPr>
          <w:p w14:paraId="2708CCB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Y＜200</w:t>
            </w:r>
          </w:p>
        </w:tc>
      </w:tr>
      <w:tr w14:paraId="036ED2CD">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A19D66F">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0FA2861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6376B4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92AA29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4683336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52AAA73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X＜20</w:t>
            </w:r>
          </w:p>
        </w:tc>
      </w:tr>
      <w:tr w14:paraId="68240DA6">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9A27DB5">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45347B9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00EC23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E4D0B8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38384DB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6DAC524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698F89BA">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2AEAA52">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016E5B5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A9440B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2B8E6F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4DB835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7655A56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X＜20</w:t>
            </w:r>
          </w:p>
        </w:tc>
      </w:tr>
      <w:tr w14:paraId="5D93271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DEC372F">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759312C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983AFA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04E282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73A2D79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23ADEEF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1A2C254A">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72D1509">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18D0BC4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EEC0E3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7CE871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EB52B6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3983F78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r w14:paraId="6FB89AF6">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7048F9D3">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3033782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2FCD7C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17DF51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1C62510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6AB6C94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748340F4">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08325E4">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46DCEAF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DB9F20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1D12C4E">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D68ABA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ED4DDF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r w14:paraId="1F24B4DB">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3AF0620">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0FEAF21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011140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C6762A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1FB9B9A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57BBED1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490AF9F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3E8AB41">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43DDCA9E">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2CD9FF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F17669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6369702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35465C1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r w14:paraId="14FD672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6009D65">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43A65BB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770353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7AF9E9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52DA14D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4B2A5C4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4FFC3461">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24F9E1B">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2BECB00E">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569A93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4980E5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656B0D0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425F0122">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r w14:paraId="284EE48C">
        <w:tblPrEx>
          <w:tblCellMar>
            <w:top w:w="0" w:type="dxa"/>
            <w:left w:w="108" w:type="dxa"/>
            <w:bottom w:w="0" w:type="dxa"/>
            <w:right w:w="108" w:type="dxa"/>
          </w:tblCellMar>
        </w:tblPrEx>
        <w:trPr>
          <w:trHeight w:val="323" w:hRule="exac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2FBC105">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027A7FE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DB1F65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6D63D5A">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5A238D2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10315B4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Y＜50</w:t>
            </w:r>
          </w:p>
        </w:tc>
      </w:tr>
      <w:tr w14:paraId="0CB6ABFB">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684C9BC8">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1BFFC14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3FAA68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00AE4B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080E005C">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0C13214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X＜100</w:t>
            </w:r>
          </w:p>
        </w:tc>
      </w:tr>
      <w:tr w14:paraId="74508BC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3132806">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07DD76E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3A63A46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0F9014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3366E7BE">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3A1E446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Y＜2000</w:t>
            </w:r>
          </w:p>
        </w:tc>
      </w:tr>
      <w:tr w14:paraId="3D1CF69E">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ACC60AA">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075225A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8594B9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B14305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6986B0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55D6C57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X＜100</w:t>
            </w:r>
          </w:p>
        </w:tc>
      </w:tr>
      <w:tr w14:paraId="42ED7589">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556B08D">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33F0B1D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324749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F45138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7AE97FF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44BDE1E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Y＜500</w:t>
            </w:r>
          </w:p>
        </w:tc>
      </w:tr>
      <w:tr w14:paraId="25EE535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645DD53">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08E82521">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137A6F8">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416DE7D">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9D6DE5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A2DFBAB">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r w14:paraId="3F529DA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4A2E724">
            <w:pPr>
              <w:widowControl/>
              <w:jc w:val="left"/>
              <w:rPr>
                <w:rFonts w:ascii="宋体" w:hAnsi="宋体" w:cs="宋体"/>
                <w:b/>
                <w:bCs/>
                <w:color w:val="auto"/>
                <w:sz w:val="18"/>
                <w:szCs w:val="18"/>
                <w:highlight w:val="none"/>
              </w:rPr>
            </w:pPr>
          </w:p>
        </w:tc>
        <w:tc>
          <w:tcPr>
            <w:tcW w:w="1384" w:type="dxa"/>
            <w:tcBorders>
              <w:top w:val="nil"/>
              <w:left w:val="nil"/>
              <w:bottom w:val="single" w:color="auto" w:sz="4" w:space="0"/>
              <w:right w:val="single" w:color="auto" w:sz="4" w:space="0"/>
            </w:tcBorders>
            <w:noWrap w:val="0"/>
            <w:vAlign w:val="center"/>
          </w:tcPr>
          <w:p w14:paraId="2B733AD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56972533">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72389DF">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28466276">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6A7DC250">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Y＜100</w:t>
            </w:r>
          </w:p>
        </w:tc>
      </w:tr>
      <w:tr w14:paraId="2CC703E7">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2751B52D">
            <w:pPr>
              <w:widowControl/>
              <w:jc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55587DF4">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50B73B9">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33BB8E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AEA58B5">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1EFD3597">
            <w:pPr>
              <w:widowControl/>
              <w:jc w:val="left"/>
              <w:rPr>
                <w:rFonts w:ascii="宋体" w:hAnsi="宋体" w:cs="宋体"/>
                <w:color w:val="auto"/>
                <w:sz w:val="18"/>
                <w:szCs w:val="18"/>
                <w:highlight w:val="none"/>
              </w:rPr>
            </w:pPr>
            <w:r>
              <w:rPr>
                <w:rFonts w:hint="eastAsia" w:ascii="宋体" w:hAnsi="宋体" w:cs="宋体"/>
                <w:color w:val="auto"/>
                <w:sz w:val="18"/>
                <w:szCs w:val="18"/>
                <w:highlight w:val="none"/>
              </w:rPr>
              <w:t>X＜10</w:t>
            </w:r>
          </w:p>
        </w:tc>
      </w:tr>
    </w:tbl>
    <w:p w14:paraId="53033F13">
      <w:pPr>
        <w:spacing w:line="360" w:lineRule="auto"/>
        <w:ind w:firstLine="525"/>
        <w:rPr>
          <w:rFonts w:ascii="宋体" w:hAnsi="宋体" w:cs="宋体"/>
          <w:color w:val="auto"/>
          <w:sz w:val="21"/>
          <w:szCs w:val="21"/>
          <w:highlight w:val="none"/>
        </w:rPr>
      </w:pPr>
    </w:p>
    <w:p w14:paraId="6A8F1048">
      <w:pPr>
        <w:spacing w:line="360" w:lineRule="auto"/>
        <w:ind w:firstLine="527"/>
        <w:rPr>
          <w:rFonts w:ascii="楷体" w:hAnsi="楷体" w:eastAsia="楷体" w:cs="宋体"/>
          <w:color w:val="auto"/>
          <w:sz w:val="21"/>
          <w:szCs w:val="21"/>
          <w:highlight w:val="none"/>
        </w:rPr>
      </w:pPr>
      <w:r>
        <w:rPr>
          <w:rFonts w:hint="eastAsia" w:ascii="楷体" w:hAnsi="楷体" w:eastAsia="楷体" w:cs="宋体"/>
          <w:b/>
          <w:color w:val="auto"/>
          <w:sz w:val="21"/>
          <w:szCs w:val="21"/>
          <w:highlight w:val="none"/>
        </w:rPr>
        <w:t>说明：</w:t>
      </w:r>
      <w:r>
        <w:rPr>
          <w:rFonts w:hint="eastAsia" w:ascii="楷体" w:hAnsi="楷体" w:eastAsia="楷体" w:cs="宋体"/>
          <w:color w:val="auto"/>
          <w:sz w:val="21"/>
          <w:szCs w:val="21"/>
          <w:highlight w:val="none"/>
        </w:rPr>
        <w:t>上述标准参照《关于印发中小企业划型标准规定的通知》（工信部联企业</w:t>
      </w:r>
      <w:r>
        <w:rPr>
          <w:rFonts w:ascii="楷体" w:hAnsi="楷体" w:eastAsia="楷体" w:cs="宋体"/>
          <w:color w:val="auto"/>
          <w:sz w:val="21"/>
          <w:szCs w:val="21"/>
          <w:highlight w:val="none"/>
        </w:rPr>
        <w:t>[2011]300号），大型、中型和小型企业须同时满足所列指标的下限，否则下划一档；微型企业只</w:t>
      </w:r>
      <w:r>
        <w:rPr>
          <w:rFonts w:hint="eastAsia" w:ascii="楷体" w:hAnsi="楷体" w:eastAsia="楷体" w:cs="宋体"/>
          <w:color w:val="auto"/>
          <w:sz w:val="21"/>
          <w:szCs w:val="21"/>
          <w:highlight w:val="none"/>
          <w:lang w:eastAsia="zh-CN"/>
        </w:rPr>
        <w:t>需</w:t>
      </w:r>
      <w:r>
        <w:rPr>
          <w:rFonts w:ascii="楷体" w:hAnsi="楷体" w:eastAsia="楷体" w:cs="宋体"/>
          <w:color w:val="auto"/>
          <w:sz w:val="21"/>
          <w:szCs w:val="21"/>
          <w:highlight w:val="none"/>
        </w:rPr>
        <w:t>满足所列指标中的一项即可。</w:t>
      </w:r>
    </w:p>
    <w:p w14:paraId="0E0B2EE4">
      <w:pPr>
        <w:rPr>
          <w:rFonts w:hint="eastAsia" w:ascii="宋体" w:hAnsi="宋体" w:cs="宋体"/>
          <w:color w:val="auto"/>
          <w:highlight w:val="none"/>
        </w:rPr>
      </w:pPr>
      <w:bookmarkStart w:id="31" w:name="_Toc10847"/>
      <w:r>
        <w:rPr>
          <w:rFonts w:hint="eastAsia" w:ascii="宋体" w:hAnsi="宋体" w:cs="宋体"/>
          <w:color w:val="auto"/>
          <w:highlight w:val="none"/>
        </w:rPr>
        <w:br w:type="page"/>
      </w:r>
    </w:p>
    <w:p w14:paraId="2DDDA07A">
      <w:pPr>
        <w:pStyle w:val="2"/>
        <w:jc w:val="center"/>
        <w:rPr>
          <w:rFonts w:ascii="宋体" w:hAnsi="宋体" w:cs="宋体"/>
          <w:color w:val="auto"/>
          <w:highlight w:val="none"/>
        </w:rPr>
      </w:pPr>
      <w:r>
        <w:rPr>
          <w:rFonts w:hint="eastAsia" w:ascii="宋体" w:hAnsi="宋体" w:cs="宋体"/>
          <w:color w:val="auto"/>
          <w:highlight w:val="none"/>
        </w:rPr>
        <w:t>第四章  评审程序、评审方法和评审标准</w:t>
      </w:r>
      <w:bookmarkEnd w:id="31"/>
    </w:p>
    <w:p w14:paraId="1E6ABF21">
      <w:pPr>
        <w:spacing w:line="360" w:lineRule="auto"/>
        <w:jc w:val="center"/>
        <w:outlineLvl w:val="1"/>
        <w:rPr>
          <w:rFonts w:ascii="宋体" w:hAnsi="宋体" w:cs="宋体"/>
          <w:b/>
          <w:color w:val="auto"/>
          <w:sz w:val="32"/>
          <w:szCs w:val="32"/>
          <w:highlight w:val="none"/>
        </w:rPr>
      </w:pPr>
      <w:r>
        <w:rPr>
          <w:rFonts w:hint="eastAsia" w:ascii="宋体" w:hAnsi="宋体" w:cs="宋体"/>
          <w:b/>
          <w:color w:val="auto"/>
          <w:sz w:val="32"/>
          <w:szCs w:val="32"/>
          <w:highlight w:val="none"/>
        </w:rPr>
        <w:t>一、评审程序和评审方法</w:t>
      </w:r>
    </w:p>
    <w:p w14:paraId="20EAAD2A">
      <w:pPr>
        <w:spacing w:line="360" w:lineRule="auto"/>
        <w:ind w:firstLine="482"/>
        <w:rPr>
          <w:rFonts w:ascii="宋体" w:hAnsi="宋体" w:cs="宋体"/>
          <w:b/>
          <w:bCs/>
          <w:color w:val="auto"/>
          <w:sz w:val="24"/>
          <w:highlight w:val="none"/>
        </w:rPr>
      </w:pPr>
    </w:p>
    <w:p w14:paraId="2D7E1CD6">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1.资格审查</w:t>
      </w:r>
    </w:p>
    <w:p w14:paraId="6D45F1C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1.1响应文件开启后，磋商小组依法对供应商的资格证明文件进行审查。</w:t>
      </w:r>
    </w:p>
    <w:p w14:paraId="2E05104E">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（1）查询渠道：“信用中国”网站（www.creditchina.gov.cn）、中国政府采购网（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sz w:val="24"/>
          <w:highlight w:val="none"/>
        </w:rPr>
        <w:t>www.ccgp.gov.cn</w:t>
      </w:r>
      <w:r>
        <w:rPr>
          <w:rFonts w:hint="eastAsia" w:ascii="宋体" w:hAnsi="宋体" w:cs="宋体"/>
          <w:color w:val="auto"/>
          <w:sz w:val="24"/>
          <w:highlight w:val="none"/>
        </w:rPr>
        <w:fldChar w:fldCharType="end"/>
      </w:r>
      <w:r>
        <w:rPr>
          <w:rFonts w:hint="eastAsia" w:ascii="宋体" w:hAnsi="宋体" w:cs="宋体"/>
          <w:color w:val="auto"/>
          <w:sz w:val="24"/>
          <w:highlight w:val="none"/>
        </w:rPr>
        <w:t>）</w:t>
      </w:r>
    </w:p>
    <w:p w14:paraId="2FA8831B">
      <w:pPr>
        <w:spacing w:line="360" w:lineRule="auto"/>
        <w:ind w:firstLine="480"/>
        <w:jc w:val="left"/>
        <w:outlineLvl w:val="3"/>
        <w:rPr>
          <w:rFonts w:ascii="宋体" w:hAnsi="宋体" w:cs="宋体"/>
          <w:color w:val="auto"/>
          <w:sz w:val="24"/>
          <w:highlight w:val="none"/>
        </w:rPr>
      </w:pPr>
      <w:r>
        <w:rPr>
          <w:rFonts w:hint="eastAsia" w:ascii="宋体" w:hAnsi="宋体" w:cs="宋体"/>
          <w:color w:val="auto"/>
          <w:sz w:val="24"/>
          <w:highlight w:val="none"/>
        </w:rPr>
        <w:t>（2）信用查询截止时点：资格审查结束前</w:t>
      </w:r>
    </w:p>
    <w:p w14:paraId="0AEE2293">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（3）查询记录和证据留存方式：将查询网站中的查询记录截图并作为评审资料保存。</w:t>
      </w:r>
    </w:p>
    <w:p w14:paraId="60FE9327">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（4）信用信息使用规则：根据财政部《关于在政府采购活动中查询及使用信用记录有关问题的通知》（财库〔2016〕125号）的规定，对在“信用中国”网站(www.creditchina.gov.cn)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F2FF32C">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1.2资格审查标准为本磋商文件中载明对供应商资格要求的条件。资格审查采用合格制，凡符合磋商文件规定的供应商资格要求的响应文件均通过资格审查。</w:t>
      </w:r>
    </w:p>
    <w:p w14:paraId="0D88EB6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1.3供应商有下列情形之一的，资格审查不通过，其响应文件按无效响应处理：</w:t>
      </w:r>
    </w:p>
    <w:p w14:paraId="214F1FC6">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（1）不具备磋商文件中规定的资格要求的；</w:t>
      </w:r>
    </w:p>
    <w:p w14:paraId="30A09A4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（2）响应文件的资格证明文件缺少任一项“供应商须知前附表”资格证明文件规定的“必须提供”的文件资料的；</w:t>
      </w:r>
    </w:p>
    <w:p w14:paraId="449F7BD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（3）响应文件中的资格证明文件出现任一项不符合“供应商须知前附表”资格证明文件规定的“必须提供”的文件资料要求或者无效的；</w:t>
      </w:r>
    </w:p>
    <w:p w14:paraId="16D77E4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（4）同一合同项下的不同供应商，单位负责人为同一人或者存在直接控股、管理关系的；为本项目提供过整体设计、规范编制或者项目管理、监理、检测等服务的供应商，再参加该采购项目的其他采购活动的。</w:t>
      </w:r>
    </w:p>
    <w:p w14:paraId="508743CB">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1.4通过资格审查的合格供应商不足3家的，不得进入符合性审查环节，采购人或者采购代理机构应当重新开展采购活动。</w:t>
      </w:r>
    </w:p>
    <w:p w14:paraId="0D1EF100">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2.符合性审查</w:t>
      </w:r>
    </w:p>
    <w:p w14:paraId="256E6F02">
      <w:pPr>
        <w:spacing w:line="360" w:lineRule="auto"/>
        <w:ind w:firstLine="480"/>
        <w:rPr>
          <w:rFonts w:ascii="宋体" w:hAnsi="宋体" w:cs="宋体"/>
          <w:color w:val="auto"/>
          <w:sz w:val="24"/>
          <w:highlight w:val="none"/>
        </w:rPr>
      </w:pPr>
      <w:bookmarkStart w:id="32" w:name="_Hlk42528882"/>
      <w:r>
        <w:rPr>
          <w:rFonts w:hint="eastAsia" w:ascii="宋体" w:hAnsi="宋体" w:cs="宋体"/>
          <w:color w:val="auto"/>
          <w:sz w:val="24"/>
          <w:highlight w:val="none"/>
        </w:rPr>
        <w:t>2.1由磋商小组对资格审查的合格供应商的响应文件的竞争性磋商报价、商务、技术等实质性要求进行符合性审查，以确定其是否满足磋商文件的实质性要求。</w:t>
      </w:r>
      <w:bookmarkEnd w:id="32"/>
    </w:p>
    <w:p w14:paraId="639FD6FB">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295D314">
      <w:pPr>
        <w:spacing w:line="360" w:lineRule="auto"/>
        <w:ind w:firstLine="480"/>
        <w:rPr>
          <w:rFonts w:ascii="宋体" w:hAnsi="宋体" w:cs="宋体"/>
          <w:color w:val="auto"/>
          <w:spacing w:val="-6"/>
          <w:sz w:val="24"/>
          <w:highlight w:val="none"/>
        </w:rPr>
      </w:pPr>
      <w:r>
        <w:rPr>
          <w:rFonts w:hint="eastAsia" w:ascii="宋体" w:hAnsi="宋体" w:cs="宋体"/>
          <w:color w:val="auto"/>
          <w:sz w:val="24"/>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加盖供应商公章</w:t>
      </w:r>
      <w:r>
        <w:rPr>
          <w:rFonts w:hint="eastAsia" w:ascii="宋体" w:hAnsi="宋体" w:cs="宋体"/>
          <w:color w:val="auto"/>
          <w:spacing w:val="-6"/>
          <w:sz w:val="24"/>
          <w:highlight w:val="none"/>
        </w:rPr>
        <w:t>。供应商为自然人的，必须由本人签字并附身份证明。</w:t>
      </w:r>
    </w:p>
    <w:p w14:paraId="27B25A01">
      <w:pPr>
        <w:spacing w:line="360" w:lineRule="auto"/>
        <w:ind w:firstLine="456"/>
        <w:outlineLvl w:val="3"/>
        <w:rPr>
          <w:rFonts w:ascii="宋体" w:hAnsi="宋体" w:cs="宋体"/>
          <w:color w:val="auto"/>
          <w:sz w:val="24"/>
          <w:highlight w:val="none"/>
        </w:rPr>
      </w:pPr>
      <w:r>
        <w:rPr>
          <w:rFonts w:hint="eastAsia" w:ascii="宋体" w:hAnsi="宋体" w:cs="宋体"/>
          <w:color w:val="auto"/>
          <w:spacing w:val="-6"/>
          <w:sz w:val="24"/>
          <w:highlight w:val="none"/>
        </w:rPr>
        <w:t>2.4</w:t>
      </w:r>
      <w:r>
        <w:rPr>
          <w:rFonts w:hint="eastAsia" w:ascii="宋体" w:hAnsi="宋体" w:cs="宋体"/>
          <w:color w:val="auto"/>
          <w:sz w:val="24"/>
          <w:highlight w:val="none"/>
        </w:rPr>
        <w:t xml:space="preserve">首次响应文件报价出现前后不一致的，按照下列规定修正： </w:t>
      </w:r>
    </w:p>
    <w:p w14:paraId="73F4D00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（1）响应文件中报价表内容与响应文件中相应内容不一致的，以报价表为准；</w:t>
      </w:r>
    </w:p>
    <w:p w14:paraId="7C1D6B03">
      <w:pPr>
        <w:spacing w:line="360" w:lineRule="auto"/>
        <w:ind w:firstLine="480"/>
        <w:outlineLvl w:val="4"/>
        <w:rPr>
          <w:rFonts w:ascii="宋体" w:hAnsi="宋体" w:cs="宋体"/>
          <w:color w:val="auto"/>
          <w:sz w:val="24"/>
          <w:highlight w:val="none"/>
        </w:rPr>
      </w:pPr>
      <w:r>
        <w:rPr>
          <w:rFonts w:hint="eastAsia" w:ascii="宋体" w:hAnsi="宋体" w:cs="宋体"/>
          <w:color w:val="auto"/>
          <w:sz w:val="24"/>
          <w:highlight w:val="none"/>
        </w:rPr>
        <w:t>（2）大写金额和小写金额不一致的，以大写金额为准；</w:t>
      </w:r>
    </w:p>
    <w:p w14:paraId="4055F34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（3）单价金额小数点或者百分比有明显错位的，以报价表的总价为准，并修改单价；</w:t>
      </w:r>
    </w:p>
    <w:p w14:paraId="1733A76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（4）总价金额与按单价汇总金额不一致的，以单价金额计算结果为准。</w:t>
      </w:r>
    </w:p>
    <w:p w14:paraId="2191F2B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同时出现两种以上不一致的，按照以上（1）-（4）规定的顺序逐条进行修正。修正后的报价经供应商确认后产生约束力，供应商不确认的，其响应文件按无效响应处理。</w:t>
      </w:r>
    </w:p>
    <w:p w14:paraId="6CD25CF8">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2.5商务技术报价评审</w:t>
      </w:r>
    </w:p>
    <w:p w14:paraId="31DA7E8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在评审时，如发现下列情形之一的，将被视为响应文件无效响应处理：</w:t>
      </w:r>
    </w:p>
    <w:p w14:paraId="61AD504F">
      <w:pPr>
        <w:spacing w:line="360" w:lineRule="auto"/>
        <w:ind w:firstLine="480"/>
        <w:outlineLvl w:val="4"/>
        <w:rPr>
          <w:rFonts w:ascii="宋体" w:hAnsi="宋体" w:cs="宋体"/>
          <w:color w:val="auto"/>
          <w:sz w:val="24"/>
          <w:highlight w:val="none"/>
        </w:rPr>
      </w:pPr>
      <w:r>
        <w:rPr>
          <w:rFonts w:hint="eastAsia" w:ascii="宋体" w:hAnsi="宋体" w:cs="宋体"/>
          <w:color w:val="auto"/>
          <w:sz w:val="24"/>
          <w:highlight w:val="none"/>
        </w:rPr>
        <w:t>（1）商务服务评审</w:t>
      </w:r>
    </w:p>
    <w:p w14:paraId="2BCFC06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1）响应文件未按磋商文件要求签署、盖章；</w:t>
      </w:r>
    </w:p>
    <w:p w14:paraId="5CD175A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2）委托代理人未能出具有效身份证或者出具的身份证与授权委托书中的信息不符的； </w:t>
      </w:r>
    </w:p>
    <w:p w14:paraId="624571B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3）提交的磋商保证金无效的或者未按照磋商文件的规定提交磋商保证金；</w:t>
      </w:r>
    </w:p>
    <w:p w14:paraId="509CF07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4）响应文件中的报价商务服务文件出现任一项不符合“供应商须知前附表”中“必须提供”或者“委托时必须提供”文件资料要求的规定或者提供的报价商务服务文件无效。</w:t>
      </w:r>
    </w:p>
    <w:p w14:paraId="621DCD1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5）商务条款中标“▲”的条款发生负偏离或者允许负偏离的条款数超过“供应商须知前附表”规定项数的；</w:t>
      </w:r>
    </w:p>
    <w:p w14:paraId="4C481D9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6）未对竞争性磋商有效期作出响应或者响应文件承诺的竞争性磋商有效期不满足磋商文件要求；</w:t>
      </w:r>
    </w:p>
    <w:p w14:paraId="7D93EDA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7）响应文件的实质性内容未使用中文表述、使用计量单位不符合磋商文件要求；</w:t>
      </w:r>
    </w:p>
    <w:p w14:paraId="0719487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8）响应文件中的文件资料因填写不齐全或者内容虚假或者出现其他情形而导致被磋商小组认定无效；</w:t>
      </w:r>
    </w:p>
    <w:p w14:paraId="215A2DF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9）响应文件含有采购人不能接受的附加条件；</w:t>
      </w:r>
    </w:p>
    <w:p w14:paraId="5A22AFF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10）属于“供应商须知正文”第7.5条情形；</w:t>
      </w:r>
    </w:p>
    <w:p w14:paraId="6408A7A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11）技术要求中标“▲”的条款发生负偏离或允许负偏离的条款数超过“供应商须知前附表”规定项数的；</w:t>
      </w:r>
    </w:p>
    <w:p w14:paraId="7C4CD94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12）虚假响应，或者出现其他情形而导致被磋商小组认定无效；</w:t>
      </w:r>
    </w:p>
    <w:p w14:paraId="02FACA3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13）</w:t>
      </w:r>
      <w:bookmarkStart w:id="33" w:name="_Hlk71704147"/>
      <w:r>
        <w:rPr>
          <w:rFonts w:hint="eastAsia" w:ascii="宋体" w:hAnsi="宋体" w:cs="宋体"/>
          <w:color w:val="auto"/>
          <w:sz w:val="24"/>
          <w:highlight w:val="none"/>
        </w:rPr>
        <w:t>磋商文件未载明允许提供备选（替代）响应方案或明确不允许提供备选（替代）响应方案时，供应商提供了备选（替代）响应方案的；</w:t>
      </w:r>
      <w:bookmarkEnd w:id="33"/>
    </w:p>
    <w:p w14:paraId="470A3C3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14）响应文件标注的项目名称或者项目编号与磋商文件标注的项目名称或者项目编号不一致的；</w:t>
      </w:r>
    </w:p>
    <w:p w14:paraId="4A62901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15）竞争性磋商文件明确不允许分包，响应文件拟分包的；</w:t>
      </w:r>
    </w:p>
    <w:p w14:paraId="56FDC29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16）未响应磋商文件实质性要求；</w:t>
      </w:r>
    </w:p>
    <w:p w14:paraId="01D7AC2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17）法律、法规和磋商文件规定的其他无效情形。</w:t>
      </w:r>
    </w:p>
    <w:p w14:paraId="3D551B56">
      <w:pPr>
        <w:spacing w:line="360" w:lineRule="auto"/>
        <w:ind w:firstLine="480"/>
        <w:outlineLvl w:val="4"/>
        <w:rPr>
          <w:rFonts w:ascii="宋体" w:hAnsi="宋体" w:cs="宋体"/>
          <w:color w:val="auto"/>
          <w:sz w:val="24"/>
          <w:highlight w:val="none"/>
        </w:rPr>
      </w:pPr>
      <w:r>
        <w:rPr>
          <w:rFonts w:hint="eastAsia" w:ascii="宋体" w:hAnsi="宋体" w:cs="宋体"/>
          <w:color w:val="auto"/>
          <w:sz w:val="24"/>
          <w:highlight w:val="none"/>
        </w:rPr>
        <w:t>（2）报价评审</w:t>
      </w:r>
    </w:p>
    <w:p w14:paraId="6473288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1）响应文件未提供“供应商须知前附表” 报价商务服务文件中规定的“竞争性磋商报价表”；</w:t>
      </w:r>
    </w:p>
    <w:p w14:paraId="5E11053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2）未采用人民币报价或者未按照磋商文件标明的币种报价；</w:t>
      </w:r>
    </w:p>
    <w:p w14:paraId="720B456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供应商未就所参与竞争性磋商分标进行报价或者存在漏项报价；供应商未就所参与竞争性磋商分标的单项内容作唯一报价；供应商未就所参与竞争性磋商分标的全部内容作完整唯一总价报价；供应商响应文件中存在有选择、有条件报价的（磋商文件允许有备选方案或者其他约定的除外）；</w:t>
      </w:r>
    </w:p>
    <w:p w14:paraId="0023FD5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4）竞争性磋商报价（包含首次报价、最后报价）超过所参与竞争性磋商分标规定的采购预算金额或者最高限价的（如本项目公布了最高限价），其响应文件将按无效响应处理；</w:t>
      </w:r>
    </w:p>
    <w:p w14:paraId="63C09465">
      <w:pPr>
        <w:spacing w:line="360" w:lineRule="auto"/>
        <w:ind w:firstLine="480"/>
        <w:rPr>
          <w:color w:val="auto"/>
          <w:highlight w:val="none"/>
        </w:rPr>
      </w:pPr>
      <w:r>
        <w:rPr>
          <w:rFonts w:hint="eastAsia" w:ascii="宋体" w:hAnsi="宋体" w:cs="宋体"/>
          <w:color w:val="auto"/>
          <w:sz w:val="24"/>
          <w:highlight w:val="none"/>
        </w:rPr>
        <w:t>5）竞争性磋商报价（包含首次报价、最后报价）超过分项采购预算金额或者最高限价的（如本项目公布了最高限价），其响应文件将按无效处理；</w:t>
      </w:r>
    </w:p>
    <w:p w14:paraId="79FF9567">
      <w:pPr>
        <w:spacing w:line="360" w:lineRule="auto"/>
        <w:ind w:firstLine="480"/>
        <w:rPr>
          <w:rFonts w:ascii="宋体" w:hAnsi="宋体" w:cs="宋体"/>
          <w:color w:val="auto"/>
          <w:sz w:val="24"/>
          <w:highlight w:val="none"/>
        </w:rPr>
      </w:pPr>
      <w:r>
        <w:rPr>
          <w:rFonts w:ascii="宋体" w:hAnsi="宋体" w:cs="宋体"/>
          <w:color w:val="auto"/>
          <w:sz w:val="24"/>
          <w:highlight w:val="none"/>
        </w:rPr>
        <w:t>6</w:t>
      </w:r>
      <w:r>
        <w:rPr>
          <w:rFonts w:hint="eastAsia" w:ascii="宋体" w:hAnsi="宋体" w:cs="宋体"/>
          <w:color w:val="auto"/>
          <w:sz w:val="24"/>
          <w:highlight w:val="none"/>
        </w:rPr>
        <w:t>）修正后的报价，供应商不确认的；或者经供应商确认修正后的最后报价超过所 竞争性磋商分标规定的采购预算金额或者最高限价（如本项目公布了最高限价）；</w:t>
      </w:r>
    </w:p>
    <w:p w14:paraId="67DDC23E">
      <w:pPr>
        <w:spacing w:line="360" w:lineRule="auto"/>
        <w:ind w:firstLine="480"/>
        <w:rPr>
          <w:rFonts w:ascii="宋体" w:hAnsi="宋体" w:cs="宋体"/>
          <w:color w:val="auto"/>
          <w:sz w:val="24"/>
          <w:highlight w:val="none"/>
        </w:rPr>
      </w:pPr>
      <w:r>
        <w:rPr>
          <w:rFonts w:ascii="宋体" w:hAnsi="宋体" w:cs="宋体"/>
          <w:color w:val="auto"/>
          <w:sz w:val="24"/>
          <w:highlight w:val="none"/>
        </w:rPr>
        <w:t>7</w:t>
      </w:r>
      <w:r>
        <w:rPr>
          <w:rFonts w:hint="eastAsia" w:ascii="宋体" w:hAnsi="宋体" w:cs="宋体"/>
          <w:color w:val="auto"/>
          <w:sz w:val="24"/>
          <w:highlight w:val="none"/>
        </w:rPr>
        <w:t>）响应文件响应的标的数量及单位与竞争性磋商采购文件要求实质性不一致的。</w:t>
      </w:r>
    </w:p>
    <w:p w14:paraId="577CB17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2.6磋商小组对响应文件进行评审，未实质性响应磋商文件的响应文件按无效响应处理，磋商小组应当将资格和符合性不通过的情况告知有关供应商。磋商小组从符合磋商文件规定的相应资格条件的供应商名单中确定不少于3家的供应商参加磋商。</w:t>
      </w:r>
    </w:p>
    <w:p w14:paraId="1C0B4CEB">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2.7非政府购买服务项目，通过符合性审查的合格供应商不足3家的，不得进入磋商环节，采购人或者采购代理机构应当重新开展采购活动。</w:t>
      </w:r>
      <w:r>
        <w:rPr>
          <w:rFonts w:hint="eastAsia" w:ascii="宋体" w:hAnsi="宋体" w:cs="宋体"/>
          <w:b/>
          <w:color w:val="auto"/>
          <w:sz w:val="24"/>
          <w:highlight w:val="none"/>
        </w:rPr>
        <w:t>政府购买服务项目，按《财政部关于政府采购竞争性磋商采购方式管理暂行办法有关问题的补充通知》（财库〔</w:t>
      </w:r>
      <w:r>
        <w:rPr>
          <w:rFonts w:ascii="宋体" w:hAnsi="宋体" w:cs="宋体"/>
          <w:b/>
          <w:color w:val="auto"/>
          <w:sz w:val="24"/>
          <w:highlight w:val="none"/>
        </w:rPr>
        <w:t>2015〕124号）规定，采购过程中通过符合性审查的供应商（社会资本）只有2家的，磋商采购活动可以继续进行。</w:t>
      </w:r>
    </w:p>
    <w:p w14:paraId="6B834FE7">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3.磋商程序</w:t>
      </w:r>
    </w:p>
    <w:p w14:paraId="6357E17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6AD82E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E850B8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3.3对磋商文件作出的实质性变动是磋商文件的有效组成部分，由磋商小组及时以电子磋商记录形式同时通知所有参加磋商的供应商。</w:t>
      </w:r>
    </w:p>
    <w:p w14:paraId="6E3AEB1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3.4供应商必须按照磋商文件的变动情况和磋商小组的要求以电子回函的形式重新提交响应文件，并由其法定代表人或者授权代表签字或者加盖供应商公章。供应商为自然人的，必须由本人签字并附身份证明。参加磋商的供应商未在规定时间内以电子回函的形式重新提交响应文件的，视同退出磋商。</w:t>
      </w:r>
    </w:p>
    <w:p w14:paraId="2AD65B0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3.5磋商中，</w:t>
      </w:r>
      <w:r>
        <w:rPr>
          <w:rFonts w:hint="eastAsia" w:ascii="宋体" w:hAnsi="宋体" w:cs="宋体"/>
          <w:color w:val="auto"/>
          <w:spacing w:val="-6"/>
          <w:sz w:val="24"/>
          <w:highlight w:val="none"/>
        </w:rPr>
        <w:t>磋商的任何一方不得透露与磋商有关的其他供应商的技术资料、价格和其他信息。</w:t>
      </w:r>
    </w:p>
    <w:p w14:paraId="7DD35231">
      <w:pPr>
        <w:tabs>
          <w:tab w:val="left" w:pos="2835"/>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3.6对磋商过程提交的响应文件进行有效性、完整性和响应程度审查，通过审查的合格供应商不足3家的，采购人或者采购代理机构应当重新开展采购活动。</w:t>
      </w:r>
    </w:p>
    <w:p w14:paraId="342C759E">
      <w:pPr>
        <w:widowControl/>
        <w:tabs>
          <w:tab w:val="left" w:pos="540"/>
        </w:tabs>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w:t>
      </w:r>
    </w:p>
    <w:p w14:paraId="16F95D73">
      <w:pPr>
        <w:widowControl/>
        <w:tabs>
          <w:tab w:val="left" w:pos="540"/>
        </w:tabs>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采购过程中符合要求的供应商（社会资本）只有1家的，采购人（项目实施机构）或者采购代理机构应当终止竞争性磋商采购活动，发布项目终止公告并说明原因，重新开展采购活动。</w:t>
      </w:r>
    </w:p>
    <w:p w14:paraId="77A16DCC">
      <w:pPr>
        <w:spacing w:line="360" w:lineRule="auto"/>
        <w:ind w:firstLine="482"/>
        <w:outlineLvl w:val="2"/>
        <w:rPr>
          <w:rFonts w:ascii="宋体" w:hAnsi="宋体" w:cs="宋体"/>
          <w:color w:val="auto"/>
          <w:sz w:val="24"/>
          <w:highlight w:val="none"/>
        </w:rPr>
      </w:pPr>
      <w:r>
        <w:rPr>
          <w:rFonts w:hint="eastAsia" w:ascii="宋体" w:hAnsi="宋体" w:cs="宋体"/>
          <w:b/>
          <w:bCs/>
          <w:color w:val="auto"/>
          <w:sz w:val="24"/>
          <w:highlight w:val="none"/>
        </w:rPr>
        <w:t>4.最后报价</w:t>
      </w:r>
    </w:p>
    <w:p w14:paraId="56B8C27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4.1磋商文件能够详细列明技术、服务要求的，磋商结束后，由磋商小组要求所有继续参加磋商的供应商在规定时间内以电子文件形式提交最后报价，</w:t>
      </w:r>
      <w:r>
        <w:rPr>
          <w:rFonts w:hint="eastAsia" w:ascii="宋体" w:hAnsi="宋体" w:cs="宋体"/>
          <w:b/>
          <w:color w:val="auto"/>
          <w:sz w:val="24"/>
          <w:highlight w:val="none"/>
        </w:rPr>
        <w:t>除本章第</w:t>
      </w:r>
      <w:r>
        <w:rPr>
          <w:rFonts w:ascii="宋体" w:hAnsi="宋体" w:cs="宋体"/>
          <w:b/>
          <w:color w:val="auto"/>
          <w:sz w:val="24"/>
          <w:highlight w:val="none"/>
        </w:rPr>
        <w:t>2.7、3.7、4.3条外，提交最后报价的供应商不得少于3家，否则必须重新采购。</w:t>
      </w:r>
    </w:p>
    <w:p w14:paraId="600FA9F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4.2磋商文件不能详细列明技术、服务要求，需经磋商由供应商提供最后设计方案或者解决方案的，磋商结束后，由磋商小组按照少数服从多数的原则投票推荐3家以上供应商的设计方案或者解决方案，并要求其在规定时间内以电子文件形式提交最后报价。</w:t>
      </w:r>
    </w:p>
    <w:p w14:paraId="21BE582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4.3最后报价是供应商响应文件的有效组成部分。</w:t>
      </w:r>
      <w:r>
        <w:rPr>
          <w:rFonts w:hint="eastAsia" w:ascii="宋体" w:hAnsi="宋体" w:cs="宋体"/>
          <w:b/>
          <w:color w:val="auto"/>
          <w:sz w:val="24"/>
          <w:highlight w:val="none"/>
        </w:rPr>
        <w:t>符合《政府采购竞争性磋商采购方式管理暂行办法》（财库〔</w:t>
      </w:r>
      <w:r>
        <w:rPr>
          <w:rFonts w:ascii="宋体" w:hAnsi="宋体" w:cs="宋体"/>
          <w:b/>
          <w:color w:val="auto"/>
          <w:sz w:val="24"/>
          <w:highlight w:val="none"/>
        </w:rPr>
        <w:t>2014〕214号）第三条第四项“市场竞争不充分的科研项目，以及需要扶持的科技成果转化项目”和本章第3.7</w:t>
      </w:r>
      <w:r>
        <w:rPr>
          <w:rFonts w:hint="eastAsia" w:ascii="宋体" w:hAnsi="宋体" w:cs="宋体"/>
          <w:b/>
          <w:color w:val="auto"/>
          <w:sz w:val="24"/>
          <w:highlight w:val="none"/>
        </w:rPr>
        <w:t>条情形的，提交最后报价的供应商可以为</w:t>
      </w:r>
      <w:r>
        <w:rPr>
          <w:rFonts w:ascii="宋体" w:hAnsi="宋体" w:cs="宋体"/>
          <w:b/>
          <w:color w:val="auto"/>
          <w:sz w:val="24"/>
          <w:highlight w:val="none"/>
        </w:rPr>
        <w:t>2家。</w:t>
      </w:r>
    </w:p>
    <w:p w14:paraId="3EB30F5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15A20085">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4.5供应商未在规定时间内提交最后报价的，视同退出磋商。</w:t>
      </w:r>
    </w:p>
    <w:p w14:paraId="146E01A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4.6磋商小组收齐某一分标最后报价后或达到规定时间后统一开启，磋商小组对最后报价进行有效性、完整性和响应程度的审查。</w:t>
      </w:r>
    </w:p>
    <w:p w14:paraId="21CF5B4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4.7响应文件最后报价出现前后不一致的，按照本章第2.4条的规定修正。 </w:t>
      </w:r>
    </w:p>
    <w:p w14:paraId="354690D1">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4.8经供应商确认修正后的最后报价作为评审及签订合同的依据。</w:t>
      </w:r>
    </w:p>
    <w:p w14:paraId="72E7239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4.9供应商出现最后报价按无效响应处理或者响应文件按无效响应处理时，磋商小组应当告知有关供应商。</w:t>
      </w:r>
    </w:p>
    <w:p w14:paraId="74F602C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4.10最后报价结束后，磋商小组不得再与供应商进行任何形式的商谈。</w:t>
      </w:r>
    </w:p>
    <w:p w14:paraId="5B48B247">
      <w:pPr>
        <w:spacing w:line="360" w:lineRule="auto"/>
        <w:ind w:firstLine="482"/>
        <w:outlineLvl w:val="2"/>
        <w:rPr>
          <w:rFonts w:ascii="宋体" w:hAnsi="宋体" w:cs="宋体"/>
          <w:b/>
          <w:bCs/>
          <w:color w:val="auto"/>
          <w:sz w:val="24"/>
          <w:highlight w:val="none"/>
        </w:rPr>
      </w:pPr>
      <w:r>
        <w:rPr>
          <w:rFonts w:hint="eastAsia" w:ascii="宋体" w:hAnsi="宋体" w:cs="宋体"/>
          <w:b/>
          <w:bCs/>
          <w:color w:val="auto"/>
          <w:sz w:val="24"/>
          <w:highlight w:val="none"/>
        </w:rPr>
        <w:t>5.比较与评价</w:t>
      </w:r>
    </w:p>
    <w:p w14:paraId="3B90374A">
      <w:pPr>
        <w:spacing w:line="360" w:lineRule="auto"/>
        <w:ind w:firstLine="480"/>
        <w:outlineLvl w:val="3"/>
        <w:rPr>
          <w:rFonts w:ascii="宋体" w:hAnsi="宋体" w:cs="宋体"/>
          <w:color w:val="auto"/>
          <w:sz w:val="24"/>
          <w:highlight w:val="none"/>
        </w:rPr>
      </w:pPr>
      <w:r>
        <w:rPr>
          <w:rFonts w:hint="eastAsia" w:ascii="宋体" w:hAnsi="宋体" w:cs="宋体"/>
          <w:color w:val="auto"/>
          <w:sz w:val="24"/>
          <w:highlight w:val="none"/>
        </w:rPr>
        <w:t>5.1评审方法：综合评分法。</w:t>
      </w:r>
    </w:p>
    <w:p w14:paraId="6F38C75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5.2经磋商确定最终采购需求和提交最后报价的供应商后，由磋商小组采用综合评分法对提交最后报价的供应商的响应文件和最后报价进行综合评分。</w:t>
      </w:r>
    </w:p>
    <w:p w14:paraId="2F274EC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5.3评审时，磋商小组各成员应当独立对每个有效响应的文件进行评价、打分，然后汇总每个供应商每项评分因素的得分。</w:t>
      </w:r>
    </w:p>
    <w:p w14:paraId="0A75F6F3">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（1）磋商小组按照磋商文件中规定的评审标准计算各供应商的报价得分。项目评审过程中，不得去掉最后报价中的最高报价和最低报价。</w:t>
      </w:r>
    </w:p>
    <w:p w14:paraId="35560CD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（2）各供应商的得分为磋商小组所有成员的有效评分的算术平均数。</w:t>
      </w:r>
    </w:p>
    <w:p w14:paraId="7508246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5.4评标价为供应商的最后报价进行政策性扣除后的价格，评标价只是作为评审时使用。最终成交供应商的成交金额等于最后报价（如有修正，以确认修正后的最后报价为准）。</w:t>
      </w:r>
    </w:p>
    <w:p w14:paraId="041160BF">
      <w:pPr>
        <w:spacing w:line="360" w:lineRule="auto"/>
        <w:ind w:firstLine="480"/>
        <w:rPr>
          <w:rFonts w:ascii="宋体" w:hAnsi="宋体" w:cs="宋体"/>
          <w:color w:val="auto"/>
          <w:sz w:val="24"/>
          <w:highlight w:val="none"/>
        </w:rPr>
      </w:pPr>
      <w:r>
        <w:rPr>
          <w:rFonts w:hint="eastAsia" w:ascii="宋体" w:hAnsi="宋体" w:eastAsia="宋体" w:cs="宋体"/>
          <w:color w:val="auto"/>
          <w:sz w:val="24"/>
          <w:highlight w:val="none"/>
          <w:lang w:val="en-US" w:eastAsia="zh-CN"/>
        </w:rPr>
        <w:t>5.5</w:t>
      </w:r>
      <w:r>
        <w:rPr>
          <w:rFonts w:hint="eastAsia" w:ascii="宋体" w:hAnsi="宋体" w:cs="宋体"/>
          <w:color w:val="auto"/>
          <w:sz w:val="24"/>
          <w:highlight w:val="none"/>
        </w:rPr>
        <w:t>政府采购评审中出现下列情形之一的，</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应当启动异常低价投标（响应）审查程序：</w:t>
      </w:r>
    </w:p>
    <w:p w14:paraId="582B2C8E">
      <w:pPr>
        <w:spacing w:line="360" w:lineRule="auto"/>
        <w:ind w:firstLine="480"/>
        <w:rPr>
          <w:rFonts w:ascii="宋体" w:hAnsi="宋体" w:cs="宋体"/>
          <w:color w:val="auto"/>
          <w:sz w:val="24"/>
          <w:highlight w:val="none"/>
        </w:rPr>
      </w:pPr>
      <w:r>
        <w:rPr>
          <w:rFonts w:hint="eastAsia" w:ascii="宋体" w:hAnsi="宋体"/>
          <w:color w:val="auto"/>
          <w:sz w:val="24"/>
          <w:highlight w:val="none"/>
        </w:rPr>
        <w:t>①</w:t>
      </w:r>
      <w:r>
        <w:rPr>
          <w:rFonts w:hint="eastAsia" w:ascii="宋体" w:hAnsi="宋体" w:cs="宋体"/>
          <w:color w:val="auto"/>
          <w:sz w:val="24"/>
          <w:highlight w:val="none"/>
        </w:rPr>
        <w:t>投标（响应）报价低于全部通过符合性审查供应商投标（响应）报价平均值50%的，即投标（响应）报价&lt;全部通过符合性审查供应商投标（响应）报价平均值×50%；</w:t>
      </w:r>
    </w:p>
    <w:p w14:paraId="600B5CD5">
      <w:pPr>
        <w:spacing w:line="360" w:lineRule="auto"/>
        <w:ind w:firstLine="480"/>
        <w:rPr>
          <w:rFonts w:ascii="宋体" w:hAnsi="宋体" w:cs="宋体"/>
          <w:color w:val="auto"/>
          <w:sz w:val="24"/>
          <w:highlight w:val="none"/>
        </w:rPr>
      </w:pPr>
      <w:r>
        <w:rPr>
          <w:rFonts w:hint="eastAsia" w:ascii="宋体" w:hAnsi="宋体"/>
          <w:color w:val="auto"/>
          <w:sz w:val="24"/>
          <w:highlight w:val="none"/>
        </w:rPr>
        <w:t>②</w:t>
      </w:r>
      <w:r>
        <w:rPr>
          <w:rFonts w:hint="eastAsia" w:ascii="宋体" w:hAnsi="宋体" w:cs="宋体"/>
          <w:color w:val="auto"/>
          <w:sz w:val="24"/>
          <w:highlight w:val="none"/>
        </w:rPr>
        <w:t>投标（响应）报价低于通过符合性审查的次低报价供应商投标（响应）报价50%的，即投标（响应）报价&lt;通过符合性审查的次低报价供应商投标（响应）报价×50%；</w:t>
      </w:r>
    </w:p>
    <w:p w14:paraId="2352EFA3">
      <w:pPr>
        <w:spacing w:line="360" w:lineRule="auto"/>
        <w:ind w:firstLine="480"/>
        <w:rPr>
          <w:rFonts w:ascii="宋体" w:hAnsi="宋体" w:cs="宋体"/>
          <w:color w:val="auto"/>
          <w:sz w:val="24"/>
          <w:highlight w:val="none"/>
        </w:rPr>
      </w:pPr>
      <w:r>
        <w:rPr>
          <w:rFonts w:hint="eastAsia" w:ascii="宋体" w:hAnsi="宋体"/>
          <w:color w:val="auto"/>
          <w:sz w:val="24"/>
          <w:highlight w:val="none"/>
        </w:rPr>
        <w:t>③</w:t>
      </w:r>
      <w:r>
        <w:rPr>
          <w:rFonts w:hint="eastAsia" w:ascii="宋体" w:hAnsi="宋体" w:cs="宋体"/>
          <w:color w:val="auto"/>
          <w:sz w:val="24"/>
          <w:highlight w:val="none"/>
        </w:rPr>
        <w:t>投标（响应）报价低于采购项目最高限价45%的，即投标（响应）报价&lt;采购项目最高限价×45%；</w:t>
      </w:r>
    </w:p>
    <w:p w14:paraId="6D9E6AFB">
      <w:pPr>
        <w:spacing w:line="360" w:lineRule="auto"/>
        <w:ind w:firstLine="480"/>
        <w:rPr>
          <w:rFonts w:ascii="宋体" w:hAnsi="宋体" w:cs="宋体"/>
          <w:color w:val="auto"/>
          <w:sz w:val="24"/>
          <w:highlight w:val="none"/>
        </w:rPr>
      </w:pPr>
      <w:r>
        <w:rPr>
          <w:rFonts w:hint="eastAsia" w:ascii="宋体" w:hAnsi="宋体"/>
          <w:color w:val="auto"/>
          <w:sz w:val="24"/>
          <w:highlight w:val="none"/>
        </w:rPr>
        <w:t>④</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基于专业判断，认为供应商报价过低，有可能影响产品质量或者不能诚信履约的其他情形。</w:t>
      </w:r>
    </w:p>
    <w:p w14:paraId="165F492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AF54267">
      <w:pPr>
        <w:spacing w:line="360" w:lineRule="auto"/>
        <w:ind w:firstLine="480"/>
        <w:rPr>
          <w:rFonts w:ascii="宋体" w:hAnsi="宋体" w:cs="宋体"/>
          <w:color w:val="auto"/>
          <w:sz w:val="24"/>
          <w:highlight w:val="none"/>
        </w:rPr>
      </w:pP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应当将其作为无效投标（响应）处理。</w:t>
      </w:r>
    </w:p>
    <w:p w14:paraId="655D89A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采购人、采购代理机构应当为</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借助互联网等渠道查询相关信息的，应当严格遵守评审工作纪律，不得实施影响评审公正的行为。</w:t>
      </w:r>
    </w:p>
    <w:p w14:paraId="0DD4FFDC">
      <w:pPr>
        <w:spacing w:line="360" w:lineRule="auto"/>
        <w:ind w:firstLine="484"/>
        <w:jc w:val="left"/>
        <w:rPr>
          <w:color w:val="auto"/>
          <w:highlight w:val="none"/>
        </w:rPr>
      </w:pPr>
      <w:r>
        <w:rPr>
          <w:rFonts w:hint="eastAsia" w:ascii="宋体" w:hAnsi="宋体" w:cs="宋体"/>
          <w:color w:val="auto"/>
          <w:sz w:val="24"/>
          <w:highlight w:val="none"/>
        </w:rPr>
        <w:t>异常低价投标（响应）审查的启动原因、审查意见和审查结果应当在评审报告中记录，并随供应商提供的相关书面说明及证明材料，以及</w:t>
      </w:r>
      <w:r>
        <w:rPr>
          <w:rFonts w:hint="eastAsia" w:ascii="宋体" w:hAnsi="宋体" w:cs="宋体"/>
          <w:color w:val="auto"/>
          <w:sz w:val="24"/>
          <w:highlight w:val="none"/>
          <w:lang w:eastAsia="zh-CN"/>
        </w:rPr>
        <w:t>评审小组</w:t>
      </w:r>
      <w:r>
        <w:rPr>
          <w:rFonts w:hint="eastAsia" w:ascii="宋体" w:hAnsi="宋体" w:cs="宋体"/>
          <w:color w:val="auto"/>
          <w:sz w:val="24"/>
          <w:highlight w:val="none"/>
        </w:rPr>
        <w:t>有关互联网浏览、查询历史一并归档。</w:t>
      </w:r>
    </w:p>
    <w:p w14:paraId="42AB8D0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由磋商小组根据综合评分情况，按照评审得分由高到低顺序推荐3名以上成交候选供应商，并编写评审报告。</w:t>
      </w:r>
      <w:r>
        <w:rPr>
          <w:rFonts w:hint="eastAsia" w:ascii="宋体" w:hAnsi="宋体" w:cs="宋体"/>
          <w:b/>
          <w:color w:val="auto"/>
          <w:sz w:val="24"/>
          <w:highlight w:val="none"/>
        </w:rPr>
        <w:t>符合本章第</w:t>
      </w:r>
      <w:r>
        <w:rPr>
          <w:rFonts w:ascii="宋体" w:hAnsi="宋体" w:cs="宋体"/>
          <w:b/>
          <w:color w:val="auto"/>
          <w:sz w:val="24"/>
          <w:highlight w:val="none"/>
        </w:rPr>
        <w:t>2.7、3.7</w:t>
      </w:r>
      <w:r>
        <w:rPr>
          <w:rFonts w:hint="eastAsia" w:ascii="宋体" w:hAnsi="宋体" w:cs="宋体"/>
          <w:b/>
          <w:color w:val="auto"/>
          <w:sz w:val="24"/>
          <w:highlight w:val="none"/>
        </w:rPr>
        <w:t>、</w:t>
      </w:r>
      <w:r>
        <w:rPr>
          <w:rFonts w:ascii="宋体" w:hAnsi="宋体" w:cs="宋体"/>
          <w:b/>
          <w:color w:val="auto"/>
          <w:sz w:val="24"/>
          <w:highlight w:val="none"/>
        </w:rPr>
        <w:t>4.3</w:t>
      </w:r>
      <w:r>
        <w:rPr>
          <w:rFonts w:hint="eastAsia" w:ascii="宋体" w:hAnsi="宋体" w:cs="宋体"/>
          <w:b/>
          <w:color w:val="auto"/>
          <w:sz w:val="24"/>
          <w:highlight w:val="none"/>
        </w:rPr>
        <w:t>条情形的，可以推荐</w:t>
      </w:r>
      <w:r>
        <w:rPr>
          <w:rFonts w:ascii="宋体" w:hAnsi="宋体" w:cs="宋体"/>
          <w:b/>
          <w:color w:val="auto"/>
          <w:sz w:val="24"/>
          <w:highlight w:val="none"/>
        </w:rPr>
        <w:t>2家成交候选供应商。</w:t>
      </w:r>
      <w:r>
        <w:rPr>
          <w:rFonts w:hint="eastAsia" w:ascii="宋体" w:hAnsi="宋体" w:cs="宋体"/>
          <w:color w:val="auto"/>
          <w:sz w:val="24"/>
          <w:highlight w:val="none"/>
        </w:rPr>
        <w:t>评审得分相同的，按照最后报价由低到高的顺序推荐。评审得分且最后报价相同的，</w:t>
      </w:r>
      <w:r>
        <w:rPr>
          <w:rFonts w:hint="eastAsia" w:hAnsi="宋体"/>
          <w:color w:val="auto"/>
          <w:sz w:val="24"/>
          <w:highlight w:val="none"/>
        </w:rPr>
        <w:t>依次按服务评分高的优先、商务评分高的优先的顺序确定成交候选供应商。</w:t>
      </w:r>
    </w:p>
    <w:p w14:paraId="4C792D8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ABABD5B">
      <w:pPr>
        <w:spacing w:line="360" w:lineRule="auto"/>
        <w:jc w:val="center"/>
        <w:outlineLvl w:val="1"/>
        <w:rPr>
          <w:rFonts w:ascii="宋体" w:hAnsi="宋体" w:cs="宋体"/>
          <w:b/>
          <w:color w:val="auto"/>
          <w:sz w:val="32"/>
          <w:szCs w:val="32"/>
          <w:highlight w:val="none"/>
        </w:rPr>
      </w:pPr>
      <w:r>
        <w:rPr>
          <w:rFonts w:hint="eastAsia" w:ascii="宋体" w:hAnsi="宋体" w:cs="宋体"/>
          <w:b/>
          <w:color w:val="auto"/>
          <w:sz w:val="24"/>
          <w:highlight w:val="none"/>
        </w:rPr>
        <w:br w:type="page"/>
      </w:r>
      <w:r>
        <w:rPr>
          <w:rFonts w:hint="eastAsia" w:ascii="宋体" w:hAnsi="宋体" w:cs="宋体"/>
          <w:b/>
          <w:color w:val="auto"/>
          <w:sz w:val="32"/>
          <w:szCs w:val="32"/>
          <w:highlight w:val="none"/>
        </w:rPr>
        <w:t>二、评审标准</w:t>
      </w:r>
    </w:p>
    <w:p w14:paraId="67062396">
      <w:pPr>
        <w:spacing w:line="360" w:lineRule="auto"/>
        <w:ind w:firstLine="480"/>
        <w:rPr>
          <w:rFonts w:ascii="宋体" w:hAnsi="宋体" w:cs="宋体"/>
          <w:bCs/>
          <w:color w:val="auto"/>
          <w:sz w:val="24"/>
          <w:highlight w:val="none"/>
        </w:rPr>
      </w:pPr>
      <w:r>
        <w:rPr>
          <w:rFonts w:ascii="宋体" w:hAnsi="宋体" w:cs="宋体"/>
          <w:bCs/>
          <w:color w:val="auto"/>
          <w:sz w:val="24"/>
          <w:highlight w:val="none"/>
        </w:rPr>
        <w:t>评审依据：磋商小组将以磋商响应文件为评审依据，对供应商的报价、商务</w:t>
      </w:r>
      <w:r>
        <w:rPr>
          <w:rFonts w:hint="eastAsia" w:ascii="宋体" w:hAnsi="宋体" w:cs="宋体"/>
          <w:bCs/>
          <w:color w:val="auto"/>
          <w:sz w:val="24"/>
          <w:highlight w:val="none"/>
        </w:rPr>
        <w:t>、服务要求</w:t>
      </w:r>
      <w:r>
        <w:rPr>
          <w:rFonts w:ascii="宋体" w:hAnsi="宋体" w:cs="宋体"/>
          <w:bCs/>
          <w:color w:val="auto"/>
          <w:sz w:val="24"/>
          <w:highlight w:val="none"/>
        </w:rPr>
        <w:t>等方面内容按百分制打分。（计分方法按四舍五入取至百分位）</w:t>
      </w:r>
    </w:p>
    <w:tbl>
      <w:tblPr>
        <w:tblStyle w:val="45"/>
        <w:tblW w:w="8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907"/>
        <w:gridCol w:w="1200"/>
        <w:gridCol w:w="6082"/>
      </w:tblGrid>
      <w:tr w14:paraId="4A1B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gridSpan w:val="2"/>
            <w:noWrap w:val="0"/>
            <w:vAlign w:val="center"/>
          </w:tcPr>
          <w:p w14:paraId="044B10AC">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200" w:type="dxa"/>
            <w:noWrap w:val="0"/>
            <w:vAlign w:val="center"/>
          </w:tcPr>
          <w:p w14:paraId="0A418055">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评审因素</w:t>
            </w:r>
          </w:p>
        </w:tc>
        <w:tc>
          <w:tcPr>
            <w:tcW w:w="6082" w:type="dxa"/>
            <w:noWrap w:val="0"/>
            <w:vAlign w:val="center"/>
          </w:tcPr>
          <w:p w14:paraId="5572BD81">
            <w:pPr>
              <w:spacing w:line="360" w:lineRule="auto"/>
              <w:ind w:firstLine="420" w:firstLineChars="20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评标标准</w:t>
            </w:r>
          </w:p>
        </w:tc>
      </w:tr>
      <w:tr w14:paraId="1D8D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0" w:type="dxa"/>
            <w:noWrap w:val="0"/>
            <w:vAlign w:val="center"/>
          </w:tcPr>
          <w:p w14:paraId="2FE19F1D">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907" w:type="dxa"/>
            <w:noWrap w:val="0"/>
            <w:vAlign w:val="center"/>
          </w:tcPr>
          <w:p w14:paraId="06EDC332">
            <w:pPr>
              <w:adjustRightInd w:val="0"/>
              <w:spacing w:line="360" w:lineRule="auto"/>
              <w:jc w:val="center"/>
              <w:textAlignment w:val="baseline"/>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价格分</w:t>
            </w:r>
          </w:p>
          <w:p w14:paraId="525288B0">
            <w:pPr>
              <w:spacing w:line="360" w:lineRule="auto"/>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（满分</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分）</w:t>
            </w:r>
          </w:p>
        </w:tc>
        <w:tc>
          <w:tcPr>
            <w:tcW w:w="1200" w:type="dxa"/>
            <w:noWrap w:val="0"/>
            <w:vAlign w:val="center"/>
          </w:tcPr>
          <w:p w14:paraId="669F1F1F">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投标</w:t>
            </w:r>
            <w:r>
              <w:rPr>
                <w:rFonts w:hint="eastAsia" w:ascii="宋体" w:hAnsi="宋体" w:eastAsia="宋体" w:cs="宋体"/>
                <w:bCs/>
                <w:color w:val="auto"/>
                <w:szCs w:val="21"/>
                <w:highlight w:val="none"/>
              </w:rPr>
              <w:t>报价</w:t>
            </w:r>
          </w:p>
        </w:tc>
        <w:tc>
          <w:tcPr>
            <w:tcW w:w="6082" w:type="dxa"/>
            <w:noWrap w:val="0"/>
            <w:vAlign w:val="center"/>
          </w:tcPr>
          <w:p w14:paraId="12ED7816">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一、政府采购政策扣除</w:t>
            </w:r>
          </w:p>
          <w:p w14:paraId="233363C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（一）</w:t>
            </w:r>
            <w:r>
              <w:rPr>
                <w:rFonts w:hint="eastAsia" w:ascii="宋体" w:hAnsi="宋体" w:eastAsia="宋体" w:cs="宋体"/>
                <w:color w:val="auto"/>
                <w:szCs w:val="21"/>
                <w:highlight w:val="none"/>
              </w:rPr>
              <w:t>根据《政府采购促进中小企业发展管理办法》（财库〔2020〕46号）及《广西壮族自治区财政厅关于贯彻落实政府采购支持中小企业发展政策的通知》（桂财采〔2022〕31号）的规定，竞标人在其响应文件中提供《中小企业声明函》，且服务全部由小微企业提供，对其竞标报价给予</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0%的扣除，扣除后的价格为评标报价，即评标报价=竞标报价×（1-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4%-6%）的扣除，用扣除后的价格参加评审，扣除后的价格为评标报价，即评标报价=竞标报价×（1-4%）。除上述情况外，评标报价=竞标报价。</w:t>
            </w:r>
          </w:p>
          <w:p w14:paraId="0CEF8F1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评审价为供应商的最后报价，评审价只是作为评审时使用。最终成交供应商的成交金额等于最后报价（如有修正，以确认修正的最后报价为准）</w:t>
            </w:r>
          </w:p>
          <w:p w14:paraId="78A538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（二）</w:t>
            </w:r>
            <w:r>
              <w:rPr>
                <w:rFonts w:hint="eastAsia" w:ascii="宋体" w:hAnsi="宋体" w:eastAsia="宋体" w:cs="宋体"/>
                <w:color w:val="auto"/>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7E375D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8985CF4">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二、报价分（满分10分）</w:t>
            </w:r>
          </w:p>
          <w:p w14:paraId="44E3B5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（一）</w:t>
            </w:r>
            <w:r>
              <w:rPr>
                <w:rFonts w:hint="eastAsia" w:ascii="宋体" w:hAnsi="宋体" w:eastAsia="宋体" w:cs="宋体"/>
                <w:color w:val="auto"/>
                <w:szCs w:val="21"/>
                <w:highlight w:val="none"/>
              </w:rPr>
              <w:t>报价分采用低价优先法计算，满足磋商文件要求且评标价最低的有效供应商的评标价为评标基准价，其报价分为满分。</w:t>
            </w:r>
          </w:p>
          <w:p w14:paraId="68CF03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（二）</w:t>
            </w:r>
            <w:r>
              <w:rPr>
                <w:rFonts w:hint="eastAsia" w:ascii="宋体" w:hAnsi="宋体" w:eastAsia="宋体" w:cs="宋体"/>
                <w:color w:val="auto"/>
                <w:szCs w:val="21"/>
                <w:highlight w:val="none"/>
              </w:rPr>
              <w:t>其他供应商的价格分统一按照下列公式计算：</w:t>
            </w:r>
          </w:p>
          <w:p w14:paraId="0012D9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某有效供应商的报价分=（评标基准价／某有效供应商评标价）×10分</w:t>
            </w:r>
          </w:p>
          <w:p w14:paraId="02A07D1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三、异常低价审查</w:t>
            </w:r>
          </w:p>
          <w:p w14:paraId="4CD290B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（一）评审中出现下列情形之一的，磋商小组应当启动异常低价响应审查程序：</w:t>
            </w:r>
          </w:p>
          <w:p w14:paraId="7D2A3E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（1）响应报价低于全部通过符合性审查供应商响应报价平均值50%的，即响应报价&lt;全部通过符合性审查供应商响应报价平均值×50%；</w:t>
            </w:r>
          </w:p>
          <w:p w14:paraId="65A6A73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（2）响应报价低于通过符合性审查的次低报价供应商响应报价50%的，即响应报价&lt;通过符合性审查的次低报价供应商响应报价×50%；</w:t>
            </w:r>
          </w:p>
          <w:p w14:paraId="7BCA1EB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（3）响应报价低于采购项目最高限价45%的，即响应报价&lt;采购项目最高限价×45%；</w:t>
            </w:r>
          </w:p>
          <w:p w14:paraId="73BDAD8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（4）磋商小组基于专业判断，认为供应商报价过低，有可能影响产品质量或者不能诚信履约的其他情形。</w:t>
            </w:r>
          </w:p>
          <w:p w14:paraId="79B1358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相关法律法规对供应商报价有规定的，从其规定。</w:t>
            </w:r>
          </w:p>
          <w:p w14:paraId="61C365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1）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D39504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4B81F1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tc>
      </w:tr>
      <w:tr w14:paraId="6650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60" w:type="dxa"/>
            <w:vMerge w:val="restart"/>
            <w:noWrap w:val="0"/>
            <w:vAlign w:val="center"/>
          </w:tcPr>
          <w:p w14:paraId="4A916E3C">
            <w:pPr>
              <w:adjustRightInd w:val="0"/>
              <w:spacing w:line="360" w:lineRule="auto"/>
              <w:jc w:val="center"/>
              <w:textAlignment w:val="baseline"/>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tc>
        <w:tc>
          <w:tcPr>
            <w:tcW w:w="907" w:type="dxa"/>
            <w:vMerge w:val="restart"/>
            <w:noWrap w:val="0"/>
            <w:vAlign w:val="center"/>
          </w:tcPr>
          <w:p w14:paraId="4D4B5002">
            <w:pPr>
              <w:adjustRightInd w:val="0"/>
              <w:spacing w:line="360" w:lineRule="auto"/>
              <w:ind w:left="-105" w:leftChars="-50" w:right="-105" w:rightChars="-50"/>
              <w:jc w:val="center"/>
              <w:textAlignment w:val="baseline"/>
              <w:rPr>
                <w:rFonts w:hint="eastAsia" w:ascii="宋体" w:hAnsi="宋体" w:eastAsia="宋体" w:cs="宋体"/>
                <w:color w:val="auto"/>
                <w:spacing w:val="-18"/>
                <w:szCs w:val="21"/>
                <w:highlight w:val="none"/>
              </w:rPr>
            </w:pPr>
            <w:r>
              <w:rPr>
                <w:rFonts w:hint="eastAsia" w:ascii="宋体" w:hAnsi="宋体" w:eastAsia="宋体" w:cs="宋体"/>
                <w:bCs/>
                <w:color w:val="auto"/>
                <w:szCs w:val="21"/>
                <w:highlight w:val="none"/>
              </w:rPr>
              <w:t>技术方案（</w:t>
            </w:r>
            <w:r>
              <w:rPr>
                <w:rFonts w:hint="eastAsia" w:ascii="宋体" w:hAnsi="宋体" w:eastAsia="宋体" w:cs="宋体"/>
                <w:color w:val="auto"/>
                <w:szCs w:val="21"/>
                <w:highlight w:val="none"/>
              </w:rPr>
              <w:t>满分60</w:t>
            </w:r>
            <w:r>
              <w:rPr>
                <w:rFonts w:hint="eastAsia" w:ascii="宋体" w:hAnsi="宋体" w:eastAsia="宋体" w:cs="宋体"/>
                <w:bCs/>
                <w:color w:val="auto"/>
                <w:szCs w:val="21"/>
                <w:highlight w:val="none"/>
              </w:rPr>
              <w:t>分）</w:t>
            </w:r>
          </w:p>
        </w:tc>
        <w:tc>
          <w:tcPr>
            <w:tcW w:w="1200" w:type="dxa"/>
            <w:noWrap w:val="0"/>
            <w:vAlign w:val="center"/>
          </w:tcPr>
          <w:p w14:paraId="4E10835C">
            <w:pPr>
              <w:spacing w:line="360" w:lineRule="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工程概况（含勘察范围、勘察内容等）（满分10分）</w:t>
            </w:r>
          </w:p>
        </w:tc>
        <w:tc>
          <w:tcPr>
            <w:tcW w:w="6082" w:type="dxa"/>
            <w:noWrap w:val="0"/>
            <w:vAlign w:val="center"/>
          </w:tcPr>
          <w:p w14:paraId="7AFA07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对项目工程勘察范围、勘察内容、项目重点难点等进行评审。</w:t>
            </w:r>
          </w:p>
          <w:p w14:paraId="76A335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优（10分）：实施方案中工程勘察范围、勘察内容方案非常详细、合理，对各阶段的勘察重点、难点分析合理，考虑周全，有详细的描述；</w:t>
            </w:r>
          </w:p>
          <w:p w14:paraId="24E5AE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良（</w:t>
            </w:r>
            <w:r>
              <w:rPr>
                <w:rFonts w:hint="eastAsia" w:ascii="宋体" w:hAnsi="宋体" w:eastAsia="宋体" w:cs="宋体"/>
                <w:color w:val="auto"/>
                <w:szCs w:val="21"/>
                <w:highlight w:val="none"/>
                <w:lang w:val="en-US" w:eastAsia="zh-CN"/>
              </w:rPr>
              <w:t>7.5</w:t>
            </w:r>
            <w:r>
              <w:rPr>
                <w:rFonts w:hint="eastAsia" w:ascii="宋体" w:hAnsi="宋体" w:eastAsia="宋体" w:cs="宋体"/>
                <w:color w:val="auto"/>
                <w:szCs w:val="21"/>
                <w:highlight w:val="none"/>
              </w:rPr>
              <w:t>分）：实施方案中工程勘察范围、勘察内容一般详细、合理，对各阶段的勘察重点、难点分析合理，内容较为具体；</w:t>
            </w:r>
          </w:p>
          <w:p w14:paraId="6DA78F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分）：实施方案中工程勘察范围、勘察内容方案基本合理，能基本描述各阶段的勘察重点、难点；</w:t>
            </w:r>
          </w:p>
          <w:p w14:paraId="20922F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rPr>
              <w:t>分）：实施方案中工程概况描述基本合理，对项目重点、难点描述较简单。</w:t>
            </w:r>
          </w:p>
          <w:p w14:paraId="24797A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差（</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分）：实施方案中工程概况描述不合理，对项目重点、难点描述与项目情况不符。</w:t>
            </w:r>
          </w:p>
        </w:tc>
      </w:tr>
      <w:tr w14:paraId="7854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60" w:type="dxa"/>
            <w:vMerge w:val="continue"/>
            <w:noWrap w:val="0"/>
            <w:vAlign w:val="center"/>
          </w:tcPr>
          <w:p w14:paraId="4D355A51">
            <w:pPr>
              <w:adjustRightInd w:val="0"/>
              <w:spacing w:line="360" w:lineRule="auto"/>
              <w:jc w:val="center"/>
              <w:textAlignment w:val="baseline"/>
              <w:rPr>
                <w:rFonts w:hint="eastAsia" w:ascii="宋体" w:hAnsi="宋体" w:eastAsia="宋体" w:cs="宋体"/>
                <w:b/>
                <w:color w:val="auto"/>
                <w:szCs w:val="21"/>
                <w:highlight w:val="none"/>
              </w:rPr>
            </w:pPr>
          </w:p>
        </w:tc>
        <w:tc>
          <w:tcPr>
            <w:tcW w:w="907" w:type="dxa"/>
            <w:vMerge w:val="continue"/>
            <w:noWrap w:val="0"/>
            <w:vAlign w:val="center"/>
          </w:tcPr>
          <w:p w14:paraId="6E5AD289">
            <w:pPr>
              <w:adjustRightInd w:val="0"/>
              <w:spacing w:line="360" w:lineRule="auto"/>
              <w:ind w:left="-105" w:leftChars="-50" w:right="-105" w:rightChars="-50"/>
              <w:jc w:val="center"/>
              <w:textAlignment w:val="baseline"/>
              <w:rPr>
                <w:rFonts w:hint="eastAsia" w:ascii="宋体" w:hAnsi="宋体" w:eastAsia="宋体" w:cs="宋体"/>
                <w:bCs/>
                <w:color w:val="auto"/>
                <w:szCs w:val="21"/>
                <w:highlight w:val="none"/>
              </w:rPr>
            </w:pPr>
          </w:p>
        </w:tc>
        <w:tc>
          <w:tcPr>
            <w:tcW w:w="1200" w:type="dxa"/>
            <w:noWrap w:val="0"/>
            <w:vAlign w:val="center"/>
          </w:tcPr>
          <w:p w14:paraId="765979F4">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勘察机构设置（框图）、岗位职责（满分15分）</w:t>
            </w:r>
          </w:p>
        </w:tc>
        <w:tc>
          <w:tcPr>
            <w:tcW w:w="6082" w:type="dxa"/>
            <w:noWrap w:val="0"/>
            <w:vAlign w:val="top"/>
          </w:tcPr>
          <w:p w14:paraId="07E01DBA">
            <w:pPr>
              <w:spacing w:line="41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对勘察机构设置(框图)、岗位职责等进行评审。</w:t>
            </w:r>
          </w:p>
          <w:p w14:paraId="3D94CC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优(15 分)：勘察机构设置（框图）、岗位职责完全满足招标文件要求，人员组织、分工方案、编制任务安排科学合理，针对性强、可行性强。技术团队业务能力强、整体评价优；</w:t>
            </w:r>
          </w:p>
          <w:p w14:paraId="6982B2F7">
            <w:pPr>
              <w:spacing w:line="41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良(</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分)：勘察机构设置（框图）、岗位职责满足</w:t>
            </w:r>
            <w:r>
              <w:rPr>
                <w:rFonts w:hint="eastAsia" w:ascii="宋体" w:hAnsi="宋体" w:eastAsia="宋体" w:cs="宋体"/>
                <w:color w:val="auto"/>
                <w:szCs w:val="21"/>
                <w:highlight w:val="none"/>
                <w:lang w:val="en-US" w:eastAsia="zh-CN"/>
              </w:rPr>
              <w:t>招标文件</w:t>
            </w:r>
            <w:r>
              <w:rPr>
                <w:rFonts w:hint="eastAsia" w:ascii="宋体" w:hAnsi="宋体" w:eastAsia="宋体" w:cs="宋体"/>
                <w:color w:val="auto"/>
                <w:szCs w:val="21"/>
                <w:highlight w:val="none"/>
              </w:rPr>
              <w:t>要求，人员组织、分工方案、编制任务安排合理，针对性、可行性较强。整体评价良；</w:t>
            </w:r>
          </w:p>
          <w:p w14:paraId="21546C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分)：勘察机构设置（框图）、岗位职责基本满足</w:t>
            </w:r>
            <w:r>
              <w:rPr>
                <w:rFonts w:hint="eastAsia" w:ascii="宋体" w:hAnsi="宋体" w:eastAsia="宋体" w:cs="宋体"/>
                <w:color w:val="auto"/>
                <w:szCs w:val="21"/>
                <w:highlight w:val="none"/>
                <w:lang w:val="en-US" w:eastAsia="zh-CN"/>
              </w:rPr>
              <w:t>招标文件</w:t>
            </w:r>
            <w:r>
              <w:rPr>
                <w:rFonts w:hint="eastAsia" w:ascii="宋体" w:hAnsi="宋体" w:eastAsia="宋体" w:cs="宋体"/>
                <w:color w:val="auto"/>
                <w:szCs w:val="21"/>
                <w:highlight w:val="none"/>
              </w:rPr>
              <w:t>要求，人员组织、分工方案、编制任务安排基本合理，针对性、可行性适中。整体评价中；</w:t>
            </w:r>
          </w:p>
          <w:p w14:paraId="4D4B2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分)：勘察机构设置（框图）、岗位职责勉强满足</w:t>
            </w:r>
            <w:r>
              <w:rPr>
                <w:rFonts w:hint="eastAsia" w:ascii="宋体" w:hAnsi="宋体" w:eastAsia="宋体" w:cs="宋体"/>
                <w:color w:val="auto"/>
                <w:szCs w:val="21"/>
                <w:highlight w:val="none"/>
                <w:lang w:val="en-US" w:eastAsia="zh-CN"/>
              </w:rPr>
              <w:t>招标文件</w:t>
            </w:r>
            <w:r>
              <w:rPr>
                <w:rFonts w:hint="eastAsia" w:ascii="宋体" w:hAnsi="宋体" w:eastAsia="宋体" w:cs="宋体"/>
                <w:color w:val="auto"/>
                <w:szCs w:val="21"/>
                <w:highlight w:val="none"/>
              </w:rPr>
              <w:t>要求，人员组织、分工方案、编制任务安排勉强可行。勘察报告编制计划明确、清楚。整体评价一般。</w:t>
            </w:r>
          </w:p>
          <w:p w14:paraId="37EBBD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差(</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分)：勘察机构设置（框图）、岗位职责不满足</w:t>
            </w:r>
            <w:r>
              <w:rPr>
                <w:rFonts w:hint="eastAsia" w:ascii="宋体" w:hAnsi="宋体" w:eastAsia="宋体" w:cs="宋体"/>
                <w:color w:val="auto"/>
                <w:szCs w:val="21"/>
                <w:highlight w:val="none"/>
                <w:lang w:val="en-US" w:eastAsia="zh-CN"/>
              </w:rPr>
              <w:t>招标文件</w:t>
            </w:r>
            <w:r>
              <w:rPr>
                <w:rFonts w:hint="eastAsia" w:ascii="宋体" w:hAnsi="宋体" w:eastAsia="宋体" w:cs="宋体"/>
                <w:color w:val="auto"/>
                <w:szCs w:val="21"/>
                <w:highlight w:val="none"/>
              </w:rPr>
              <w:t>要求，人员组织、分工方案、编制任务安排不合理。勘察报告编制计划不明确。整体评价差。</w:t>
            </w:r>
          </w:p>
        </w:tc>
      </w:tr>
      <w:tr w14:paraId="53C3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60" w:type="dxa"/>
            <w:vMerge w:val="continue"/>
            <w:noWrap w:val="0"/>
            <w:vAlign w:val="center"/>
          </w:tcPr>
          <w:p w14:paraId="60579112">
            <w:pPr>
              <w:adjustRightInd w:val="0"/>
              <w:spacing w:line="360" w:lineRule="auto"/>
              <w:jc w:val="center"/>
              <w:textAlignment w:val="baseline"/>
              <w:rPr>
                <w:rFonts w:hint="eastAsia" w:ascii="宋体" w:hAnsi="宋体" w:eastAsia="宋体" w:cs="宋体"/>
                <w:b/>
                <w:color w:val="auto"/>
                <w:szCs w:val="21"/>
                <w:highlight w:val="none"/>
              </w:rPr>
            </w:pPr>
          </w:p>
        </w:tc>
        <w:tc>
          <w:tcPr>
            <w:tcW w:w="907" w:type="dxa"/>
            <w:vMerge w:val="continue"/>
            <w:noWrap w:val="0"/>
            <w:vAlign w:val="center"/>
          </w:tcPr>
          <w:p w14:paraId="1E8B3A87">
            <w:pPr>
              <w:adjustRightInd w:val="0"/>
              <w:spacing w:line="360" w:lineRule="auto"/>
              <w:ind w:left="-105" w:leftChars="-50" w:right="-105" w:rightChars="-50"/>
              <w:jc w:val="center"/>
              <w:textAlignment w:val="baseline"/>
              <w:rPr>
                <w:rFonts w:hint="eastAsia" w:ascii="宋体" w:hAnsi="宋体" w:eastAsia="宋体" w:cs="宋体"/>
                <w:bCs/>
                <w:color w:val="auto"/>
                <w:szCs w:val="21"/>
                <w:highlight w:val="none"/>
              </w:rPr>
            </w:pPr>
          </w:p>
        </w:tc>
        <w:tc>
          <w:tcPr>
            <w:tcW w:w="1200" w:type="dxa"/>
            <w:noWrap w:val="0"/>
            <w:vAlign w:val="center"/>
          </w:tcPr>
          <w:p w14:paraId="28B4516D">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勘察组织能力（满分35分）</w:t>
            </w:r>
          </w:p>
        </w:tc>
        <w:tc>
          <w:tcPr>
            <w:tcW w:w="6082" w:type="dxa"/>
            <w:noWrap w:val="0"/>
            <w:vAlign w:val="top"/>
          </w:tcPr>
          <w:p w14:paraId="6DDF7620">
            <w:pPr>
              <w:adjustRightInd w:val="0"/>
              <w:spacing w:line="360" w:lineRule="auto"/>
              <w:ind w:firstLine="420" w:firstLineChars="200"/>
              <w:textAlignment w:val="baseline"/>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对以下a～e项内容进行评审。a、勘察能力</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b、勘探管理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c、质量、进度、安全、保密等保障措施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d、项目勘察的合理化、优化建议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e、项目勘察与项目咨询及设计相互配合的组织设计</w:t>
            </w:r>
            <w:r>
              <w:rPr>
                <w:rFonts w:hint="eastAsia" w:ascii="宋体" w:hAnsi="宋体" w:eastAsia="宋体" w:cs="宋体"/>
                <w:color w:val="auto"/>
                <w:szCs w:val="21"/>
                <w:highlight w:val="none"/>
                <w:lang w:eastAsia="zh-CN"/>
              </w:rPr>
              <w:t>。</w:t>
            </w:r>
          </w:p>
          <w:p w14:paraId="10673966">
            <w:pPr>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优（35分）：整体勘察组织及管理方案内容非常详细合理，对质量、进度、安全、保密等保障措施内容非常具体且措施得力，有项目勘察的合理化、优化建议，且内容科学合理，项目勘察与项目咨询及设计相互配合的组织设计考虑周全，有详细的描述；</w:t>
            </w:r>
          </w:p>
          <w:p w14:paraId="160BC502">
            <w:pPr>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良（</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rPr>
              <w:t>分）：整体勘察组织及管理方案内容一般详细、合理，有质量、进度、安全、保密等保障措施内容，安排较为合理，项目勘察的合理化、优化建议符合项目实际要求，对项目勘察与项目咨询及设计相互配合的组织设计分析合理，内容较为具体；</w:t>
            </w:r>
          </w:p>
          <w:p w14:paraId="11B9100C">
            <w:pPr>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分）：整体勘察组织及管理方案内容基本合理，有质量、进度、安全、保密等保障措施内容，安排一般但不够详细，项目勘察的合理化、优化建议符合项目基本符合实际要求，能基本描述项目勘察与项目咨询及设计相互配合的组织设计；</w:t>
            </w:r>
          </w:p>
          <w:p w14:paraId="2AC16F54">
            <w:pPr>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分）：整体勘察组织及管理方案内容一般，比较简单；有质量、进度、安全、保密等保障措施、项目勘察的合理化、优化建议，项目勘察与项目咨询及设计相互配合的组织设计内容较为简单。</w:t>
            </w:r>
          </w:p>
          <w:p w14:paraId="3EE3E3F9">
            <w:pPr>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差（</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分）：有整体勘察组织及管理方案；质量、进度、安全、保密等保障措施基本得当，项目勘察的合理化、优化建议与项目情况基本符合。项目勘察与项目咨询及设计相互配合的组织设计安排不合理，不符合本项目情况要求。</w:t>
            </w:r>
          </w:p>
        </w:tc>
      </w:tr>
      <w:tr w14:paraId="37C1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60" w:type="dxa"/>
            <w:vMerge w:val="restart"/>
            <w:noWrap w:val="0"/>
            <w:vAlign w:val="center"/>
          </w:tcPr>
          <w:p w14:paraId="2F8C53D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907" w:type="dxa"/>
            <w:vMerge w:val="restart"/>
            <w:noWrap w:val="0"/>
            <w:vAlign w:val="center"/>
          </w:tcPr>
          <w:p w14:paraId="3AFA90AA">
            <w:pPr>
              <w:adjustRightInd w:val="0"/>
              <w:spacing w:line="360" w:lineRule="auto"/>
              <w:jc w:val="center"/>
              <w:textAlignment w:val="baseline"/>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w:t>
            </w:r>
          </w:p>
          <w:p w14:paraId="314D15C7">
            <w:pPr>
              <w:adjustRightInd w:val="0"/>
              <w:spacing w:line="360" w:lineRule="auto"/>
              <w:jc w:val="center"/>
              <w:textAlignment w:val="baseline"/>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（满分</w:t>
            </w:r>
            <w:r>
              <w:rPr>
                <w:rFonts w:hint="eastAsia" w:ascii="宋体" w:hAnsi="宋体" w:eastAsia="宋体" w:cs="宋体"/>
                <w:bCs/>
                <w:color w:val="auto"/>
                <w:szCs w:val="21"/>
                <w:highlight w:val="none"/>
                <w:lang w:val="en-US" w:eastAsia="zh-CN"/>
              </w:rPr>
              <w:t>30</w:t>
            </w:r>
            <w:r>
              <w:rPr>
                <w:rFonts w:hint="eastAsia" w:ascii="宋体" w:hAnsi="宋体" w:eastAsia="宋体" w:cs="宋体"/>
                <w:bCs/>
                <w:color w:val="auto"/>
                <w:szCs w:val="21"/>
                <w:highlight w:val="none"/>
              </w:rPr>
              <w:t>分）</w:t>
            </w:r>
          </w:p>
        </w:tc>
        <w:tc>
          <w:tcPr>
            <w:tcW w:w="1200" w:type="dxa"/>
            <w:vMerge w:val="restart"/>
            <w:noWrap w:val="0"/>
            <w:tcMar>
              <w:left w:w="57" w:type="dxa"/>
              <w:right w:w="57" w:type="dxa"/>
            </w:tcMar>
            <w:vAlign w:val="center"/>
          </w:tcPr>
          <w:p w14:paraId="273B7E0E">
            <w:pPr>
              <w:spacing w:line="480" w:lineRule="exact"/>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企业信誉实力分</w:t>
            </w:r>
            <w:r>
              <w:rPr>
                <w:rFonts w:hint="eastAsia" w:ascii="宋体" w:hAnsi="宋体" w:eastAsia="宋体" w:cs="宋体"/>
                <w:bCs/>
                <w:color w:val="auto"/>
                <w:szCs w:val="21"/>
                <w:highlight w:val="none"/>
              </w:rPr>
              <w:t>（满分</w:t>
            </w:r>
            <w:r>
              <w:rPr>
                <w:rFonts w:hint="eastAsia" w:ascii="宋体" w:hAnsi="宋体" w:eastAsia="宋体" w:cs="宋体"/>
                <w:bCs/>
                <w:color w:val="auto"/>
                <w:szCs w:val="21"/>
                <w:highlight w:val="none"/>
                <w:lang w:val="en-US" w:eastAsia="zh-CN"/>
              </w:rPr>
              <w:t>15</w:t>
            </w:r>
            <w:r>
              <w:rPr>
                <w:rFonts w:hint="eastAsia" w:ascii="宋体" w:hAnsi="宋体" w:eastAsia="宋体" w:cs="宋体"/>
                <w:bCs/>
                <w:color w:val="auto"/>
                <w:szCs w:val="21"/>
                <w:highlight w:val="none"/>
              </w:rPr>
              <w:t>分）</w:t>
            </w:r>
          </w:p>
        </w:tc>
        <w:tc>
          <w:tcPr>
            <w:tcW w:w="6082" w:type="dxa"/>
            <w:noWrap w:val="0"/>
            <w:tcMar>
              <w:left w:w="57" w:type="dxa"/>
              <w:right w:w="57" w:type="dxa"/>
            </w:tcMar>
            <w:vAlign w:val="center"/>
          </w:tcPr>
          <w:p w14:paraId="77B8EA1A">
            <w:pPr>
              <w:pStyle w:val="301"/>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）20</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lang w:eastAsia="zh-CN"/>
              </w:rPr>
              <w:t>年1月1日以来投标人完成的勘察成果中获</w:t>
            </w:r>
            <w:r>
              <w:rPr>
                <w:rFonts w:hint="eastAsia" w:ascii="宋体" w:hAnsi="宋体" w:eastAsia="宋体" w:cs="宋体"/>
                <w:color w:val="auto"/>
                <w:sz w:val="21"/>
                <w:szCs w:val="21"/>
                <w:highlight w:val="none"/>
                <w:lang w:val="en-US" w:eastAsia="zh-CN"/>
              </w:rPr>
              <w:t>得过市</w:t>
            </w:r>
            <w:r>
              <w:rPr>
                <w:rFonts w:hint="eastAsia" w:ascii="宋体" w:hAnsi="宋体" w:eastAsia="宋体" w:cs="宋体"/>
                <w:color w:val="auto"/>
                <w:sz w:val="21"/>
                <w:szCs w:val="21"/>
                <w:highlight w:val="none"/>
                <w:lang w:eastAsia="zh-CN"/>
              </w:rPr>
              <w:t>级及以上奖项的，每提供一项，得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。同一个工程按最高级别奖项计分，不得重复累计，奖项颁发以行政主管部门或行业协会颁发为准，</w:t>
            </w:r>
            <w:r>
              <w:rPr>
                <w:rFonts w:hint="eastAsia" w:ascii="宋体" w:hAnsi="宋体" w:eastAsia="宋体" w:cs="宋体"/>
                <w:color w:val="auto"/>
                <w:sz w:val="21"/>
                <w:szCs w:val="21"/>
                <w:highlight w:val="none"/>
                <w:lang w:val="en-US" w:eastAsia="zh-CN"/>
              </w:rPr>
              <w:t>时间以奖项证书落款时间为准</w:t>
            </w:r>
            <w:r>
              <w:rPr>
                <w:rFonts w:hint="eastAsia" w:ascii="宋体" w:hAnsi="宋体" w:eastAsia="宋体" w:cs="宋体"/>
                <w:color w:val="auto"/>
                <w:sz w:val="21"/>
                <w:szCs w:val="21"/>
                <w:highlight w:val="none"/>
                <w:lang w:eastAsia="zh-CN"/>
              </w:rPr>
              <w:t>。</w:t>
            </w:r>
          </w:p>
          <w:p w14:paraId="2E0F0C43">
            <w:pPr>
              <w:pStyle w:val="301"/>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须提供相关证明材料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并加盖投标人CA签章，未</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则不予计分</w:t>
            </w:r>
            <w:r>
              <w:rPr>
                <w:rFonts w:hint="eastAsia" w:ascii="宋体" w:hAnsi="宋体" w:eastAsia="宋体" w:cs="宋体"/>
                <w:color w:val="auto"/>
                <w:sz w:val="21"/>
                <w:szCs w:val="21"/>
                <w:highlight w:val="none"/>
              </w:rPr>
              <w:t>。</w:t>
            </w:r>
          </w:p>
        </w:tc>
      </w:tr>
      <w:tr w14:paraId="249B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8" w:hRule="atLeast"/>
          <w:jc w:val="center"/>
        </w:trPr>
        <w:tc>
          <w:tcPr>
            <w:tcW w:w="460" w:type="dxa"/>
            <w:vMerge w:val="continue"/>
            <w:noWrap w:val="0"/>
            <w:vAlign w:val="center"/>
          </w:tcPr>
          <w:p w14:paraId="7F23CEC2">
            <w:pPr>
              <w:spacing w:line="360" w:lineRule="auto"/>
              <w:jc w:val="center"/>
              <w:rPr>
                <w:rFonts w:hint="eastAsia" w:ascii="宋体" w:hAnsi="宋体" w:eastAsia="宋体" w:cs="宋体"/>
                <w:b/>
                <w:color w:val="auto"/>
                <w:szCs w:val="21"/>
                <w:highlight w:val="none"/>
              </w:rPr>
            </w:pPr>
          </w:p>
        </w:tc>
        <w:tc>
          <w:tcPr>
            <w:tcW w:w="907" w:type="dxa"/>
            <w:vMerge w:val="continue"/>
            <w:noWrap w:val="0"/>
            <w:vAlign w:val="center"/>
          </w:tcPr>
          <w:p w14:paraId="0BC3753C">
            <w:pPr>
              <w:adjustRightInd w:val="0"/>
              <w:spacing w:line="360" w:lineRule="auto"/>
              <w:jc w:val="center"/>
              <w:textAlignment w:val="baseline"/>
              <w:rPr>
                <w:rFonts w:hint="eastAsia" w:ascii="宋体" w:hAnsi="宋体" w:eastAsia="宋体" w:cs="宋体"/>
                <w:bCs/>
                <w:color w:val="auto"/>
                <w:szCs w:val="21"/>
                <w:highlight w:val="none"/>
              </w:rPr>
            </w:pPr>
          </w:p>
        </w:tc>
        <w:tc>
          <w:tcPr>
            <w:tcW w:w="1200" w:type="dxa"/>
            <w:vMerge w:val="continue"/>
            <w:noWrap w:val="0"/>
            <w:tcMar>
              <w:left w:w="57" w:type="dxa"/>
              <w:right w:w="57" w:type="dxa"/>
            </w:tcMar>
            <w:vAlign w:val="center"/>
          </w:tcPr>
          <w:p w14:paraId="6EBC79C2">
            <w:pPr>
              <w:spacing w:line="480" w:lineRule="exact"/>
              <w:rPr>
                <w:rFonts w:hint="eastAsia" w:ascii="宋体" w:hAnsi="宋体" w:eastAsia="宋体" w:cs="宋体"/>
                <w:color w:val="auto"/>
                <w:sz w:val="21"/>
                <w:szCs w:val="21"/>
                <w:highlight w:val="none"/>
              </w:rPr>
            </w:pPr>
          </w:p>
        </w:tc>
        <w:tc>
          <w:tcPr>
            <w:tcW w:w="6082" w:type="dxa"/>
            <w:noWrap w:val="0"/>
            <w:tcMar>
              <w:left w:w="57" w:type="dxa"/>
              <w:right w:w="57" w:type="dxa"/>
            </w:tcMar>
            <w:vAlign w:val="center"/>
          </w:tcPr>
          <w:p w14:paraId="5897611A">
            <w:pPr>
              <w:spacing w:line="48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投标人</w:t>
            </w:r>
            <w:r>
              <w:rPr>
                <w:rFonts w:hint="eastAsia" w:ascii="宋体" w:hAnsi="宋体" w:eastAsia="宋体" w:cs="宋体"/>
                <w:color w:val="auto"/>
                <w:szCs w:val="21"/>
                <w:highlight w:val="none"/>
              </w:rPr>
              <w:t>提供近3年内（202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年1月1日至今）类似的勘察项目业绩，每个得</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分，满分</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分。</w:t>
            </w:r>
          </w:p>
          <w:p w14:paraId="439837B3">
            <w:pPr>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val="en-US" w:eastAsia="zh-CN"/>
              </w:rPr>
              <w:t>注：</w:t>
            </w:r>
            <w:r>
              <w:rPr>
                <w:rFonts w:hint="eastAsia" w:ascii="宋体" w:hAnsi="宋体" w:eastAsia="宋体" w:cs="宋体"/>
                <w:color w:val="auto"/>
                <w:szCs w:val="21"/>
                <w:highlight w:val="none"/>
              </w:rPr>
              <w:t>须提供合同或中标通知书</w:t>
            </w:r>
            <w:r>
              <w:rPr>
                <w:rFonts w:hint="eastAsia" w:ascii="宋体" w:hAnsi="宋体" w:eastAsia="宋体" w:cs="宋体"/>
                <w:color w:val="auto"/>
                <w:szCs w:val="21"/>
                <w:highlight w:val="none"/>
                <w:lang w:val="en-US" w:eastAsia="zh-CN"/>
              </w:rPr>
              <w:t>等</w:t>
            </w:r>
            <w:r>
              <w:rPr>
                <w:rFonts w:hint="eastAsia" w:ascii="宋体" w:hAnsi="宋体" w:eastAsia="宋体" w:cs="宋体"/>
                <w:color w:val="auto"/>
                <w:szCs w:val="21"/>
                <w:highlight w:val="none"/>
              </w:rPr>
              <w:t>相关证明材料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并加盖投标人CA签章，未</w:t>
            </w:r>
            <w:r>
              <w:rPr>
                <w:rFonts w:hint="eastAsia" w:ascii="宋体" w:hAnsi="宋体" w:eastAsia="宋体" w:cs="宋体"/>
                <w:color w:val="auto"/>
                <w:szCs w:val="21"/>
                <w:highlight w:val="none"/>
              </w:rPr>
              <w:t>提供的</w:t>
            </w:r>
            <w:r>
              <w:rPr>
                <w:rFonts w:hint="eastAsia" w:ascii="宋体" w:hAnsi="宋体" w:eastAsia="宋体" w:cs="宋体"/>
                <w:color w:val="auto"/>
                <w:szCs w:val="21"/>
                <w:highlight w:val="none"/>
                <w:lang w:val="en-US" w:eastAsia="zh-CN"/>
              </w:rPr>
              <w:t>则不予计分</w:t>
            </w:r>
            <w:r>
              <w:rPr>
                <w:rFonts w:hint="eastAsia" w:ascii="宋体" w:hAnsi="宋体" w:eastAsia="宋体" w:cs="宋体"/>
                <w:color w:val="auto"/>
                <w:szCs w:val="21"/>
                <w:highlight w:val="none"/>
              </w:rPr>
              <w:t>。</w:t>
            </w:r>
          </w:p>
        </w:tc>
      </w:tr>
      <w:tr w14:paraId="1E87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60" w:type="dxa"/>
            <w:vMerge w:val="continue"/>
            <w:noWrap w:val="0"/>
            <w:vAlign w:val="center"/>
          </w:tcPr>
          <w:p w14:paraId="07A4E25D">
            <w:pPr>
              <w:spacing w:line="360" w:lineRule="auto"/>
              <w:jc w:val="center"/>
              <w:rPr>
                <w:rFonts w:hint="eastAsia" w:ascii="宋体" w:hAnsi="宋体" w:eastAsia="宋体" w:cs="宋体"/>
                <w:b/>
                <w:color w:val="auto"/>
                <w:szCs w:val="21"/>
                <w:highlight w:val="none"/>
              </w:rPr>
            </w:pPr>
          </w:p>
        </w:tc>
        <w:tc>
          <w:tcPr>
            <w:tcW w:w="907" w:type="dxa"/>
            <w:vMerge w:val="continue"/>
            <w:noWrap w:val="0"/>
            <w:vAlign w:val="center"/>
          </w:tcPr>
          <w:p w14:paraId="653465FC">
            <w:pPr>
              <w:adjustRightInd w:val="0"/>
              <w:spacing w:line="360" w:lineRule="auto"/>
              <w:jc w:val="center"/>
              <w:textAlignment w:val="baseline"/>
              <w:rPr>
                <w:rFonts w:hint="eastAsia" w:ascii="宋体" w:hAnsi="宋体" w:eastAsia="宋体" w:cs="宋体"/>
                <w:bCs/>
                <w:color w:val="auto"/>
                <w:szCs w:val="21"/>
                <w:highlight w:val="none"/>
              </w:rPr>
            </w:pPr>
          </w:p>
        </w:tc>
        <w:tc>
          <w:tcPr>
            <w:tcW w:w="1200" w:type="dxa"/>
            <w:vMerge w:val="restart"/>
            <w:noWrap w:val="0"/>
            <w:tcMar>
              <w:left w:w="57" w:type="dxa"/>
              <w:right w:w="57" w:type="dxa"/>
            </w:tcMar>
            <w:vAlign w:val="center"/>
          </w:tcPr>
          <w:p w14:paraId="66DD53CF">
            <w:pPr>
              <w:spacing w:line="480" w:lineRule="exact"/>
              <w:rPr>
                <w:rFonts w:hint="eastAsia" w:ascii="宋体" w:hAnsi="宋体" w:eastAsia="宋体" w:cs="宋体"/>
                <w:bCs/>
                <w:color w:val="auto"/>
                <w:szCs w:val="21"/>
                <w:highlight w:val="none"/>
              </w:rPr>
            </w:pPr>
            <w:r>
              <w:rPr>
                <w:rFonts w:hint="eastAsia" w:ascii="宋体" w:hAnsi="宋体" w:eastAsia="宋体" w:cs="宋体"/>
                <w:b w:val="0"/>
                <w:bCs/>
                <w:color w:val="auto"/>
                <w:szCs w:val="21"/>
                <w:highlight w:val="none"/>
              </w:rPr>
              <w:t>拟投入的勘察人员配置（满分</w:t>
            </w:r>
            <w:r>
              <w:rPr>
                <w:rFonts w:hint="eastAsia" w:ascii="宋体" w:hAnsi="宋体" w:eastAsia="宋体" w:cs="宋体"/>
                <w:b w:val="0"/>
                <w:bCs/>
                <w:color w:val="auto"/>
                <w:szCs w:val="21"/>
                <w:highlight w:val="none"/>
                <w:lang w:val="en-US" w:eastAsia="zh-CN"/>
              </w:rPr>
              <w:t>15</w:t>
            </w:r>
            <w:r>
              <w:rPr>
                <w:rFonts w:hint="eastAsia" w:ascii="宋体" w:hAnsi="宋体" w:eastAsia="宋体" w:cs="宋体"/>
                <w:b w:val="0"/>
                <w:bCs/>
                <w:color w:val="auto"/>
                <w:szCs w:val="21"/>
                <w:highlight w:val="none"/>
              </w:rPr>
              <w:t>分）</w:t>
            </w:r>
          </w:p>
        </w:tc>
        <w:tc>
          <w:tcPr>
            <w:tcW w:w="6082" w:type="dxa"/>
            <w:noWrap w:val="0"/>
            <w:tcMar>
              <w:left w:w="57" w:type="dxa"/>
              <w:right w:w="57" w:type="dxa"/>
            </w:tcMar>
            <w:vAlign w:val="center"/>
          </w:tcPr>
          <w:p w14:paraId="566FF704">
            <w:pPr>
              <w:pStyle w:val="301"/>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（1）项目负责人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满分5分</w:t>
            </w:r>
            <w:r>
              <w:rPr>
                <w:rFonts w:hint="eastAsia" w:ascii="宋体" w:hAnsi="宋体" w:eastAsia="宋体" w:cs="宋体"/>
                <w:color w:val="auto"/>
                <w:sz w:val="21"/>
                <w:szCs w:val="21"/>
                <w:highlight w:val="none"/>
                <w:lang w:eastAsia="zh-CN"/>
              </w:rPr>
              <w:t>）</w:t>
            </w:r>
          </w:p>
          <w:p w14:paraId="4EFF5215">
            <w:pPr>
              <w:spacing w:line="480" w:lineRule="exact"/>
              <w:ind w:firstLine="420" w:firstLineChars="200"/>
              <w:rPr>
                <w:rFonts w:hint="default" w:ascii="宋体" w:hAnsi="宋体" w:eastAsia="宋体" w:cs="宋体"/>
                <w:bCs w:val="0"/>
                <w:color w:val="auto"/>
                <w:kern w:val="0"/>
                <w:sz w:val="21"/>
                <w:szCs w:val="21"/>
                <w:highlight w:val="none"/>
              </w:rPr>
            </w:pPr>
            <w:r>
              <w:rPr>
                <w:rFonts w:hint="eastAsia" w:ascii="宋体" w:hAnsi="宋体" w:eastAsia="宋体" w:cs="宋体"/>
                <w:bCs w:val="0"/>
                <w:color w:val="auto"/>
                <w:kern w:val="0"/>
                <w:sz w:val="21"/>
                <w:szCs w:val="21"/>
                <w:highlight w:val="none"/>
              </w:rPr>
              <w:t>具备</w:t>
            </w:r>
            <w:r>
              <w:rPr>
                <w:rFonts w:hint="eastAsia" w:ascii="宋体" w:hAnsi="宋体" w:eastAsia="宋体" w:cs="宋体"/>
                <w:bCs w:val="0"/>
                <w:color w:val="auto"/>
                <w:kern w:val="0"/>
                <w:sz w:val="21"/>
                <w:szCs w:val="21"/>
                <w:highlight w:val="none"/>
                <w:lang w:val="en-US" w:eastAsia="zh-CN"/>
              </w:rPr>
              <w:t>正</w:t>
            </w:r>
            <w:r>
              <w:rPr>
                <w:rFonts w:hint="eastAsia" w:ascii="宋体" w:hAnsi="宋体" w:eastAsia="宋体" w:cs="宋体"/>
                <w:bCs w:val="0"/>
                <w:color w:val="auto"/>
                <w:kern w:val="0"/>
                <w:sz w:val="21"/>
                <w:szCs w:val="21"/>
                <w:highlight w:val="none"/>
              </w:rPr>
              <w:t>高级工程师</w:t>
            </w:r>
            <w:r>
              <w:rPr>
                <w:rFonts w:hint="eastAsia" w:ascii="宋体" w:hAnsi="宋体" w:eastAsia="宋体" w:cs="宋体"/>
                <w:bCs w:val="0"/>
                <w:color w:val="auto"/>
                <w:kern w:val="0"/>
                <w:sz w:val="21"/>
                <w:szCs w:val="21"/>
                <w:highlight w:val="none"/>
                <w:lang w:val="en-US" w:eastAsia="zh-CN"/>
              </w:rPr>
              <w:t>职称的得5分；具备高级工程师</w:t>
            </w:r>
            <w:r>
              <w:rPr>
                <w:rFonts w:hint="eastAsia" w:ascii="宋体" w:hAnsi="宋体" w:eastAsia="宋体" w:cs="宋体"/>
                <w:bCs w:val="0"/>
                <w:color w:val="auto"/>
                <w:kern w:val="0"/>
                <w:sz w:val="21"/>
                <w:szCs w:val="21"/>
                <w:highlight w:val="none"/>
              </w:rPr>
              <w:t>职称的得</w:t>
            </w:r>
            <w:r>
              <w:rPr>
                <w:rFonts w:hint="eastAsia" w:ascii="宋体" w:hAnsi="宋体" w:eastAsia="宋体" w:cs="宋体"/>
                <w:bCs w:val="0"/>
                <w:color w:val="auto"/>
                <w:kern w:val="0"/>
                <w:sz w:val="21"/>
                <w:szCs w:val="21"/>
                <w:highlight w:val="none"/>
                <w:lang w:val="en-US" w:eastAsia="zh-CN"/>
              </w:rPr>
              <w:t>3</w:t>
            </w:r>
            <w:r>
              <w:rPr>
                <w:rFonts w:hint="eastAsia" w:ascii="宋体" w:hAnsi="宋体" w:eastAsia="宋体" w:cs="宋体"/>
                <w:bCs w:val="0"/>
                <w:color w:val="auto"/>
                <w:kern w:val="0"/>
                <w:sz w:val="21"/>
                <w:szCs w:val="21"/>
                <w:highlight w:val="none"/>
              </w:rPr>
              <w:t>分。</w:t>
            </w:r>
            <w:r>
              <w:rPr>
                <w:rFonts w:hint="eastAsia" w:ascii="宋体" w:hAnsi="宋体" w:eastAsia="宋体" w:cs="宋体"/>
                <w:bCs w:val="0"/>
                <w:color w:val="auto"/>
                <w:kern w:val="0"/>
                <w:sz w:val="21"/>
                <w:szCs w:val="21"/>
                <w:highlight w:val="none"/>
                <w:lang w:val="en-US" w:eastAsia="zh-CN"/>
              </w:rPr>
              <w:t>按最高级别职称计分。</w:t>
            </w:r>
          </w:p>
          <w:p w14:paraId="569E5756">
            <w:pPr>
              <w:spacing w:line="480" w:lineRule="exact"/>
              <w:ind w:firstLine="420" w:firstLineChars="200"/>
              <w:rPr>
                <w:rFonts w:hint="eastAsia" w:ascii="宋体" w:hAnsi="宋体" w:eastAsia="宋体" w:cs="宋体"/>
                <w:bCs w:val="0"/>
                <w:color w:val="auto"/>
                <w:kern w:val="0"/>
                <w:sz w:val="21"/>
                <w:szCs w:val="21"/>
                <w:highlight w:val="none"/>
              </w:rPr>
            </w:pPr>
            <w:r>
              <w:rPr>
                <w:rFonts w:hint="eastAsia" w:ascii="宋体" w:hAnsi="宋体" w:eastAsia="宋体" w:cs="宋体"/>
                <w:color w:val="auto"/>
                <w:sz w:val="21"/>
                <w:szCs w:val="21"/>
                <w:highlight w:val="none"/>
              </w:rPr>
              <w:t>注：提供相关专业人员的执业资格</w:t>
            </w:r>
            <w:r>
              <w:rPr>
                <w:rFonts w:hint="eastAsia" w:ascii="宋体" w:hAnsi="宋体" w:eastAsia="宋体" w:cs="宋体"/>
                <w:color w:val="auto"/>
                <w:sz w:val="21"/>
                <w:szCs w:val="21"/>
                <w:highlight w:val="none"/>
                <w:lang w:val="en-US" w:eastAsia="zh-CN"/>
              </w:rPr>
              <w:t>证、</w:t>
            </w:r>
            <w:r>
              <w:rPr>
                <w:rFonts w:hint="eastAsia" w:ascii="宋体" w:hAnsi="宋体" w:eastAsia="宋体" w:cs="宋体"/>
                <w:color w:val="auto"/>
                <w:sz w:val="21"/>
                <w:szCs w:val="21"/>
                <w:highlight w:val="none"/>
              </w:rPr>
              <w:t>身份证、职称证书和</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为其缴纳的半年内任意一个月的社保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或劳动合同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证明材料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并加盖投标人CA签章</w:t>
            </w:r>
            <w:r>
              <w:rPr>
                <w:rFonts w:hint="eastAsia" w:ascii="宋体" w:hAnsi="宋体" w:eastAsia="宋体" w:cs="宋体"/>
                <w:color w:val="auto"/>
                <w:sz w:val="21"/>
                <w:szCs w:val="21"/>
                <w:highlight w:val="none"/>
              </w:rPr>
              <w:t>，否则不予计分。</w:t>
            </w:r>
          </w:p>
        </w:tc>
      </w:tr>
      <w:tr w14:paraId="3F90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60" w:type="dxa"/>
            <w:vMerge w:val="continue"/>
            <w:noWrap w:val="0"/>
            <w:vAlign w:val="center"/>
          </w:tcPr>
          <w:p w14:paraId="55C1F70F">
            <w:pPr>
              <w:spacing w:line="360" w:lineRule="auto"/>
              <w:jc w:val="center"/>
              <w:rPr>
                <w:rFonts w:hint="eastAsia" w:ascii="宋体" w:hAnsi="宋体" w:eastAsia="宋体" w:cs="宋体"/>
                <w:b/>
                <w:color w:val="auto"/>
                <w:szCs w:val="21"/>
                <w:highlight w:val="none"/>
              </w:rPr>
            </w:pPr>
          </w:p>
        </w:tc>
        <w:tc>
          <w:tcPr>
            <w:tcW w:w="907" w:type="dxa"/>
            <w:vMerge w:val="continue"/>
            <w:noWrap w:val="0"/>
            <w:vAlign w:val="center"/>
          </w:tcPr>
          <w:p w14:paraId="4DC8E5A8">
            <w:pPr>
              <w:adjustRightInd w:val="0"/>
              <w:spacing w:line="360" w:lineRule="auto"/>
              <w:jc w:val="center"/>
              <w:textAlignment w:val="baseline"/>
              <w:rPr>
                <w:rFonts w:hint="eastAsia" w:ascii="宋体" w:hAnsi="宋体" w:eastAsia="宋体" w:cs="宋体"/>
                <w:bCs/>
                <w:color w:val="auto"/>
                <w:szCs w:val="21"/>
                <w:highlight w:val="none"/>
              </w:rPr>
            </w:pPr>
          </w:p>
        </w:tc>
        <w:tc>
          <w:tcPr>
            <w:tcW w:w="1200" w:type="dxa"/>
            <w:vMerge w:val="continue"/>
            <w:noWrap w:val="0"/>
            <w:tcMar>
              <w:left w:w="57" w:type="dxa"/>
              <w:right w:w="57" w:type="dxa"/>
            </w:tcMar>
            <w:vAlign w:val="center"/>
          </w:tcPr>
          <w:p w14:paraId="5C9D1DF4">
            <w:pPr>
              <w:spacing w:line="480" w:lineRule="exact"/>
              <w:rPr>
                <w:rFonts w:hint="eastAsia" w:ascii="宋体" w:hAnsi="宋体" w:eastAsia="宋体" w:cs="宋体"/>
                <w:b w:val="0"/>
                <w:bCs/>
                <w:color w:val="auto"/>
                <w:szCs w:val="21"/>
                <w:highlight w:val="none"/>
              </w:rPr>
            </w:pPr>
          </w:p>
        </w:tc>
        <w:tc>
          <w:tcPr>
            <w:tcW w:w="6082" w:type="dxa"/>
            <w:noWrap w:val="0"/>
            <w:tcMar>
              <w:left w:w="57" w:type="dxa"/>
              <w:right w:w="57" w:type="dxa"/>
            </w:tcMar>
            <w:vAlign w:val="center"/>
          </w:tcPr>
          <w:p w14:paraId="4A6FCA5E">
            <w:pPr>
              <w:pStyle w:val="301"/>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技术负责人（</w:t>
            </w:r>
            <w:r>
              <w:rPr>
                <w:rFonts w:hint="eastAsia" w:ascii="宋体" w:hAnsi="宋体" w:eastAsia="宋体" w:cs="宋体"/>
                <w:color w:val="auto"/>
                <w:sz w:val="21"/>
                <w:szCs w:val="21"/>
                <w:highlight w:val="none"/>
                <w:lang w:val="en-US" w:eastAsia="zh-CN"/>
              </w:rPr>
              <w:t>满分</w:t>
            </w:r>
            <w:r>
              <w:rPr>
                <w:rFonts w:hint="eastAsia" w:ascii="宋体" w:hAnsi="宋体" w:eastAsia="宋体" w:cs="宋体"/>
                <w:bCs w:val="0"/>
                <w:color w:val="auto"/>
                <w:sz w:val="21"/>
                <w:szCs w:val="21"/>
                <w:highlight w:val="none"/>
                <w:lang w:eastAsia="zh-CN"/>
              </w:rPr>
              <w:t>4</w:t>
            </w:r>
            <w:r>
              <w:rPr>
                <w:rFonts w:hint="eastAsia" w:ascii="宋体" w:hAnsi="宋体" w:eastAsia="宋体" w:cs="宋体"/>
                <w:color w:val="auto"/>
                <w:sz w:val="21"/>
                <w:szCs w:val="21"/>
                <w:highlight w:val="none"/>
              </w:rPr>
              <w:t>分）</w:t>
            </w:r>
          </w:p>
          <w:p w14:paraId="26E6588D">
            <w:pPr>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具有注册土木工程师(岩土)执业资格证书</w:t>
            </w:r>
            <w:r>
              <w:rPr>
                <w:rFonts w:hint="eastAsia" w:ascii="宋体" w:hAnsi="宋体" w:eastAsia="宋体" w:cs="宋体"/>
                <w:color w:val="auto"/>
                <w:sz w:val="21"/>
                <w:szCs w:val="21"/>
                <w:highlight w:val="none"/>
                <w:lang w:val="en-US" w:eastAsia="zh-CN"/>
              </w:rPr>
              <w:t>且</w:t>
            </w:r>
            <w:r>
              <w:rPr>
                <w:rFonts w:hint="eastAsia" w:ascii="宋体" w:hAnsi="宋体" w:eastAsia="宋体" w:cs="宋体"/>
                <w:bCs w:val="0"/>
                <w:color w:val="auto"/>
                <w:kern w:val="0"/>
                <w:sz w:val="21"/>
                <w:szCs w:val="21"/>
                <w:highlight w:val="none"/>
                <w:lang w:val="en-US" w:eastAsia="zh-CN"/>
              </w:rPr>
              <w:t>具备高级工程师</w:t>
            </w:r>
            <w:r>
              <w:rPr>
                <w:rFonts w:hint="eastAsia" w:ascii="宋体" w:hAnsi="宋体" w:eastAsia="宋体" w:cs="宋体"/>
                <w:bCs w:val="0"/>
                <w:color w:val="auto"/>
                <w:kern w:val="0"/>
                <w:sz w:val="21"/>
                <w:szCs w:val="21"/>
                <w:highlight w:val="none"/>
              </w:rPr>
              <w:t>职称的得</w:t>
            </w:r>
            <w:r>
              <w:rPr>
                <w:rFonts w:hint="eastAsia" w:ascii="宋体" w:hAnsi="宋体" w:eastAsia="宋体" w:cs="宋体"/>
                <w:color w:val="auto"/>
                <w:sz w:val="21"/>
                <w:szCs w:val="21"/>
                <w:highlight w:val="none"/>
                <w:lang w:val="en-US" w:eastAsia="zh-CN"/>
              </w:rPr>
              <w:t>4分</w:t>
            </w:r>
            <w:r>
              <w:rPr>
                <w:rFonts w:hint="eastAsia" w:ascii="宋体" w:hAnsi="宋体" w:eastAsia="宋体" w:cs="宋体"/>
                <w:color w:val="auto"/>
                <w:sz w:val="21"/>
                <w:szCs w:val="21"/>
                <w:highlight w:val="none"/>
              </w:rPr>
              <w:t>。</w:t>
            </w:r>
          </w:p>
          <w:p w14:paraId="1359E347">
            <w:pPr>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注：提供相关专业人员的执业资格</w:t>
            </w:r>
            <w:r>
              <w:rPr>
                <w:rFonts w:hint="eastAsia" w:ascii="宋体" w:hAnsi="宋体" w:eastAsia="宋体" w:cs="宋体"/>
                <w:color w:val="auto"/>
                <w:sz w:val="21"/>
                <w:szCs w:val="21"/>
                <w:highlight w:val="none"/>
                <w:lang w:val="en-US" w:eastAsia="zh-CN"/>
              </w:rPr>
              <w:t>证、</w:t>
            </w:r>
            <w:r>
              <w:rPr>
                <w:rFonts w:hint="eastAsia" w:ascii="宋体" w:hAnsi="宋体" w:eastAsia="宋体" w:cs="宋体"/>
                <w:color w:val="auto"/>
                <w:sz w:val="21"/>
                <w:szCs w:val="21"/>
                <w:highlight w:val="none"/>
              </w:rPr>
              <w:t>身份证、职称证书和</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为其缴纳的半年内任意一个月的社保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或劳动合同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证明材料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并加盖投标人CA签章</w:t>
            </w:r>
            <w:r>
              <w:rPr>
                <w:rFonts w:hint="eastAsia" w:ascii="宋体" w:hAnsi="宋体" w:eastAsia="宋体" w:cs="宋体"/>
                <w:color w:val="auto"/>
                <w:sz w:val="21"/>
                <w:szCs w:val="21"/>
                <w:highlight w:val="none"/>
              </w:rPr>
              <w:t>，否则不予计分。</w:t>
            </w:r>
          </w:p>
        </w:tc>
      </w:tr>
      <w:tr w14:paraId="412C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0" w:type="dxa"/>
            <w:vMerge w:val="continue"/>
            <w:noWrap w:val="0"/>
            <w:vAlign w:val="center"/>
          </w:tcPr>
          <w:p w14:paraId="6C4A3546">
            <w:pPr>
              <w:spacing w:line="360" w:lineRule="auto"/>
              <w:jc w:val="center"/>
              <w:rPr>
                <w:rFonts w:hint="eastAsia" w:ascii="宋体" w:hAnsi="宋体" w:eastAsia="宋体" w:cs="宋体"/>
                <w:b/>
                <w:color w:val="auto"/>
                <w:szCs w:val="21"/>
                <w:highlight w:val="none"/>
              </w:rPr>
            </w:pPr>
          </w:p>
        </w:tc>
        <w:tc>
          <w:tcPr>
            <w:tcW w:w="907" w:type="dxa"/>
            <w:vMerge w:val="continue"/>
            <w:noWrap w:val="0"/>
            <w:vAlign w:val="center"/>
          </w:tcPr>
          <w:p w14:paraId="49F4D8FF">
            <w:pPr>
              <w:adjustRightInd w:val="0"/>
              <w:spacing w:line="360" w:lineRule="auto"/>
              <w:jc w:val="center"/>
              <w:textAlignment w:val="baseline"/>
              <w:rPr>
                <w:rFonts w:hint="eastAsia" w:ascii="宋体" w:hAnsi="宋体" w:eastAsia="宋体" w:cs="宋体"/>
                <w:bCs/>
                <w:color w:val="auto"/>
                <w:szCs w:val="21"/>
                <w:highlight w:val="none"/>
              </w:rPr>
            </w:pPr>
          </w:p>
        </w:tc>
        <w:tc>
          <w:tcPr>
            <w:tcW w:w="1200" w:type="dxa"/>
            <w:vMerge w:val="continue"/>
            <w:noWrap w:val="0"/>
            <w:tcMar>
              <w:left w:w="57" w:type="dxa"/>
              <w:right w:w="57" w:type="dxa"/>
            </w:tcMar>
            <w:vAlign w:val="center"/>
          </w:tcPr>
          <w:p w14:paraId="712DF8AE">
            <w:pPr>
              <w:spacing w:line="480" w:lineRule="exact"/>
              <w:rPr>
                <w:rFonts w:hint="eastAsia" w:ascii="宋体" w:hAnsi="宋体" w:eastAsia="宋体" w:cs="宋体"/>
                <w:bCs/>
                <w:color w:val="auto"/>
                <w:szCs w:val="21"/>
                <w:highlight w:val="none"/>
              </w:rPr>
            </w:pPr>
          </w:p>
        </w:tc>
        <w:tc>
          <w:tcPr>
            <w:tcW w:w="6082" w:type="dxa"/>
            <w:noWrap w:val="0"/>
            <w:tcMar>
              <w:left w:w="57" w:type="dxa"/>
              <w:right w:w="57" w:type="dxa"/>
            </w:tcMar>
            <w:vAlign w:val="center"/>
          </w:tcPr>
          <w:p w14:paraId="735A5E1F">
            <w:pPr>
              <w:pStyle w:val="301"/>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拟投入的其他</w:t>
            </w:r>
            <w:r>
              <w:rPr>
                <w:rFonts w:hint="eastAsia" w:ascii="宋体" w:hAnsi="宋体" w:eastAsia="宋体" w:cs="宋体"/>
                <w:color w:val="auto"/>
                <w:sz w:val="21"/>
                <w:szCs w:val="21"/>
                <w:highlight w:val="none"/>
              </w:rPr>
              <w:t>勘察人员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满分6分</w:t>
            </w:r>
            <w:r>
              <w:rPr>
                <w:rFonts w:hint="eastAsia" w:ascii="宋体" w:hAnsi="宋体" w:eastAsia="宋体" w:cs="宋体"/>
                <w:color w:val="auto"/>
                <w:sz w:val="21"/>
                <w:szCs w:val="21"/>
                <w:highlight w:val="none"/>
                <w:lang w:eastAsia="zh-CN"/>
              </w:rPr>
              <w:t>）</w:t>
            </w:r>
          </w:p>
          <w:p w14:paraId="17BC0C76">
            <w:pPr>
              <w:pStyle w:val="301"/>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分）：拟投入本项目组人员中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除项目负责人</w:t>
            </w:r>
            <w:r>
              <w:rPr>
                <w:rFonts w:hint="eastAsia" w:ascii="宋体" w:hAnsi="宋体" w:eastAsia="宋体" w:cs="宋体"/>
                <w:color w:val="auto"/>
                <w:sz w:val="21"/>
                <w:szCs w:val="21"/>
                <w:highlight w:val="none"/>
                <w:lang w:val="en-US" w:eastAsia="zh-CN"/>
              </w:rPr>
              <w:t>和技术负责人</w:t>
            </w:r>
            <w:r>
              <w:rPr>
                <w:rFonts w:hint="eastAsia" w:ascii="宋体" w:hAnsi="宋体" w:eastAsia="宋体" w:cs="宋体"/>
                <w:color w:val="auto"/>
                <w:sz w:val="21"/>
                <w:szCs w:val="21"/>
                <w:highlight w:val="none"/>
              </w:rPr>
              <w:t>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配备</w:t>
            </w:r>
            <w:r>
              <w:rPr>
                <w:rFonts w:hint="eastAsia" w:ascii="宋体" w:hAnsi="宋体" w:eastAsia="宋体" w:cs="宋体"/>
                <w:color w:val="auto"/>
                <w:sz w:val="21"/>
                <w:szCs w:val="21"/>
                <w:highlight w:val="none"/>
                <w:lang w:val="en-US" w:eastAsia="zh-CN"/>
              </w:rPr>
              <w:t>2名</w:t>
            </w:r>
            <w:r>
              <w:rPr>
                <w:rFonts w:hint="eastAsia" w:ascii="宋体" w:hAnsi="宋体" w:eastAsia="宋体" w:cs="宋体"/>
                <w:color w:val="auto"/>
                <w:sz w:val="21"/>
                <w:szCs w:val="21"/>
                <w:highlight w:val="none"/>
              </w:rPr>
              <w:t>具有注册土木（岩土）工程师职业资格</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w:t>
            </w:r>
          </w:p>
          <w:p w14:paraId="77BF3E35">
            <w:pPr>
              <w:pStyle w:val="301"/>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分）：拟投入本项目组人员中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除项目负责人</w:t>
            </w:r>
            <w:r>
              <w:rPr>
                <w:rFonts w:hint="eastAsia" w:ascii="宋体" w:hAnsi="宋体" w:eastAsia="宋体" w:cs="宋体"/>
                <w:color w:val="auto"/>
                <w:sz w:val="21"/>
                <w:szCs w:val="21"/>
                <w:highlight w:val="none"/>
                <w:lang w:val="en-US" w:eastAsia="zh-CN"/>
              </w:rPr>
              <w:t>和技术负责人</w:t>
            </w:r>
            <w:r>
              <w:rPr>
                <w:rFonts w:hint="eastAsia" w:ascii="宋体" w:hAnsi="宋体" w:eastAsia="宋体" w:cs="宋体"/>
                <w:color w:val="auto"/>
                <w:sz w:val="21"/>
                <w:szCs w:val="21"/>
                <w:highlight w:val="none"/>
              </w:rPr>
              <w:t>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配备</w:t>
            </w:r>
            <w:r>
              <w:rPr>
                <w:rFonts w:hint="eastAsia" w:ascii="宋体" w:hAnsi="宋体" w:eastAsia="宋体" w:cs="宋体"/>
                <w:color w:val="auto"/>
                <w:sz w:val="21"/>
                <w:szCs w:val="21"/>
                <w:highlight w:val="none"/>
                <w:lang w:val="en-US" w:eastAsia="zh-CN"/>
              </w:rPr>
              <w:t>3名</w:t>
            </w:r>
            <w:r>
              <w:rPr>
                <w:rFonts w:hint="eastAsia" w:ascii="宋体" w:hAnsi="宋体" w:eastAsia="宋体" w:cs="宋体"/>
                <w:color w:val="auto"/>
                <w:sz w:val="21"/>
                <w:szCs w:val="21"/>
                <w:highlight w:val="none"/>
              </w:rPr>
              <w:t>具有注册土木（岩土）工程师职业资格</w:t>
            </w:r>
            <w:r>
              <w:rPr>
                <w:rFonts w:hint="eastAsia" w:ascii="宋体" w:hAnsi="宋体" w:eastAsia="宋体" w:cs="宋体"/>
                <w:color w:val="auto"/>
                <w:sz w:val="21"/>
                <w:szCs w:val="21"/>
                <w:highlight w:val="none"/>
                <w:lang w:val="en-US" w:eastAsia="zh-CN"/>
              </w:rPr>
              <w:t>的；</w:t>
            </w:r>
          </w:p>
          <w:p w14:paraId="1051921B">
            <w:pPr>
              <w:pStyle w:val="301"/>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分）：拟投入本项目组人员中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除项目负责人</w:t>
            </w:r>
            <w:r>
              <w:rPr>
                <w:rFonts w:hint="eastAsia" w:ascii="宋体" w:hAnsi="宋体" w:eastAsia="宋体" w:cs="宋体"/>
                <w:color w:val="auto"/>
                <w:sz w:val="21"/>
                <w:szCs w:val="21"/>
                <w:highlight w:val="none"/>
                <w:lang w:val="en-US" w:eastAsia="zh-CN"/>
              </w:rPr>
              <w:t>和技术负责人</w:t>
            </w:r>
            <w:r>
              <w:rPr>
                <w:rFonts w:hint="eastAsia" w:ascii="宋体" w:hAnsi="宋体" w:eastAsia="宋体" w:cs="宋体"/>
                <w:color w:val="auto"/>
                <w:sz w:val="21"/>
                <w:szCs w:val="21"/>
                <w:highlight w:val="none"/>
              </w:rPr>
              <w:t>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配备</w:t>
            </w:r>
            <w:r>
              <w:rPr>
                <w:rFonts w:hint="eastAsia" w:ascii="宋体" w:hAnsi="宋体" w:eastAsia="宋体" w:cs="宋体"/>
                <w:color w:val="auto"/>
                <w:sz w:val="21"/>
                <w:szCs w:val="21"/>
                <w:highlight w:val="none"/>
                <w:lang w:val="en-US" w:eastAsia="zh-CN"/>
              </w:rPr>
              <w:t>4名及以上</w:t>
            </w:r>
            <w:r>
              <w:rPr>
                <w:rFonts w:hint="eastAsia" w:ascii="宋体" w:hAnsi="宋体" w:eastAsia="宋体" w:cs="宋体"/>
                <w:color w:val="auto"/>
                <w:sz w:val="21"/>
                <w:szCs w:val="21"/>
                <w:highlight w:val="none"/>
              </w:rPr>
              <w:t>具有注册土木（岩土）工程师职业资格</w:t>
            </w:r>
            <w:r>
              <w:rPr>
                <w:rFonts w:hint="eastAsia" w:ascii="宋体" w:hAnsi="宋体" w:eastAsia="宋体" w:cs="宋体"/>
                <w:color w:val="auto"/>
                <w:sz w:val="21"/>
                <w:szCs w:val="21"/>
                <w:highlight w:val="none"/>
                <w:lang w:val="en-US" w:eastAsia="zh-CN"/>
              </w:rPr>
              <w:t>的。</w:t>
            </w:r>
          </w:p>
          <w:p w14:paraId="1EFBA717">
            <w:pPr>
              <w:pStyle w:val="301"/>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注：提供相关专业人员的执业资格</w:t>
            </w:r>
            <w:r>
              <w:rPr>
                <w:rFonts w:hint="eastAsia" w:ascii="宋体" w:hAnsi="宋体" w:eastAsia="宋体" w:cs="宋体"/>
                <w:color w:val="auto"/>
                <w:sz w:val="21"/>
                <w:szCs w:val="21"/>
                <w:highlight w:val="none"/>
                <w:lang w:val="en-US" w:eastAsia="zh-CN"/>
              </w:rPr>
              <w:t>证、</w:t>
            </w:r>
            <w:r>
              <w:rPr>
                <w:rFonts w:hint="eastAsia" w:ascii="宋体" w:hAnsi="宋体" w:eastAsia="宋体" w:cs="宋体"/>
                <w:color w:val="auto"/>
                <w:sz w:val="21"/>
                <w:szCs w:val="21"/>
                <w:highlight w:val="none"/>
              </w:rPr>
              <w:t>身份证、职称证书和</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为其缴纳的半年内任意一个月的社保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或劳动合同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证明材料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并加盖投标人CA签章</w:t>
            </w:r>
            <w:r>
              <w:rPr>
                <w:rFonts w:hint="eastAsia" w:ascii="宋体" w:hAnsi="宋体" w:eastAsia="宋体" w:cs="宋体"/>
                <w:color w:val="auto"/>
                <w:sz w:val="21"/>
                <w:szCs w:val="21"/>
                <w:highlight w:val="none"/>
              </w:rPr>
              <w:t>，否则不予计分。</w:t>
            </w:r>
          </w:p>
        </w:tc>
      </w:tr>
      <w:tr w14:paraId="32D7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9" w:type="dxa"/>
            <w:gridSpan w:val="4"/>
            <w:noWrap w:val="0"/>
            <w:vAlign w:val="center"/>
          </w:tcPr>
          <w:p w14:paraId="79C6051B">
            <w:pPr>
              <w:pStyle w:val="24"/>
              <w:spacing w:line="360" w:lineRule="auto"/>
              <w:ind w:firstLine="420"/>
              <w:rPr>
                <w:rFonts w:hint="eastAsia" w:hAnsi="宋体" w:eastAsia="宋体" w:cs="宋体"/>
                <w:bCs/>
                <w:color w:val="auto"/>
                <w:kern w:val="2"/>
                <w:sz w:val="21"/>
                <w:highlight w:val="none"/>
              </w:rPr>
            </w:pPr>
            <w:r>
              <w:rPr>
                <w:rFonts w:hint="eastAsia" w:hAnsi="宋体" w:eastAsia="宋体" w:cs="宋体"/>
                <w:b/>
                <w:bCs/>
                <w:color w:val="auto"/>
                <w:kern w:val="2"/>
                <w:sz w:val="21"/>
                <w:highlight w:val="none"/>
              </w:rPr>
              <w:t>总得分=1+2+3。</w:t>
            </w:r>
          </w:p>
        </w:tc>
      </w:tr>
    </w:tbl>
    <w:p w14:paraId="2BD32E4C">
      <w:pPr>
        <w:spacing w:line="360" w:lineRule="auto"/>
        <w:ind w:firstLine="480"/>
        <w:rPr>
          <w:rFonts w:ascii="宋体" w:hAnsi="宋体" w:cs="宋体"/>
          <w:bCs/>
          <w:color w:val="auto"/>
          <w:sz w:val="24"/>
          <w:highlight w:val="none"/>
        </w:rPr>
      </w:pPr>
    </w:p>
    <w:p w14:paraId="6B4A01B9">
      <w:pPr>
        <w:rPr>
          <w:rFonts w:ascii="宋体" w:hAnsi="宋体" w:cs="宋体"/>
          <w:color w:val="auto"/>
          <w:highlight w:val="none"/>
        </w:rPr>
      </w:pPr>
      <w:r>
        <w:rPr>
          <w:rFonts w:hint="eastAsia" w:ascii="宋体" w:hAnsi="宋体" w:cs="宋体"/>
          <w:bCs/>
          <w:color w:val="auto"/>
          <w:sz w:val="24"/>
          <w:highlight w:val="none"/>
        </w:rPr>
        <w:t>由磋商小组根据综合评分情况，按照评审得分由高到低顺序推荐3名以上成交候选供应商，并编写评审报告，评审报告通过电子交易平台向采购人、采购代理机构提交。符合本章第4.3条情形的，可以推荐</w:t>
      </w:r>
      <w:r>
        <w:rPr>
          <w:rFonts w:hint="eastAsia" w:ascii="宋体" w:hAnsi="宋体" w:cs="宋体"/>
          <w:bCs/>
          <w:color w:val="auto"/>
          <w:sz w:val="24"/>
          <w:highlight w:val="none"/>
          <w:lang w:val="en-US" w:eastAsia="zh-CN"/>
        </w:rPr>
        <w:t>1</w:t>
      </w:r>
      <w:r>
        <w:rPr>
          <w:rFonts w:hint="eastAsia" w:ascii="宋体" w:hAnsi="宋体" w:cs="宋体"/>
          <w:bCs/>
          <w:color w:val="auto"/>
          <w:sz w:val="24"/>
          <w:highlight w:val="none"/>
        </w:rPr>
        <w:t>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4DD4C278">
      <w:pPr>
        <w:rPr>
          <w:rFonts w:hint="eastAsia" w:ascii="宋体" w:hAnsi="宋体" w:cs="宋体"/>
          <w:color w:val="auto"/>
          <w:highlight w:val="none"/>
        </w:rPr>
      </w:pPr>
      <w:bookmarkStart w:id="34" w:name="_Toc29529"/>
      <w:r>
        <w:rPr>
          <w:rFonts w:hint="eastAsia" w:ascii="宋体" w:hAnsi="宋体" w:cs="宋体"/>
          <w:color w:val="auto"/>
          <w:highlight w:val="none"/>
        </w:rPr>
        <w:br w:type="page"/>
      </w:r>
    </w:p>
    <w:p w14:paraId="574DEED2">
      <w:pPr>
        <w:pStyle w:val="2"/>
        <w:jc w:val="center"/>
        <w:rPr>
          <w:rFonts w:ascii="宋体" w:hAnsi="宋体" w:cs="宋体"/>
          <w:color w:val="auto"/>
          <w:highlight w:val="none"/>
        </w:rPr>
      </w:pPr>
      <w:r>
        <w:rPr>
          <w:rFonts w:hint="eastAsia" w:ascii="宋体" w:hAnsi="宋体" w:cs="宋体"/>
          <w:color w:val="auto"/>
          <w:highlight w:val="none"/>
        </w:rPr>
        <w:t>第五章 响应文件格式</w:t>
      </w:r>
      <w:bookmarkEnd w:id="34"/>
    </w:p>
    <w:p w14:paraId="0A654239">
      <w:pPr>
        <w:jc w:val="center"/>
        <w:outlineLvl w:val="1"/>
        <w:rPr>
          <w:rFonts w:ascii="宋体" w:hAnsi="宋体" w:cs="宋体"/>
          <w:b/>
          <w:color w:val="auto"/>
          <w:sz w:val="32"/>
          <w:szCs w:val="32"/>
          <w:highlight w:val="none"/>
        </w:rPr>
      </w:pPr>
      <w:bookmarkStart w:id="35" w:name="_Toc35611516"/>
      <w:bookmarkStart w:id="36" w:name="_Toc71365925"/>
      <w:bookmarkStart w:id="37" w:name="_Toc31723070"/>
      <w:bookmarkStart w:id="38" w:name="_Toc44229899"/>
      <w:bookmarkStart w:id="39" w:name="_Toc35611438"/>
      <w:bookmarkStart w:id="40" w:name="_Toc31728084"/>
      <w:r>
        <w:rPr>
          <w:rFonts w:hint="eastAsia" w:ascii="宋体" w:hAnsi="宋体" w:cs="宋体"/>
          <w:b/>
          <w:color w:val="auto"/>
          <w:sz w:val="32"/>
          <w:szCs w:val="32"/>
          <w:highlight w:val="none"/>
        </w:rPr>
        <w:t>一、资格证明文件格式</w:t>
      </w:r>
      <w:bookmarkEnd w:id="35"/>
      <w:bookmarkEnd w:id="36"/>
      <w:bookmarkEnd w:id="37"/>
      <w:bookmarkEnd w:id="38"/>
      <w:bookmarkEnd w:id="39"/>
      <w:bookmarkEnd w:id="40"/>
    </w:p>
    <w:p w14:paraId="4FA191BA">
      <w:pPr>
        <w:spacing w:before="156" w:after="50" w:line="360" w:lineRule="auto"/>
        <w:jc w:val="center"/>
        <w:outlineLvl w:val="2"/>
        <w:rPr>
          <w:rFonts w:ascii="宋体" w:hAnsi="宋体" w:cs="宋体"/>
          <w:b/>
          <w:color w:val="auto"/>
          <w:sz w:val="24"/>
          <w:highlight w:val="none"/>
        </w:rPr>
      </w:pPr>
      <w:r>
        <w:rPr>
          <w:rFonts w:hint="eastAsia" w:ascii="宋体" w:hAnsi="宋体" w:cs="宋体"/>
          <w:b/>
          <w:color w:val="auto"/>
          <w:sz w:val="32"/>
          <w:szCs w:val="32"/>
          <w:highlight w:val="none"/>
        </w:rPr>
        <w:t>1.资格证明文件封面格式：</w:t>
      </w:r>
    </w:p>
    <w:p w14:paraId="59DAD86C">
      <w:pPr>
        <w:spacing w:before="156" w:after="50"/>
        <w:rPr>
          <w:rFonts w:ascii="宋体" w:hAnsi="宋体" w:cs="宋体"/>
          <w:bCs/>
          <w:color w:val="auto"/>
          <w:sz w:val="32"/>
          <w:szCs w:val="20"/>
          <w:highlight w:val="none"/>
        </w:rPr>
      </w:pPr>
      <w:r>
        <w:rPr>
          <w:rFonts w:hint="eastAsia" w:ascii="宋体" w:hAnsi="宋体" w:cs="宋体"/>
          <w:color w:val="auto"/>
          <w:sz w:val="24"/>
          <w:highlight w:val="none"/>
        </w:rPr>
        <w:t xml:space="preserve">                                                    </w:t>
      </w:r>
    </w:p>
    <w:p w14:paraId="70F089C0">
      <w:pPr>
        <w:spacing w:before="156" w:after="50"/>
        <w:rPr>
          <w:rFonts w:ascii="宋体" w:hAnsi="宋体" w:cs="宋体"/>
          <w:color w:val="auto"/>
          <w:sz w:val="24"/>
          <w:szCs w:val="20"/>
          <w:highlight w:val="none"/>
        </w:rPr>
      </w:pPr>
    </w:p>
    <w:p w14:paraId="48D58B83">
      <w:pPr>
        <w:spacing w:before="156" w:after="50"/>
        <w:jc w:val="center"/>
        <w:rPr>
          <w:rFonts w:ascii="宋体" w:hAnsi="宋体" w:cs="宋体"/>
          <w:bCs/>
          <w:color w:val="auto"/>
          <w:sz w:val="84"/>
          <w:szCs w:val="84"/>
          <w:highlight w:val="none"/>
        </w:rPr>
      </w:pPr>
      <w:r>
        <w:rPr>
          <w:rFonts w:hint="eastAsia" w:ascii="宋体" w:hAnsi="宋体" w:cs="宋体"/>
          <w:bCs/>
          <w:color w:val="auto"/>
          <w:sz w:val="84"/>
          <w:szCs w:val="84"/>
          <w:highlight w:val="none"/>
        </w:rPr>
        <w:t>响  应  文  件</w:t>
      </w:r>
    </w:p>
    <w:p w14:paraId="34DF6DB1">
      <w:pPr>
        <w:spacing w:before="156" w:after="50"/>
        <w:jc w:val="center"/>
        <w:rPr>
          <w:rFonts w:ascii="宋体" w:hAnsi="宋体" w:cs="宋体"/>
          <w:bCs/>
          <w:color w:val="auto"/>
          <w:sz w:val="44"/>
          <w:szCs w:val="44"/>
          <w:highlight w:val="none"/>
        </w:rPr>
      </w:pPr>
    </w:p>
    <w:p w14:paraId="7A5CF87B">
      <w:pPr>
        <w:spacing w:before="156" w:after="50"/>
        <w:jc w:val="center"/>
        <w:rPr>
          <w:rFonts w:ascii="宋体" w:hAnsi="宋体" w:cs="宋体"/>
          <w:bCs/>
          <w:color w:val="auto"/>
          <w:sz w:val="32"/>
          <w:szCs w:val="32"/>
          <w:highlight w:val="none"/>
        </w:rPr>
      </w:pPr>
      <w:r>
        <w:rPr>
          <w:rFonts w:hint="eastAsia" w:ascii="宋体" w:hAnsi="宋体" w:cs="宋体"/>
          <w:bCs/>
          <w:color w:val="auto"/>
          <w:sz w:val="32"/>
          <w:szCs w:val="32"/>
          <w:highlight w:val="none"/>
        </w:rPr>
        <w:t>资  格  证  明  文  件</w:t>
      </w:r>
    </w:p>
    <w:p w14:paraId="5E73E7B1">
      <w:pPr>
        <w:spacing w:before="156" w:after="50"/>
        <w:rPr>
          <w:rFonts w:ascii="宋体" w:hAnsi="宋体" w:cs="宋体"/>
          <w:bCs/>
          <w:color w:val="auto"/>
          <w:sz w:val="24"/>
          <w:szCs w:val="20"/>
          <w:highlight w:val="none"/>
        </w:rPr>
      </w:pPr>
    </w:p>
    <w:p w14:paraId="7E158F42">
      <w:pPr>
        <w:spacing w:before="156" w:after="50"/>
        <w:rPr>
          <w:rFonts w:ascii="宋体" w:hAnsi="宋体" w:cs="宋体"/>
          <w:bCs/>
          <w:color w:val="auto"/>
          <w:sz w:val="22"/>
          <w:szCs w:val="18"/>
          <w:highlight w:val="none"/>
        </w:rPr>
      </w:pPr>
    </w:p>
    <w:p w14:paraId="1CC06F62">
      <w:pPr>
        <w:spacing w:before="156" w:after="50"/>
        <w:rPr>
          <w:rFonts w:ascii="宋体" w:hAnsi="宋体" w:cs="宋体"/>
          <w:bCs/>
          <w:color w:val="auto"/>
          <w:sz w:val="22"/>
          <w:szCs w:val="18"/>
          <w:highlight w:val="none"/>
        </w:rPr>
      </w:pPr>
    </w:p>
    <w:p w14:paraId="6A32E438">
      <w:pPr>
        <w:spacing w:before="156" w:after="50"/>
        <w:ind w:firstLine="2396"/>
        <w:rPr>
          <w:rFonts w:ascii="宋体" w:hAnsi="宋体" w:cs="宋体"/>
          <w:bCs/>
          <w:color w:val="auto"/>
          <w:sz w:val="28"/>
          <w:szCs w:val="28"/>
          <w:highlight w:val="none"/>
        </w:rPr>
      </w:pPr>
      <w:r>
        <w:rPr>
          <w:rFonts w:hint="eastAsia" w:ascii="宋体" w:hAnsi="宋体" w:cs="宋体"/>
          <w:bCs/>
          <w:color w:val="auto"/>
          <w:sz w:val="28"/>
          <w:szCs w:val="28"/>
          <w:highlight w:val="none"/>
        </w:rPr>
        <w:t>项目名称：</w:t>
      </w:r>
    </w:p>
    <w:p w14:paraId="48378B53">
      <w:pPr>
        <w:spacing w:before="156" w:after="50"/>
        <w:ind w:firstLine="2396"/>
        <w:rPr>
          <w:rFonts w:ascii="宋体" w:hAnsi="宋体" w:cs="宋体"/>
          <w:bCs/>
          <w:color w:val="auto"/>
          <w:sz w:val="28"/>
          <w:szCs w:val="28"/>
          <w:highlight w:val="none"/>
        </w:rPr>
      </w:pPr>
      <w:r>
        <w:rPr>
          <w:rFonts w:hint="eastAsia" w:ascii="宋体" w:hAnsi="宋体" w:cs="宋体"/>
          <w:bCs/>
          <w:color w:val="auto"/>
          <w:sz w:val="28"/>
          <w:szCs w:val="28"/>
          <w:highlight w:val="none"/>
        </w:rPr>
        <w:t>项目编号：</w:t>
      </w:r>
    </w:p>
    <w:p w14:paraId="5E7E617A">
      <w:pPr>
        <w:spacing w:before="156" w:after="50"/>
        <w:ind w:firstLine="2396"/>
        <w:rPr>
          <w:rFonts w:ascii="宋体" w:hAnsi="宋体" w:cs="宋体"/>
          <w:bCs/>
          <w:color w:val="auto"/>
          <w:sz w:val="28"/>
          <w:szCs w:val="28"/>
          <w:highlight w:val="none"/>
        </w:rPr>
      </w:pPr>
      <w:r>
        <w:rPr>
          <w:rFonts w:hint="eastAsia" w:ascii="宋体" w:hAnsi="宋体" w:cs="宋体"/>
          <w:bCs/>
          <w:color w:val="auto"/>
          <w:sz w:val="28"/>
          <w:szCs w:val="28"/>
          <w:highlight w:val="none"/>
        </w:rPr>
        <w:t>所竞分标（如有）：</w:t>
      </w:r>
    </w:p>
    <w:p w14:paraId="5C079487">
      <w:pPr>
        <w:pStyle w:val="14"/>
        <w:spacing w:before="50" w:after="50"/>
        <w:ind w:firstLine="2396"/>
        <w:rPr>
          <w:rFonts w:ascii="宋体" w:hAnsi="宋体" w:cs="宋体"/>
          <w:bCs/>
          <w:color w:val="auto"/>
          <w:sz w:val="28"/>
          <w:szCs w:val="28"/>
          <w:highlight w:val="none"/>
        </w:rPr>
      </w:pPr>
      <w:r>
        <w:rPr>
          <w:rFonts w:hint="eastAsia" w:ascii="宋体" w:hAnsi="宋体" w:cs="宋体"/>
          <w:bCs/>
          <w:color w:val="auto"/>
          <w:sz w:val="28"/>
          <w:szCs w:val="28"/>
          <w:highlight w:val="none"/>
        </w:rPr>
        <w:t>供应商名称：</w:t>
      </w:r>
    </w:p>
    <w:p w14:paraId="4FEA3FE4">
      <w:pPr>
        <w:pStyle w:val="14"/>
        <w:spacing w:before="50" w:after="50"/>
        <w:ind w:firstLine="630"/>
        <w:rPr>
          <w:rFonts w:ascii="宋体" w:hAnsi="宋体" w:cs="宋体"/>
          <w:bCs/>
          <w:color w:val="auto"/>
          <w:sz w:val="28"/>
          <w:szCs w:val="28"/>
          <w:highlight w:val="none"/>
        </w:rPr>
      </w:pPr>
    </w:p>
    <w:p w14:paraId="3F5C6FE0">
      <w:pPr>
        <w:pStyle w:val="14"/>
        <w:spacing w:before="50" w:after="50"/>
        <w:ind w:firstLine="630"/>
        <w:rPr>
          <w:rFonts w:ascii="宋体" w:hAnsi="宋体" w:cs="宋体"/>
          <w:bCs/>
          <w:color w:val="auto"/>
          <w:sz w:val="28"/>
          <w:szCs w:val="28"/>
          <w:highlight w:val="none"/>
        </w:rPr>
      </w:pPr>
    </w:p>
    <w:p w14:paraId="2E362CA3">
      <w:pPr>
        <w:pStyle w:val="14"/>
        <w:spacing w:before="50" w:after="50"/>
        <w:ind w:firstLine="1120"/>
        <w:rPr>
          <w:rFonts w:ascii="宋体" w:hAnsi="宋体" w:cs="宋体"/>
          <w:bCs/>
          <w:color w:val="auto"/>
          <w:sz w:val="28"/>
          <w:szCs w:val="28"/>
          <w:highlight w:val="none"/>
        </w:rPr>
      </w:pPr>
    </w:p>
    <w:p w14:paraId="351A7EEA">
      <w:pPr>
        <w:spacing w:before="156" w:after="50"/>
        <w:jc w:val="center"/>
        <w:rPr>
          <w:rFonts w:ascii="宋体" w:hAnsi="宋体" w:cs="宋体"/>
          <w:color w:val="auto"/>
          <w:sz w:val="28"/>
          <w:szCs w:val="28"/>
          <w:highlight w:val="none"/>
        </w:rPr>
      </w:pPr>
      <w:r>
        <w:rPr>
          <w:rFonts w:hint="eastAsia" w:ascii="宋体" w:hAnsi="宋体" w:cs="宋体"/>
          <w:color w:val="auto"/>
          <w:sz w:val="28"/>
          <w:szCs w:val="28"/>
          <w:highlight w:val="none"/>
        </w:rPr>
        <w:t>年    月    日</w:t>
      </w:r>
    </w:p>
    <w:p w14:paraId="231A91F7">
      <w:pPr>
        <w:spacing w:before="156" w:after="50"/>
        <w:ind w:left="142"/>
        <w:jc w:val="left"/>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2.资格证明文件目录</w:t>
      </w:r>
    </w:p>
    <w:p w14:paraId="3642BE4F">
      <w:pPr>
        <w:spacing w:before="156" w:after="50" w:line="360" w:lineRule="auto"/>
        <w:ind w:firstLine="645"/>
        <w:rPr>
          <w:rFonts w:ascii="宋体" w:hAnsi="宋体" w:cs="宋体"/>
          <w:color w:val="auto"/>
          <w:sz w:val="28"/>
          <w:szCs w:val="28"/>
          <w:highlight w:val="none"/>
        </w:rPr>
      </w:pPr>
      <w:r>
        <w:rPr>
          <w:rFonts w:hint="eastAsia" w:ascii="宋体" w:hAnsi="宋体" w:cs="宋体"/>
          <w:color w:val="auto"/>
          <w:sz w:val="28"/>
          <w:szCs w:val="28"/>
          <w:highlight w:val="none"/>
        </w:rPr>
        <w:t>根据磋商文件规定及供应商提供的材料自行编写目录（部分格式后附）。</w:t>
      </w:r>
    </w:p>
    <w:p w14:paraId="1F5AA581">
      <w:pPr>
        <w:spacing w:before="156" w:after="50"/>
        <w:rPr>
          <w:rFonts w:ascii="宋体" w:hAnsi="宋体" w:cs="宋体"/>
          <w:color w:val="auto"/>
          <w:sz w:val="21"/>
          <w:szCs w:val="21"/>
          <w:highlight w:val="none"/>
        </w:rPr>
      </w:pPr>
      <w:r>
        <w:rPr>
          <w:rFonts w:hint="eastAsia" w:ascii="宋体" w:hAnsi="宋体" w:cs="宋体"/>
          <w:color w:val="auto"/>
          <w:sz w:val="22"/>
          <w:szCs w:val="18"/>
          <w:highlight w:val="none"/>
        </w:rPr>
        <w:t xml:space="preserve"> </w:t>
      </w:r>
    </w:p>
    <w:p w14:paraId="24E47443">
      <w:pPr>
        <w:spacing w:line="300" w:lineRule="auto"/>
        <w:rPr>
          <w:rFonts w:ascii="宋体" w:hAnsi="宋体" w:cs="宋体"/>
          <w:color w:val="auto"/>
          <w:sz w:val="21"/>
          <w:szCs w:val="21"/>
          <w:highlight w:val="none"/>
        </w:rPr>
      </w:pPr>
    </w:p>
    <w:p w14:paraId="45FD1279">
      <w:pPr>
        <w:spacing w:line="300" w:lineRule="auto"/>
        <w:rPr>
          <w:rFonts w:ascii="宋体" w:hAnsi="宋体" w:cs="宋体"/>
          <w:color w:val="auto"/>
          <w:sz w:val="21"/>
          <w:szCs w:val="21"/>
          <w:highlight w:val="none"/>
        </w:rPr>
      </w:pPr>
    </w:p>
    <w:p w14:paraId="6BA618AA">
      <w:pPr>
        <w:spacing w:line="300" w:lineRule="auto"/>
        <w:rPr>
          <w:rFonts w:ascii="宋体" w:hAnsi="宋体" w:cs="宋体"/>
          <w:color w:val="auto"/>
          <w:sz w:val="21"/>
          <w:szCs w:val="21"/>
          <w:highlight w:val="none"/>
        </w:rPr>
      </w:pPr>
    </w:p>
    <w:p w14:paraId="2E17F994">
      <w:pPr>
        <w:spacing w:line="300" w:lineRule="auto"/>
        <w:rPr>
          <w:rFonts w:ascii="宋体" w:hAnsi="宋体" w:cs="宋体"/>
          <w:color w:val="auto"/>
          <w:sz w:val="21"/>
          <w:szCs w:val="21"/>
          <w:highlight w:val="none"/>
        </w:rPr>
      </w:pPr>
    </w:p>
    <w:p w14:paraId="212C0EBB">
      <w:pPr>
        <w:spacing w:line="300" w:lineRule="auto"/>
        <w:rPr>
          <w:rFonts w:ascii="宋体" w:hAnsi="宋体" w:cs="宋体"/>
          <w:color w:val="auto"/>
          <w:sz w:val="21"/>
          <w:szCs w:val="21"/>
          <w:highlight w:val="none"/>
        </w:rPr>
      </w:pPr>
    </w:p>
    <w:p w14:paraId="146D67A9">
      <w:pPr>
        <w:spacing w:line="300" w:lineRule="auto"/>
        <w:rPr>
          <w:rFonts w:ascii="宋体" w:hAnsi="宋体" w:cs="宋体"/>
          <w:color w:val="auto"/>
          <w:sz w:val="21"/>
          <w:szCs w:val="21"/>
          <w:highlight w:val="none"/>
        </w:rPr>
      </w:pPr>
    </w:p>
    <w:p w14:paraId="59950CB9">
      <w:pPr>
        <w:jc w:val="center"/>
        <w:rPr>
          <w:rFonts w:ascii="宋体" w:hAnsi="宋体" w:cs="宋体"/>
          <w:b/>
          <w:color w:val="auto"/>
          <w:sz w:val="32"/>
          <w:szCs w:val="32"/>
          <w:highlight w:val="none"/>
        </w:rPr>
      </w:pPr>
      <w:r>
        <w:rPr>
          <w:rFonts w:hint="eastAsia" w:ascii="宋体" w:hAnsi="宋体" w:cs="宋体"/>
          <w:color w:val="auto"/>
          <w:sz w:val="21"/>
          <w:szCs w:val="21"/>
          <w:highlight w:val="none"/>
        </w:rPr>
        <w:br w:type="page"/>
      </w:r>
    </w:p>
    <w:p w14:paraId="4AAE0AB7">
      <w:pPr>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供应商直接控股、管理关系信息表</w:t>
      </w:r>
    </w:p>
    <w:p w14:paraId="1CA05110">
      <w:pPr>
        <w:jc w:val="center"/>
        <w:outlineLvl w:val="3"/>
        <w:rPr>
          <w:rFonts w:ascii="宋体" w:hAnsi="宋体" w:cs="宋体"/>
          <w:b/>
          <w:color w:val="auto"/>
          <w:sz w:val="32"/>
          <w:szCs w:val="32"/>
          <w:highlight w:val="none"/>
        </w:rPr>
      </w:pPr>
      <w:r>
        <w:rPr>
          <w:rFonts w:hint="eastAsia" w:ascii="宋体" w:hAnsi="宋体" w:cs="宋体"/>
          <w:b/>
          <w:color w:val="auto"/>
          <w:sz w:val="32"/>
          <w:szCs w:val="32"/>
          <w:highlight w:val="none"/>
        </w:rPr>
        <w:t>（一）供应商直接控股股东信息表</w:t>
      </w:r>
    </w:p>
    <w:p w14:paraId="54935381">
      <w:pPr>
        <w:spacing w:before="156" w:after="50"/>
        <w:jc w:val="center"/>
        <w:rPr>
          <w:rFonts w:ascii="宋体" w:hAnsi="宋体" w:cs="宋体"/>
          <w:b/>
          <w:color w:val="auto"/>
          <w:sz w:val="24"/>
          <w:highlight w:val="none"/>
        </w:rPr>
      </w:pPr>
    </w:p>
    <w:p w14:paraId="66C6D40F">
      <w:pPr>
        <w:spacing w:line="360" w:lineRule="auto"/>
        <w:contextualSpacing/>
        <w:jc w:val="center"/>
        <w:rPr>
          <w:rFonts w:ascii="宋体" w:hAnsi="宋体" w:cs="宋体"/>
          <w:b/>
          <w:color w:val="auto"/>
          <w:sz w:val="24"/>
          <w:highlight w:val="none"/>
        </w:rPr>
      </w:pPr>
    </w:p>
    <w:tbl>
      <w:tblPr>
        <w:tblStyle w:val="45"/>
        <w:tblW w:w="9557" w:type="dxa"/>
        <w:jc w:val="center"/>
        <w:shd w:val="clear" w:color="auto" w:fill="FBFBFB"/>
        <w:tblLayout w:type="fixed"/>
        <w:tblCellMar>
          <w:top w:w="0" w:type="dxa"/>
          <w:left w:w="0" w:type="dxa"/>
          <w:bottom w:w="0" w:type="dxa"/>
          <w:right w:w="0" w:type="dxa"/>
        </w:tblCellMar>
      </w:tblPr>
      <w:tblGrid>
        <w:gridCol w:w="828"/>
        <w:gridCol w:w="2500"/>
        <w:gridCol w:w="1371"/>
        <w:gridCol w:w="4039"/>
        <w:gridCol w:w="819"/>
      </w:tblGrid>
      <w:tr w14:paraId="06AFA7E9">
        <w:tblPrEx>
          <w:shd w:val="clear" w:color="auto" w:fill="FBFBFB"/>
          <w:tblCellMar>
            <w:top w:w="0" w:type="dxa"/>
            <w:left w:w="0" w:type="dxa"/>
            <w:bottom w:w="0" w:type="dxa"/>
            <w:right w:w="0" w:type="dxa"/>
          </w:tblCellMar>
        </w:tblPrEx>
        <w:trPr>
          <w:trHeight w:val="532" w:hRule="atLeast"/>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A8FE507">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5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93FAC88">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371"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65E2FE8">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出资比例</w:t>
            </w:r>
          </w:p>
        </w:tc>
        <w:tc>
          <w:tcPr>
            <w:tcW w:w="403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A3D0252">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81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5645999">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72C1744A">
        <w:tblPrEx>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A368BBA">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1</w:t>
            </w:r>
          </w:p>
        </w:tc>
        <w:tc>
          <w:tcPr>
            <w:tcW w:w="25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51C7772">
            <w:pPr>
              <w:widowControl/>
              <w:spacing w:line="360" w:lineRule="auto"/>
              <w:contextualSpacing/>
              <w:jc w:val="center"/>
              <w:rPr>
                <w:rFonts w:ascii="宋体" w:hAnsi="宋体" w:cs="宋体"/>
                <w:color w:val="auto"/>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DB5B8E3">
            <w:pPr>
              <w:widowControl/>
              <w:spacing w:line="360" w:lineRule="auto"/>
              <w:contextualSpacing/>
              <w:jc w:val="center"/>
              <w:rPr>
                <w:rFonts w:ascii="宋体" w:hAnsi="宋体" w:cs="宋体"/>
                <w:color w:val="auto"/>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8DC8876">
            <w:pPr>
              <w:widowControl/>
              <w:spacing w:line="360" w:lineRule="auto"/>
              <w:contextualSpacing/>
              <w:jc w:val="center"/>
              <w:rPr>
                <w:rFonts w:ascii="宋体" w:hAnsi="宋体" w:cs="宋体"/>
                <w:color w:val="auto"/>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6D61AB8">
            <w:pPr>
              <w:widowControl/>
              <w:spacing w:line="360" w:lineRule="auto"/>
              <w:contextualSpacing/>
              <w:jc w:val="center"/>
              <w:rPr>
                <w:rFonts w:ascii="宋体" w:hAnsi="宋体" w:cs="宋体"/>
                <w:color w:val="auto"/>
                <w:sz w:val="24"/>
                <w:highlight w:val="none"/>
              </w:rPr>
            </w:pPr>
          </w:p>
        </w:tc>
      </w:tr>
      <w:tr w14:paraId="7222B5D3">
        <w:tblPrEx>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34569D0">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2</w:t>
            </w:r>
          </w:p>
        </w:tc>
        <w:tc>
          <w:tcPr>
            <w:tcW w:w="25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97C047F">
            <w:pPr>
              <w:widowControl/>
              <w:spacing w:line="360" w:lineRule="auto"/>
              <w:contextualSpacing/>
              <w:jc w:val="center"/>
              <w:rPr>
                <w:rFonts w:ascii="宋体" w:hAnsi="宋体" w:cs="宋体"/>
                <w:color w:val="auto"/>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899A966">
            <w:pPr>
              <w:widowControl/>
              <w:spacing w:line="360" w:lineRule="auto"/>
              <w:contextualSpacing/>
              <w:jc w:val="center"/>
              <w:rPr>
                <w:rFonts w:ascii="宋体" w:hAnsi="宋体" w:cs="宋体"/>
                <w:color w:val="auto"/>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D64E7EC">
            <w:pPr>
              <w:widowControl/>
              <w:spacing w:line="360" w:lineRule="auto"/>
              <w:contextualSpacing/>
              <w:jc w:val="center"/>
              <w:rPr>
                <w:rFonts w:ascii="宋体" w:hAnsi="宋体" w:cs="宋体"/>
                <w:color w:val="auto"/>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00FB06D">
            <w:pPr>
              <w:widowControl/>
              <w:spacing w:line="360" w:lineRule="auto"/>
              <w:contextualSpacing/>
              <w:jc w:val="center"/>
              <w:rPr>
                <w:rFonts w:ascii="宋体" w:hAnsi="宋体" w:cs="宋体"/>
                <w:color w:val="auto"/>
                <w:sz w:val="24"/>
                <w:highlight w:val="none"/>
              </w:rPr>
            </w:pPr>
          </w:p>
        </w:tc>
      </w:tr>
      <w:tr w14:paraId="68E87460">
        <w:tblPrEx>
          <w:tblCellMar>
            <w:top w:w="0" w:type="dxa"/>
            <w:left w:w="0" w:type="dxa"/>
            <w:bottom w:w="0" w:type="dxa"/>
            <w:right w:w="0" w:type="dxa"/>
          </w:tblCellMar>
        </w:tblPrEx>
        <w:trPr>
          <w:trHeight w:val="544"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2DBAC36">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w:t>
            </w:r>
          </w:p>
        </w:tc>
        <w:tc>
          <w:tcPr>
            <w:tcW w:w="25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A42CFD7">
            <w:pPr>
              <w:widowControl/>
              <w:spacing w:line="360" w:lineRule="auto"/>
              <w:contextualSpacing/>
              <w:jc w:val="center"/>
              <w:rPr>
                <w:rFonts w:ascii="宋体" w:hAnsi="宋体" w:cs="宋体"/>
                <w:color w:val="auto"/>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391A306">
            <w:pPr>
              <w:widowControl/>
              <w:spacing w:line="360" w:lineRule="auto"/>
              <w:contextualSpacing/>
              <w:jc w:val="center"/>
              <w:rPr>
                <w:rFonts w:ascii="宋体" w:hAnsi="宋体" w:cs="宋体"/>
                <w:color w:val="auto"/>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9EF2B34">
            <w:pPr>
              <w:widowControl/>
              <w:spacing w:line="360" w:lineRule="auto"/>
              <w:contextualSpacing/>
              <w:jc w:val="center"/>
              <w:rPr>
                <w:rFonts w:ascii="宋体" w:hAnsi="宋体" w:cs="宋体"/>
                <w:color w:val="auto"/>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599F609">
            <w:pPr>
              <w:widowControl/>
              <w:spacing w:line="360" w:lineRule="auto"/>
              <w:contextualSpacing/>
              <w:jc w:val="center"/>
              <w:rPr>
                <w:rFonts w:ascii="宋体" w:hAnsi="宋体" w:cs="宋体"/>
                <w:color w:val="auto"/>
                <w:sz w:val="24"/>
                <w:highlight w:val="none"/>
              </w:rPr>
            </w:pPr>
          </w:p>
        </w:tc>
      </w:tr>
    </w:tbl>
    <w:p w14:paraId="592574B3">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154A62A9">
      <w:pPr>
        <w:spacing w:line="360" w:lineRule="auto"/>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684F40D">
      <w:pPr>
        <w:spacing w:line="360" w:lineRule="auto"/>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2.本表所指的控股关系仅限于直接控股关系，不包括间接的控股关系。公司实际控制人与公司之间的关系不属于本表所指的直接控股关系。</w:t>
      </w:r>
    </w:p>
    <w:p w14:paraId="2FA4D629">
      <w:pPr>
        <w:spacing w:line="360" w:lineRule="auto"/>
        <w:ind w:firstLine="480"/>
        <w:contextualSpacing/>
        <w:jc w:val="left"/>
        <w:outlineLvl w:val="2"/>
        <w:rPr>
          <w:rFonts w:ascii="楷体" w:hAnsi="楷体" w:eastAsia="楷体" w:cs="宋体"/>
          <w:color w:val="auto"/>
          <w:sz w:val="24"/>
          <w:highlight w:val="none"/>
        </w:rPr>
      </w:pPr>
      <w:r>
        <w:rPr>
          <w:rFonts w:ascii="楷体" w:hAnsi="楷体" w:eastAsia="楷体" w:cs="宋体"/>
          <w:color w:val="auto"/>
          <w:sz w:val="24"/>
          <w:highlight w:val="none"/>
        </w:rPr>
        <w:t>3.供应商不存在直接控股股东的，则填“无”。</w:t>
      </w:r>
    </w:p>
    <w:p w14:paraId="418A5B03">
      <w:pPr>
        <w:spacing w:line="360" w:lineRule="auto"/>
        <w:jc w:val="left"/>
        <w:rPr>
          <w:rFonts w:ascii="宋体" w:hAnsi="宋体" w:cs="宋体"/>
          <w:color w:val="auto"/>
          <w:sz w:val="24"/>
          <w:highlight w:val="none"/>
        </w:rPr>
      </w:pPr>
    </w:p>
    <w:p w14:paraId="02DC68FD">
      <w:pPr>
        <w:spacing w:line="360" w:lineRule="auto"/>
        <w:jc w:val="left"/>
        <w:rPr>
          <w:rFonts w:ascii="宋体" w:hAnsi="宋体" w:cs="宋体"/>
          <w:color w:val="auto"/>
          <w:sz w:val="24"/>
          <w:highlight w:val="none"/>
        </w:rPr>
      </w:pPr>
    </w:p>
    <w:p w14:paraId="7EB8D383">
      <w:pPr>
        <w:spacing w:line="360" w:lineRule="auto"/>
        <w:jc w:val="left"/>
        <w:rPr>
          <w:rFonts w:ascii="宋体" w:hAnsi="宋体" w:cs="宋体"/>
          <w:color w:val="auto"/>
          <w:sz w:val="24"/>
          <w:highlight w:val="none"/>
        </w:rPr>
      </w:pPr>
    </w:p>
    <w:p w14:paraId="15A1D399">
      <w:pPr>
        <w:spacing w:before="156" w:line="360" w:lineRule="auto"/>
        <w:ind w:right="480" w:firstLine="3480"/>
        <w:rPr>
          <w:rFonts w:ascii="宋体" w:hAnsi="宋体" w:cs="宋体"/>
          <w:color w:val="auto"/>
          <w:sz w:val="24"/>
          <w:highlight w:val="none"/>
          <w:u w:val="singl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p>
    <w:p w14:paraId="33C48C30">
      <w:pPr>
        <w:spacing w:before="156" w:after="50" w:line="360" w:lineRule="auto"/>
        <w:ind w:right="480" w:firstLine="3480"/>
        <w:rPr>
          <w:rFonts w:ascii="宋体" w:hAnsi="宋体" w:cs="宋体"/>
          <w:color w:val="auto"/>
          <w:sz w:val="24"/>
          <w:highlight w:val="none"/>
          <w:u w:val="singl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p>
    <w:p w14:paraId="50D78CFB">
      <w:pPr>
        <w:spacing w:before="156" w:after="50" w:line="360" w:lineRule="auto"/>
        <w:ind w:right="480" w:firstLine="3600"/>
        <w:rPr>
          <w:rFonts w:ascii="宋体" w:hAnsi="宋体" w:cs="宋体"/>
          <w:color w:val="auto"/>
          <w:sz w:val="28"/>
          <w:szCs w:val="28"/>
          <w:highlight w:val="none"/>
        </w:rPr>
      </w:pPr>
      <w:r>
        <w:rPr>
          <w:rFonts w:hint="eastAsia" w:hAnsi="宋体" w:cs="宋体"/>
          <w:color w:val="auto"/>
          <w:sz w:val="24"/>
          <w:highlight w:val="none"/>
        </w:rPr>
        <w:t>日期：</w:t>
      </w:r>
      <w:r>
        <w:rPr>
          <w:rFonts w:hint="eastAsia" w:hAnsi="宋体" w:cs="宋体"/>
          <w:color w:val="auto"/>
          <w:sz w:val="24"/>
          <w:highlight w:val="none"/>
          <w:u w:val="single"/>
        </w:rPr>
        <w:t xml:space="preserve"> </w:t>
      </w:r>
      <w:r>
        <w:rPr>
          <w:rFonts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1BD22515">
      <w:pPr>
        <w:jc w:val="center"/>
        <w:rPr>
          <w:rFonts w:ascii="宋体" w:hAnsi="宋体" w:cs="宋体"/>
          <w:b/>
          <w:color w:val="auto"/>
          <w:sz w:val="28"/>
          <w:szCs w:val="28"/>
          <w:highlight w:val="none"/>
        </w:rPr>
      </w:pPr>
      <w:r>
        <w:rPr>
          <w:rFonts w:hint="eastAsia" w:ascii="宋体" w:hAnsi="宋体" w:cs="宋体"/>
          <w:b/>
          <w:color w:val="auto"/>
          <w:sz w:val="28"/>
          <w:szCs w:val="28"/>
          <w:highlight w:val="none"/>
        </w:rPr>
        <w:br w:type="page"/>
      </w:r>
    </w:p>
    <w:p w14:paraId="26923387">
      <w:pPr>
        <w:jc w:val="center"/>
        <w:outlineLvl w:val="3"/>
        <w:rPr>
          <w:rFonts w:ascii="宋体" w:hAnsi="宋体" w:cs="宋体"/>
          <w:b/>
          <w:color w:val="auto"/>
          <w:sz w:val="32"/>
          <w:szCs w:val="32"/>
          <w:highlight w:val="none"/>
        </w:rPr>
      </w:pPr>
      <w:r>
        <w:rPr>
          <w:rFonts w:hint="eastAsia" w:ascii="宋体" w:hAnsi="宋体" w:cs="宋体"/>
          <w:b/>
          <w:color w:val="auto"/>
          <w:sz w:val="32"/>
          <w:szCs w:val="32"/>
          <w:highlight w:val="none"/>
        </w:rPr>
        <w:t>（二）供应商直接管理关系信息表</w:t>
      </w:r>
    </w:p>
    <w:p w14:paraId="3ABD94DD">
      <w:pPr>
        <w:spacing w:line="360" w:lineRule="auto"/>
        <w:jc w:val="center"/>
        <w:rPr>
          <w:rFonts w:ascii="宋体" w:hAnsi="宋体" w:cs="宋体"/>
          <w:b/>
          <w:color w:val="auto"/>
          <w:sz w:val="24"/>
          <w:highlight w:val="none"/>
        </w:rPr>
      </w:pPr>
    </w:p>
    <w:tbl>
      <w:tblPr>
        <w:tblStyle w:val="4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4CBDFFC">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C6BC287">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4973983">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A25FE9B">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84429A0">
            <w:pPr>
              <w:widowControl/>
              <w:spacing w:line="360" w:lineRule="auto"/>
              <w:contextualSpacing/>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288689E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B8985C6">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CDF8513">
            <w:pPr>
              <w:widowControl/>
              <w:spacing w:line="360" w:lineRule="auto"/>
              <w:contextualSpacing/>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87AD98">
            <w:pPr>
              <w:widowControl/>
              <w:spacing w:line="360" w:lineRule="auto"/>
              <w:contextualSpacing/>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88DA4F9">
            <w:pPr>
              <w:widowControl/>
              <w:spacing w:line="360" w:lineRule="auto"/>
              <w:contextualSpacing/>
              <w:jc w:val="center"/>
              <w:rPr>
                <w:rFonts w:ascii="宋体" w:hAnsi="宋体" w:cs="宋体"/>
                <w:color w:val="auto"/>
                <w:sz w:val="24"/>
                <w:highlight w:val="none"/>
              </w:rPr>
            </w:pPr>
          </w:p>
        </w:tc>
      </w:tr>
      <w:tr w14:paraId="507B086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E5D02D6">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DBE3195">
            <w:pPr>
              <w:widowControl/>
              <w:spacing w:line="360" w:lineRule="auto"/>
              <w:contextualSpacing/>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262D82A">
            <w:pPr>
              <w:widowControl/>
              <w:spacing w:line="360" w:lineRule="auto"/>
              <w:contextualSpacing/>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189AC86">
            <w:pPr>
              <w:widowControl/>
              <w:spacing w:line="360" w:lineRule="auto"/>
              <w:contextualSpacing/>
              <w:jc w:val="center"/>
              <w:rPr>
                <w:rFonts w:ascii="宋体" w:hAnsi="宋体" w:cs="宋体"/>
                <w:color w:val="auto"/>
                <w:sz w:val="24"/>
                <w:highlight w:val="none"/>
              </w:rPr>
            </w:pPr>
          </w:p>
        </w:tc>
      </w:tr>
      <w:tr w14:paraId="2956E3A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E6B60B8">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B781109">
            <w:pPr>
              <w:widowControl/>
              <w:spacing w:line="360" w:lineRule="auto"/>
              <w:contextualSpacing/>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E25BDF0">
            <w:pPr>
              <w:widowControl/>
              <w:spacing w:line="360" w:lineRule="auto"/>
              <w:contextualSpacing/>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AC74FC9">
            <w:pPr>
              <w:widowControl/>
              <w:spacing w:line="360" w:lineRule="auto"/>
              <w:contextualSpacing/>
              <w:jc w:val="center"/>
              <w:rPr>
                <w:rFonts w:ascii="宋体" w:hAnsi="宋体" w:cs="宋体"/>
                <w:color w:val="auto"/>
                <w:sz w:val="24"/>
                <w:highlight w:val="none"/>
              </w:rPr>
            </w:pPr>
          </w:p>
        </w:tc>
      </w:tr>
      <w:tr w14:paraId="6352A4F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78507CF">
            <w:pPr>
              <w:widowControl/>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A9CA4E4">
            <w:pPr>
              <w:widowControl/>
              <w:spacing w:line="360" w:lineRule="auto"/>
              <w:contextualSpacing/>
              <w:jc w:val="center"/>
              <w:rPr>
                <w:rFonts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B521B5E">
            <w:pPr>
              <w:widowControl/>
              <w:spacing w:line="360" w:lineRule="auto"/>
              <w:contextualSpacing/>
              <w:jc w:val="center"/>
              <w:rPr>
                <w:rFonts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49D6938">
            <w:pPr>
              <w:widowControl/>
              <w:spacing w:line="360" w:lineRule="auto"/>
              <w:contextualSpacing/>
              <w:jc w:val="center"/>
              <w:rPr>
                <w:rFonts w:ascii="宋体" w:hAnsi="宋体" w:cs="宋体"/>
                <w:color w:val="auto"/>
                <w:sz w:val="24"/>
                <w:highlight w:val="none"/>
              </w:rPr>
            </w:pPr>
          </w:p>
        </w:tc>
      </w:tr>
    </w:tbl>
    <w:p w14:paraId="209F16BC">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2896F507">
      <w:pPr>
        <w:spacing w:line="360" w:lineRule="auto"/>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1.管理关系：是指不具有出资持股关系的其他单位之间存在的管理与被管理关系，如一些上下级关系的事业单位和团体组织。</w:t>
      </w:r>
    </w:p>
    <w:p w14:paraId="0001D5E2">
      <w:pPr>
        <w:spacing w:line="360" w:lineRule="auto"/>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2.</w:t>
      </w:r>
      <w:r>
        <w:rPr>
          <w:rFonts w:hint="eastAsia" w:ascii="楷体" w:hAnsi="楷体" w:eastAsia="楷体" w:cs="宋体"/>
          <w:color w:val="auto"/>
          <w:spacing w:val="-6"/>
          <w:sz w:val="24"/>
          <w:highlight w:val="none"/>
        </w:rPr>
        <w:t>本表所指的管理关系仅限于直接管理关系，不包括间接的管理关系。</w:t>
      </w:r>
    </w:p>
    <w:p w14:paraId="763317A4">
      <w:pPr>
        <w:spacing w:line="360" w:lineRule="auto"/>
        <w:ind w:firstLine="480"/>
        <w:contextualSpacing/>
        <w:jc w:val="left"/>
        <w:outlineLvl w:val="2"/>
        <w:rPr>
          <w:rFonts w:ascii="楷体" w:hAnsi="楷体" w:eastAsia="楷体" w:cs="宋体"/>
          <w:color w:val="auto"/>
          <w:sz w:val="24"/>
          <w:highlight w:val="none"/>
        </w:rPr>
      </w:pPr>
      <w:r>
        <w:rPr>
          <w:rFonts w:ascii="楷体" w:hAnsi="楷体" w:eastAsia="楷体" w:cs="宋体"/>
          <w:color w:val="auto"/>
          <w:sz w:val="24"/>
          <w:highlight w:val="none"/>
        </w:rPr>
        <w:t>3.供应商不存在直接管理关系的，则填“无”。</w:t>
      </w:r>
    </w:p>
    <w:p w14:paraId="7214BE14">
      <w:pPr>
        <w:spacing w:line="360" w:lineRule="auto"/>
        <w:contextualSpacing/>
        <w:jc w:val="left"/>
        <w:rPr>
          <w:rFonts w:ascii="宋体" w:hAnsi="宋体" w:cs="宋体"/>
          <w:color w:val="auto"/>
          <w:sz w:val="24"/>
          <w:highlight w:val="none"/>
        </w:rPr>
      </w:pPr>
    </w:p>
    <w:p w14:paraId="5D2F0772">
      <w:pPr>
        <w:spacing w:line="360" w:lineRule="auto"/>
        <w:contextualSpacing/>
        <w:jc w:val="left"/>
        <w:rPr>
          <w:rFonts w:ascii="宋体" w:hAnsi="宋体" w:cs="宋体"/>
          <w:color w:val="auto"/>
          <w:sz w:val="24"/>
          <w:highlight w:val="none"/>
        </w:rPr>
      </w:pPr>
    </w:p>
    <w:p w14:paraId="4E43FEE3">
      <w:pPr>
        <w:spacing w:line="360" w:lineRule="auto"/>
        <w:contextualSpacing/>
        <w:jc w:val="left"/>
        <w:rPr>
          <w:rFonts w:ascii="宋体" w:hAnsi="宋体" w:cs="宋体"/>
          <w:color w:val="auto"/>
          <w:sz w:val="24"/>
          <w:highlight w:val="none"/>
        </w:rPr>
      </w:pPr>
    </w:p>
    <w:p w14:paraId="43F8F34C">
      <w:pPr>
        <w:spacing w:line="360" w:lineRule="auto"/>
        <w:contextualSpacing/>
        <w:jc w:val="left"/>
        <w:rPr>
          <w:rFonts w:ascii="宋体" w:hAnsi="宋体" w:cs="宋体"/>
          <w:color w:val="auto"/>
          <w:sz w:val="24"/>
          <w:highlight w:val="none"/>
        </w:rPr>
      </w:pPr>
    </w:p>
    <w:p w14:paraId="57FD0E82">
      <w:pPr>
        <w:spacing w:line="360" w:lineRule="auto"/>
        <w:contextualSpacing/>
        <w:jc w:val="left"/>
        <w:rPr>
          <w:rFonts w:ascii="宋体" w:hAnsi="宋体" w:cs="宋体"/>
          <w:color w:val="auto"/>
          <w:sz w:val="24"/>
          <w:highlight w:val="none"/>
        </w:rPr>
      </w:pPr>
    </w:p>
    <w:p w14:paraId="2A821C5E">
      <w:pPr>
        <w:spacing w:line="360" w:lineRule="auto"/>
        <w:contextualSpacing/>
        <w:jc w:val="left"/>
        <w:rPr>
          <w:rFonts w:ascii="宋体" w:hAnsi="宋体" w:cs="宋体"/>
          <w:color w:val="auto"/>
          <w:sz w:val="24"/>
          <w:highlight w:val="none"/>
        </w:rPr>
      </w:pPr>
    </w:p>
    <w:p w14:paraId="5BAC9191">
      <w:pPr>
        <w:spacing w:line="360" w:lineRule="auto"/>
        <w:ind w:right="480" w:firstLine="3360"/>
        <w:contextualSpacing/>
        <w:rPr>
          <w:rFonts w:ascii="宋体" w:hAnsi="宋体" w:cs="宋体"/>
          <w:color w:val="auto"/>
          <w:sz w:val="24"/>
          <w:highlight w:val="none"/>
          <w:u w:val="singl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p>
    <w:p w14:paraId="3B121500">
      <w:pPr>
        <w:spacing w:line="360" w:lineRule="auto"/>
        <w:ind w:right="480" w:firstLine="336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p>
    <w:p w14:paraId="1E6A754F">
      <w:pPr>
        <w:spacing w:line="360" w:lineRule="auto"/>
        <w:ind w:right="480" w:firstLine="240"/>
        <w:contextualSpacing/>
        <w:jc w:val="center"/>
        <w:rPr>
          <w:rFonts w:ascii="宋体" w:hAnsi="宋体" w:cs="宋体"/>
          <w:color w:val="auto"/>
          <w:sz w:val="28"/>
          <w:szCs w:val="28"/>
          <w:highlight w:val="non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hAnsi="宋体" w:cs="宋体"/>
          <w:color w:val="auto"/>
          <w:sz w:val="24"/>
          <w:highlight w:val="none"/>
        </w:rPr>
        <w:t>日期：</w:t>
      </w: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417BC19A">
      <w:pPr>
        <w:jc w:val="center"/>
        <w:rPr>
          <w:rFonts w:ascii="宋体" w:hAnsi="宋体" w:cs="宋体"/>
          <w:b/>
          <w:color w:val="auto"/>
          <w:sz w:val="32"/>
          <w:szCs w:val="32"/>
          <w:highlight w:val="none"/>
        </w:rPr>
      </w:pPr>
      <w:r>
        <w:rPr>
          <w:rFonts w:hint="eastAsia" w:ascii="宋体" w:hAnsi="宋体" w:cs="宋体"/>
          <w:color w:val="auto"/>
          <w:sz w:val="28"/>
          <w:szCs w:val="28"/>
          <w:highlight w:val="none"/>
        </w:rPr>
        <w:br w:type="page"/>
      </w:r>
      <w:r>
        <w:rPr>
          <w:rFonts w:hint="eastAsia" w:ascii="宋体" w:hAnsi="宋体" w:cs="宋体"/>
          <w:b/>
          <w:color w:val="auto"/>
          <w:sz w:val="32"/>
          <w:szCs w:val="32"/>
          <w:highlight w:val="none"/>
        </w:rPr>
        <w:t>参与竞争性磋商声明</w:t>
      </w:r>
    </w:p>
    <w:p w14:paraId="2CF7DF69">
      <w:pPr>
        <w:spacing w:line="320" w:lineRule="exact"/>
        <w:jc w:val="center"/>
        <w:rPr>
          <w:rFonts w:ascii="宋体" w:hAnsi="宋体" w:cs="宋体"/>
          <w:color w:val="auto"/>
          <w:sz w:val="24"/>
          <w:szCs w:val="20"/>
          <w:highlight w:val="none"/>
        </w:rPr>
      </w:pPr>
    </w:p>
    <w:p w14:paraId="7582FD29">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62090F4A">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FBEA85D">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项目的竞争性磋商，为便于贵方公正、择优地确定成交供应商及其参与竞争性磋商提供的产品和服务，我方就本次参与竞争性磋商有关事项郑重声明如下：</w:t>
      </w:r>
    </w:p>
    <w:p w14:paraId="1DFE954C">
      <w:pPr>
        <w:spacing w:line="360" w:lineRule="auto"/>
        <w:ind w:firstLine="480"/>
        <w:contextualSpacing/>
        <w:outlineLvl w:val="2"/>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F6ABAD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14:paraId="6166E4B1">
      <w:pPr>
        <w:spacing w:line="360" w:lineRule="auto"/>
        <w:ind w:firstLine="480"/>
        <w:contextualSpacing/>
        <w:outlineLvl w:val="2"/>
        <w:rPr>
          <w:rFonts w:ascii="宋体" w:hAnsi="宋体" w:cs="宋体"/>
          <w:color w:val="auto"/>
          <w:sz w:val="24"/>
          <w:highlight w:val="none"/>
        </w:rPr>
      </w:pPr>
      <w:r>
        <w:rPr>
          <w:rFonts w:hint="eastAsia" w:ascii="宋体" w:hAnsi="宋体" w:cs="宋体"/>
          <w:color w:val="auto"/>
          <w:sz w:val="24"/>
          <w:highlight w:val="none"/>
        </w:rPr>
        <w:t>3.在此，我方宣布同意如下：</w:t>
      </w:r>
    </w:p>
    <w:p w14:paraId="0B6E37D6">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6EACB231">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6064D955">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62131C0E">
      <w:pPr>
        <w:spacing w:line="360" w:lineRule="auto"/>
        <w:ind w:firstLine="480"/>
        <w:contextualSpacing/>
        <w:outlineLvl w:val="3"/>
        <w:rPr>
          <w:rFonts w:ascii="宋体" w:hAnsi="宋体" w:cs="宋体"/>
          <w:color w:val="auto"/>
          <w:sz w:val="24"/>
          <w:highlight w:val="none"/>
        </w:rPr>
      </w:pPr>
      <w:r>
        <w:rPr>
          <w:rFonts w:hint="eastAsia" w:ascii="宋体" w:hAnsi="宋体" w:cs="宋体"/>
          <w:color w:val="auto"/>
          <w:sz w:val="24"/>
          <w:highlight w:val="none"/>
        </w:rPr>
        <w:t>（4）响应磋商文件规定的竞争性磋商有效期。</w:t>
      </w:r>
    </w:p>
    <w:p w14:paraId="16D4520E">
      <w:pPr>
        <w:spacing w:line="360" w:lineRule="auto"/>
        <w:ind w:firstLine="480"/>
        <w:contextualSpacing/>
        <w:outlineLvl w:val="2"/>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3584C9E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0300EED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6D59E230">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6F024061">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145C31E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16DEC4A1">
      <w:pPr>
        <w:spacing w:line="360" w:lineRule="auto"/>
        <w:ind w:firstLine="480"/>
        <w:contextualSpacing/>
        <w:outlineLvl w:val="3"/>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7F4A4155">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CB4A96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615123C">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□我方本次响应文件内容中未涉及商业秘密；</w:t>
      </w:r>
    </w:p>
    <w:p w14:paraId="6790F8DD">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□我方本次响应文件涉及商业秘密的内容有：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6559177">
      <w:pPr>
        <w:pStyle w:val="24"/>
        <w:spacing w:line="360" w:lineRule="auto"/>
        <w:ind w:firstLine="480"/>
        <w:contextualSpacing/>
        <w:rPr>
          <w:rFonts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邮政编码：</w:t>
      </w:r>
      <w:r>
        <w:rPr>
          <w:rFonts w:hint="eastAsia" w:hAnsi="宋体" w:cs="宋体"/>
          <w:color w:val="auto"/>
          <w:sz w:val="24"/>
          <w:szCs w:val="24"/>
          <w:highlight w:val="none"/>
          <w:u w:val="single"/>
        </w:rPr>
        <w:t xml:space="preserve">        </w:t>
      </w:r>
    </w:p>
    <w:p w14:paraId="109E18A1">
      <w:pPr>
        <w:pStyle w:val="24"/>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电子函件：</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0E426FC0">
      <w:pPr>
        <w:pStyle w:val="21"/>
        <w:tabs>
          <w:tab w:val="left" w:pos="939"/>
        </w:tabs>
        <w:spacing w:line="360" w:lineRule="auto"/>
        <w:ind w:left="0" w:firstLine="360"/>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eastAsia="zh-CN"/>
        </w:rPr>
        <w:t>账号</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4A497A92">
      <w:pPr>
        <w:pStyle w:val="21"/>
        <w:tabs>
          <w:tab w:val="left" w:pos="939"/>
        </w:tabs>
        <w:spacing w:line="360" w:lineRule="auto"/>
        <w:ind w:left="0" w:firstLine="48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3C6D08CF">
      <w:pPr>
        <w:pStyle w:val="21"/>
        <w:tabs>
          <w:tab w:val="left" w:pos="939"/>
        </w:tabs>
        <w:spacing w:line="360" w:lineRule="auto"/>
        <w:ind w:left="0" w:firstLine="480"/>
        <w:rPr>
          <w:rFonts w:ascii="宋体" w:hAnsi="宋体" w:cs="宋体"/>
          <w:color w:val="auto"/>
          <w:sz w:val="24"/>
          <w:highlight w:val="none"/>
        </w:rPr>
      </w:pPr>
      <w:r>
        <w:rPr>
          <w:rFonts w:hint="eastAsia" w:ascii="宋体" w:hAnsi="宋体" w:cs="宋体"/>
          <w:color w:val="auto"/>
          <w:sz w:val="24"/>
          <w:highlight w:val="none"/>
        </w:rPr>
        <w:t>9</w:t>
      </w:r>
      <w:r>
        <w:rPr>
          <w:rFonts w:ascii="宋体" w:hAnsi="宋体" w:cs="宋体"/>
          <w:color w:val="auto"/>
          <w:sz w:val="24"/>
          <w:highlight w:val="none"/>
        </w:rPr>
        <w:t>.</w:t>
      </w:r>
      <w:r>
        <w:rPr>
          <w:rFonts w:hint="eastAsia" w:ascii="宋体" w:hAnsi="宋体" w:cs="宋体"/>
          <w:color w:val="auto"/>
          <w:sz w:val="24"/>
          <w:highlight w:val="none"/>
        </w:rPr>
        <w:t>我方若参与竞争性磋商成功，除非发生不可抗力，承诺与采购人及时签订《合同书》。如果放弃，自愿按照本磋商文件之《供应商须知正文》条款第2</w:t>
      </w:r>
      <w:r>
        <w:rPr>
          <w:rFonts w:ascii="宋体" w:hAnsi="宋体" w:cs="宋体"/>
          <w:color w:val="auto"/>
          <w:sz w:val="24"/>
          <w:highlight w:val="none"/>
        </w:rPr>
        <w:t>7.3</w:t>
      </w:r>
      <w:r>
        <w:rPr>
          <w:rFonts w:hint="eastAsia" w:ascii="宋体" w:hAnsi="宋体" w:cs="宋体"/>
          <w:color w:val="auto"/>
          <w:sz w:val="24"/>
          <w:highlight w:val="none"/>
        </w:rPr>
        <w:t>条的要求承担法律责任和失信惩戒。</w:t>
      </w:r>
    </w:p>
    <w:p w14:paraId="186F8022">
      <w:pPr>
        <w:pStyle w:val="21"/>
        <w:tabs>
          <w:tab w:val="left" w:pos="939"/>
        </w:tabs>
        <w:spacing w:line="360" w:lineRule="auto"/>
        <w:ind w:left="0" w:firstLine="360"/>
        <w:rPr>
          <w:rFonts w:ascii="宋体" w:hAnsi="宋体" w:cs="宋体"/>
          <w:color w:val="auto"/>
          <w:sz w:val="24"/>
          <w:highlight w:val="none"/>
        </w:rPr>
      </w:pPr>
      <w:r>
        <w:rPr>
          <w:rFonts w:hint="eastAsia" w:ascii="宋体" w:hAnsi="宋体" w:cs="宋体"/>
          <w:color w:val="auto"/>
          <w:sz w:val="24"/>
          <w:highlight w:val="none"/>
        </w:rPr>
        <w:t>特此承诺。</w:t>
      </w:r>
    </w:p>
    <w:p w14:paraId="4C09AD3C">
      <w:pPr>
        <w:pStyle w:val="21"/>
        <w:tabs>
          <w:tab w:val="left" w:pos="939"/>
        </w:tabs>
        <w:spacing w:line="360" w:lineRule="auto"/>
        <w:ind w:left="0" w:firstLine="482"/>
        <w:rPr>
          <w:rFonts w:ascii="楷体" w:hAnsi="楷体" w:eastAsia="楷体" w:cs="宋体"/>
          <w:b/>
          <w:color w:val="auto"/>
          <w:sz w:val="24"/>
          <w:highlight w:val="none"/>
        </w:rPr>
      </w:pPr>
      <w:r>
        <w:rPr>
          <w:rFonts w:hint="eastAsia" w:ascii="楷体" w:hAnsi="楷体" w:eastAsia="楷体" w:cs="宋体"/>
          <w:b/>
          <w:color w:val="auto"/>
          <w:sz w:val="24"/>
          <w:highlight w:val="none"/>
        </w:rPr>
        <w:t>注：如为联合体参与竞争性磋商，盖章处须加盖联合体各方公章并由联合体各方法定代表人签署，否则其响应文件按无效响应处理。</w:t>
      </w:r>
    </w:p>
    <w:p w14:paraId="0691BA15">
      <w:pPr>
        <w:pStyle w:val="21"/>
        <w:tabs>
          <w:tab w:val="left" w:pos="939"/>
        </w:tabs>
        <w:spacing w:line="360" w:lineRule="auto"/>
        <w:ind w:left="0" w:firstLine="480"/>
        <w:rPr>
          <w:rFonts w:ascii="宋体" w:hAnsi="宋体" w:cs="宋体"/>
          <w:color w:val="auto"/>
          <w:sz w:val="24"/>
          <w:highlight w:val="none"/>
        </w:rPr>
      </w:pPr>
    </w:p>
    <w:p w14:paraId="721E0455">
      <w:pPr>
        <w:spacing w:line="360" w:lineRule="auto"/>
        <w:ind w:firstLine="4320"/>
        <w:contextualSpacing/>
        <w:rPr>
          <w:rFonts w:ascii="宋体" w:hAnsi="宋体" w:cs="宋体"/>
          <w:color w:val="auto"/>
          <w:sz w:val="24"/>
          <w:highlight w:val="none"/>
          <w:u w:val="single"/>
        </w:rPr>
      </w:pPr>
      <w:r>
        <w:rPr>
          <w:rFonts w:hint="eastAsia" w:ascii="宋体" w:hAnsi="宋体" w:cs="宋体"/>
          <w:color w:val="auto"/>
          <w:sz w:val="24"/>
          <w:highlight w:val="none"/>
        </w:rPr>
        <w:t>法定代表人（签字）：</w:t>
      </w:r>
      <w:r>
        <w:rPr>
          <w:rFonts w:hint="eastAsia" w:ascii="宋体" w:hAnsi="宋体" w:cs="宋体"/>
          <w:color w:val="auto"/>
          <w:sz w:val="24"/>
          <w:highlight w:val="none"/>
          <w:u w:val="single"/>
        </w:rPr>
        <w:t xml:space="preserve">                </w:t>
      </w:r>
    </w:p>
    <w:p w14:paraId="6A004F5B">
      <w:pPr>
        <w:spacing w:line="360" w:lineRule="auto"/>
        <w:ind w:firstLine="240"/>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p>
    <w:p w14:paraId="4C130EDE">
      <w:pPr>
        <w:spacing w:line="360" w:lineRule="auto"/>
        <w:ind w:firstLine="240"/>
        <w:contextualSpacing/>
        <w:jc w:val="center"/>
        <w:rPr>
          <w:rFonts w:ascii="宋体" w:hAnsi="宋体" w:cs="宋体"/>
          <w:color w:val="auto"/>
          <w:sz w:val="24"/>
          <w:highlight w:val="non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5F8D236">
      <w:pPr>
        <w:pStyle w:val="14"/>
        <w:spacing w:line="360" w:lineRule="auto"/>
        <w:ind w:firstLine="0"/>
        <w:jc w:val="center"/>
        <w:rPr>
          <w:rFonts w:ascii="宋体" w:hAnsi="宋体" w:cs="宋体"/>
          <w:color w:val="auto"/>
          <w:sz w:val="44"/>
          <w:szCs w:val="44"/>
          <w:highlight w:val="none"/>
        </w:rPr>
      </w:pPr>
      <w:r>
        <w:rPr>
          <w:rFonts w:hint="eastAsia" w:ascii="宋体" w:hAnsi="宋体" w:cs="宋体"/>
          <w:color w:val="auto"/>
          <w:sz w:val="24"/>
          <w:highlight w:val="none"/>
        </w:rPr>
        <w:br w:type="page"/>
      </w:r>
      <w:r>
        <w:rPr>
          <w:rFonts w:hint="eastAsia" w:ascii="宋体" w:hAnsi="宋体" w:cs="宋体"/>
          <w:color w:val="auto"/>
          <w:sz w:val="44"/>
          <w:szCs w:val="44"/>
          <w:highlight w:val="none"/>
        </w:rPr>
        <w:t>联合体参与竞争性磋商协议书</w:t>
      </w:r>
    </w:p>
    <w:p w14:paraId="77132893">
      <w:pPr>
        <w:pStyle w:val="14"/>
        <w:spacing w:line="360" w:lineRule="auto"/>
        <w:ind w:firstLine="0"/>
        <w:rPr>
          <w:rFonts w:ascii="宋体" w:hAnsi="宋体" w:cs="宋体"/>
          <w:color w:val="auto"/>
          <w:sz w:val="24"/>
          <w:szCs w:val="24"/>
          <w:highlight w:val="none"/>
        </w:rPr>
      </w:pPr>
    </w:p>
    <w:p w14:paraId="4A25F6C5">
      <w:pPr>
        <w:pStyle w:val="14"/>
        <w:spacing w:line="360" w:lineRule="auto"/>
        <w:ind w:firstLine="480"/>
        <w:contextualSpacing/>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（所有成员单位名称）自愿组成</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（联合体名称）联合体，共同参加</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（项目名称）采购项目</w:t>
      </w:r>
      <w:r>
        <w:rPr>
          <w:rFonts w:hint="eastAsia" w:ascii="宋体" w:hAnsi="宋体" w:cs="宋体"/>
          <w:color w:val="auto"/>
          <w:sz w:val="24"/>
          <w:highlight w:val="none"/>
        </w:rPr>
        <w:t>竞争性磋商</w:t>
      </w:r>
      <w:r>
        <w:rPr>
          <w:rFonts w:hint="eastAsia" w:ascii="宋体" w:hAnsi="宋体" w:cs="宋体"/>
          <w:color w:val="auto"/>
          <w:sz w:val="24"/>
          <w:szCs w:val="24"/>
          <w:highlight w:val="none"/>
        </w:rPr>
        <w:t>。现就联合体参与</w:t>
      </w:r>
      <w:r>
        <w:rPr>
          <w:rFonts w:hint="eastAsia" w:ascii="宋体" w:hAnsi="宋体" w:cs="宋体"/>
          <w:color w:val="auto"/>
          <w:sz w:val="24"/>
          <w:highlight w:val="none"/>
        </w:rPr>
        <w:t>竞争性磋商</w:t>
      </w:r>
      <w:r>
        <w:rPr>
          <w:rFonts w:hint="eastAsia" w:ascii="宋体" w:hAnsi="宋体" w:cs="宋体"/>
          <w:color w:val="auto"/>
          <w:sz w:val="24"/>
          <w:szCs w:val="24"/>
          <w:highlight w:val="none"/>
        </w:rPr>
        <w:t>事宜订立如下协议。</w:t>
      </w:r>
    </w:p>
    <w:p w14:paraId="63AF5F80">
      <w:pPr>
        <w:pStyle w:val="14"/>
        <w:spacing w:line="360" w:lineRule="auto"/>
        <w:ind w:firstLine="480"/>
        <w:contextualSpacing/>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（某成员单位名称）为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（联合体名称）牵头人。</w:t>
      </w:r>
    </w:p>
    <w:p w14:paraId="1340B68C">
      <w:pPr>
        <w:pStyle w:val="14"/>
        <w:spacing w:line="360" w:lineRule="auto"/>
        <w:ind w:firstLine="480"/>
        <w:contextualSpacing/>
        <w:rPr>
          <w:rFonts w:ascii="宋体" w:hAnsi="宋体" w:cs="宋体"/>
          <w:color w:val="auto"/>
          <w:sz w:val="24"/>
          <w:szCs w:val="24"/>
          <w:highlight w:val="none"/>
        </w:rPr>
      </w:pPr>
      <w:r>
        <w:rPr>
          <w:rFonts w:hint="eastAsia" w:ascii="宋体" w:hAnsi="宋体" w:cs="宋体"/>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w:t>
      </w:r>
      <w:r>
        <w:rPr>
          <w:rFonts w:hint="eastAsia" w:ascii="宋体" w:hAnsi="宋体" w:cs="宋体"/>
          <w:color w:val="auto"/>
          <w:sz w:val="24"/>
          <w:highlight w:val="none"/>
        </w:rPr>
        <w:t>竞争性磋商</w:t>
      </w:r>
      <w:r>
        <w:rPr>
          <w:rFonts w:hint="eastAsia" w:ascii="宋体" w:hAnsi="宋体" w:cs="宋体"/>
          <w:color w:val="auto"/>
          <w:sz w:val="24"/>
          <w:szCs w:val="24"/>
          <w:highlight w:val="none"/>
        </w:rPr>
        <w:t>项目有关的一切事宜。</w:t>
      </w:r>
    </w:p>
    <w:p w14:paraId="1DEACDE0">
      <w:pPr>
        <w:pStyle w:val="14"/>
        <w:spacing w:line="360" w:lineRule="auto"/>
        <w:ind w:firstLine="480"/>
        <w:contextualSpacing/>
        <w:rPr>
          <w:rFonts w:ascii="宋体" w:hAnsi="宋体" w:cs="宋体"/>
          <w:color w:val="auto"/>
          <w:sz w:val="24"/>
          <w:szCs w:val="24"/>
          <w:highlight w:val="none"/>
        </w:rPr>
      </w:pPr>
      <w:r>
        <w:rPr>
          <w:rFonts w:hint="eastAsia" w:ascii="宋体" w:hAnsi="宋体" w:cs="宋体"/>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3B1CD19C">
      <w:pPr>
        <w:pStyle w:val="14"/>
        <w:spacing w:line="360" w:lineRule="auto"/>
        <w:ind w:firstLine="480"/>
        <w:contextualSpacing/>
        <w:outlineLvl w:val="2"/>
        <w:rPr>
          <w:rFonts w:ascii="宋体" w:hAnsi="宋体" w:cs="宋体"/>
          <w:color w:val="auto"/>
          <w:sz w:val="24"/>
          <w:szCs w:val="24"/>
          <w:highlight w:val="none"/>
        </w:rPr>
      </w:pPr>
      <w:r>
        <w:rPr>
          <w:rFonts w:hint="eastAsia" w:ascii="宋体" w:hAnsi="宋体" w:cs="宋体"/>
          <w:color w:val="auto"/>
          <w:sz w:val="24"/>
          <w:szCs w:val="24"/>
          <w:highlight w:val="none"/>
        </w:rPr>
        <w:t>4.联合体各成员单位内部的职责分工如下：</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5C71CECF">
      <w:pPr>
        <w:pStyle w:val="14"/>
        <w:spacing w:line="360" w:lineRule="auto"/>
        <w:ind w:firstLine="480"/>
        <w:contextualSpacing/>
        <w:rPr>
          <w:rFonts w:ascii="宋体" w:hAnsi="宋体" w:cs="宋体"/>
          <w:color w:val="auto"/>
          <w:sz w:val="24"/>
          <w:szCs w:val="24"/>
          <w:highlight w:val="none"/>
        </w:rPr>
      </w:pPr>
      <w:r>
        <w:rPr>
          <w:rFonts w:hint="eastAsia" w:ascii="宋体" w:hAnsi="宋体" w:cs="宋体"/>
          <w:color w:val="auto"/>
          <w:sz w:val="24"/>
          <w:szCs w:val="24"/>
          <w:highlight w:val="none"/>
        </w:rPr>
        <w:t>5.本</w:t>
      </w:r>
      <w:r>
        <w:rPr>
          <w:rFonts w:hint="eastAsia" w:ascii="宋体" w:hAnsi="宋体" w:cs="宋体"/>
          <w:color w:val="auto"/>
          <w:spacing w:val="-6"/>
          <w:sz w:val="24"/>
          <w:szCs w:val="24"/>
          <w:highlight w:val="none"/>
        </w:rPr>
        <w:t>协议书自所有成员单位法定代表人（单位负责人）或者其委托代理人签字或者盖单位章之日起生效，合同履行完毕后自动失效。</w:t>
      </w:r>
    </w:p>
    <w:p w14:paraId="7FA42E71">
      <w:pPr>
        <w:pStyle w:val="14"/>
        <w:spacing w:line="360" w:lineRule="auto"/>
        <w:ind w:firstLine="480"/>
        <w:contextualSpacing/>
        <w:outlineLvl w:val="2"/>
        <w:rPr>
          <w:rFonts w:ascii="宋体" w:hAnsi="宋体" w:cs="宋体"/>
          <w:color w:val="auto"/>
          <w:sz w:val="24"/>
          <w:szCs w:val="24"/>
          <w:highlight w:val="none"/>
        </w:rPr>
      </w:pPr>
      <w:r>
        <w:rPr>
          <w:rFonts w:hint="eastAsia" w:ascii="宋体" w:hAnsi="宋体" w:cs="宋体"/>
          <w:color w:val="auto"/>
          <w:sz w:val="24"/>
          <w:szCs w:val="24"/>
          <w:highlight w:val="none"/>
        </w:rPr>
        <w:t>6.本协议书一式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rPr>
        <w:t>份，联合体成员和采购人各执壹份。</w:t>
      </w:r>
    </w:p>
    <w:p w14:paraId="19CEDA23">
      <w:pPr>
        <w:pStyle w:val="14"/>
        <w:spacing w:line="360" w:lineRule="auto"/>
        <w:ind w:firstLine="482"/>
        <w:contextualSpacing/>
        <w:rPr>
          <w:rFonts w:ascii="楷体" w:hAnsi="楷体" w:eastAsia="楷体" w:cs="宋体"/>
          <w:color w:val="auto"/>
          <w:sz w:val="24"/>
          <w:szCs w:val="24"/>
          <w:highlight w:val="none"/>
        </w:rPr>
      </w:pPr>
      <w:r>
        <w:rPr>
          <w:rFonts w:hint="eastAsia" w:ascii="楷体" w:hAnsi="楷体" w:eastAsia="楷体" w:cs="宋体"/>
          <w:b/>
          <w:color w:val="auto"/>
          <w:sz w:val="24"/>
          <w:szCs w:val="24"/>
          <w:highlight w:val="none"/>
        </w:rPr>
        <w:t>注：</w:t>
      </w:r>
      <w:r>
        <w:rPr>
          <w:rFonts w:hint="eastAsia" w:ascii="楷体" w:hAnsi="楷体" w:eastAsia="楷体" w:cs="宋体"/>
          <w:color w:val="auto"/>
          <w:sz w:val="24"/>
          <w:szCs w:val="24"/>
          <w:highlight w:val="none"/>
        </w:rPr>
        <w:t>本协议书由法定代表人（单位负责人）签字的，应附法定代表人（单位负责人）身份证明书；由委托代理人签字的，应附联合体协议签订授权委托书（格式自拟）。</w:t>
      </w:r>
    </w:p>
    <w:p w14:paraId="474E173F">
      <w:pPr>
        <w:pStyle w:val="14"/>
        <w:spacing w:line="360" w:lineRule="auto"/>
        <w:contextualSpacing/>
        <w:rPr>
          <w:rFonts w:ascii="宋体" w:hAnsi="宋体" w:cs="宋体"/>
          <w:color w:val="auto"/>
          <w:sz w:val="24"/>
          <w:szCs w:val="24"/>
          <w:highlight w:val="none"/>
        </w:rPr>
      </w:pPr>
    </w:p>
    <w:p w14:paraId="63F65384">
      <w:pPr>
        <w:pStyle w:val="14"/>
        <w:spacing w:line="360" w:lineRule="auto"/>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联合体牵头人名称（盖公章）：</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6FDC86FA">
      <w:pPr>
        <w:pStyle w:val="14"/>
        <w:spacing w:line="360" w:lineRule="auto"/>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法定代表人（单位负责人）或者其委托代理人（签字）：</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B5328AE">
      <w:pPr>
        <w:pStyle w:val="14"/>
        <w:spacing w:line="360" w:lineRule="auto"/>
        <w:contextualSpacing/>
        <w:rPr>
          <w:rFonts w:ascii="宋体" w:hAnsi="宋体" w:cs="宋体"/>
          <w:color w:val="auto"/>
          <w:sz w:val="24"/>
          <w:szCs w:val="24"/>
          <w:highlight w:val="none"/>
        </w:rPr>
      </w:pPr>
    </w:p>
    <w:p w14:paraId="1143A750">
      <w:pPr>
        <w:pStyle w:val="14"/>
        <w:spacing w:line="360" w:lineRule="auto"/>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联合体成员名称（盖公章）：</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41159C5">
      <w:pPr>
        <w:pStyle w:val="14"/>
        <w:spacing w:line="360" w:lineRule="auto"/>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法定代表人（单位负责人）或者其委托代理人（签字）：</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60EE89A">
      <w:pPr>
        <w:pStyle w:val="14"/>
        <w:spacing w:line="360" w:lineRule="auto"/>
        <w:contextualSpacing/>
        <w:rPr>
          <w:rFonts w:ascii="宋体" w:hAnsi="宋体" w:cs="宋体"/>
          <w:color w:val="auto"/>
          <w:sz w:val="24"/>
          <w:szCs w:val="24"/>
          <w:highlight w:val="none"/>
        </w:rPr>
      </w:pPr>
    </w:p>
    <w:p w14:paraId="165D4D0D">
      <w:pPr>
        <w:pStyle w:val="14"/>
        <w:spacing w:line="360" w:lineRule="auto"/>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联合体成员名称（盖公章）：</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3E7375C">
      <w:pPr>
        <w:pStyle w:val="14"/>
        <w:spacing w:line="360" w:lineRule="auto"/>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法定代表人（单位负责人）或者其委托代理人（签字）：</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AAC6863">
      <w:pPr>
        <w:pStyle w:val="14"/>
        <w:spacing w:line="360" w:lineRule="auto"/>
        <w:contextualSpacing/>
        <w:rPr>
          <w:rFonts w:ascii="宋体" w:hAnsi="宋体" w:cs="宋体"/>
          <w:color w:val="auto"/>
          <w:sz w:val="24"/>
          <w:szCs w:val="24"/>
          <w:highlight w:val="none"/>
        </w:rPr>
      </w:pPr>
      <w:r>
        <w:rPr>
          <w:rFonts w:hint="eastAsia" w:ascii="宋体" w:hAnsi="宋体" w:cs="宋体"/>
          <w:color w:val="auto"/>
          <w:sz w:val="24"/>
          <w:szCs w:val="24"/>
          <w:highlight w:val="none"/>
        </w:rPr>
        <w:t>……</w:t>
      </w:r>
    </w:p>
    <w:p w14:paraId="7E2F609A">
      <w:pPr>
        <w:spacing w:line="360" w:lineRule="auto"/>
        <w:ind w:right="480" w:firstLine="240"/>
        <w:contextualSpacing/>
        <w:jc w:val="center"/>
        <w:rPr>
          <w:rFonts w:ascii="宋体" w:hAnsi="宋体" w:cs="宋体"/>
          <w:b/>
          <w:bCs/>
          <w:color w:val="auto"/>
          <w:sz w:val="24"/>
          <w:highlight w:val="none"/>
        </w:rPr>
      </w:pPr>
      <w:r>
        <w:rPr>
          <w:rFonts w:hint="eastAsia" w:ascii="宋体" w:hAnsi="宋体" w:cs="宋体"/>
          <w:color w:val="auto"/>
          <w:sz w:val="24"/>
          <w:highlight w:val="none"/>
        </w:rPr>
        <w:t xml:space="preserve">                                      </w:t>
      </w:r>
      <w:r>
        <w:rPr>
          <w:rFonts w:hint="eastAsia"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日</w:t>
      </w:r>
    </w:p>
    <w:p w14:paraId="54226182">
      <w:pPr>
        <w:spacing w:before="156" w:after="50" w:line="360" w:lineRule="auto"/>
        <w:ind w:right="480"/>
        <w:outlineLvl w:val="1"/>
        <w:rPr>
          <w:rFonts w:ascii="宋体" w:hAnsi="宋体" w:cs="宋体"/>
          <w:b/>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二、</w:t>
      </w:r>
      <w:r>
        <w:rPr>
          <w:rFonts w:hint="eastAsia" w:ascii="宋体" w:hAnsi="宋体" w:cs="宋体"/>
          <w:b/>
          <w:color w:val="auto"/>
          <w:sz w:val="32"/>
          <w:szCs w:val="32"/>
          <w:highlight w:val="none"/>
        </w:rPr>
        <w:t>报价商务技术文件格式</w:t>
      </w:r>
    </w:p>
    <w:p w14:paraId="46EBAFD0">
      <w:pPr>
        <w:spacing w:before="156" w:after="50" w:line="360" w:lineRule="auto"/>
        <w:jc w:val="left"/>
        <w:outlineLvl w:val="2"/>
        <w:rPr>
          <w:rFonts w:ascii="宋体" w:hAnsi="宋体" w:cs="宋体"/>
          <w:b/>
          <w:color w:val="auto"/>
          <w:sz w:val="32"/>
          <w:szCs w:val="32"/>
          <w:highlight w:val="none"/>
        </w:rPr>
      </w:pPr>
      <w:r>
        <w:rPr>
          <w:rFonts w:hint="eastAsia" w:ascii="宋体" w:hAnsi="宋体" w:cs="宋体"/>
          <w:b/>
          <w:color w:val="auto"/>
          <w:sz w:val="32"/>
          <w:szCs w:val="32"/>
          <w:highlight w:val="none"/>
        </w:rPr>
        <w:t>1.报价商务技术文件封面格式</w:t>
      </w:r>
    </w:p>
    <w:p w14:paraId="741566B6">
      <w:pPr>
        <w:spacing w:before="156" w:after="50"/>
        <w:rPr>
          <w:rFonts w:ascii="宋体" w:hAnsi="宋体" w:cs="宋体"/>
          <w:bCs/>
          <w:color w:val="auto"/>
          <w:sz w:val="32"/>
          <w:szCs w:val="20"/>
          <w:highlight w:val="none"/>
        </w:rPr>
      </w:pPr>
      <w:r>
        <w:rPr>
          <w:rFonts w:hint="eastAsia" w:ascii="宋体" w:hAnsi="宋体" w:cs="宋体"/>
          <w:color w:val="auto"/>
          <w:sz w:val="24"/>
          <w:highlight w:val="none"/>
        </w:rPr>
        <w:t xml:space="preserve">                                                   </w:t>
      </w:r>
    </w:p>
    <w:p w14:paraId="6470DD0C">
      <w:pPr>
        <w:spacing w:before="156" w:after="50"/>
        <w:rPr>
          <w:rFonts w:ascii="宋体" w:hAnsi="宋体" w:cs="宋体"/>
          <w:color w:val="auto"/>
          <w:sz w:val="24"/>
          <w:szCs w:val="20"/>
          <w:highlight w:val="none"/>
        </w:rPr>
      </w:pPr>
    </w:p>
    <w:p w14:paraId="207556C0">
      <w:pPr>
        <w:spacing w:before="156" w:after="50"/>
        <w:jc w:val="center"/>
        <w:rPr>
          <w:rFonts w:ascii="宋体" w:hAnsi="宋体" w:cs="宋体"/>
          <w:bCs/>
          <w:color w:val="auto"/>
          <w:sz w:val="84"/>
          <w:szCs w:val="84"/>
          <w:highlight w:val="none"/>
        </w:rPr>
      </w:pPr>
      <w:r>
        <w:rPr>
          <w:rFonts w:hint="eastAsia" w:ascii="宋体" w:hAnsi="宋体" w:cs="宋体"/>
          <w:bCs/>
          <w:color w:val="auto"/>
          <w:sz w:val="84"/>
          <w:szCs w:val="84"/>
          <w:highlight w:val="none"/>
        </w:rPr>
        <w:t>响  应  文  件</w:t>
      </w:r>
    </w:p>
    <w:p w14:paraId="7B583790">
      <w:pPr>
        <w:spacing w:before="156" w:after="50"/>
        <w:jc w:val="center"/>
        <w:rPr>
          <w:rFonts w:ascii="宋体" w:hAnsi="宋体" w:cs="宋体"/>
          <w:bCs/>
          <w:color w:val="auto"/>
          <w:sz w:val="32"/>
          <w:szCs w:val="32"/>
          <w:highlight w:val="none"/>
        </w:rPr>
      </w:pPr>
      <w:r>
        <w:rPr>
          <w:rFonts w:hint="eastAsia" w:ascii="宋体" w:hAnsi="宋体" w:cs="宋体"/>
          <w:bCs/>
          <w:color w:val="auto"/>
          <w:sz w:val="32"/>
          <w:szCs w:val="32"/>
          <w:highlight w:val="none"/>
        </w:rPr>
        <w:t>报  价  商  务  技  术  文  件</w:t>
      </w:r>
    </w:p>
    <w:p w14:paraId="558D1A1E">
      <w:pPr>
        <w:spacing w:before="156" w:after="50"/>
        <w:rPr>
          <w:rFonts w:ascii="宋体" w:hAnsi="宋体" w:cs="宋体"/>
          <w:bCs/>
          <w:color w:val="auto"/>
          <w:sz w:val="24"/>
          <w:szCs w:val="20"/>
          <w:highlight w:val="none"/>
        </w:rPr>
      </w:pPr>
    </w:p>
    <w:p w14:paraId="5D3981C3">
      <w:pPr>
        <w:spacing w:before="156" w:after="50"/>
        <w:rPr>
          <w:rFonts w:ascii="宋体" w:hAnsi="宋体" w:cs="宋体"/>
          <w:bCs/>
          <w:color w:val="auto"/>
          <w:sz w:val="24"/>
          <w:szCs w:val="20"/>
          <w:highlight w:val="none"/>
        </w:rPr>
      </w:pPr>
    </w:p>
    <w:p w14:paraId="0C0929DA">
      <w:pPr>
        <w:spacing w:before="156" w:after="50"/>
        <w:ind w:firstLine="2100"/>
        <w:rPr>
          <w:rFonts w:ascii="宋体" w:hAnsi="宋体" w:cs="宋体"/>
          <w:bCs/>
          <w:color w:val="auto"/>
          <w:sz w:val="24"/>
          <w:szCs w:val="20"/>
          <w:highlight w:val="none"/>
        </w:rPr>
      </w:pPr>
    </w:p>
    <w:p w14:paraId="7EC64CF2">
      <w:pPr>
        <w:spacing w:before="156" w:after="50"/>
        <w:ind w:firstLine="28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0D4448BE">
      <w:pPr>
        <w:spacing w:before="156" w:after="50"/>
        <w:ind w:firstLine="2800"/>
        <w:rPr>
          <w:rFonts w:ascii="宋体" w:hAnsi="宋体" w:cs="宋体"/>
          <w:bCs/>
          <w:color w:val="auto"/>
          <w:sz w:val="32"/>
          <w:szCs w:val="32"/>
          <w:highlight w:val="none"/>
        </w:rPr>
      </w:pPr>
    </w:p>
    <w:p w14:paraId="4C8DFEBD">
      <w:pPr>
        <w:spacing w:before="156" w:after="50"/>
        <w:ind w:firstLine="28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1EC5F039">
      <w:pPr>
        <w:spacing w:before="156" w:after="50"/>
        <w:ind w:firstLine="2800"/>
        <w:rPr>
          <w:rFonts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6C3863DB">
      <w:pPr>
        <w:spacing w:before="156" w:after="50"/>
        <w:ind w:firstLine="2800"/>
        <w:rPr>
          <w:rFonts w:ascii="宋体" w:hAnsi="宋体" w:cs="宋体"/>
          <w:bCs/>
          <w:color w:val="auto"/>
          <w:sz w:val="32"/>
          <w:szCs w:val="32"/>
          <w:highlight w:val="none"/>
        </w:rPr>
      </w:pPr>
      <w:r>
        <w:rPr>
          <w:rFonts w:hint="eastAsia" w:ascii="宋体" w:hAnsi="宋体" w:cs="宋体"/>
          <w:bCs/>
          <w:color w:val="auto"/>
          <w:sz w:val="32"/>
          <w:szCs w:val="32"/>
          <w:highlight w:val="none"/>
        </w:rPr>
        <w:t>所竞分标（如有）：</w:t>
      </w:r>
    </w:p>
    <w:p w14:paraId="55FCA359">
      <w:pPr>
        <w:spacing w:before="156" w:after="50"/>
        <w:ind w:firstLine="2800"/>
        <w:rPr>
          <w:rFonts w:ascii="宋体" w:hAnsi="宋体" w:cs="宋体"/>
          <w:bCs/>
          <w:color w:val="auto"/>
          <w:sz w:val="32"/>
          <w:szCs w:val="32"/>
          <w:highlight w:val="none"/>
        </w:rPr>
      </w:pPr>
    </w:p>
    <w:p w14:paraId="0B43D98E">
      <w:pPr>
        <w:pStyle w:val="14"/>
        <w:spacing w:before="50" w:after="50"/>
        <w:ind w:firstLine="28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4A376486">
      <w:pPr>
        <w:pStyle w:val="14"/>
        <w:spacing w:before="50" w:after="50"/>
        <w:ind w:firstLine="2800"/>
        <w:rPr>
          <w:rFonts w:ascii="宋体" w:hAnsi="宋体" w:cs="宋体"/>
          <w:bCs/>
          <w:color w:val="auto"/>
          <w:sz w:val="32"/>
          <w:szCs w:val="32"/>
          <w:highlight w:val="none"/>
        </w:rPr>
      </w:pPr>
    </w:p>
    <w:p w14:paraId="4E6C6A14">
      <w:pPr>
        <w:pStyle w:val="14"/>
        <w:spacing w:before="50" w:after="50"/>
        <w:ind w:firstLine="1280"/>
        <w:rPr>
          <w:rFonts w:ascii="宋体" w:hAnsi="宋体" w:cs="宋体"/>
          <w:bCs/>
          <w:color w:val="auto"/>
          <w:sz w:val="32"/>
          <w:szCs w:val="32"/>
          <w:highlight w:val="none"/>
        </w:rPr>
      </w:pPr>
    </w:p>
    <w:p w14:paraId="652ADF12">
      <w:pPr>
        <w:spacing w:before="156"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131F2051">
      <w:pPr>
        <w:spacing w:before="156" w:after="50" w:line="360" w:lineRule="auto"/>
        <w:ind w:left="142"/>
        <w:jc w:val="left"/>
        <w:outlineLvl w:val="2"/>
        <w:rPr>
          <w:rFonts w:ascii="宋体" w:hAnsi="宋体" w:cs="宋体"/>
          <w:b/>
          <w:bCs/>
          <w:color w:val="auto"/>
          <w:sz w:val="24"/>
          <w:highlight w:val="none"/>
        </w:rPr>
      </w:pPr>
      <w:r>
        <w:rPr>
          <w:rFonts w:hint="eastAsia" w:ascii="宋体" w:hAnsi="宋体" w:cs="宋体"/>
          <w:b/>
          <w:bCs/>
          <w:color w:val="auto"/>
          <w:sz w:val="32"/>
          <w:szCs w:val="32"/>
          <w:highlight w:val="none"/>
        </w:rPr>
        <w:t>2.报价商务技术文件目录</w:t>
      </w:r>
    </w:p>
    <w:p w14:paraId="0D932830">
      <w:pPr>
        <w:spacing w:before="156" w:after="50" w:line="360" w:lineRule="auto"/>
        <w:ind w:firstLine="640"/>
        <w:rPr>
          <w:rFonts w:ascii="宋体" w:hAnsi="宋体" w:cs="宋体"/>
          <w:color w:val="auto"/>
          <w:sz w:val="32"/>
          <w:szCs w:val="32"/>
          <w:highlight w:val="none"/>
        </w:rPr>
      </w:pPr>
      <w:r>
        <w:rPr>
          <w:rFonts w:hint="eastAsia" w:ascii="宋体" w:hAnsi="宋体" w:cs="宋体"/>
          <w:color w:val="auto"/>
          <w:sz w:val="32"/>
          <w:szCs w:val="32"/>
          <w:highlight w:val="none"/>
        </w:rPr>
        <w:t>根据磋商文件规定及供应商提供的材料自行编写目录（部分格式后附）。</w:t>
      </w:r>
    </w:p>
    <w:p w14:paraId="357B2C99">
      <w:pPr>
        <w:spacing w:line="400" w:lineRule="exact"/>
        <w:rPr>
          <w:rFonts w:ascii="宋体" w:hAnsi="宋体" w:cs="宋体"/>
          <w:color w:val="auto"/>
          <w:sz w:val="32"/>
          <w:szCs w:val="32"/>
          <w:highlight w:val="none"/>
        </w:rPr>
      </w:pPr>
    </w:p>
    <w:p w14:paraId="3BF6C350">
      <w:pPr>
        <w:jc w:val="center"/>
        <w:outlineLvl w:val="1"/>
        <w:rPr>
          <w:rFonts w:ascii="宋体" w:hAnsi="宋体" w:cs="宋体"/>
          <w:b/>
          <w:color w:val="auto"/>
          <w:sz w:val="32"/>
          <w:szCs w:val="32"/>
          <w:highlight w:val="none"/>
        </w:rPr>
      </w:pPr>
      <w:r>
        <w:rPr>
          <w:rFonts w:hint="eastAsia" w:ascii="宋体" w:hAnsi="宋体" w:cs="宋体"/>
          <w:color w:val="auto"/>
          <w:sz w:val="44"/>
          <w:szCs w:val="44"/>
          <w:highlight w:val="none"/>
        </w:rPr>
        <w:br w:type="page"/>
      </w:r>
      <w:r>
        <w:rPr>
          <w:rFonts w:hint="eastAsia" w:ascii="宋体" w:hAnsi="宋体" w:cs="宋体"/>
          <w:b/>
          <w:color w:val="auto"/>
          <w:sz w:val="44"/>
          <w:szCs w:val="44"/>
          <w:highlight w:val="none"/>
        </w:rPr>
        <w:t>无串通参与竞争性磋商行为的承诺函</w:t>
      </w:r>
    </w:p>
    <w:p w14:paraId="38FD31E4">
      <w:pPr>
        <w:spacing w:line="360" w:lineRule="auto"/>
        <w:ind w:firstLine="640"/>
        <w:contextualSpacing/>
        <w:rPr>
          <w:rFonts w:ascii="宋体" w:hAnsi="宋体" w:cs="宋体"/>
          <w:color w:val="auto"/>
          <w:sz w:val="32"/>
          <w:szCs w:val="32"/>
          <w:highlight w:val="none"/>
        </w:rPr>
      </w:pPr>
    </w:p>
    <w:p w14:paraId="13C0528E">
      <w:pPr>
        <w:spacing w:line="360" w:lineRule="auto"/>
        <w:ind w:firstLine="482"/>
        <w:contextualSpacing/>
        <w:outlineLvl w:val="1"/>
        <w:rPr>
          <w:rFonts w:ascii="宋体" w:hAnsi="宋体" w:cs="宋体"/>
          <w:b/>
          <w:bCs/>
          <w:color w:val="auto"/>
          <w:sz w:val="24"/>
          <w:highlight w:val="none"/>
        </w:rPr>
      </w:pPr>
      <w:r>
        <w:rPr>
          <w:rFonts w:hint="eastAsia" w:ascii="宋体" w:hAnsi="宋体" w:cs="宋体"/>
          <w:b/>
          <w:bCs/>
          <w:color w:val="auto"/>
          <w:sz w:val="24"/>
          <w:highlight w:val="none"/>
        </w:rPr>
        <w:t>一、我方承诺无下列相互串通参与</w:t>
      </w:r>
      <w:r>
        <w:rPr>
          <w:rFonts w:hint="eastAsia" w:ascii="宋体" w:hAnsi="宋体" w:cs="宋体"/>
          <w:color w:val="auto"/>
          <w:sz w:val="24"/>
          <w:highlight w:val="none"/>
        </w:rPr>
        <w:t>竞争性磋商</w:t>
      </w:r>
      <w:r>
        <w:rPr>
          <w:rFonts w:hint="eastAsia" w:ascii="宋体" w:hAnsi="宋体" w:cs="宋体"/>
          <w:b/>
          <w:bCs/>
          <w:color w:val="auto"/>
          <w:sz w:val="24"/>
          <w:highlight w:val="none"/>
        </w:rPr>
        <w:t>的情形：</w:t>
      </w:r>
    </w:p>
    <w:p w14:paraId="4FEE0005">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 </w:t>
      </w:r>
    </w:p>
    <w:p w14:paraId="09F72F81">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2.不同供应商委托同一单位或者个人办理参与竞争性磋商事宜；</w:t>
      </w:r>
    </w:p>
    <w:p w14:paraId="0B9AD033">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304A059F">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同供应商的响应文件异常一致或者参与</w:t>
      </w:r>
      <w:r>
        <w:rPr>
          <w:rFonts w:hint="eastAsia" w:ascii="宋体" w:hAnsi="宋体" w:cs="宋体"/>
          <w:color w:val="auto"/>
          <w:sz w:val="24"/>
          <w:highlight w:val="none"/>
        </w:rPr>
        <w:t>竞争性磋商</w:t>
      </w:r>
      <w:r>
        <w:rPr>
          <w:rFonts w:hint="eastAsia" w:ascii="宋体" w:hAnsi="宋体" w:cs="宋体"/>
          <w:color w:val="auto"/>
          <w:spacing w:val="-6"/>
          <w:sz w:val="24"/>
          <w:highlight w:val="none"/>
        </w:rPr>
        <w:t>报价呈规律性差异；</w:t>
      </w:r>
    </w:p>
    <w:p w14:paraId="4D6FC61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621825C7">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p>
    <w:p w14:paraId="0670D522">
      <w:pPr>
        <w:spacing w:line="360" w:lineRule="auto"/>
        <w:ind w:firstLine="482"/>
        <w:contextualSpacing/>
        <w:outlineLvl w:val="1"/>
        <w:rPr>
          <w:rFonts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39088552">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1CD385D6">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747B7910">
      <w:pPr>
        <w:spacing w:line="360" w:lineRule="auto"/>
        <w:ind w:firstLine="480"/>
        <w:contextualSpacing/>
        <w:outlineLvl w:val="2"/>
        <w:rPr>
          <w:rFonts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6D5F84E1">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7BB644D3">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5.供应商之间事先约定一致抬高或者压低竞争性磋商报价，或者在竞争性磋商项目中事先约定轮流以高价位或者低价位成交，或者事先约定由某一特定供应商成交，然后再参加竞争性磋商；</w:t>
      </w:r>
    </w:p>
    <w:p w14:paraId="6B606985">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06B6536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59E21960">
      <w:pPr>
        <w:spacing w:line="360" w:lineRule="auto"/>
        <w:ind w:firstLine="480"/>
        <w:contextualSpacing/>
        <w:rPr>
          <w:rFonts w:ascii="宋体" w:hAnsi="宋体" w:cs="宋体"/>
          <w:color w:val="auto"/>
          <w:sz w:val="24"/>
          <w:highlight w:val="none"/>
        </w:rPr>
      </w:pPr>
    </w:p>
    <w:p w14:paraId="11436569">
      <w:pPr>
        <w:spacing w:line="360" w:lineRule="auto"/>
        <w:ind w:firstLine="482"/>
        <w:contextualSpacing/>
        <w:rPr>
          <w:rFonts w:ascii="宋体" w:hAnsi="宋体" w:cs="宋体"/>
          <w:b/>
          <w:bCs/>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14:paraId="4FF487BD">
      <w:pPr>
        <w:spacing w:line="360" w:lineRule="auto"/>
        <w:contextualSpacing/>
        <w:rPr>
          <w:rFonts w:ascii="宋体" w:hAnsi="宋体" w:cs="宋体"/>
          <w:color w:val="auto"/>
          <w:sz w:val="24"/>
          <w:highlight w:val="none"/>
        </w:rPr>
      </w:pPr>
    </w:p>
    <w:p w14:paraId="6806861A">
      <w:pPr>
        <w:spacing w:line="360" w:lineRule="auto"/>
        <w:ind w:firstLine="5040"/>
        <w:contextualSpacing/>
        <w:rPr>
          <w:rFonts w:ascii="宋体" w:hAnsi="宋体" w:cs="宋体"/>
          <w:color w:val="auto"/>
          <w:sz w:val="24"/>
          <w:highlight w:val="none"/>
          <w:u w:val="singl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5E27A3EA">
      <w:pPr>
        <w:spacing w:line="360" w:lineRule="auto"/>
        <w:ind w:firstLine="480"/>
        <w:contextualSpacing/>
        <w:jc w:val="center"/>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EC08CFB">
      <w:pPr>
        <w:jc w:val="center"/>
        <w:rPr>
          <w:rFonts w:ascii="宋体" w:hAnsi="宋体" w:cs="宋体"/>
          <w:b/>
          <w:bCs/>
          <w:color w:val="auto"/>
          <w:sz w:val="32"/>
          <w:szCs w:val="32"/>
          <w:highlight w:val="none"/>
        </w:rPr>
      </w:pPr>
      <w:r>
        <w:rPr>
          <w:rFonts w:hint="eastAsia" w:ascii="宋体" w:hAnsi="宋体" w:cs="宋体"/>
          <w:bCs/>
          <w:color w:val="auto"/>
          <w:sz w:val="44"/>
          <w:szCs w:val="44"/>
          <w:highlight w:val="none"/>
        </w:rPr>
        <w:br w:type="page"/>
      </w:r>
      <w:r>
        <w:rPr>
          <w:rFonts w:hint="eastAsia" w:ascii="宋体" w:hAnsi="宋体" w:cs="宋体"/>
          <w:b/>
          <w:bCs/>
          <w:color w:val="auto"/>
          <w:sz w:val="44"/>
          <w:szCs w:val="44"/>
          <w:highlight w:val="none"/>
        </w:rPr>
        <w:t>竞争性磋商报价表</w:t>
      </w:r>
    </w:p>
    <w:p w14:paraId="6C6126B4">
      <w:pPr>
        <w:spacing w:line="440" w:lineRule="exact"/>
        <w:jc w:val="center"/>
        <w:rPr>
          <w:rFonts w:ascii="宋体" w:hAnsi="宋体" w:cs="宋体"/>
          <w:bCs/>
          <w:color w:val="auto"/>
          <w:sz w:val="32"/>
          <w:szCs w:val="32"/>
          <w:highlight w:val="none"/>
        </w:rPr>
      </w:pPr>
    </w:p>
    <w:p w14:paraId="4A54047E">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C7CBCE1">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分标（如有）：</w:t>
      </w:r>
      <w:r>
        <w:rPr>
          <w:rFonts w:hint="eastAsia" w:ascii="宋体" w:hAnsi="宋体" w:cs="宋体"/>
          <w:color w:val="auto"/>
          <w:sz w:val="24"/>
          <w:highlight w:val="none"/>
          <w:u w:val="single"/>
        </w:rPr>
        <w:t xml:space="preserve">                                         </w:t>
      </w:r>
    </w:p>
    <w:p w14:paraId="0A03065B">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3AB42515">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 xml:space="preserve">                                                    货币单位：人民币元</w:t>
      </w:r>
    </w:p>
    <w:tbl>
      <w:tblPr>
        <w:tblStyle w:val="45"/>
        <w:tblW w:w="9400" w:type="dxa"/>
        <w:tblInd w:w="-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237"/>
        <w:gridCol w:w="1976"/>
        <w:gridCol w:w="1320"/>
        <w:gridCol w:w="1200"/>
        <w:gridCol w:w="1300"/>
        <w:gridCol w:w="1717"/>
      </w:tblGrid>
      <w:tr w14:paraId="19E7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50" w:type="dxa"/>
            <w:tcBorders>
              <w:top w:val="single" w:color="auto" w:sz="4" w:space="0"/>
              <w:left w:val="single" w:color="auto" w:sz="4" w:space="0"/>
              <w:bottom w:val="single" w:color="auto" w:sz="4" w:space="0"/>
              <w:right w:val="single" w:color="auto" w:sz="4" w:space="0"/>
            </w:tcBorders>
            <w:noWrap w:val="0"/>
            <w:vAlign w:val="center"/>
          </w:tcPr>
          <w:p w14:paraId="39B81F82">
            <w:pPr>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37" w:type="dxa"/>
            <w:tcBorders>
              <w:top w:val="single" w:color="auto" w:sz="4" w:space="0"/>
              <w:left w:val="single" w:color="auto" w:sz="4" w:space="0"/>
              <w:bottom w:val="single" w:color="auto" w:sz="4" w:space="0"/>
              <w:right w:val="single" w:color="auto" w:sz="4" w:space="0"/>
            </w:tcBorders>
            <w:noWrap w:val="0"/>
            <w:vAlign w:val="center"/>
          </w:tcPr>
          <w:p w14:paraId="13A670C4">
            <w:pPr>
              <w:jc w:val="center"/>
              <w:rPr>
                <w:rFonts w:ascii="宋体" w:hAnsi="宋体" w:cs="宋体"/>
                <w:color w:val="auto"/>
                <w:sz w:val="24"/>
                <w:highlight w:val="none"/>
              </w:rPr>
            </w:pPr>
            <w:r>
              <w:rPr>
                <w:rFonts w:hint="eastAsia" w:ascii="宋体" w:hAnsi="宋体" w:cs="宋体"/>
                <w:color w:val="auto"/>
                <w:sz w:val="24"/>
                <w:highlight w:val="none"/>
              </w:rPr>
              <w:t>服务名称</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06DEA428">
            <w:pPr>
              <w:jc w:val="center"/>
              <w:rPr>
                <w:rFonts w:ascii="宋体" w:hAnsi="宋体" w:cs="宋体"/>
                <w:color w:val="auto"/>
                <w:sz w:val="24"/>
                <w:highlight w:val="none"/>
              </w:rPr>
            </w:pPr>
            <w:r>
              <w:rPr>
                <w:rFonts w:hint="eastAsia" w:ascii="宋体" w:hAnsi="宋体" w:cs="宋体"/>
                <w:color w:val="auto"/>
                <w:sz w:val="24"/>
                <w:highlight w:val="none"/>
              </w:rPr>
              <w:t>服务要求</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5298321D">
            <w:pPr>
              <w:jc w:val="center"/>
              <w:rPr>
                <w:rFonts w:ascii="宋体" w:hAnsi="宋体" w:cs="宋体"/>
                <w:color w:val="auto"/>
                <w:sz w:val="24"/>
                <w:highlight w:val="none"/>
              </w:rPr>
            </w:pPr>
            <w:r>
              <w:rPr>
                <w:rFonts w:hint="eastAsia" w:ascii="宋体" w:hAnsi="宋体" w:cs="宋体"/>
                <w:color w:val="auto"/>
                <w:sz w:val="24"/>
                <w:highlight w:val="none"/>
              </w:rPr>
              <w:t>数  量</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6630771">
            <w:pPr>
              <w:jc w:val="center"/>
              <w:rPr>
                <w:rFonts w:ascii="宋体" w:hAnsi="宋体" w:cs="宋体"/>
                <w:color w:val="auto"/>
                <w:sz w:val="24"/>
                <w:highlight w:val="none"/>
              </w:rPr>
            </w:pPr>
            <w:r>
              <w:rPr>
                <w:rFonts w:hint="eastAsia" w:ascii="宋体" w:hAnsi="宋体" w:cs="宋体"/>
                <w:color w:val="auto"/>
                <w:sz w:val="24"/>
                <w:highlight w:val="none"/>
              </w:rPr>
              <w:t>单位</w:t>
            </w:r>
          </w:p>
        </w:tc>
        <w:tc>
          <w:tcPr>
            <w:tcW w:w="1300" w:type="dxa"/>
            <w:tcBorders>
              <w:top w:val="single" w:color="auto" w:sz="4" w:space="0"/>
              <w:left w:val="single" w:color="auto" w:sz="4" w:space="0"/>
              <w:bottom w:val="single" w:color="auto" w:sz="4" w:space="0"/>
              <w:right w:val="single" w:color="auto" w:sz="4" w:space="0"/>
            </w:tcBorders>
            <w:noWrap w:val="0"/>
            <w:vAlign w:val="center"/>
          </w:tcPr>
          <w:p w14:paraId="011EC06C">
            <w:pPr>
              <w:jc w:val="center"/>
              <w:rPr>
                <w:rFonts w:ascii="宋体" w:hAnsi="宋体" w:cs="宋体"/>
                <w:color w:val="auto"/>
                <w:sz w:val="24"/>
                <w:highlight w:val="none"/>
              </w:rPr>
            </w:pPr>
            <w:r>
              <w:rPr>
                <w:rFonts w:hint="eastAsia" w:ascii="宋体" w:hAnsi="宋体" w:cs="宋体"/>
                <w:color w:val="auto"/>
                <w:sz w:val="24"/>
                <w:highlight w:val="none"/>
              </w:rPr>
              <w:t>单  价</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71802B30">
            <w:pPr>
              <w:jc w:val="center"/>
              <w:rPr>
                <w:rFonts w:ascii="宋体" w:hAnsi="宋体" w:cs="宋体"/>
                <w:color w:val="auto"/>
                <w:sz w:val="24"/>
                <w:highlight w:val="none"/>
              </w:rPr>
            </w:pPr>
            <w:r>
              <w:rPr>
                <w:rFonts w:hint="eastAsia" w:ascii="宋体" w:hAnsi="宋体" w:cs="宋体"/>
                <w:color w:val="auto"/>
                <w:sz w:val="24"/>
                <w:highlight w:val="none"/>
              </w:rPr>
              <w:t>单项合计</w:t>
            </w:r>
          </w:p>
        </w:tc>
      </w:tr>
      <w:tr w14:paraId="5B5C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50" w:type="dxa"/>
            <w:tcBorders>
              <w:top w:val="single" w:color="auto" w:sz="4" w:space="0"/>
              <w:left w:val="single" w:color="auto" w:sz="4" w:space="0"/>
              <w:bottom w:val="single" w:color="auto" w:sz="4" w:space="0"/>
              <w:right w:val="single" w:color="auto" w:sz="4" w:space="0"/>
            </w:tcBorders>
            <w:noWrap w:val="0"/>
            <w:vAlign w:val="center"/>
          </w:tcPr>
          <w:p w14:paraId="23D10BC1">
            <w:pPr>
              <w:spacing w:line="360" w:lineRule="auto"/>
              <w:jc w:val="center"/>
              <w:rPr>
                <w:rFonts w:ascii="宋体" w:hAnsi="宋体" w:cs="宋体"/>
                <w:color w:val="auto"/>
                <w:sz w:val="24"/>
                <w:highlight w:val="none"/>
              </w:rPr>
            </w:pPr>
          </w:p>
        </w:tc>
        <w:tc>
          <w:tcPr>
            <w:tcW w:w="1237" w:type="dxa"/>
            <w:tcBorders>
              <w:top w:val="single" w:color="auto" w:sz="4" w:space="0"/>
              <w:left w:val="single" w:color="auto" w:sz="4" w:space="0"/>
              <w:bottom w:val="single" w:color="auto" w:sz="4" w:space="0"/>
              <w:right w:val="single" w:color="auto" w:sz="4" w:space="0"/>
            </w:tcBorders>
            <w:noWrap w:val="0"/>
            <w:vAlign w:val="center"/>
          </w:tcPr>
          <w:p w14:paraId="39B9B648">
            <w:pPr>
              <w:spacing w:line="360" w:lineRule="auto"/>
              <w:jc w:val="center"/>
              <w:rPr>
                <w:rFonts w:ascii="宋体" w:hAnsi="宋体" w:cs="宋体"/>
                <w:color w:val="auto"/>
                <w:sz w:val="24"/>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773A100">
            <w:pPr>
              <w:spacing w:line="360" w:lineRule="auto"/>
              <w:jc w:val="center"/>
              <w:rPr>
                <w:rFonts w:ascii="宋体" w:hAnsi="宋体" w:cs="宋体"/>
                <w:color w:val="auto"/>
                <w:sz w:val="24"/>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67640DB8">
            <w:pPr>
              <w:spacing w:line="360" w:lineRule="auto"/>
              <w:jc w:val="center"/>
              <w:rPr>
                <w:rFonts w:ascii="宋体" w:hAnsi="宋体" w:cs="宋体"/>
                <w:color w:val="auto"/>
                <w:sz w:val="24"/>
                <w:highlight w:val="none"/>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D2E581D">
            <w:pPr>
              <w:spacing w:line="360" w:lineRule="auto"/>
              <w:jc w:val="center"/>
              <w:rPr>
                <w:rFonts w:ascii="宋体" w:hAnsi="宋体" w:cs="宋体"/>
                <w:color w:val="auto"/>
                <w:sz w:val="24"/>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4169E583">
            <w:pPr>
              <w:spacing w:line="360" w:lineRule="auto"/>
              <w:jc w:val="center"/>
              <w:rPr>
                <w:rFonts w:ascii="宋体" w:hAnsi="宋体" w:cs="宋体"/>
                <w:color w:val="auto"/>
                <w:sz w:val="24"/>
                <w:highlight w:val="none"/>
              </w:rPr>
            </w:pPr>
          </w:p>
        </w:tc>
        <w:tc>
          <w:tcPr>
            <w:tcW w:w="1717" w:type="dxa"/>
            <w:tcBorders>
              <w:top w:val="single" w:color="auto" w:sz="4" w:space="0"/>
              <w:left w:val="single" w:color="auto" w:sz="4" w:space="0"/>
              <w:bottom w:val="single" w:color="auto" w:sz="4" w:space="0"/>
              <w:right w:val="single" w:color="auto" w:sz="4" w:space="0"/>
            </w:tcBorders>
            <w:noWrap w:val="0"/>
            <w:vAlign w:val="center"/>
          </w:tcPr>
          <w:p w14:paraId="2ED07054">
            <w:pPr>
              <w:spacing w:line="360" w:lineRule="auto"/>
              <w:jc w:val="center"/>
              <w:rPr>
                <w:rFonts w:ascii="宋体" w:hAnsi="宋体" w:cs="宋体"/>
                <w:color w:val="auto"/>
                <w:sz w:val="24"/>
                <w:highlight w:val="none"/>
              </w:rPr>
            </w:pPr>
          </w:p>
        </w:tc>
      </w:tr>
      <w:tr w14:paraId="6302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trPr>
        <w:tc>
          <w:tcPr>
            <w:tcW w:w="9400" w:type="dxa"/>
            <w:gridSpan w:val="7"/>
            <w:tcBorders>
              <w:top w:val="single" w:color="auto" w:sz="4" w:space="0"/>
              <w:left w:val="single" w:color="auto" w:sz="4" w:space="0"/>
              <w:bottom w:val="single" w:color="auto" w:sz="4" w:space="0"/>
              <w:right w:val="single" w:color="auto" w:sz="4" w:space="0"/>
            </w:tcBorders>
            <w:noWrap w:val="0"/>
            <w:vAlign w:val="center"/>
          </w:tcPr>
          <w:p w14:paraId="065D3C94">
            <w:pPr>
              <w:spacing w:line="360" w:lineRule="auto"/>
              <w:rPr>
                <w:rFonts w:ascii="宋体" w:hAnsi="宋体" w:cs="宋体"/>
                <w:color w:val="auto"/>
                <w:sz w:val="24"/>
                <w:highlight w:val="none"/>
              </w:rPr>
            </w:pPr>
            <w:r>
              <w:rPr>
                <w:rFonts w:hint="eastAsia" w:ascii="宋体" w:hAnsi="宋体" w:cs="宋体"/>
                <w:color w:val="auto"/>
                <w:sz w:val="24"/>
                <w:highlight w:val="none"/>
              </w:rPr>
              <w:t>合计金额（人民币大写）：</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元整</w:t>
            </w:r>
            <w:r>
              <w:rPr>
                <w:rFonts w:ascii="宋体" w:hAnsi="宋体" w:cs="宋体"/>
                <w:color w:val="auto"/>
                <w:sz w:val="24"/>
                <w:highlight w:val="none"/>
                <w:u w:val="single"/>
              </w:rPr>
              <w:t xml:space="preserve">  </w:t>
            </w:r>
            <w:r>
              <w:rPr>
                <w:rFonts w:hint="eastAsia" w:ascii="宋体" w:hAnsi="宋体" w:cs="宋体"/>
                <w:color w:val="auto"/>
                <w:sz w:val="24"/>
                <w:highlight w:val="none"/>
              </w:rPr>
              <w:t>（小写¥</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tc>
      </w:tr>
      <w:tr w14:paraId="440B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9400" w:type="dxa"/>
            <w:gridSpan w:val="7"/>
            <w:tcBorders>
              <w:top w:val="single" w:color="auto" w:sz="4" w:space="0"/>
              <w:left w:val="single" w:color="auto" w:sz="4" w:space="0"/>
              <w:bottom w:val="single" w:color="auto" w:sz="4" w:space="0"/>
              <w:right w:val="single" w:color="auto" w:sz="4" w:space="0"/>
            </w:tcBorders>
            <w:noWrap w:val="0"/>
            <w:vAlign w:val="center"/>
          </w:tcPr>
          <w:p w14:paraId="32C1B13B">
            <w:pPr>
              <w:spacing w:line="360" w:lineRule="auto"/>
              <w:rPr>
                <w:rFonts w:hint="eastAsia" w:ascii="宋体" w:hAnsi="宋体" w:cs="宋体"/>
                <w:color w:val="auto"/>
                <w:sz w:val="24"/>
                <w:highlight w:val="none"/>
              </w:rPr>
            </w:pPr>
            <w:r>
              <w:rPr>
                <w:rFonts w:hint="eastAsia" w:ascii="宋体" w:hAnsi="宋体" w:cs="宋体"/>
                <w:color w:val="auto"/>
                <w:sz w:val="24"/>
                <w:highlight w:val="none"/>
              </w:rPr>
              <w:t>交付时间：</w:t>
            </w:r>
          </w:p>
        </w:tc>
      </w:tr>
      <w:tr w14:paraId="5D6A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9400" w:type="dxa"/>
            <w:gridSpan w:val="7"/>
            <w:tcBorders>
              <w:top w:val="single" w:color="auto" w:sz="4" w:space="0"/>
              <w:left w:val="single" w:color="auto" w:sz="4" w:space="0"/>
              <w:bottom w:val="single" w:color="auto" w:sz="4" w:space="0"/>
              <w:right w:val="single" w:color="auto" w:sz="4" w:space="0"/>
            </w:tcBorders>
            <w:noWrap w:val="0"/>
            <w:vAlign w:val="center"/>
          </w:tcPr>
          <w:p w14:paraId="2B2DFEED">
            <w:pPr>
              <w:spacing w:line="360" w:lineRule="auto"/>
              <w:rPr>
                <w:rFonts w:hint="eastAsia" w:ascii="宋体" w:hAnsi="宋体" w:cs="宋体"/>
                <w:color w:val="auto"/>
                <w:sz w:val="24"/>
                <w:highlight w:val="none"/>
              </w:rPr>
            </w:pPr>
            <w:r>
              <w:rPr>
                <w:rFonts w:hint="eastAsia" w:ascii="宋体" w:hAnsi="宋体" w:cs="宋体"/>
                <w:color w:val="auto"/>
                <w:sz w:val="24"/>
                <w:highlight w:val="none"/>
              </w:rPr>
              <w:t>交付</w:t>
            </w:r>
            <w:r>
              <w:rPr>
                <w:rFonts w:hint="eastAsia" w:ascii="宋体" w:hAnsi="宋体" w:cs="宋体"/>
                <w:color w:val="auto"/>
                <w:sz w:val="24"/>
                <w:highlight w:val="none"/>
                <w:lang w:val="en-US" w:eastAsia="zh-CN"/>
              </w:rPr>
              <w:t>地点</w:t>
            </w:r>
            <w:r>
              <w:rPr>
                <w:rFonts w:hint="eastAsia" w:ascii="宋体" w:hAnsi="宋体" w:cs="宋体"/>
                <w:color w:val="auto"/>
                <w:sz w:val="24"/>
                <w:highlight w:val="none"/>
              </w:rPr>
              <w:t>：</w:t>
            </w:r>
          </w:p>
        </w:tc>
      </w:tr>
    </w:tbl>
    <w:p w14:paraId="63CBC009">
      <w:pPr>
        <w:spacing w:line="360" w:lineRule="auto"/>
        <w:contextualSpacing/>
        <w:jc w:val="left"/>
        <w:rPr>
          <w:rFonts w:ascii="宋体" w:hAnsi="宋体" w:cs="宋体"/>
          <w:color w:val="auto"/>
          <w:sz w:val="24"/>
          <w:highlight w:val="none"/>
        </w:rPr>
      </w:pPr>
    </w:p>
    <w:p w14:paraId="2329CCAA">
      <w:pPr>
        <w:keepNext w:val="0"/>
        <w:keepLines w:val="0"/>
        <w:pageBreakBefore w:val="0"/>
        <w:widowControl w:val="0"/>
        <w:spacing w:line="440" w:lineRule="exact"/>
        <w:contextualSpacing/>
        <w:jc w:val="left"/>
        <w:rPr>
          <w:rFonts w:ascii="楷体" w:hAnsi="楷体" w:eastAsia="楷体" w:cs="宋体"/>
          <w:color w:val="auto"/>
          <w:sz w:val="24"/>
          <w:highlight w:val="none"/>
        </w:rPr>
      </w:pPr>
      <w:r>
        <w:rPr>
          <w:rFonts w:hint="eastAsia" w:ascii="楷体" w:hAnsi="楷体" w:eastAsia="楷体" w:cs="宋体"/>
          <w:color w:val="auto"/>
          <w:sz w:val="24"/>
          <w:highlight w:val="none"/>
        </w:rPr>
        <w:t>注</w:t>
      </w:r>
      <w:r>
        <w:rPr>
          <w:rFonts w:ascii="楷体" w:hAnsi="楷体" w:eastAsia="楷体" w:cs="宋体"/>
          <w:color w:val="auto"/>
          <w:sz w:val="24"/>
          <w:highlight w:val="none"/>
        </w:rPr>
        <w:t xml:space="preserve">: </w:t>
      </w:r>
    </w:p>
    <w:p w14:paraId="647E616E">
      <w:pPr>
        <w:keepNext w:val="0"/>
        <w:keepLines w:val="0"/>
        <w:pageBreakBefore w:val="0"/>
        <w:widowControl w:val="0"/>
        <w:spacing w:line="440" w:lineRule="exact"/>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1.供应商的报价表必须加盖供应商公章并由法定代表人或者委托代理人签字，</w:t>
      </w:r>
      <w:r>
        <w:rPr>
          <w:rFonts w:hint="eastAsia" w:ascii="楷体" w:hAnsi="楷体" w:eastAsia="楷体" w:cs="宋体"/>
          <w:b/>
          <w:color w:val="auto"/>
          <w:sz w:val="24"/>
          <w:highlight w:val="none"/>
        </w:rPr>
        <w:t>否则其响应文件按无效响应处理</w:t>
      </w:r>
      <w:r>
        <w:rPr>
          <w:rFonts w:hint="eastAsia" w:ascii="楷体" w:hAnsi="楷体" w:eastAsia="楷体" w:cs="宋体"/>
          <w:color w:val="auto"/>
          <w:sz w:val="24"/>
          <w:highlight w:val="none"/>
        </w:rPr>
        <w:t>。</w:t>
      </w:r>
    </w:p>
    <w:p w14:paraId="6C331F1F">
      <w:pPr>
        <w:keepNext w:val="0"/>
        <w:keepLines w:val="0"/>
        <w:pageBreakBefore w:val="0"/>
        <w:widowControl w:val="0"/>
        <w:spacing w:line="440" w:lineRule="exact"/>
        <w:ind w:firstLine="480"/>
        <w:contextualSpacing/>
        <w:jc w:val="left"/>
        <w:rPr>
          <w:rFonts w:ascii="楷体" w:hAnsi="楷体" w:eastAsia="楷体" w:cs="宋体"/>
          <w:b/>
          <w:color w:val="auto"/>
          <w:sz w:val="24"/>
          <w:highlight w:val="none"/>
        </w:rPr>
      </w:pPr>
      <w:r>
        <w:rPr>
          <w:rFonts w:ascii="楷体" w:hAnsi="楷体" w:eastAsia="楷体" w:cs="宋体"/>
          <w:bCs/>
          <w:color w:val="auto"/>
          <w:sz w:val="24"/>
          <w:highlight w:val="none"/>
        </w:rPr>
        <w:t>2.</w:t>
      </w:r>
      <w:r>
        <w:rPr>
          <w:rFonts w:hint="eastAsia" w:ascii="楷体" w:hAnsi="楷体" w:eastAsia="楷体" w:cs="宋体"/>
          <w:color w:val="auto"/>
          <w:sz w:val="24"/>
          <w:highlight w:val="none"/>
        </w:rPr>
        <w:t>报价一经涂改，应在涂改处加盖供应商公章或者由法定代表人或者委托代理人签字或者盖章</w:t>
      </w:r>
      <w:r>
        <w:rPr>
          <w:rFonts w:hint="eastAsia" w:ascii="楷体" w:hAnsi="楷体" w:eastAsia="楷体" w:cs="宋体"/>
          <w:b/>
          <w:color w:val="auto"/>
          <w:sz w:val="24"/>
          <w:highlight w:val="none"/>
        </w:rPr>
        <w:t>，否则其响应文件按无效响应处理。</w:t>
      </w:r>
    </w:p>
    <w:p w14:paraId="48C9DD83">
      <w:pPr>
        <w:keepNext w:val="0"/>
        <w:keepLines w:val="0"/>
        <w:pageBreakBefore w:val="0"/>
        <w:widowControl w:val="0"/>
        <w:spacing w:line="440" w:lineRule="exact"/>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3.如为联合体</w:t>
      </w:r>
      <w:r>
        <w:rPr>
          <w:rFonts w:hint="eastAsia" w:ascii="楷体" w:hAnsi="楷体" w:eastAsia="楷体" w:cs="宋体"/>
          <w:color w:val="auto"/>
          <w:sz w:val="24"/>
          <w:highlight w:val="none"/>
        </w:rPr>
        <w:t>参与竞争性磋商，“供应商名称”处必须列明联合体各方名称，标注联合体牵头人名称，</w:t>
      </w:r>
      <w:r>
        <w:rPr>
          <w:rFonts w:hint="eastAsia" w:ascii="楷体" w:hAnsi="楷体" w:eastAsia="楷体" w:cs="宋体"/>
          <w:b/>
          <w:color w:val="auto"/>
          <w:sz w:val="24"/>
          <w:highlight w:val="none"/>
        </w:rPr>
        <w:t>否则其响应文件按无效响应处理。（采购人可根据项目情况自行修改是否需要联合体各方签字盖章）。</w:t>
      </w:r>
    </w:p>
    <w:p w14:paraId="77DD9D4F">
      <w:pPr>
        <w:keepNext w:val="0"/>
        <w:keepLines w:val="0"/>
        <w:pageBreakBefore w:val="0"/>
        <w:widowControl w:val="0"/>
        <w:spacing w:line="440" w:lineRule="exact"/>
        <w:ind w:firstLine="480"/>
        <w:contextualSpacing/>
        <w:jc w:val="left"/>
        <w:rPr>
          <w:rFonts w:ascii="楷体" w:hAnsi="楷体" w:eastAsia="楷体" w:cs="宋体"/>
          <w:color w:val="auto"/>
          <w:sz w:val="24"/>
          <w:highlight w:val="none"/>
        </w:rPr>
      </w:pPr>
      <w:r>
        <w:rPr>
          <w:rFonts w:ascii="楷体" w:hAnsi="楷体" w:eastAsia="楷体" w:cs="宋体"/>
          <w:color w:val="auto"/>
          <w:sz w:val="24"/>
          <w:highlight w:val="none"/>
        </w:rPr>
        <w:t>4.如为联合体</w:t>
      </w:r>
      <w:r>
        <w:rPr>
          <w:rFonts w:hint="eastAsia" w:ascii="楷体" w:hAnsi="楷体" w:eastAsia="楷体" w:cs="宋体"/>
          <w:color w:val="auto"/>
          <w:sz w:val="24"/>
          <w:highlight w:val="none"/>
        </w:rPr>
        <w:t>参与竞争性磋商，盖章处须加盖联合体各方公章，</w:t>
      </w:r>
      <w:bookmarkStart w:id="41" w:name="_Hlk65851776"/>
      <w:r>
        <w:rPr>
          <w:rFonts w:hint="eastAsia" w:ascii="楷体" w:hAnsi="楷体" w:eastAsia="楷体" w:cs="宋体"/>
          <w:b/>
          <w:color w:val="auto"/>
          <w:sz w:val="24"/>
          <w:highlight w:val="none"/>
        </w:rPr>
        <w:t>否则其响应文件按无效响应处理。</w:t>
      </w:r>
      <w:bookmarkEnd w:id="41"/>
      <w:r>
        <w:rPr>
          <w:rFonts w:hint="eastAsia" w:ascii="楷体" w:hAnsi="楷体" w:eastAsia="楷体" w:cs="宋体"/>
          <w:b/>
          <w:color w:val="auto"/>
          <w:sz w:val="24"/>
          <w:highlight w:val="none"/>
        </w:rPr>
        <w:t>（采购人可根据项目情况自行修改是否需要联合体各方签字盖章）。</w:t>
      </w:r>
    </w:p>
    <w:p w14:paraId="27652857">
      <w:pPr>
        <w:keepNext w:val="0"/>
        <w:keepLines w:val="0"/>
        <w:pageBreakBefore w:val="0"/>
        <w:widowControl w:val="0"/>
        <w:spacing w:line="440" w:lineRule="exact"/>
        <w:ind w:firstLine="480"/>
        <w:contextualSpacing/>
        <w:rPr>
          <w:rFonts w:ascii="楷体" w:hAnsi="楷体" w:eastAsia="楷体" w:cs="宋体"/>
          <w:color w:val="auto"/>
          <w:sz w:val="24"/>
          <w:highlight w:val="none"/>
        </w:rPr>
      </w:pPr>
      <w:r>
        <w:rPr>
          <w:rFonts w:ascii="楷体" w:hAnsi="楷体" w:eastAsia="楷体" w:cs="宋体"/>
          <w:color w:val="auto"/>
          <w:sz w:val="24"/>
          <w:highlight w:val="none"/>
        </w:rPr>
        <w:t>5.</w:t>
      </w:r>
      <w:r>
        <w:rPr>
          <w:rFonts w:hint="eastAsia" w:ascii="楷体" w:hAnsi="楷体" w:eastAsia="楷体" w:cs="宋体"/>
          <w:color w:val="auto"/>
          <w:spacing w:val="-6"/>
          <w:sz w:val="24"/>
          <w:highlight w:val="none"/>
        </w:rPr>
        <w:t>如有多分标，分别列明各分标的报价表，</w:t>
      </w:r>
      <w:r>
        <w:rPr>
          <w:rFonts w:hint="eastAsia" w:ascii="楷体" w:hAnsi="楷体" w:eastAsia="楷体" w:cs="宋体"/>
          <w:b/>
          <w:color w:val="auto"/>
          <w:spacing w:val="-6"/>
          <w:sz w:val="24"/>
          <w:highlight w:val="none"/>
        </w:rPr>
        <w:t>否则其响应文件按无效响应处理。</w:t>
      </w:r>
    </w:p>
    <w:p w14:paraId="3F35DBF7">
      <w:pPr>
        <w:spacing w:line="360" w:lineRule="auto"/>
        <w:ind w:right="-817"/>
        <w:contextualSpacing/>
        <w:rPr>
          <w:rFonts w:ascii="宋体" w:hAnsi="宋体" w:cs="宋体"/>
          <w:color w:val="auto"/>
          <w:sz w:val="24"/>
          <w:highlight w:val="none"/>
        </w:rPr>
      </w:pPr>
    </w:p>
    <w:p w14:paraId="0C1C8B77">
      <w:pPr>
        <w:spacing w:line="360" w:lineRule="auto"/>
        <w:ind w:right="-817" w:firstLine="2640"/>
        <w:contextualSpacing/>
        <w:rPr>
          <w:rFonts w:ascii="宋体" w:hAnsi="宋体" w:cs="宋体"/>
          <w:color w:val="auto"/>
          <w:sz w:val="24"/>
          <w:highlight w:val="non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87490F8">
      <w:pPr>
        <w:spacing w:line="360" w:lineRule="auto"/>
        <w:ind w:right="-817" w:firstLine="264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5446A33">
      <w:pPr>
        <w:spacing w:line="360" w:lineRule="auto"/>
        <w:ind w:right="-817" w:firstLine="4080"/>
        <w:contextualSpacing/>
        <w:rPr>
          <w:rFonts w:hint="eastAsia"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B3DF397">
      <w:pPr>
        <w:spacing w:line="360" w:lineRule="auto"/>
        <w:ind w:right="-817"/>
        <w:contextualSpacing/>
        <w:jc w:val="center"/>
        <w:rPr>
          <w:rFonts w:ascii="宋体" w:hAnsi="宋体" w:cs="宋体"/>
          <w:b/>
          <w:color w:val="auto"/>
          <w:sz w:val="32"/>
          <w:szCs w:val="32"/>
          <w:highlight w:val="none"/>
        </w:rPr>
      </w:pPr>
      <w:r>
        <w:rPr>
          <w:rFonts w:hint="eastAsia" w:ascii="宋体" w:hAnsi="宋体" w:cs="宋体"/>
          <w:color w:val="auto"/>
          <w:sz w:val="24"/>
          <w:highlight w:val="none"/>
        </w:rPr>
        <w:br w:type="page"/>
      </w:r>
      <w:bookmarkStart w:id="42" w:name="_Toc71365926"/>
      <w:r>
        <w:rPr>
          <w:rFonts w:hint="eastAsia" w:ascii="宋体" w:hAnsi="宋体" w:cs="宋体"/>
          <w:b/>
          <w:color w:val="auto"/>
          <w:sz w:val="32"/>
          <w:szCs w:val="32"/>
          <w:highlight w:val="none"/>
        </w:rPr>
        <w:t>中小企业声明函（服务）</w:t>
      </w:r>
      <w:bookmarkEnd w:id="42"/>
    </w:p>
    <w:p w14:paraId="44F5D05C">
      <w:pPr>
        <w:spacing w:before="2" w:line="500" w:lineRule="exact"/>
        <w:ind w:firstLine="708"/>
        <w:rPr>
          <w:rFonts w:ascii="宋体" w:hAnsi="宋体" w:cs="宋体"/>
          <w:b/>
          <w:bCs/>
          <w:color w:val="auto"/>
          <w:sz w:val="24"/>
          <w:highlight w:val="none"/>
        </w:rPr>
      </w:pPr>
    </w:p>
    <w:p w14:paraId="10AA90F2">
      <w:pPr>
        <w:pStyle w:val="18"/>
        <w:spacing w:line="500" w:lineRule="exact"/>
        <w:ind w:right="142" w:firstLine="705"/>
        <w:rPr>
          <w:rFonts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采购活动，服务全部由符合政策要求的中小企业承接。相关企业（含联合体中的中小企业、签订分包意向协议的中小企业）的具体情况如下：</w:t>
      </w:r>
    </w:p>
    <w:p w14:paraId="4C417683">
      <w:pPr>
        <w:tabs>
          <w:tab w:val="left" w:pos="1384"/>
          <w:tab w:val="left" w:pos="4562"/>
          <w:tab w:val="left" w:pos="6803"/>
        </w:tabs>
        <w:spacing w:before="13" w:line="500" w:lineRule="exact"/>
        <w:ind w:right="142" w:firstLine="772"/>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149D41B1">
      <w:pPr>
        <w:tabs>
          <w:tab w:val="left" w:pos="1065"/>
          <w:tab w:val="left" w:pos="4262"/>
          <w:tab w:val="left" w:pos="6477"/>
        </w:tabs>
        <w:spacing w:before="20" w:line="500" w:lineRule="exact"/>
        <w:ind w:right="84" w:firstLine="772"/>
        <w:rPr>
          <w:rFonts w:ascii="宋体" w:hAnsi="宋体" w:cs="宋体"/>
          <w:color w:val="auto"/>
          <w:sz w:val="24"/>
          <w:highlight w:val="none"/>
          <w:u w:val="singl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61F77630">
      <w:pPr>
        <w:pStyle w:val="18"/>
        <w:spacing w:before="34" w:line="500" w:lineRule="exact"/>
        <w:ind w:right="142" w:firstLine="705"/>
        <w:rPr>
          <w:rFonts w:ascii="宋体" w:hAnsi="宋体" w:cs="宋体"/>
          <w:color w:val="auto"/>
          <w:sz w:val="24"/>
          <w:highlight w:val="none"/>
        </w:rPr>
      </w:pPr>
      <w:r>
        <w:rPr>
          <w:rFonts w:hint="eastAsia" w:ascii="宋体" w:hAnsi="宋体" w:cs="宋体"/>
          <w:color w:val="auto"/>
          <w:sz w:val="24"/>
          <w:highlight w:val="none"/>
        </w:rPr>
        <w:t xml:space="preserve">…… </w:t>
      </w:r>
    </w:p>
    <w:p w14:paraId="5E45958C">
      <w:pPr>
        <w:pStyle w:val="18"/>
        <w:spacing w:before="34" w:line="500" w:lineRule="exact"/>
        <w:ind w:right="142" w:firstLine="705"/>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2E502831">
      <w:pPr>
        <w:pStyle w:val="18"/>
        <w:spacing w:before="25" w:line="500" w:lineRule="exact"/>
        <w:ind w:right="142" w:firstLine="705"/>
        <w:rPr>
          <w:rFonts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49A26D94">
      <w:pPr>
        <w:pStyle w:val="18"/>
        <w:spacing w:before="56" w:line="500" w:lineRule="exact"/>
        <w:ind w:right="1808" w:firstLine="705"/>
        <w:rPr>
          <w:rFonts w:ascii="宋体" w:hAnsi="宋体" w:cs="宋体"/>
          <w:color w:val="auto"/>
          <w:sz w:val="24"/>
          <w:highlight w:val="none"/>
        </w:rPr>
      </w:pPr>
    </w:p>
    <w:p w14:paraId="16C7ECF5">
      <w:pPr>
        <w:pStyle w:val="18"/>
        <w:spacing w:before="56" w:line="500" w:lineRule="exact"/>
        <w:ind w:right="650" w:firstLine="2400"/>
        <w:rPr>
          <w:rFonts w:ascii="宋体" w:hAnsi="宋体" w:cs="宋体"/>
          <w:color w:val="auto"/>
          <w:sz w:val="24"/>
          <w:highlight w:val="none"/>
          <w:u w:val="single"/>
        </w:rPr>
      </w:pPr>
      <w:r>
        <w:rPr>
          <w:rFonts w:hint="eastAsia" w:ascii="宋体" w:hAnsi="宋体" w:cs="宋体"/>
          <w:color w:val="auto"/>
          <w:sz w:val="24"/>
          <w:highlight w:val="none"/>
        </w:rPr>
        <w:t xml:space="preserve">企业名称（公章）： </w:t>
      </w:r>
      <w:r>
        <w:rPr>
          <w:rFonts w:ascii="宋体" w:hAnsi="宋体" w:cs="宋体"/>
          <w:color w:val="auto"/>
          <w:sz w:val="24"/>
          <w:highlight w:val="none"/>
          <w:u w:val="single"/>
        </w:rPr>
        <w:t xml:space="preserve">                    </w:t>
      </w:r>
    </w:p>
    <w:p w14:paraId="0B3F5C33">
      <w:pPr>
        <w:pStyle w:val="18"/>
        <w:spacing w:before="56" w:line="500" w:lineRule="exact"/>
        <w:ind w:right="1808" w:firstLine="2400"/>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日</w:t>
      </w:r>
    </w:p>
    <w:p w14:paraId="3A318A7B">
      <w:pPr>
        <w:spacing w:line="520" w:lineRule="exact"/>
        <w:jc w:val="left"/>
        <w:rPr>
          <w:rFonts w:ascii="楷体" w:hAnsi="楷体" w:eastAsia="楷体" w:cs="宋体"/>
          <w:color w:val="auto"/>
          <w:sz w:val="24"/>
          <w:highlight w:val="none"/>
        </w:rPr>
      </w:pPr>
      <w:r>
        <w:rPr>
          <w:rFonts w:hint="eastAsia" w:ascii="楷体" w:hAnsi="楷体" w:eastAsia="楷体" w:cs="宋体"/>
          <w:b/>
          <w:color w:val="auto"/>
          <w:sz w:val="24"/>
          <w:highlight w:val="none"/>
        </w:rPr>
        <w:t>注：</w:t>
      </w:r>
      <w:r>
        <w:rPr>
          <w:rFonts w:hint="eastAsia" w:ascii="楷体" w:hAnsi="楷体" w:eastAsia="楷体" w:cs="宋体"/>
          <w:color w:val="auto"/>
          <w:sz w:val="24"/>
          <w:highlight w:val="none"/>
        </w:rPr>
        <w:t>享受《政府采购促进中小企业发展管理办法》（财库〔</w:t>
      </w:r>
      <w:r>
        <w:rPr>
          <w:rFonts w:ascii="楷体" w:hAnsi="楷体" w:eastAsia="楷体" w:cs="宋体"/>
          <w:color w:val="auto"/>
          <w:sz w:val="24"/>
          <w:highlight w:val="none"/>
        </w:rPr>
        <w:t>2020〕46号）规定的中小企业扶持政策的，采购人、采购代理机构应当随成交结果公开成交供应商的《中小企业声明函》。从业人员、营业收入、资产总额填报上一年度数据，无上</w:t>
      </w:r>
      <w:r>
        <w:rPr>
          <w:rFonts w:hint="eastAsia" w:ascii="楷体" w:hAnsi="楷体" w:eastAsia="楷体" w:cs="宋体"/>
          <w:color w:val="auto"/>
          <w:sz w:val="24"/>
          <w:highlight w:val="none"/>
        </w:rPr>
        <w:t>一年度数据的新成立企业可不填报。</w:t>
      </w:r>
    </w:p>
    <w:p w14:paraId="55ACB85C">
      <w:pPr>
        <w:spacing w:line="360" w:lineRule="auto"/>
        <w:rPr>
          <w:rFonts w:ascii="宋体" w:hAnsi="宋体" w:cs="宋体"/>
          <w:color w:val="auto"/>
          <w:sz w:val="21"/>
          <w:szCs w:val="21"/>
          <w:highlight w:val="none"/>
        </w:rPr>
      </w:pPr>
    </w:p>
    <w:p w14:paraId="6A98164B">
      <w:pPr>
        <w:spacing w:line="520" w:lineRule="exact"/>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color w:val="auto"/>
          <w:sz w:val="32"/>
          <w:szCs w:val="32"/>
          <w:highlight w:val="none"/>
        </w:rPr>
        <w:t>残疾人福利性单位声明函</w:t>
      </w:r>
    </w:p>
    <w:p w14:paraId="5754FB1E">
      <w:pPr>
        <w:spacing w:line="360" w:lineRule="auto"/>
        <w:contextualSpacing/>
        <w:rPr>
          <w:rFonts w:ascii="宋体" w:hAnsi="宋体" w:cs="宋体"/>
          <w:color w:val="auto"/>
          <w:sz w:val="32"/>
          <w:szCs w:val="32"/>
          <w:highlight w:val="none"/>
        </w:rPr>
      </w:pPr>
    </w:p>
    <w:p w14:paraId="51DC7704">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5B7B121E">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21F3918F">
      <w:pPr>
        <w:spacing w:line="360" w:lineRule="auto"/>
        <w:contextualSpacing/>
        <w:rPr>
          <w:rFonts w:ascii="宋体" w:hAnsi="宋体" w:cs="宋体"/>
          <w:color w:val="auto"/>
          <w:sz w:val="24"/>
          <w:highlight w:val="none"/>
        </w:rPr>
      </w:pPr>
    </w:p>
    <w:p w14:paraId="6178AEA4">
      <w:pPr>
        <w:spacing w:line="360" w:lineRule="auto"/>
        <w:contextualSpacing/>
        <w:rPr>
          <w:rFonts w:ascii="宋体" w:hAnsi="宋体" w:cs="宋体"/>
          <w:color w:val="auto"/>
          <w:sz w:val="24"/>
          <w:highlight w:val="none"/>
        </w:rPr>
      </w:pPr>
    </w:p>
    <w:p w14:paraId="14FF6A46">
      <w:pPr>
        <w:spacing w:line="360" w:lineRule="auto"/>
        <w:contextualSpacing/>
        <w:rPr>
          <w:rFonts w:ascii="宋体" w:hAnsi="宋体" w:cs="宋体"/>
          <w:color w:val="auto"/>
          <w:sz w:val="24"/>
          <w:highlight w:val="none"/>
        </w:rPr>
      </w:pPr>
    </w:p>
    <w:p w14:paraId="6691A3AF">
      <w:pPr>
        <w:spacing w:line="360" w:lineRule="auto"/>
        <w:ind w:firstLine="2400"/>
        <w:contextualSpacing/>
        <w:rPr>
          <w:rFonts w:ascii="宋体" w:hAnsi="宋体" w:cs="宋体"/>
          <w:color w:val="auto"/>
          <w:sz w:val="24"/>
          <w:highlight w:val="none"/>
          <w:u w:val="single"/>
        </w:rPr>
      </w:pPr>
      <w:r>
        <w:rPr>
          <w:rFonts w:hint="eastAsia" w:ascii="宋体" w:hAnsi="宋体" w:cs="宋体"/>
          <w:color w:val="auto"/>
          <w:sz w:val="24"/>
          <w:highlight w:val="none"/>
        </w:rPr>
        <w:t>单位名称（公章）：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5CED6BD2">
      <w:pPr>
        <w:spacing w:line="360" w:lineRule="auto"/>
        <w:ind w:firstLine="3600"/>
        <w:contextualSpacing/>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日</w:t>
      </w:r>
    </w:p>
    <w:p w14:paraId="34EA1662">
      <w:pPr>
        <w:spacing w:line="360" w:lineRule="auto"/>
        <w:contextualSpacing/>
        <w:rPr>
          <w:rFonts w:ascii="宋体" w:hAnsi="宋体" w:cs="宋体"/>
          <w:color w:val="auto"/>
          <w:sz w:val="24"/>
          <w:highlight w:val="none"/>
        </w:rPr>
      </w:pPr>
    </w:p>
    <w:p w14:paraId="033D7705">
      <w:pPr>
        <w:spacing w:line="360" w:lineRule="auto"/>
        <w:contextualSpacing/>
        <w:rPr>
          <w:rFonts w:ascii="宋体" w:hAnsi="宋体" w:cs="宋体"/>
          <w:color w:val="auto"/>
          <w:sz w:val="24"/>
          <w:highlight w:val="none"/>
        </w:rPr>
      </w:pPr>
    </w:p>
    <w:p w14:paraId="01CC0D88">
      <w:pPr>
        <w:spacing w:line="360" w:lineRule="auto"/>
        <w:contextualSpacing/>
        <w:rPr>
          <w:rFonts w:ascii="宋体" w:hAnsi="宋体" w:cs="宋体"/>
          <w:color w:val="auto"/>
          <w:sz w:val="24"/>
          <w:highlight w:val="none"/>
        </w:rPr>
      </w:pPr>
    </w:p>
    <w:p w14:paraId="5D2429A3">
      <w:pPr>
        <w:spacing w:line="360" w:lineRule="auto"/>
        <w:contextualSpacing/>
        <w:rPr>
          <w:rFonts w:ascii="楷体" w:hAnsi="楷体" w:eastAsia="楷体" w:cs="宋体"/>
          <w:color w:val="auto"/>
          <w:sz w:val="24"/>
          <w:highlight w:val="none"/>
        </w:rPr>
      </w:pPr>
      <w:r>
        <w:rPr>
          <w:rFonts w:hint="eastAsia" w:ascii="楷体" w:hAnsi="楷体" w:eastAsia="楷体" w:cs="宋体"/>
          <w:b/>
          <w:color w:val="auto"/>
          <w:sz w:val="24"/>
          <w:highlight w:val="none"/>
        </w:rPr>
        <w:t>注：</w:t>
      </w:r>
      <w:r>
        <w:rPr>
          <w:rFonts w:hint="eastAsia" w:ascii="楷体" w:hAnsi="楷体" w:eastAsia="楷体" w:cs="宋体"/>
          <w:color w:val="auto"/>
          <w:sz w:val="24"/>
          <w:highlight w:val="none"/>
        </w:rPr>
        <w:t>请根据自己的真实情况出具《残疾人福利性单位声明函》。依法享受中小企业优惠政策的，采购人或者采购代理机构在公告中标结果时，同时公告其《残疾人福利性单位声明函》，接受社会监督。</w:t>
      </w:r>
    </w:p>
    <w:p w14:paraId="677F3CE3">
      <w:pPr>
        <w:spacing w:before="312" w:after="156"/>
        <w:ind w:left="540"/>
        <w:jc w:val="center"/>
        <w:rPr>
          <w:rFonts w:ascii="宋体" w:hAnsi="宋体" w:cs="宋体"/>
          <w:b/>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44"/>
          <w:szCs w:val="44"/>
          <w:highlight w:val="none"/>
        </w:rPr>
        <w:t>法定代表人身份证明</w:t>
      </w:r>
    </w:p>
    <w:p w14:paraId="05BF75A0">
      <w:pPr>
        <w:spacing w:line="360" w:lineRule="auto"/>
        <w:ind w:left="540"/>
        <w:contextualSpacing/>
        <w:rPr>
          <w:rFonts w:ascii="宋体" w:hAnsi="宋体" w:cs="宋体"/>
          <w:color w:val="auto"/>
          <w:sz w:val="32"/>
          <w:szCs w:val="32"/>
          <w:highlight w:val="none"/>
        </w:rPr>
      </w:pPr>
    </w:p>
    <w:p w14:paraId="54403BBC">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003C0508">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3BDFF3E4">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5A4D5990">
      <w:pPr>
        <w:spacing w:line="360" w:lineRule="auto"/>
        <w:ind w:left="540"/>
        <w:contextualSpacing/>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6CBE4CF0">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6316B775">
      <w:pPr>
        <w:spacing w:line="360" w:lineRule="auto"/>
        <w:ind w:firstLine="480"/>
        <w:contextualSpacing/>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1BFFA9FF">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特此证明。</w:t>
      </w:r>
    </w:p>
    <w:p w14:paraId="66261ECD">
      <w:pPr>
        <w:spacing w:line="360" w:lineRule="auto"/>
        <w:ind w:left="540"/>
        <w:contextualSpacing/>
        <w:rPr>
          <w:rFonts w:ascii="宋体" w:hAnsi="宋体" w:cs="宋体"/>
          <w:color w:val="auto"/>
          <w:sz w:val="24"/>
          <w:highlight w:val="none"/>
        </w:rPr>
      </w:pPr>
    </w:p>
    <w:p w14:paraId="263E8A5F">
      <w:pPr>
        <w:spacing w:line="360" w:lineRule="auto"/>
        <w:ind w:left="540"/>
        <w:contextualSpacing/>
        <w:rPr>
          <w:rFonts w:ascii="宋体" w:hAnsi="宋体" w:cs="宋体"/>
          <w:color w:val="auto"/>
          <w:sz w:val="24"/>
          <w:highlight w:val="none"/>
        </w:rPr>
      </w:pPr>
    </w:p>
    <w:p w14:paraId="77DAB254">
      <w:pPr>
        <w:spacing w:line="360" w:lineRule="auto"/>
        <w:ind w:left="540"/>
        <w:contextualSpacing/>
        <w:rPr>
          <w:rFonts w:ascii="宋体" w:hAnsi="宋体" w:cs="宋体"/>
          <w:color w:val="auto"/>
          <w:sz w:val="24"/>
          <w:highlight w:val="none"/>
        </w:rPr>
      </w:pPr>
    </w:p>
    <w:p w14:paraId="2DCD1778">
      <w:pPr>
        <w:spacing w:line="360" w:lineRule="auto"/>
        <w:ind w:left="540"/>
        <w:contextualSpacing/>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2396BD93">
      <w:pPr>
        <w:spacing w:line="360" w:lineRule="auto"/>
        <w:ind w:left="540"/>
        <w:contextualSpacing/>
        <w:rPr>
          <w:rFonts w:ascii="宋体" w:hAnsi="宋体" w:cs="宋体"/>
          <w:color w:val="auto"/>
          <w:sz w:val="24"/>
          <w:highlight w:val="none"/>
        </w:rPr>
      </w:pPr>
    </w:p>
    <w:p w14:paraId="516DDCE0">
      <w:pPr>
        <w:spacing w:line="360" w:lineRule="auto"/>
        <w:ind w:right="960" w:firstLine="4080"/>
        <w:contextualSpacing/>
        <w:rPr>
          <w:rFonts w:ascii="宋体" w:hAnsi="宋体" w:cs="宋体"/>
          <w:color w:val="auto"/>
          <w:sz w:val="24"/>
          <w:highlight w:val="none"/>
          <w:u w:val="singl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6F1AC72B">
      <w:pPr>
        <w:pStyle w:val="33"/>
        <w:rPr>
          <w:rFonts w:ascii="宋体" w:hAnsi="宋体" w:cs="宋体"/>
          <w:color w:val="auto"/>
          <w:highlight w:val="none"/>
        </w:rPr>
      </w:pPr>
    </w:p>
    <w:p w14:paraId="61D40BD7">
      <w:pPr>
        <w:spacing w:line="360" w:lineRule="auto"/>
        <w:ind w:firstLine="4080"/>
        <w:contextualSpacing/>
        <w:rPr>
          <w:rFonts w:ascii="宋体" w:hAnsi="宋体" w:cs="宋体"/>
          <w:color w:val="auto"/>
          <w:sz w:val="24"/>
          <w:highlight w:val="none"/>
        </w:rPr>
      </w:pPr>
      <w:r>
        <w:rPr>
          <w:rFonts w:hint="eastAsia"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5CAEC647">
      <w:pPr>
        <w:spacing w:line="360" w:lineRule="auto"/>
        <w:contextualSpacing/>
        <w:jc w:val="center"/>
        <w:rPr>
          <w:rFonts w:ascii="宋体" w:hAnsi="宋体" w:cs="宋体"/>
          <w:b/>
          <w:color w:val="auto"/>
          <w:sz w:val="24"/>
          <w:highlight w:val="none"/>
        </w:rPr>
      </w:pPr>
    </w:p>
    <w:p w14:paraId="3E2AAA60">
      <w:pPr>
        <w:spacing w:line="360" w:lineRule="auto"/>
        <w:contextualSpacing/>
        <w:jc w:val="left"/>
        <w:rPr>
          <w:rFonts w:ascii="宋体" w:hAnsi="宋体" w:cs="宋体"/>
          <w:color w:val="auto"/>
          <w:sz w:val="24"/>
          <w:highlight w:val="none"/>
        </w:rPr>
      </w:pPr>
    </w:p>
    <w:p w14:paraId="6C0AF15E">
      <w:pPr>
        <w:spacing w:line="360" w:lineRule="auto"/>
        <w:contextualSpacing/>
        <w:jc w:val="left"/>
        <w:rPr>
          <w:rFonts w:ascii="楷体" w:hAnsi="楷体" w:eastAsia="楷体" w:cs="宋体"/>
          <w:color w:val="auto"/>
          <w:sz w:val="24"/>
          <w:highlight w:val="none"/>
        </w:rPr>
      </w:pPr>
      <w:r>
        <w:rPr>
          <w:rFonts w:hint="eastAsia" w:ascii="楷体" w:hAnsi="楷体" w:eastAsia="楷体" w:cs="宋体"/>
          <w:b/>
          <w:color w:val="auto"/>
          <w:sz w:val="24"/>
          <w:highlight w:val="none"/>
        </w:rPr>
        <w:t>注：</w:t>
      </w:r>
      <w:r>
        <w:rPr>
          <w:rFonts w:hint="eastAsia" w:ascii="楷体" w:hAnsi="楷体" w:eastAsia="楷体" w:cs="宋体"/>
          <w:color w:val="auto"/>
          <w:sz w:val="24"/>
          <w:highlight w:val="none"/>
        </w:rPr>
        <w:t>自然人参与竞争性磋商的无需提供，联合体参与竞争性磋商的只需牵头人出具。</w:t>
      </w:r>
    </w:p>
    <w:p w14:paraId="4EE39BA3">
      <w:pPr>
        <w:spacing w:line="300" w:lineRule="auto"/>
        <w:jc w:val="left"/>
        <w:rPr>
          <w:rFonts w:ascii="宋体" w:hAnsi="宋体" w:cs="宋体"/>
          <w:b/>
          <w:color w:val="auto"/>
          <w:sz w:val="21"/>
          <w:szCs w:val="21"/>
          <w:highlight w:val="none"/>
        </w:rPr>
      </w:pPr>
    </w:p>
    <w:p w14:paraId="00D6D50F">
      <w:pPr>
        <w:spacing w:line="500" w:lineRule="exact"/>
        <w:jc w:val="center"/>
        <w:rPr>
          <w:rFonts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color w:val="auto"/>
          <w:sz w:val="44"/>
          <w:szCs w:val="44"/>
          <w:highlight w:val="none"/>
        </w:rPr>
        <w:t xml:space="preserve"> </w:t>
      </w:r>
    </w:p>
    <w:p w14:paraId="5351306E">
      <w:pPr>
        <w:jc w:val="center"/>
        <w:rPr>
          <w:rFonts w:ascii="宋体" w:hAnsi="宋体" w:cs="宋体"/>
          <w:b/>
          <w:color w:val="auto"/>
          <w:sz w:val="44"/>
          <w:szCs w:val="44"/>
          <w:highlight w:val="none"/>
        </w:rPr>
      </w:pPr>
      <w:bookmarkStart w:id="43" w:name="_Hlk65853643"/>
      <w:r>
        <w:rPr>
          <w:rFonts w:hint="eastAsia" w:ascii="宋体" w:hAnsi="宋体" w:cs="宋体"/>
          <w:b/>
          <w:color w:val="auto"/>
          <w:sz w:val="44"/>
          <w:szCs w:val="44"/>
          <w:highlight w:val="none"/>
        </w:rPr>
        <w:t>授权委托书</w:t>
      </w:r>
    </w:p>
    <w:p w14:paraId="5BC89A4D">
      <w:pPr>
        <w:jc w:val="center"/>
        <w:rPr>
          <w:rFonts w:ascii="宋体" w:hAnsi="宋体" w:cs="宋体"/>
          <w:color w:val="auto"/>
          <w:sz w:val="32"/>
          <w:szCs w:val="32"/>
          <w:highlight w:val="none"/>
        </w:rPr>
      </w:pPr>
      <w:r>
        <w:rPr>
          <w:rFonts w:hint="eastAsia" w:ascii="宋体" w:hAnsi="宋体" w:cs="宋体"/>
          <w:color w:val="auto"/>
          <w:sz w:val="32"/>
          <w:szCs w:val="32"/>
          <w:highlight w:val="none"/>
        </w:rPr>
        <w:t>（非联合体参与竞争性磋商格式）</w:t>
      </w:r>
    </w:p>
    <w:p w14:paraId="304595E4">
      <w:pPr>
        <w:jc w:val="center"/>
        <w:rPr>
          <w:rFonts w:ascii="宋体" w:hAnsi="宋体" w:cs="宋体"/>
          <w:color w:val="auto"/>
          <w:sz w:val="44"/>
          <w:szCs w:val="44"/>
          <w:highlight w:val="none"/>
        </w:rPr>
      </w:pPr>
      <w:r>
        <w:rPr>
          <w:rFonts w:hint="eastAsia" w:ascii="宋体" w:hAnsi="宋体" w:cs="宋体"/>
          <w:color w:val="auto"/>
          <w:sz w:val="32"/>
          <w:szCs w:val="32"/>
          <w:highlight w:val="none"/>
        </w:rPr>
        <w:t>（如有委托时）</w:t>
      </w:r>
    </w:p>
    <w:p w14:paraId="1245366B">
      <w:pPr>
        <w:spacing w:line="520" w:lineRule="exact"/>
        <w:rPr>
          <w:rFonts w:ascii="宋体" w:hAnsi="宋体" w:cs="宋体"/>
          <w:color w:val="auto"/>
          <w:sz w:val="32"/>
          <w:szCs w:val="32"/>
          <w:highlight w:val="none"/>
        </w:rPr>
      </w:pPr>
    </w:p>
    <w:p w14:paraId="5B922DC1">
      <w:pPr>
        <w:spacing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612D59B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项目的竞争性磋商活动，并代表我方全权办理针对上述项目的所有采购程序和环节的具体事务和签署相关文件。</w:t>
      </w:r>
    </w:p>
    <w:p w14:paraId="1BAF8B42">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461A7DE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1353435F">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5649990E">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附：委托代理人有效身份证正反面复印件</w:t>
      </w:r>
    </w:p>
    <w:p w14:paraId="1E0D6656">
      <w:pPr>
        <w:spacing w:line="360" w:lineRule="auto"/>
        <w:rPr>
          <w:rFonts w:ascii="宋体" w:hAnsi="宋体" w:cs="宋体"/>
          <w:color w:val="auto"/>
          <w:sz w:val="24"/>
          <w:highlight w:val="none"/>
        </w:rPr>
      </w:pPr>
    </w:p>
    <w:p w14:paraId="6D892FBA">
      <w:pPr>
        <w:spacing w:line="360" w:lineRule="auto"/>
        <w:rPr>
          <w:rFonts w:ascii="宋体" w:hAnsi="宋体" w:cs="宋体"/>
          <w:color w:val="auto"/>
          <w:sz w:val="24"/>
          <w:highlight w:val="none"/>
        </w:rPr>
      </w:pPr>
      <w:r>
        <w:rPr>
          <w:rFonts w:hint="eastAsia" w:ascii="宋体" w:hAnsi="宋体" w:cs="宋体"/>
          <w:color w:val="auto"/>
          <w:sz w:val="24"/>
          <w:highlight w:val="none"/>
        </w:rPr>
        <w:t>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法定代表人（签字）：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5CF8420">
      <w:pPr>
        <w:spacing w:line="360" w:lineRule="auto"/>
        <w:rPr>
          <w:rFonts w:ascii="宋体" w:hAnsi="宋体" w:cs="宋体"/>
          <w:color w:val="auto"/>
          <w:sz w:val="24"/>
          <w:highlight w:val="none"/>
        </w:rPr>
      </w:pPr>
      <w:r>
        <w:rPr>
          <w:rFonts w:hint="eastAsia" w:ascii="宋体" w:hAnsi="宋体" w:cs="宋体"/>
          <w:color w:val="auto"/>
          <w:sz w:val="24"/>
          <w:highlight w:val="none"/>
        </w:rPr>
        <w:t>委托代理人身份证号码：</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F3D861A">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2A13773F">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FDF8306">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42AD275F">
      <w:pPr>
        <w:spacing w:line="360" w:lineRule="auto"/>
        <w:rPr>
          <w:rFonts w:ascii="宋体" w:hAnsi="宋体" w:cs="宋体"/>
          <w:color w:val="auto"/>
          <w:sz w:val="24"/>
          <w:highlight w:val="none"/>
        </w:rPr>
      </w:pPr>
    </w:p>
    <w:p w14:paraId="23EE3752">
      <w:pPr>
        <w:spacing w:line="360" w:lineRule="auto"/>
        <w:rPr>
          <w:rFonts w:ascii="楷体" w:hAnsi="楷体" w:eastAsia="楷体" w:cs="宋体"/>
          <w:color w:val="auto"/>
          <w:sz w:val="24"/>
          <w:highlight w:val="none"/>
        </w:rPr>
      </w:pPr>
      <w:r>
        <w:rPr>
          <w:rFonts w:hint="eastAsia" w:ascii="楷体" w:hAnsi="楷体" w:eastAsia="楷体" w:cs="宋体"/>
          <w:b/>
          <w:color w:val="auto"/>
          <w:sz w:val="24"/>
          <w:highlight w:val="none"/>
        </w:rPr>
        <w:t>注：</w:t>
      </w:r>
      <w:r>
        <w:rPr>
          <w:rFonts w:ascii="楷体" w:hAnsi="楷体" w:eastAsia="楷体" w:cs="宋体"/>
          <w:color w:val="auto"/>
          <w:sz w:val="24"/>
          <w:highlight w:val="none"/>
        </w:rPr>
        <w:t>1.</w:t>
      </w:r>
      <w:r>
        <w:rPr>
          <w:rFonts w:hint="eastAsia" w:ascii="楷体" w:hAnsi="楷体" w:eastAsia="楷体" w:cs="宋体"/>
          <w:color w:val="auto"/>
          <w:sz w:val="24"/>
          <w:highlight w:val="none"/>
        </w:rPr>
        <w:t>法定代表人必须在授权委托书上亲笔签字，委托代理人必须在授权委托书上亲笔签字，</w:t>
      </w:r>
      <w:r>
        <w:rPr>
          <w:rFonts w:hint="eastAsia" w:ascii="楷体" w:hAnsi="楷体" w:eastAsia="楷体" w:cs="宋体"/>
          <w:b/>
          <w:color w:val="auto"/>
          <w:sz w:val="24"/>
          <w:highlight w:val="none"/>
        </w:rPr>
        <w:t>否则其响应文件按无效响应处理。</w:t>
      </w:r>
    </w:p>
    <w:p w14:paraId="06FADF3F">
      <w:pPr>
        <w:spacing w:line="360" w:lineRule="auto"/>
        <w:ind w:firstLine="480"/>
        <w:jc w:val="left"/>
        <w:rPr>
          <w:rFonts w:ascii="楷体" w:hAnsi="楷体" w:eastAsia="楷体" w:cs="宋体"/>
          <w:color w:val="auto"/>
          <w:sz w:val="24"/>
          <w:highlight w:val="none"/>
        </w:rPr>
      </w:pPr>
      <w:r>
        <w:rPr>
          <w:rFonts w:ascii="楷体" w:hAnsi="楷体" w:eastAsia="楷体" w:cs="宋体"/>
          <w:color w:val="auto"/>
          <w:sz w:val="24"/>
          <w:highlight w:val="none"/>
        </w:rPr>
        <w:t>2.</w:t>
      </w:r>
      <w:bookmarkStart w:id="44" w:name="_Hlk65853542"/>
      <w:bookmarkStart w:id="45" w:name="_Hlk65853109"/>
      <w:r>
        <w:rPr>
          <w:rFonts w:hint="eastAsia" w:ascii="楷体" w:hAnsi="楷体" w:eastAsia="楷体" w:cs="宋体"/>
          <w:color w:val="auto"/>
          <w:sz w:val="24"/>
          <w:highlight w:val="none"/>
        </w:rPr>
        <w:t>法人、其他组织参与竞争性磋商时“我方”是指“我单位”，自然人参与竞争性磋商时“我方”是指“本人”。</w:t>
      </w:r>
      <w:bookmarkEnd w:id="44"/>
      <w:bookmarkEnd w:id="45"/>
    </w:p>
    <w:p w14:paraId="4DC29B17">
      <w:pPr>
        <w:spacing w:line="360" w:lineRule="auto"/>
        <w:ind w:firstLine="420"/>
        <w:jc w:val="left"/>
        <w:rPr>
          <w:rFonts w:ascii="宋体" w:hAnsi="宋体" w:cs="宋体"/>
          <w:color w:val="auto"/>
          <w:sz w:val="21"/>
          <w:szCs w:val="21"/>
          <w:highlight w:val="none"/>
        </w:rPr>
      </w:pPr>
    </w:p>
    <w:p w14:paraId="061C7B48">
      <w:pPr>
        <w:jc w:val="center"/>
        <w:rPr>
          <w:rFonts w:ascii="宋体" w:hAnsi="宋体" w:cs="宋体"/>
          <w:b/>
          <w:color w:val="auto"/>
          <w:sz w:val="44"/>
          <w:szCs w:val="44"/>
          <w:highlight w:val="none"/>
        </w:rPr>
      </w:pPr>
      <w:r>
        <w:rPr>
          <w:rFonts w:hint="eastAsia" w:ascii="宋体" w:hAnsi="宋体" w:cs="宋体"/>
          <w:color w:val="auto"/>
          <w:sz w:val="21"/>
          <w:szCs w:val="21"/>
          <w:highlight w:val="none"/>
        </w:rPr>
        <w:br w:type="page"/>
      </w:r>
      <w:r>
        <w:rPr>
          <w:rFonts w:hint="eastAsia" w:ascii="宋体" w:hAnsi="宋体" w:cs="宋体"/>
          <w:b/>
          <w:color w:val="auto"/>
          <w:sz w:val="44"/>
          <w:szCs w:val="44"/>
          <w:highlight w:val="none"/>
        </w:rPr>
        <w:t>授权委托书</w:t>
      </w:r>
    </w:p>
    <w:p w14:paraId="28AF25D7">
      <w:pPr>
        <w:jc w:val="center"/>
        <w:rPr>
          <w:rFonts w:ascii="宋体" w:hAnsi="宋体" w:cs="宋体"/>
          <w:color w:val="auto"/>
          <w:sz w:val="32"/>
          <w:szCs w:val="32"/>
          <w:highlight w:val="none"/>
        </w:rPr>
      </w:pPr>
      <w:r>
        <w:rPr>
          <w:rFonts w:hint="eastAsia" w:ascii="宋体" w:hAnsi="宋体" w:cs="宋体"/>
          <w:color w:val="auto"/>
          <w:sz w:val="32"/>
          <w:szCs w:val="32"/>
          <w:highlight w:val="none"/>
        </w:rPr>
        <w:t>（联合体参与竞争性磋商格式）</w:t>
      </w:r>
    </w:p>
    <w:p w14:paraId="2F52E079">
      <w:pPr>
        <w:jc w:val="center"/>
        <w:rPr>
          <w:rFonts w:ascii="宋体" w:hAnsi="宋体" w:cs="宋体"/>
          <w:color w:val="auto"/>
          <w:sz w:val="44"/>
          <w:szCs w:val="44"/>
          <w:highlight w:val="none"/>
        </w:rPr>
      </w:pPr>
      <w:r>
        <w:rPr>
          <w:rFonts w:hint="eastAsia" w:ascii="宋体" w:hAnsi="宋体" w:cs="宋体"/>
          <w:color w:val="auto"/>
          <w:sz w:val="32"/>
          <w:szCs w:val="32"/>
          <w:highlight w:val="none"/>
        </w:rPr>
        <w:t>（如有委托时）</w:t>
      </w:r>
    </w:p>
    <w:p w14:paraId="4965A49F">
      <w:pPr>
        <w:spacing w:line="500" w:lineRule="exact"/>
        <w:jc w:val="center"/>
        <w:rPr>
          <w:rFonts w:ascii="宋体" w:hAnsi="宋体" w:cs="宋体"/>
          <w:color w:val="auto"/>
          <w:sz w:val="44"/>
          <w:szCs w:val="44"/>
          <w:highlight w:val="none"/>
        </w:rPr>
      </w:pPr>
    </w:p>
    <w:p w14:paraId="4714731D">
      <w:pPr>
        <w:spacing w:line="500" w:lineRule="exact"/>
        <w:jc w:val="center"/>
        <w:rPr>
          <w:rFonts w:ascii="宋体" w:hAnsi="宋体" w:cs="宋体"/>
          <w:color w:val="auto"/>
          <w:sz w:val="32"/>
          <w:szCs w:val="32"/>
          <w:highlight w:val="none"/>
        </w:rPr>
      </w:pPr>
    </w:p>
    <w:p w14:paraId="6D2593D8">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本授权委托书声明：根据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（联合体其他成员名称）签订的《联合体参与竞争性磋商协议书》的内容，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（牵头人名称）的法定代表人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（姓名）现授权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（姓名）为联合委托代理人，并代表我方全权办理针对上述项目的所有采购程序和环节的具体事务和签署相关文件。</w:t>
      </w:r>
    </w:p>
    <w:p w14:paraId="3389EC7A">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599FA4D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3BC9647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753E68AA">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附：法定代表人身份证明及委托代理人有效身份证正反面复印件</w:t>
      </w:r>
    </w:p>
    <w:p w14:paraId="16C0D9D2">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牵头人法定代表人（签字或者盖章）：</w:t>
      </w:r>
    </w:p>
    <w:p w14:paraId="390DDC90">
      <w:pPr>
        <w:spacing w:line="360" w:lineRule="auto"/>
        <w:ind w:firstLine="3120"/>
        <w:rPr>
          <w:rFonts w:ascii="宋体" w:hAnsi="宋体" w:cs="宋体"/>
          <w:color w:val="auto"/>
          <w:sz w:val="24"/>
          <w:highlight w:val="none"/>
          <w:u w:val="single"/>
        </w:rPr>
      </w:pPr>
      <w:r>
        <w:rPr>
          <w:rFonts w:hint="eastAsia" w:ascii="宋体" w:hAnsi="宋体" w:cs="宋体"/>
          <w:color w:val="auto"/>
          <w:sz w:val="24"/>
          <w:highlight w:val="none"/>
        </w:rPr>
        <w:t>牵头人（公章）：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082A9185">
      <w:pPr>
        <w:spacing w:line="360" w:lineRule="auto"/>
        <w:ind w:firstLine="3840"/>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47BC6737">
      <w:pPr>
        <w:spacing w:line="360" w:lineRule="auto"/>
        <w:rPr>
          <w:rFonts w:ascii="宋体" w:hAnsi="宋体" w:cs="宋体"/>
          <w:color w:val="auto"/>
          <w:sz w:val="24"/>
          <w:highlight w:val="none"/>
        </w:rPr>
      </w:pPr>
    </w:p>
    <w:p w14:paraId="150A6413">
      <w:pPr>
        <w:spacing w:line="360" w:lineRule="auto"/>
        <w:ind w:firstLine="3120"/>
        <w:rPr>
          <w:rFonts w:ascii="宋体" w:hAnsi="宋体" w:cs="宋体"/>
          <w:color w:val="auto"/>
          <w:sz w:val="24"/>
          <w:highlight w:val="none"/>
          <w:u w:val="single"/>
        </w:rPr>
      </w:pPr>
      <w:r>
        <w:rPr>
          <w:rFonts w:hint="eastAsia" w:ascii="宋体" w:hAnsi="宋体" w:cs="宋体"/>
          <w:color w:val="auto"/>
          <w:sz w:val="24"/>
          <w:highlight w:val="none"/>
        </w:rPr>
        <w:t>被授权人（签字）：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5E316E9F">
      <w:pPr>
        <w:spacing w:line="360" w:lineRule="auto"/>
        <w:ind w:firstLine="3840"/>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2C79F75">
      <w:pPr>
        <w:spacing w:line="360" w:lineRule="auto"/>
        <w:rPr>
          <w:rFonts w:ascii="宋体" w:hAnsi="宋体" w:cs="宋体"/>
          <w:color w:val="auto"/>
          <w:sz w:val="24"/>
          <w:highlight w:val="none"/>
        </w:rPr>
      </w:pPr>
    </w:p>
    <w:p w14:paraId="12DF9C8F">
      <w:pPr>
        <w:spacing w:line="360" w:lineRule="auto"/>
        <w:rPr>
          <w:rFonts w:ascii="楷体" w:hAnsi="楷体" w:eastAsia="楷体" w:cs="宋体"/>
          <w:color w:val="auto"/>
          <w:sz w:val="24"/>
          <w:highlight w:val="none"/>
        </w:rPr>
      </w:pPr>
      <w:r>
        <w:rPr>
          <w:rFonts w:hint="eastAsia" w:ascii="楷体" w:hAnsi="楷体" w:eastAsia="楷体" w:cs="宋体"/>
          <w:b/>
          <w:color w:val="auto"/>
          <w:sz w:val="24"/>
          <w:highlight w:val="none"/>
        </w:rPr>
        <w:t>注：</w:t>
      </w:r>
      <w:r>
        <w:rPr>
          <w:rFonts w:ascii="楷体" w:hAnsi="楷体" w:eastAsia="楷体" w:cs="宋体"/>
          <w:color w:val="auto"/>
          <w:sz w:val="24"/>
          <w:highlight w:val="none"/>
        </w:rPr>
        <w:t>1.</w:t>
      </w:r>
      <w:r>
        <w:rPr>
          <w:rFonts w:hint="eastAsia" w:ascii="楷体" w:hAnsi="楷体" w:eastAsia="楷体" w:cs="宋体"/>
          <w:color w:val="auto"/>
          <w:sz w:val="24"/>
          <w:highlight w:val="none"/>
        </w:rPr>
        <w:t>法定代表人必须在授权委托书上亲笔签字，委托代理人必须在授权委托书上亲笔签字，</w:t>
      </w:r>
      <w:r>
        <w:rPr>
          <w:rFonts w:hint="eastAsia" w:ascii="楷体" w:hAnsi="楷体" w:eastAsia="楷体" w:cs="宋体"/>
          <w:b/>
          <w:color w:val="auto"/>
          <w:sz w:val="24"/>
          <w:highlight w:val="none"/>
        </w:rPr>
        <w:t>否则其响应文件按无效响应处理。</w:t>
      </w:r>
    </w:p>
    <w:p w14:paraId="1BCDC662">
      <w:pPr>
        <w:spacing w:line="360" w:lineRule="auto"/>
        <w:ind w:firstLine="480"/>
        <w:jc w:val="left"/>
        <w:outlineLvl w:val="2"/>
        <w:rPr>
          <w:rFonts w:ascii="楷体" w:hAnsi="楷体" w:eastAsia="楷体" w:cs="宋体"/>
          <w:color w:val="auto"/>
          <w:sz w:val="24"/>
          <w:highlight w:val="none"/>
        </w:rPr>
      </w:pPr>
      <w:r>
        <w:rPr>
          <w:rFonts w:ascii="楷体" w:hAnsi="楷体" w:eastAsia="楷体" w:cs="宋体"/>
          <w:color w:val="auto"/>
          <w:sz w:val="24"/>
          <w:highlight w:val="none"/>
        </w:rPr>
        <w:t>2.本授权委托书应由联合体牵头人的法定代表人按上述规定签署。</w:t>
      </w:r>
    </w:p>
    <w:p w14:paraId="6B7A631C">
      <w:pPr>
        <w:spacing w:line="360" w:lineRule="auto"/>
        <w:ind w:firstLine="480"/>
        <w:jc w:val="left"/>
        <w:rPr>
          <w:rFonts w:ascii="楷体" w:hAnsi="楷体" w:eastAsia="楷体" w:cs="宋体"/>
          <w:color w:val="auto"/>
          <w:spacing w:val="-11"/>
          <w:sz w:val="24"/>
          <w:highlight w:val="none"/>
        </w:rPr>
      </w:pPr>
      <w:r>
        <w:rPr>
          <w:rFonts w:ascii="楷体" w:hAnsi="楷体" w:eastAsia="楷体" w:cs="宋体"/>
          <w:color w:val="auto"/>
          <w:sz w:val="24"/>
          <w:highlight w:val="none"/>
        </w:rPr>
        <w:t>3.</w:t>
      </w:r>
      <w:r>
        <w:rPr>
          <w:rFonts w:hint="eastAsia" w:ascii="楷体" w:hAnsi="楷体" w:eastAsia="楷体" w:cs="宋体"/>
          <w:color w:val="auto"/>
          <w:spacing w:val="-11"/>
          <w:sz w:val="24"/>
          <w:highlight w:val="none"/>
        </w:rPr>
        <w:t>法人、其他组织</w:t>
      </w:r>
      <w:r>
        <w:rPr>
          <w:rFonts w:hint="eastAsia" w:ascii="楷体" w:hAnsi="楷体" w:eastAsia="楷体" w:cs="宋体"/>
          <w:color w:val="auto"/>
          <w:sz w:val="24"/>
          <w:highlight w:val="none"/>
        </w:rPr>
        <w:t>参与竞争性磋商</w:t>
      </w:r>
      <w:r>
        <w:rPr>
          <w:rFonts w:hint="eastAsia" w:ascii="楷体" w:hAnsi="楷体" w:eastAsia="楷体" w:cs="宋体"/>
          <w:color w:val="auto"/>
          <w:spacing w:val="-11"/>
          <w:sz w:val="24"/>
          <w:highlight w:val="none"/>
        </w:rPr>
        <w:t>时“我方”是指“我单位”，自然人</w:t>
      </w:r>
      <w:r>
        <w:rPr>
          <w:rFonts w:hint="eastAsia" w:ascii="楷体" w:hAnsi="楷体" w:eastAsia="楷体" w:cs="宋体"/>
          <w:color w:val="auto"/>
          <w:sz w:val="24"/>
          <w:highlight w:val="none"/>
        </w:rPr>
        <w:t>参与竞争性磋商</w:t>
      </w:r>
      <w:r>
        <w:rPr>
          <w:rFonts w:hint="eastAsia" w:ascii="楷体" w:hAnsi="楷体" w:eastAsia="楷体" w:cs="宋体"/>
          <w:color w:val="auto"/>
          <w:spacing w:val="-11"/>
          <w:sz w:val="24"/>
          <w:highlight w:val="none"/>
        </w:rPr>
        <w:t>时“我方”是指“本人”。</w:t>
      </w:r>
      <w:bookmarkEnd w:id="43"/>
    </w:p>
    <w:p w14:paraId="3120B185">
      <w:pPr>
        <w:jc w:val="center"/>
        <w:rPr>
          <w:rFonts w:ascii="宋体" w:hAnsi="宋体" w:cs="宋体"/>
          <w:bCs/>
          <w:color w:val="auto"/>
          <w:sz w:val="44"/>
          <w:szCs w:val="44"/>
          <w:highlight w:val="none"/>
        </w:rPr>
      </w:pPr>
      <w:r>
        <w:rPr>
          <w:rFonts w:hint="eastAsia" w:ascii="宋体" w:hAnsi="宋体" w:cs="宋体"/>
          <w:color w:val="auto"/>
          <w:sz w:val="32"/>
          <w:szCs w:val="32"/>
          <w:highlight w:val="none"/>
        </w:rPr>
        <w:br w:type="page"/>
      </w:r>
      <w:r>
        <w:rPr>
          <w:rFonts w:hint="eastAsia" w:ascii="宋体" w:hAnsi="宋体" w:cs="宋体"/>
          <w:b/>
          <w:bCs/>
          <w:color w:val="auto"/>
          <w:sz w:val="44"/>
          <w:szCs w:val="44"/>
          <w:highlight w:val="none"/>
        </w:rPr>
        <w:t>商务要求偏离表</w:t>
      </w:r>
      <w:r>
        <w:rPr>
          <w:rFonts w:hint="eastAsia" w:ascii="宋体" w:hAnsi="宋体" w:cs="宋体"/>
          <w:bCs/>
          <w:color w:val="auto"/>
          <w:sz w:val="44"/>
          <w:szCs w:val="44"/>
          <w:highlight w:val="none"/>
        </w:rPr>
        <w:t>（格式）</w:t>
      </w:r>
    </w:p>
    <w:p w14:paraId="1B917D30">
      <w:pPr>
        <w:jc w:val="center"/>
        <w:outlineLvl w:val="3"/>
        <w:rPr>
          <w:rFonts w:ascii="宋体" w:hAnsi="宋体" w:cs="宋体"/>
          <w:bCs/>
          <w:color w:val="auto"/>
          <w:sz w:val="36"/>
          <w:szCs w:val="36"/>
          <w:highlight w:val="none"/>
        </w:rPr>
      </w:pPr>
      <w:r>
        <w:rPr>
          <w:rFonts w:hint="eastAsia" w:ascii="宋体" w:hAnsi="宋体" w:cs="宋体"/>
          <w:bCs/>
          <w:color w:val="auto"/>
          <w:sz w:val="36"/>
          <w:szCs w:val="36"/>
          <w:highlight w:val="none"/>
        </w:rPr>
        <w:t>（注：按采购需求具体条款修改）</w:t>
      </w:r>
    </w:p>
    <w:p w14:paraId="0FF6B772">
      <w:pPr>
        <w:spacing w:line="360" w:lineRule="auto"/>
        <w:contextualSpacing/>
        <w:jc w:val="left"/>
        <w:rPr>
          <w:rFonts w:ascii="宋体" w:hAnsi="宋体" w:cs="宋体"/>
          <w:color w:val="auto"/>
          <w:sz w:val="24"/>
          <w:highlight w:val="none"/>
        </w:rPr>
      </w:pPr>
    </w:p>
    <w:p w14:paraId="3D5EBBDF">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4225BEC5">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4155DFC3">
      <w:pPr>
        <w:spacing w:line="360" w:lineRule="auto"/>
        <w:contextualSpacing/>
        <w:rPr>
          <w:rFonts w:hAnsi="宋体" w:cs="宋体"/>
          <w:color w:val="auto"/>
          <w:sz w:val="24"/>
          <w:highlight w:val="none"/>
        </w:rPr>
      </w:pPr>
      <w:r>
        <w:rPr>
          <w:rFonts w:hint="eastAsia" w:ascii="宋体" w:hAnsi="宋体" w:cs="宋体"/>
          <w:color w:val="auto"/>
          <w:sz w:val="24"/>
          <w:highlight w:val="none"/>
        </w:rPr>
        <w:t>分标号：</w:t>
      </w:r>
      <w:r>
        <w:rPr>
          <w:rFonts w:hint="eastAsia" w:ascii="宋体" w:hAnsi="宋体" w:cs="宋体"/>
          <w:color w:val="auto"/>
          <w:sz w:val="24"/>
          <w:highlight w:val="none"/>
          <w:u w:val="single"/>
        </w:rPr>
        <w:t xml:space="preserve">                       </w:t>
      </w:r>
    </w:p>
    <w:p w14:paraId="5AC2CEF2">
      <w:pPr>
        <w:spacing w:line="360" w:lineRule="auto"/>
        <w:contextualSpacing/>
        <w:jc w:val="left"/>
        <w:rPr>
          <w:rFonts w:ascii="宋体" w:hAnsi="宋体" w:cs="宋体"/>
          <w:color w:val="auto"/>
          <w:sz w:val="24"/>
          <w:highlight w:val="none"/>
          <w:u w:val="single"/>
        </w:rPr>
      </w:pPr>
    </w:p>
    <w:tbl>
      <w:tblPr>
        <w:tblStyle w:val="45"/>
        <w:tblpPr w:leftFromText="180" w:rightFromText="180" w:vertAnchor="text" w:horzAnchor="margin" w:tblpXSpec="left" w:tblpY="-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23C47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35B51CDC">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A3C2CCE">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磋商文件商务要求</w:t>
            </w:r>
          </w:p>
        </w:tc>
        <w:tc>
          <w:tcPr>
            <w:tcW w:w="2350" w:type="dxa"/>
            <w:tcBorders>
              <w:top w:val="single" w:color="auto" w:sz="4" w:space="0"/>
              <w:left w:val="single" w:color="auto" w:sz="4" w:space="0"/>
              <w:bottom w:val="single" w:color="auto" w:sz="4" w:space="0"/>
              <w:right w:val="single" w:color="auto" w:sz="4" w:space="0"/>
            </w:tcBorders>
            <w:noWrap w:val="0"/>
            <w:vAlign w:val="center"/>
          </w:tcPr>
          <w:p w14:paraId="73FB9D49">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供应商的响应</w:t>
            </w:r>
          </w:p>
        </w:tc>
        <w:tc>
          <w:tcPr>
            <w:tcW w:w="2112" w:type="dxa"/>
            <w:tcBorders>
              <w:top w:val="single" w:color="auto" w:sz="4" w:space="0"/>
              <w:left w:val="single" w:color="auto" w:sz="4" w:space="0"/>
              <w:bottom w:val="single" w:color="auto" w:sz="4" w:space="0"/>
              <w:right w:val="single" w:color="auto" w:sz="4" w:space="0"/>
            </w:tcBorders>
            <w:noWrap w:val="0"/>
            <w:vAlign w:val="center"/>
          </w:tcPr>
          <w:p w14:paraId="53339DFF">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偏离说明</w:t>
            </w:r>
          </w:p>
        </w:tc>
      </w:tr>
      <w:tr w14:paraId="77DD6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17220E03">
            <w:pPr>
              <w:jc w:val="center"/>
              <w:rPr>
                <w:rFonts w:ascii="宋体" w:hAnsi="宋体" w:cs="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2D9C53FE">
            <w:pPr>
              <w:spacing w:line="360" w:lineRule="auto"/>
              <w:contextualSpacing/>
              <w:jc w:val="center"/>
              <w:rPr>
                <w:rFonts w:ascii="宋体" w:hAnsi="宋体" w:cs="宋体"/>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3BCADB03">
            <w:pPr>
              <w:spacing w:line="360" w:lineRule="auto"/>
              <w:contextualSpacing/>
              <w:jc w:val="center"/>
              <w:rPr>
                <w:rFonts w:ascii="宋体" w:hAnsi="宋体" w:cs="宋体"/>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5EED68BB">
            <w:pPr>
              <w:spacing w:line="360" w:lineRule="auto"/>
              <w:contextualSpacing/>
              <w:jc w:val="center"/>
              <w:rPr>
                <w:rFonts w:ascii="宋体" w:hAnsi="宋体" w:cs="宋体"/>
                <w:color w:val="auto"/>
                <w:sz w:val="24"/>
                <w:highlight w:val="none"/>
              </w:rPr>
            </w:pPr>
          </w:p>
        </w:tc>
      </w:tr>
      <w:tr w14:paraId="3ED90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5ACDDE24">
            <w:pPr>
              <w:jc w:val="center"/>
              <w:rPr>
                <w:rFonts w:ascii="宋体" w:hAnsi="宋体" w:cs="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B54693F">
            <w:pPr>
              <w:spacing w:line="360" w:lineRule="auto"/>
              <w:contextualSpacing/>
              <w:jc w:val="center"/>
              <w:rPr>
                <w:rFonts w:ascii="宋体" w:hAnsi="宋体" w:cs="宋体"/>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6975CA26">
            <w:pPr>
              <w:spacing w:line="360" w:lineRule="auto"/>
              <w:ind w:left="43"/>
              <w:contextualSpacing/>
              <w:jc w:val="center"/>
              <w:rPr>
                <w:rFonts w:ascii="宋体" w:hAnsi="宋体" w:cs="宋体"/>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20E89CFF">
            <w:pPr>
              <w:spacing w:line="360" w:lineRule="auto"/>
              <w:ind w:left="43"/>
              <w:contextualSpacing/>
              <w:jc w:val="center"/>
              <w:rPr>
                <w:rFonts w:ascii="宋体" w:hAnsi="宋体" w:cs="宋体"/>
                <w:color w:val="auto"/>
                <w:sz w:val="24"/>
                <w:highlight w:val="none"/>
              </w:rPr>
            </w:pPr>
          </w:p>
        </w:tc>
      </w:tr>
      <w:tr w14:paraId="7498B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5B09BD73">
            <w:pPr>
              <w:spacing w:line="360" w:lineRule="auto"/>
              <w:contextualSpacing/>
              <w:jc w:val="center"/>
              <w:rPr>
                <w:rFonts w:ascii="宋体" w:hAnsi="宋体" w:cs="宋体"/>
                <w:color w:val="auto"/>
                <w:sz w:val="24"/>
                <w:highlight w:val="none"/>
              </w:rPr>
            </w:pPr>
            <w:r>
              <w:rPr>
                <w:rFonts w:hint="eastAsia" w:ascii="宋体" w:hAnsi="宋体" w:cs="宋体"/>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EC94B3D">
            <w:pPr>
              <w:spacing w:line="360" w:lineRule="auto"/>
              <w:contextualSpacing/>
              <w:jc w:val="center"/>
              <w:rPr>
                <w:rFonts w:ascii="宋体" w:hAnsi="宋体" w:cs="宋体"/>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5300468E">
            <w:pPr>
              <w:spacing w:line="360" w:lineRule="auto"/>
              <w:contextualSpacing/>
              <w:jc w:val="center"/>
              <w:rPr>
                <w:rFonts w:ascii="宋体" w:hAnsi="宋体" w:cs="宋体"/>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33376777">
            <w:pPr>
              <w:spacing w:line="360" w:lineRule="auto"/>
              <w:contextualSpacing/>
              <w:jc w:val="center"/>
              <w:rPr>
                <w:rFonts w:ascii="宋体" w:hAnsi="宋体" w:cs="宋体"/>
                <w:color w:val="auto"/>
                <w:sz w:val="24"/>
                <w:highlight w:val="none"/>
              </w:rPr>
            </w:pPr>
          </w:p>
        </w:tc>
      </w:tr>
    </w:tbl>
    <w:p w14:paraId="7A2E9ED1">
      <w:pPr>
        <w:pStyle w:val="17"/>
        <w:spacing w:after="0" w:line="360" w:lineRule="auto"/>
        <w:contextualSpacing/>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注：</w:t>
      </w:r>
    </w:p>
    <w:p w14:paraId="70D3E1DE">
      <w:pPr>
        <w:pStyle w:val="17"/>
        <w:spacing w:after="0" w:line="360" w:lineRule="auto"/>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1.</w:t>
      </w:r>
      <w:r>
        <w:rPr>
          <w:rFonts w:hint="eastAsia" w:ascii="楷体" w:hAnsi="楷体" w:eastAsia="楷体" w:cs="宋体"/>
          <w:color w:val="auto"/>
          <w:sz w:val="24"/>
          <w:szCs w:val="24"/>
          <w:highlight w:val="none"/>
        </w:rPr>
        <w:t>说明：应对照磋商文件“第三章</w:t>
      </w:r>
      <w:r>
        <w:rPr>
          <w:rFonts w:ascii="楷体" w:hAnsi="楷体" w:eastAsia="楷体" w:cs="宋体"/>
          <w:color w:val="auto"/>
          <w:sz w:val="24"/>
          <w:szCs w:val="24"/>
          <w:highlight w:val="none"/>
        </w:rPr>
        <w:t xml:space="preserve"> </w:t>
      </w:r>
      <w:r>
        <w:rPr>
          <w:rFonts w:hint="eastAsia" w:ascii="楷体" w:hAnsi="楷体" w:eastAsia="楷体" w:cs="宋体"/>
          <w:color w:val="auto"/>
          <w:sz w:val="24"/>
          <w:szCs w:val="24"/>
          <w:highlight w:val="none"/>
        </w:rPr>
        <w:t>采购需求”中的商务要求逐条作出明确响应，并作出偏离说明。</w:t>
      </w:r>
    </w:p>
    <w:p w14:paraId="4F4C2C0C">
      <w:pPr>
        <w:spacing w:line="360" w:lineRule="auto"/>
        <w:contextualSpacing/>
        <w:jc w:val="left"/>
        <w:rPr>
          <w:rFonts w:ascii="楷体" w:hAnsi="楷体" w:eastAsia="楷体" w:cs="宋体"/>
          <w:color w:val="auto"/>
          <w:sz w:val="24"/>
          <w:highlight w:val="none"/>
          <w:u w:val="single"/>
        </w:rPr>
      </w:pPr>
      <w:r>
        <w:rPr>
          <w:rFonts w:ascii="楷体" w:hAnsi="楷体" w:eastAsia="楷体" w:cs="宋体"/>
          <w:color w:val="auto"/>
          <w:sz w:val="24"/>
          <w:highlight w:val="none"/>
        </w:rPr>
        <w:t>2.供应商应根据自身的承诺，对照磋商文件要求在“偏离说明”中注明“正偏离”、“负偏离”或者“无偏离”。既不属于“正偏离”也不属于“负偏离”即为“无偏离”。</w:t>
      </w:r>
    </w:p>
    <w:p w14:paraId="2D171A56">
      <w:pPr>
        <w:spacing w:line="360" w:lineRule="auto"/>
        <w:ind w:right="-817"/>
        <w:contextualSpacing/>
        <w:rPr>
          <w:rFonts w:ascii="楷体" w:hAnsi="楷体" w:eastAsia="楷体" w:cs="宋体"/>
          <w:color w:val="auto"/>
          <w:sz w:val="24"/>
          <w:highlight w:val="none"/>
        </w:rPr>
      </w:pPr>
    </w:p>
    <w:p w14:paraId="4C944B1D">
      <w:pPr>
        <w:spacing w:line="360" w:lineRule="auto"/>
        <w:ind w:right="-817" w:firstLine="960"/>
        <w:contextualSpacing/>
        <w:rPr>
          <w:rFonts w:ascii="宋体" w:hAnsi="宋体" w:cs="宋体"/>
          <w:color w:val="auto"/>
          <w:sz w:val="24"/>
          <w:highlight w:val="non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FB92EEC">
      <w:pPr>
        <w:spacing w:line="360" w:lineRule="auto"/>
        <w:ind w:right="-817" w:firstLine="264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6EB0EA7">
      <w:pPr>
        <w:spacing w:line="360" w:lineRule="auto"/>
        <w:ind w:right="-817" w:firstLine="4080"/>
        <w:contextualSpacing/>
        <w:rPr>
          <w:rFonts w:ascii="宋体" w:hAnsi="宋体" w:cs="宋体"/>
          <w:b/>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87030E1">
      <w:pPr>
        <w:spacing w:line="520" w:lineRule="exact"/>
        <w:ind w:firstLine="7040"/>
        <w:jc w:val="center"/>
        <w:rPr>
          <w:rFonts w:ascii="宋体" w:hAnsi="宋体" w:cs="宋体"/>
          <w:bCs/>
          <w:color w:val="auto"/>
          <w:sz w:val="44"/>
          <w:szCs w:val="44"/>
          <w:highlight w:val="none"/>
        </w:rPr>
      </w:pPr>
    </w:p>
    <w:p w14:paraId="728011F9">
      <w:pPr>
        <w:spacing w:line="520" w:lineRule="exact"/>
        <w:ind w:firstLine="7040"/>
        <w:jc w:val="center"/>
        <w:rPr>
          <w:rFonts w:ascii="宋体" w:hAnsi="宋体" w:cs="宋体"/>
          <w:bCs/>
          <w:color w:val="auto"/>
          <w:sz w:val="44"/>
          <w:szCs w:val="44"/>
          <w:highlight w:val="none"/>
        </w:rPr>
      </w:pPr>
    </w:p>
    <w:p w14:paraId="6F1E909D">
      <w:pPr>
        <w:spacing w:line="520" w:lineRule="exact"/>
        <w:ind w:firstLine="7040"/>
        <w:jc w:val="center"/>
        <w:rPr>
          <w:rFonts w:ascii="宋体" w:hAnsi="宋体" w:cs="宋体"/>
          <w:bCs/>
          <w:color w:val="auto"/>
          <w:sz w:val="44"/>
          <w:szCs w:val="44"/>
          <w:highlight w:val="none"/>
        </w:rPr>
      </w:pPr>
    </w:p>
    <w:p w14:paraId="04E0D970">
      <w:pPr>
        <w:spacing w:line="520" w:lineRule="exact"/>
        <w:ind w:firstLine="7040"/>
        <w:jc w:val="center"/>
        <w:rPr>
          <w:rFonts w:ascii="宋体" w:hAnsi="宋体" w:cs="宋体"/>
          <w:bCs/>
          <w:color w:val="auto"/>
          <w:sz w:val="44"/>
          <w:szCs w:val="44"/>
          <w:highlight w:val="none"/>
        </w:rPr>
      </w:pPr>
    </w:p>
    <w:p w14:paraId="3FD95D0A">
      <w:pPr>
        <w:spacing w:line="520" w:lineRule="exact"/>
        <w:rPr>
          <w:rFonts w:ascii="宋体" w:hAnsi="宋体" w:cs="宋体"/>
          <w:color w:val="auto"/>
          <w:sz w:val="21"/>
          <w:szCs w:val="21"/>
          <w:highlight w:val="none"/>
          <w:u w:val="single"/>
        </w:rPr>
      </w:pPr>
    </w:p>
    <w:p w14:paraId="6C8151D7">
      <w:pPr>
        <w:jc w:val="center"/>
        <w:rPr>
          <w:rFonts w:ascii="宋体" w:hAnsi="宋体" w:cs="宋体"/>
          <w:bCs/>
          <w:color w:val="auto"/>
          <w:sz w:val="44"/>
          <w:szCs w:val="44"/>
          <w:highlight w:val="none"/>
        </w:rPr>
      </w:pPr>
      <w:r>
        <w:rPr>
          <w:rFonts w:hint="eastAsia" w:ascii="宋体" w:hAnsi="宋体" w:cs="宋体"/>
          <w:bCs/>
          <w:color w:val="auto"/>
          <w:sz w:val="44"/>
          <w:szCs w:val="44"/>
          <w:highlight w:val="none"/>
        </w:rPr>
        <w:br w:type="page"/>
      </w:r>
      <w:r>
        <w:rPr>
          <w:rFonts w:hint="eastAsia" w:ascii="宋体" w:hAnsi="宋体" w:cs="宋体"/>
          <w:b/>
          <w:bCs/>
          <w:color w:val="auto"/>
          <w:sz w:val="44"/>
          <w:szCs w:val="44"/>
          <w:highlight w:val="none"/>
        </w:rPr>
        <w:t>服务要求偏离表</w:t>
      </w:r>
      <w:r>
        <w:rPr>
          <w:rFonts w:hint="eastAsia" w:ascii="宋体" w:hAnsi="宋体" w:cs="宋体"/>
          <w:bCs/>
          <w:color w:val="auto"/>
          <w:sz w:val="44"/>
          <w:szCs w:val="44"/>
          <w:highlight w:val="none"/>
        </w:rPr>
        <w:t>（格式）</w:t>
      </w:r>
    </w:p>
    <w:p w14:paraId="5EAF4472">
      <w:pPr>
        <w:jc w:val="center"/>
        <w:rPr>
          <w:rFonts w:ascii="宋体" w:hAnsi="宋体" w:cs="宋体"/>
          <w:bCs/>
          <w:color w:val="auto"/>
          <w:sz w:val="36"/>
          <w:szCs w:val="36"/>
          <w:highlight w:val="none"/>
        </w:rPr>
      </w:pPr>
      <w:r>
        <w:rPr>
          <w:rFonts w:hint="eastAsia" w:ascii="宋体" w:hAnsi="宋体" w:cs="宋体"/>
          <w:bCs/>
          <w:color w:val="auto"/>
          <w:sz w:val="36"/>
          <w:szCs w:val="36"/>
          <w:highlight w:val="none"/>
        </w:rPr>
        <w:t>（注：按采购需求具体条款修改）</w:t>
      </w:r>
    </w:p>
    <w:p w14:paraId="7B5A7CE3">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4EC81817">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30885281">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分标号：</w:t>
      </w:r>
      <w:r>
        <w:rPr>
          <w:rFonts w:hint="eastAsia" w:ascii="宋体" w:hAnsi="宋体" w:cs="宋体"/>
          <w:color w:val="auto"/>
          <w:sz w:val="24"/>
          <w:highlight w:val="none"/>
          <w:u w:val="single"/>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1"/>
        <w:gridCol w:w="992"/>
        <w:gridCol w:w="3292"/>
        <w:gridCol w:w="2963"/>
        <w:gridCol w:w="1616"/>
      </w:tblGrid>
      <w:tr w14:paraId="3BA1DD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noWrap w:val="0"/>
            <w:vAlign w:val="center"/>
          </w:tcPr>
          <w:p w14:paraId="6AFC0E93">
            <w:pPr>
              <w:pStyle w:val="20"/>
              <w:spacing w:line="360" w:lineRule="auto"/>
              <w:ind w:firstLine="0"/>
              <w:contextualSpacing/>
              <w:jc w:val="center"/>
              <w:rPr>
                <w:rFonts w:ascii="宋体" w:hAnsi="宋体" w:eastAsia="宋体" w:cs="宋体"/>
                <w:color w:val="auto"/>
                <w:sz w:val="24"/>
                <w:szCs w:val="24"/>
                <w:highlight w:val="none"/>
              </w:rPr>
            </w:pPr>
            <w:bookmarkStart w:id="46" w:name="_Toc297193185"/>
            <w:bookmarkStart w:id="47" w:name="_Toc173211900"/>
            <w:bookmarkStart w:id="48" w:name="_Toc254970588"/>
            <w:bookmarkStart w:id="49" w:name="_Toc301781611"/>
            <w:bookmarkStart w:id="50" w:name="_Toc254970729"/>
            <w:bookmarkStart w:id="51" w:name="_Toc295404981"/>
            <w:bookmarkStart w:id="52" w:name="_Toc383699906"/>
            <w:bookmarkStart w:id="53" w:name="_Toc373333689"/>
            <w:bookmarkStart w:id="54" w:name="_Toc173066401"/>
            <w:r>
              <w:rPr>
                <w:rFonts w:hint="eastAsia" w:ascii="宋体" w:hAnsi="宋体" w:eastAsia="宋体" w:cs="宋体"/>
                <w:color w:val="auto"/>
                <w:sz w:val="24"/>
                <w:szCs w:val="24"/>
                <w:highlight w:val="none"/>
              </w:rPr>
              <w:t>序号</w:t>
            </w:r>
            <w:bookmarkEnd w:id="46"/>
            <w:bookmarkEnd w:id="47"/>
            <w:bookmarkEnd w:id="48"/>
            <w:bookmarkEnd w:id="49"/>
            <w:bookmarkEnd w:id="50"/>
            <w:bookmarkEnd w:id="51"/>
            <w:bookmarkEnd w:id="52"/>
            <w:bookmarkEnd w:id="53"/>
            <w:bookmarkEnd w:id="54"/>
          </w:p>
        </w:tc>
        <w:tc>
          <w:tcPr>
            <w:tcW w:w="992" w:type="dxa"/>
            <w:tcBorders>
              <w:right w:val="single" w:color="auto" w:sz="4" w:space="0"/>
            </w:tcBorders>
            <w:noWrap w:val="0"/>
            <w:vAlign w:val="center"/>
          </w:tcPr>
          <w:p w14:paraId="2A176B5D">
            <w:pPr>
              <w:pStyle w:val="20"/>
              <w:spacing w:line="360" w:lineRule="auto"/>
              <w:ind w:firstLine="0"/>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3292" w:type="dxa"/>
            <w:tcBorders>
              <w:left w:val="single" w:color="auto" w:sz="4" w:space="0"/>
            </w:tcBorders>
            <w:noWrap w:val="0"/>
            <w:vAlign w:val="center"/>
          </w:tcPr>
          <w:p w14:paraId="2B199F08">
            <w:pPr>
              <w:pStyle w:val="20"/>
              <w:spacing w:line="360" w:lineRule="auto"/>
              <w:ind w:firstLine="0"/>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服务要求</w:t>
            </w:r>
          </w:p>
        </w:tc>
        <w:tc>
          <w:tcPr>
            <w:tcW w:w="2963" w:type="dxa"/>
            <w:noWrap w:val="0"/>
            <w:vAlign w:val="center"/>
          </w:tcPr>
          <w:p w14:paraId="25BD52B9">
            <w:pPr>
              <w:pStyle w:val="20"/>
              <w:spacing w:line="360" w:lineRule="auto"/>
              <w:ind w:firstLine="0"/>
              <w:contextualSpacing/>
              <w:jc w:val="center"/>
              <w:rPr>
                <w:rFonts w:ascii="宋体" w:hAnsi="宋体" w:eastAsia="宋体" w:cs="宋体"/>
                <w:color w:val="auto"/>
                <w:sz w:val="24"/>
                <w:szCs w:val="24"/>
                <w:highlight w:val="none"/>
              </w:rPr>
            </w:pPr>
            <w:bookmarkStart w:id="55" w:name="_Toc173211902"/>
            <w:bookmarkStart w:id="56" w:name="_Toc254970590"/>
            <w:bookmarkStart w:id="57" w:name="_Toc301781613"/>
            <w:bookmarkStart w:id="58" w:name="_Toc297193187"/>
            <w:bookmarkStart w:id="59" w:name="_Toc373333691"/>
            <w:bookmarkStart w:id="60" w:name="_Toc173066403"/>
            <w:bookmarkStart w:id="61" w:name="_Toc254970731"/>
            <w:bookmarkStart w:id="62" w:name="_Toc295404983"/>
            <w:bookmarkStart w:id="63" w:name="_Toc383699908"/>
            <w:r>
              <w:rPr>
                <w:rFonts w:hint="eastAsia" w:ascii="宋体" w:hAnsi="宋体" w:eastAsia="宋体" w:cs="宋体"/>
                <w:color w:val="auto"/>
                <w:sz w:val="24"/>
                <w:szCs w:val="24"/>
                <w:highlight w:val="none"/>
              </w:rPr>
              <w:t>供应商的响应</w:t>
            </w:r>
            <w:bookmarkEnd w:id="55"/>
            <w:bookmarkEnd w:id="56"/>
            <w:bookmarkEnd w:id="57"/>
            <w:bookmarkEnd w:id="58"/>
            <w:bookmarkEnd w:id="59"/>
            <w:bookmarkEnd w:id="60"/>
            <w:bookmarkEnd w:id="61"/>
            <w:bookmarkEnd w:id="62"/>
            <w:bookmarkEnd w:id="63"/>
          </w:p>
        </w:tc>
        <w:tc>
          <w:tcPr>
            <w:tcW w:w="1616" w:type="dxa"/>
            <w:noWrap w:val="0"/>
            <w:vAlign w:val="center"/>
          </w:tcPr>
          <w:p w14:paraId="34B76FC3">
            <w:pPr>
              <w:pStyle w:val="20"/>
              <w:spacing w:line="360" w:lineRule="auto"/>
              <w:ind w:firstLine="0"/>
              <w:contextualSpacing/>
              <w:jc w:val="center"/>
              <w:rPr>
                <w:rFonts w:ascii="宋体" w:hAnsi="宋体" w:eastAsia="宋体" w:cs="宋体"/>
                <w:color w:val="auto"/>
                <w:sz w:val="24"/>
                <w:szCs w:val="24"/>
                <w:highlight w:val="none"/>
              </w:rPr>
            </w:pPr>
            <w:bookmarkStart w:id="64" w:name="_Toc295404984"/>
            <w:bookmarkStart w:id="65" w:name="_Toc301781614"/>
            <w:bookmarkStart w:id="66" w:name="_Toc173066404"/>
            <w:bookmarkStart w:id="67" w:name="_Toc254970591"/>
            <w:bookmarkStart w:id="68" w:name="_Toc254970732"/>
            <w:bookmarkStart w:id="69" w:name="_Toc173211903"/>
            <w:bookmarkStart w:id="70" w:name="_Toc373333692"/>
            <w:bookmarkStart w:id="71" w:name="_Toc383699909"/>
            <w:bookmarkStart w:id="72" w:name="_Toc297193188"/>
            <w:r>
              <w:rPr>
                <w:rFonts w:hint="eastAsia" w:ascii="宋体" w:hAnsi="宋体" w:eastAsia="宋体" w:cs="宋体"/>
                <w:color w:val="auto"/>
                <w:sz w:val="24"/>
                <w:szCs w:val="24"/>
                <w:highlight w:val="none"/>
              </w:rPr>
              <w:t>偏离</w:t>
            </w:r>
            <w:bookmarkEnd w:id="64"/>
            <w:bookmarkEnd w:id="65"/>
            <w:bookmarkEnd w:id="66"/>
            <w:bookmarkEnd w:id="67"/>
            <w:bookmarkEnd w:id="68"/>
            <w:bookmarkEnd w:id="69"/>
            <w:bookmarkEnd w:id="70"/>
            <w:bookmarkEnd w:id="71"/>
            <w:bookmarkEnd w:id="72"/>
            <w:bookmarkStart w:id="73" w:name="_Toc295404985"/>
            <w:bookmarkStart w:id="74" w:name="_Toc254970733"/>
            <w:bookmarkStart w:id="75" w:name="_Toc383699910"/>
            <w:bookmarkStart w:id="76" w:name="_Toc373333693"/>
            <w:bookmarkStart w:id="77" w:name="_Toc173066405"/>
            <w:bookmarkStart w:id="78" w:name="_Toc173211904"/>
            <w:bookmarkStart w:id="79" w:name="_Toc301781615"/>
            <w:bookmarkStart w:id="80" w:name="_Toc254970592"/>
            <w:bookmarkStart w:id="81" w:name="_Toc297193189"/>
            <w:r>
              <w:rPr>
                <w:rFonts w:hint="eastAsia" w:ascii="宋体" w:hAnsi="宋体" w:eastAsia="宋体" w:cs="宋体"/>
                <w:color w:val="auto"/>
                <w:sz w:val="24"/>
                <w:szCs w:val="24"/>
                <w:highlight w:val="none"/>
              </w:rPr>
              <w:t>说明</w:t>
            </w:r>
            <w:bookmarkEnd w:id="73"/>
            <w:bookmarkEnd w:id="74"/>
            <w:bookmarkEnd w:id="75"/>
            <w:bookmarkEnd w:id="76"/>
            <w:bookmarkEnd w:id="77"/>
            <w:bookmarkEnd w:id="78"/>
            <w:bookmarkEnd w:id="79"/>
            <w:bookmarkEnd w:id="80"/>
            <w:bookmarkEnd w:id="81"/>
          </w:p>
        </w:tc>
      </w:tr>
      <w:tr w14:paraId="0E1A29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noWrap w:val="0"/>
            <w:vAlign w:val="center"/>
          </w:tcPr>
          <w:p w14:paraId="1E31753D">
            <w:pPr>
              <w:pStyle w:val="20"/>
              <w:spacing w:line="360" w:lineRule="auto"/>
              <w:ind w:firstLine="0"/>
              <w:contextualSpacing/>
              <w:jc w:val="center"/>
              <w:rPr>
                <w:rFonts w:ascii="宋体" w:hAnsi="宋体" w:eastAsia="宋体" w:cs="宋体"/>
                <w:color w:val="auto"/>
                <w:sz w:val="24"/>
                <w:szCs w:val="24"/>
                <w:highlight w:val="none"/>
              </w:rPr>
            </w:pPr>
            <w:bookmarkStart w:id="82" w:name="_Toc254970734"/>
            <w:bookmarkStart w:id="83" w:name="_Toc373333694"/>
            <w:bookmarkStart w:id="84" w:name="_Toc383699911"/>
            <w:bookmarkStart w:id="85" w:name="_Toc301781616"/>
            <w:bookmarkStart w:id="86" w:name="_Toc297193190"/>
            <w:bookmarkStart w:id="87" w:name="_Toc295404986"/>
            <w:bookmarkStart w:id="88" w:name="_Toc173211905"/>
            <w:bookmarkStart w:id="89" w:name="_Toc254970593"/>
            <w:bookmarkStart w:id="90" w:name="_Toc173066406"/>
            <w:r>
              <w:rPr>
                <w:rFonts w:hint="eastAsia" w:ascii="宋体" w:hAnsi="宋体" w:eastAsia="宋体" w:cs="宋体"/>
                <w:color w:val="auto"/>
                <w:sz w:val="24"/>
                <w:szCs w:val="24"/>
                <w:highlight w:val="none"/>
              </w:rPr>
              <w:t>1</w:t>
            </w:r>
            <w:bookmarkEnd w:id="82"/>
            <w:bookmarkEnd w:id="83"/>
            <w:bookmarkEnd w:id="84"/>
            <w:bookmarkEnd w:id="85"/>
            <w:bookmarkEnd w:id="86"/>
            <w:bookmarkEnd w:id="87"/>
            <w:bookmarkEnd w:id="88"/>
            <w:bookmarkEnd w:id="89"/>
            <w:bookmarkEnd w:id="90"/>
          </w:p>
        </w:tc>
        <w:tc>
          <w:tcPr>
            <w:tcW w:w="992" w:type="dxa"/>
            <w:tcBorders>
              <w:right w:val="single" w:color="auto" w:sz="4" w:space="0"/>
            </w:tcBorders>
            <w:noWrap w:val="0"/>
            <w:vAlign w:val="center"/>
          </w:tcPr>
          <w:p w14:paraId="7322E634">
            <w:pPr>
              <w:pStyle w:val="20"/>
              <w:spacing w:line="360" w:lineRule="auto"/>
              <w:ind w:firstLine="0"/>
              <w:contextualSpacing/>
              <w:jc w:val="center"/>
              <w:rPr>
                <w:rFonts w:ascii="宋体" w:hAnsi="宋体" w:eastAsia="宋体" w:cs="宋体"/>
                <w:color w:val="auto"/>
                <w:sz w:val="24"/>
                <w:szCs w:val="24"/>
                <w:highlight w:val="none"/>
              </w:rPr>
            </w:pPr>
          </w:p>
        </w:tc>
        <w:tc>
          <w:tcPr>
            <w:tcW w:w="3292" w:type="dxa"/>
            <w:tcBorders>
              <w:left w:val="single" w:color="auto" w:sz="4" w:space="0"/>
            </w:tcBorders>
            <w:noWrap w:val="0"/>
            <w:vAlign w:val="center"/>
          </w:tcPr>
          <w:p w14:paraId="50FA871D">
            <w:pPr>
              <w:pStyle w:val="20"/>
              <w:spacing w:line="360" w:lineRule="auto"/>
              <w:ind w:firstLine="0"/>
              <w:contextualSpacing/>
              <w:jc w:val="center"/>
              <w:rPr>
                <w:rFonts w:ascii="宋体" w:hAnsi="宋体" w:eastAsia="宋体" w:cs="宋体"/>
                <w:color w:val="auto"/>
                <w:sz w:val="24"/>
                <w:szCs w:val="24"/>
                <w:highlight w:val="none"/>
              </w:rPr>
            </w:pPr>
          </w:p>
        </w:tc>
        <w:tc>
          <w:tcPr>
            <w:tcW w:w="2963" w:type="dxa"/>
            <w:noWrap w:val="0"/>
            <w:vAlign w:val="center"/>
          </w:tcPr>
          <w:p w14:paraId="49C5732F">
            <w:pPr>
              <w:pStyle w:val="20"/>
              <w:spacing w:line="360" w:lineRule="auto"/>
              <w:ind w:firstLine="0"/>
              <w:contextualSpacing/>
              <w:jc w:val="center"/>
              <w:rPr>
                <w:rFonts w:ascii="宋体" w:hAnsi="宋体" w:eastAsia="宋体" w:cs="宋体"/>
                <w:color w:val="auto"/>
                <w:sz w:val="24"/>
                <w:szCs w:val="24"/>
                <w:highlight w:val="none"/>
              </w:rPr>
            </w:pPr>
          </w:p>
        </w:tc>
        <w:tc>
          <w:tcPr>
            <w:tcW w:w="1616" w:type="dxa"/>
            <w:noWrap w:val="0"/>
            <w:vAlign w:val="center"/>
          </w:tcPr>
          <w:p w14:paraId="083D0D3B">
            <w:pPr>
              <w:pStyle w:val="20"/>
              <w:spacing w:line="360" w:lineRule="auto"/>
              <w:ind w:firstLine="0"/>
              <w:contextualSpacing/>
              <w:jc w:val="center"/>
              <w:rPr>
                <w:rFonts w:ascii="宋体" w:hAnsi="宋体" w:eastAsia="宋体" w:cs="宋体"/>
                <w:color w:val="auto"/>
                <w:sz w:val="24"/>
                <w:szCs w:val="24"/>
                <w:highlight w:val="none"/>
              </w:rPr>
            </w:pPr>
          </w:p>
        </w:tc>
      </w:tr>
      <w:tr w14:paraId="78B1C3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noWrap w:val="0"/>
            <w:vAlign w:val="center"/>
          </w:tcPr>
          <w:p w14:paraId="07134A42">
            <w:pPr>
              <w:pStyle w:val="20"/>
              <w:spacing w:line="360" w:lineRule="auto"/>
              <w:ind w:firstLine="0"/>
              <w:contextualSpacing/>
              <w:jc w:val="center"/>
              <w:rPr>
                <w:rFonts w:ascii="宋体" w:hAnsi="宋体" w:eastAsia="宋体" w:cs="宋体"/>
                <w:color w:val="auto"/>
                <w:sz w:val="24"/>
                <w:szCs w:val="24"/>
                <w:highlight w:val="none"/>
              </w:rPr>
            </w:pPr>
            <w:bookmarkStart w:id="91" w:name="_Toc254970594"/>
            <w:bookmarkStart w:id="92" w:name="_Toc295404987"/>
            <w:bookmarkStart w:id="93" w:name="_Toc173211906"/>
            <w:bookmarkStart w:id="94" w:name="_Toc373333695"/>
            <w:bookmarkStart w:id="95" w:name="_Toc173066407"/>
            <w:bookmarkStart w:id="96" w:name="_Toc254970735"/>
            <w:bookmarkStart w:id="97" w:name="_Toc297193191"/>
            <w:bookmarkStart w:id="98" w:name="_Toc301781617"/>
            <w:bookmarkStart w:id="99" w:name="_Toc383699912"/>
            <w:r>
              <w:rPr>
                <w:rFonts w:hint="eastAsia" w:ascii="宋体" w:hAnsi="宋体" w:eastAsia="宋体" w:cs="宋体"/>
                <w:color w:val="auto"/>
                <w:sz w:val="24"/>
                <w:szCs w:val="24"/>
                <w:highlight w:val="none"/>
              </w:rPr>
              <w:t>2</w:t>
            </w:r>
            <w:bookmarkEnd w:id="91"/>
            <w:bookmarkEnd w:id="92"/>
            <w:bookmarkEnd w:id="93"/>
            <w:bookmarkEnd w:id="94"/>
            <w:bookmarkEnd w:id="95"/>
            <w:bookmarkEnd w:id="96"/>
            <w:bookmarkEnd w:id="97"/>
            <w:bookmarkEnd w:id="98"/>
            <w:bookmarkEnd w:id="99"/>
          </w:p>
        </w:tc>
        <w:tc>
          <w:tcPr>
            <w:tcW w:w="992" w:type="dxa"/>
            <w:tcBorders>
              <w:right w:val="single" w:color="auto" w:sz="4" w:space="0"/>
            </w:tcBorders>
            <w:noWrap w:val="0"/>
            <w:vAlign w:val="center"/>
          </w:tcPr>
          <w:p w14:paraId="251C7DD7">
            <w:pPr>
              <w:pStyle w:val="20"/>
              <w:spacing w:line="360" w:lineRule="auto"/>
              <w:ind w:firstLine="0"/>
              <w:contextualSpacing/>
              <w:jc w:val="center"/>
              <w:rPr>
                <w:rFonts w:ascii="宋体" w:hAnsi="宋体" w:eastAsia="宋体" w:cs="宋体"/>
                <w:color w:val="auto"/>
                <w:sz w:val="24"/>
                <w:szCs w:val="24"/>
                <w:highlight w:val="none"/>
              </w:rPr>
            </w:pPr>
          </w:p>
        </w:tc>
        <w:tc>
          <w:tcPr>
            <w:tcW w:w="3292" w:type="dxa"/>
            <w:tcBorders>
              <w:left w:val="single" w:color="auto" w:sz="4" w:space="0"/>
            </w:tcBorders>
            <w:noWrap w:val="0"/>
            <w:vAlign w:val="center"/>
          </w:tcPr>
          <w:p w14:paraId="4B27AFA8">
            <w:pPr>
              <w:pStyle w:val="20"/>
              <w:spacing w:line="360" w:lineRule="auto"/>
              <w:ind w:firstLine="0"/>
              <w:contextualSpacing/>
              <w:jc w:val="center"/>
              <w:rPr>
                <w:rFonts w:ascii="宋体" w:hAnsi="宋体" w:eastAsia="宋体" w:cs="宋体"/>
                <w:color w:val="auto"/>
                <w:sz w:val="24"/>
                <w:szCs w:val="24"/>
                <w:highlight w:val="none"/>
              </w:rPr>
            </w:pPr>
          </w:p>
        </w:tc>
        <w:tc>
          <w:tcPr>
            <w:tcW w:w="2963" w:type="dxa"/>
            <w:noWrap w:val="0"/>
            <w:vAlign w:val="center"/>
          </w:tcPr>
          <w:p w14:paraId="4F127A83">
            <w:pPr>
              <w:pStyle w:val="20"/>
              <w:spacing w:line="360" w:lineRule="auto"/>
              <w:ind w:firstLine="0"/>
              <w:contextualSpacing/>
              <w:jc w:val="center"/>
              <w:rPr>
                <w:rFonts w:ascii="宋体" w:hAnsi="宋体" w:eastAsia="宋体" w:cs="宋体"/>
                <w:color w:val="auto"/>
                <w:sz w:val="24"/>
                <w:szCs w:val="24"/>
                <w:highlight w:val="none"/>
              </w:rPr>
            </w:pPr>
          </w:p>
        </w:tc>
        <w:tc>
          <w:tcPr>
            <w:tcW w:w="1616" w:type="dxa"/>
            <w:noWrap w:val="0"/>
            <w:vAlign w:val="center"/>
          </w:tcPr>
          <w:p w14:paraId="76723D11">
            <w:pPr>
              <w:pStyle w:val="20"/>
              <w:spacing w:line="360" w:lineRule="auto"/>
              <w:ind w:firstLine="0"/>
              <w:contextualSpacing/>
              <w:jc w:val="center"/>
              <w:rPr>
                <w:rFonts w:ascii="宋体" w:hAnsi="宋体" w:eastAsia="宋体" w:cs="宋体"/>
                <w:color w:val="auto"/>
                <w:sz w:val="24"/>
                <w:szCs w:val="24"/>
                <w:highlight w:val="none"/>
              </w:rPr>
            </w:pPr>
          </w:p>
        </w:tc>
      </w:tr>
      <w:tr w14:paraId="74B014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noWrap w:val="0"/>
            <w:vAlign w:val="center"/>
          </w:tcPr>
          <w:p w14:paraId="32EA0B51">
            <w:pPr>
              <w:pStyle w:val="20"/>
              <w:spacing w:line="360" w:lineRule="auto"/>
              <w:ind w:firstLine="0"/>
              <w:contextualSpacing/>
              <w:jc w:val="center"/>
              <w:rPr>
                <w:rFonts w:ascii="宋体" w:hAnsi="宋体" w:eastAsia="宋体" w:cs="宋体"/>
                <w:color w:val="auto"/>
                <w:sz w:val="24"/>
                <w:szCs w:val="24"/>
                <w:highlight w:val="none"/>
              </w:rPr>
            </w:pPr>
            <w:bookmarkStart w:id="100" w:name="_Toc173066408"/>
            <w:bookmarkStart w:id="101" w:name="_Toc301781618"/>
            <w:bookmarkStart w:id="102" w:name="_Toc297193192"/>
            <w:bookmarkStart w:id="103" w:name="_Toc254970736"/>
            <w:bookmarkStart w:id="104" w:name="_Toc383699913"/>
            <w:bookmarkStart w:id="105" w:name="_Toc173211907"/>
            <w:bookmarkStart w:id="106" w:name="_Toc295404988"/>
            <w:bookmarkStart w:id="107" w:name="_Toc373333696"/>
            <w:bookmarkStart w:id="108" w:name="_Toc254970595"/>
            <w:r>
              <w:rPr>
                <w:rFonts w:hint="eastAsia" w:ascii="宋体" w:hAnsi="宋体" w:eastAsia="宋体" w:cs="宋体"/>
                <w:color w:val="auto"/>
                <w:sz w:val="24"/>
                <w:szCs w:val="24"/>
                <w:highlight w:val="none"/>
              </w:rPr>
              <w:t>3</w:t>
            </w:r>
            <w:bookmarkEnd w:id="100"/>
            <w:bookmarkEnd w:id="101"/>
            <w:bookmarkEnd w:id="102"/>
            <w:bookmarkEnd w:id="103"/>
            <w:bookmarkEnd w:id="104"/>
            <w:bookmarkEnd w:id="105"/>
            <w:bookmarkEnd w:id="106"/>
            <w:bookmarkEnd w:id="107"/>
            <w:bookmarkEnd w:id="108"/>
          </w:p>
        </w:tc>
        <w:tc>
          <w:tcPr>
            <w:tcW w:w="992" w:type="dxa"/>
            <w:tcBorders>
              <w:right w:val="single" w:color="auto" w:sz="4" w:space="0"/>
            </w:tcBorders>
            <w:noWrap w:val="0"/>
            <w:vAlign w:val="center"/>
          </w:tcPr>
          <w:p w14:paraId="555F48B5">
            <w:pPr>
              <w:pStyle w:val="20"/>
              <w:spacing w:line="360" w:lineRule="auto"/>
              <w:ind w:firstLine="0"/>
              <w:contextualSpacing/>
              <w:jc w:val="center"/>
              <w:rPr>
                <w:rFonts w:ascii="宋体" w:hAnsi="宋体" w:eastAsia="宋体" w:cs="宋体"/>
                <w:color w:val="auto"/>
                <w:sz w:val="24"/>
                <w:szCs w:val="24"/>
                <w:highlight w:val="none"/>
              </w:rPr>
            </w:pPr>
          </w:p>
        </w:tc>
        <w:tc>
          <w:tcPr>
            <w:tcW w:w="3292" w:type="dxa"/>
            <w:tcBorders>
              <w:left w:val="single" w:color="auto" w:sz="4" w:space="0"/>
            </w:tcBorders>
            <w:noWrap w:val="0"/>
            <w:vAlign w:val="center"/>
          </w:tcPr>
          <w:p w14:paraId="607F910D">
            <w:pPr>
              <w:pStyle w:val="20"/>
              <w:spacing w:line="360" w:lineRule="auto"/>
              <w:ind w:firstLine="0"/>
              <w:contextualSpacing/>
              <w:jc w:val="center"/>
              <w:rPr>
                <w:rFonts w:ascii="宋体" w:hAnsi="宋体" w:eastAsia="宋体" w:cs="宋体"/>
                <w:color w:val="auto"/>
                <w:sz w:val="24"/>
                <w:szCs w:val="24"/>
                <w:highlight w:val="none"/>
              </w:rPr>
            </w:pPr>
          </w:p>
        </w:tc>
        <w:tc>
          <w:tcPr>
            <w:tcW w:w="2963" w:type="dxa"/>
            <w:noWrap w:val="0"/>
            <w:vAlign w:val="center"/>
          </w:tcPr>
          <w:p w14:paraId="3282704B">
            <w:pPr>
              <w:pStyle w:val="20"/>
              <w:spacing w:line="360" w:lineRule="auto"/>
              <w:ind w:firstLine="0"/>
              <w:contextualSpacing/>
              <w:jc w:val="center"/>
              <w:rPr>
                <w:rFonts w:ascii="宋体" w:hAnsi="宋体" w:eastAsia="宋体" w:cs="宋体"/>
                <w:color w:val="auto"/>
                <w:sz w:val="24"/>
                <w:szCs w:val="24"/>
                <w:highlight w:val="none"/>
              </w:rPr>
            </w:pPr>
          </w:p>
        </w:tc>
        <w:tc>
          <w:tcPr>
            <w:tcW w:w="1616" w:type="dxa"/>
            <w:noWrap w:val="0"/>
            <w:vAlign w:val="center"/>
          </w:tcPr>
          <w:p w14:paraId="5662D606">
            <w:pPr>
              <w:pStyle w:val="20"/>
              <w:spacing w:line="360" w:lineRule="auto"/>
              <w:ind w:firstLine="0"/>
              <w:contextualSpacing/>
              <w:jc w:val="center"/>
              <w:rPr>
                <w:rFonts w:ascii="宋体" w:hAnsi="宋体" w:eastAsia="宋体" w:cs="宋体"/>
                <w:color w:val="auto"/>
                <w:sz w:val="24"/>
                <w:szCs w:val="24"/>
                <w:highlight w:val="none"/>
              </w:rPr>
            </w:pPr>
          </w:p>
        </w:tc>
      </w:tr>
      <w:tr w14:paraId="1F4AE4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noWrap w:val="0"/>
            <w:vAlign w:val="center"/>
          </w:tcPr>
          <w:p w14:paraId="6190F3D0">
            <w:pPr>
              <w:pStyle w:val="20"/>
              <w:spacing w:line="360" w:lineRule="auto"/>
              <w:ind w:firstLine="0"/>
              <w:contextualSpacing/>
              <w:jc w:val="center"/>
              <w:rPr>
                <w:rFonts w:ascii="宋体" w:hAnsi="宋体" w:eastAsia="宋体" w:cs="宋体"/>
                <w:color w:val="auto"/>
                <w:sz w:val="24"/>
                <w:szCs w:val="24"/>
                <w:highlight w:val="none"/>
              </w:rPr>
            </w:pPr>
            <w:bookmarkStart w:id="109" w:name="_Toc383699914"/>
            <w:bookmarkStart w:id="110" w:name="_Toc254970737"/>
            <w:bookmarkStart w:id="111" w:name="_Toc295404989"/>
            <w:bookmarkStart w:id="112" w:name="_Toc173211908"/>
            <w:bookmarkStart w:id="113" w:name="_Toc297193193"/>
            <w:bookmarkStart w:id="114" w:name="_Toc373333697"/>
            <w:bookmarkStart w:id="115" w:name="_Toc301781619"/>
            <w:bookmarkStart w:id="116" w:name="_Toc173066409"/>
            <w:bookmarkStart w:id="117" w:name="_Toc254970596"/>
            <w:r>
              <w:rPr>
                <w:rFonts w:hint="eastAsia" w:ascii="宋体" w:hAnsi="宋体" w:eastAsia="宋体" w:cs="宋体"/>
                <w:color w:val="auto"/>
                <w:sz w:val="24"/>
                <w:szCs w:val="24"/>
                <w:highlight w:val="none"/>
              </w:rPr>
              <w:t>4</w:t>
            </w:r>
            <w:bookmarkEnd w:id="109"/>
            <w:bookmarkEnd w:id="110"/>
            <w:bookmarkEnd w:id="111"/>
            <w:bookmarkEnd w:id="112"/>
            <w:bookmarkEnd w:id="113"/>
            <w:bookmarkEnd w:id="114"/>
            <w:bookmarkEnd w:id="115"/>
            <w:bookmarkEnd w:id="116"/>
            <w:bookmarkEnd w:id="117"/>
          </w:p>
        </w:tc>
        <w:tc>
          <w:tcPr>
            <w:tcW w:w="992" w:type="dxa"/>
            <w:tcBorders>
              <w:right w:val="single" w:color="auto" w:sz="4" w:space="0"/>
            </w:tcBorders>
            <w:noWrap w:val="0"/>
            <w:vAlign w:val="center"/>
          </w:tcPr>
          <w:p w14:paraId="43AF2434">
            <w:pPr>
              <w:pStyle w:val="20"/>
              <w:spacing w:line="360" w:lineRule="auto"/>
              <w:ind w:firstLine="0"/>
              <w:contextualSpacing/>
              <w:jc w:val="center"/>
              <w:rPr>
                <w:rFonts w:ascii="宋体" w:hAnsi="宋体" w:eastAsia="宋体" w:cs="宋体"/>
                <w:color w:val="auto"/>
                <w:sz w:val="24"/>
                <w:szCs w:val="24"/>
                <w:highlight w:val="none"/>
              </w:rPr>
            </w:pPr>
          </w:p>
        </w:tc>
        <w:tc>
          <w:tcPr>
            <w:tcW w:w="3292" w:type="dxa"/>
            <w:tcBorders>
              <w:left w:val="single" w:color="auto" w:sz="4" w:space="0"/>
            </w:tcBorders>
            <w:noWrap w:val="0"/>
            <w:vAlign w:val="center"/>
          </w:tcPr>
          <w:p w14:paraId="383FB6E5">
            <w:pPr>
              <w:pStyle w:val="20"/>
              <w:spacing w:line="360" w:lineRule="auto"/>
              <w:ind w:firstLine="0"/>
              <w:contextualSpacing/>
              <w:jc w:val="center"/>
              <w:rPr>
                <w:rFonts w:ascii="宋体" w:hAnsi="宋体" w:eastAsia="宋体" w:cs="宋体"/>
                <w:color w:val="auto"/>
                <w:sz w:val="24"/>
                <w:szCs w:val="24"/>
                <w:highlight w:val="none"/>
              </w:rPr>
            </w:pPr>
          </w:p>
        </w:tc>
        <w:tc>
          <w:tcPr>
            <w:tcW w:w="2963" w:type="dxa"/>
            <w:noWrap w:val="0"/>
            <w:vAlign w:val="center"/>
          </w:tcPr>
          <w:p w14:paraId="68C1B572">
            <w:pPr>
              <w:pStyle w:val="20"/>
              <w:spacing w:line="360" w:lineRule="auto"/>
              <w:ind w:firstLine="0"/>
              <w:contextualSpacing/>
              <w:jc w:val="center"/>
              <w:rPr>
                <w:rFonts w:ascii="宋体" w:hAnsi="宋体" w:eastAsia="宋体" w:cs="宋体"/>
                <w:color w:val="auto"/>
                <w:sz w:val="24"/>
                <w:szCs w:val="24"/>
                <w:highlight w:val="none"/>
              </w:rPr>
            </w:pPr>
          </w:p>
        </w:tc>
        <w:tc>
          <w:tcPr>
            <w:tcW w:w="1616" w:type="dxa"/>
            <w:noWrap w:val="0"/>
            <w:vAlign w:val="center"/>
          </w:tcPr>
          <w:p w14:paraId="045058A9">
            <w:pPr>
              <w:pStyle w:val="20"/>
              <w:spacing w:line="360" w:lineRule="auto"/>
              <w:ind w:firstLine="0"/>
              <w:contextualSpacing/>
              <w:jc w:val="center"/>
              <w:rPr>
                <w:rFonts w:ascii="宋体" w:hAnsi="宋体" w:eastAsia="宋体" w:cs="宋体"/>
                <w:color w:val="auto"/>
                <w:sz w:val="24"/>
                <w:szCs w:val="24"/>
                <w:highlight w:val="none"/>
              </w:rPr>
            </w:pPr>
          </w:p>
        </w:tc>
      </w:tr>
      <w:tr w14:paraId="220D93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noWrap w:val="0"/>
            <w:vAlign w:val="center"/>
          </w:tcPr>
          <w:p w14:paraId="7DD4B6FF">
            <w:pPr>
              <w:pStyle w:val="20"/>
              <w:spacing w:line="360" w:lineRule="auto"/>
              <w:ind w:firstLine="0"/>
              <w:contextualSpacing/>
              <w:jc w:val="center"/>
              <w:rPr>
                <w:rFonts w:ascii="宋体" w:hAnsi="宋体" w:eastAsia="宋体" w:cs="宋体"/>
                <w:color w:val="auto"/>
                <w:sz w:val="24"/>
                <w:szCs w:val="24"/>
                <w:highlight w:val="none"/>
              </w:rPr>
            </w:pPr>
            <w:bookmarkStart w:id="118" w:name="_Toc173066410"/>
            <w:bookmarkStart w:id="119" w:name="_Toc383699915"/>
            <w:bookmarkStart w:id="120" w:name="_Toc301781620"/>
            <w:bookmarkStart w:id="121" w:name="_Toc297193194"/>
            <w:bookmarkStart w:id="122" w:name="_Toc254970597"/>
            <w:bookmarkStart w:id="123" w:name="_Toc373333698"/>
            <w:bookmarkStart w:id="124" w:name="_Toc173211909"/>
            <w:bookmarkStart w:id="125" w:name="_Toc254970738"/>
            <w:bookmarkStart w:id="126" w:name="_Toc295404990"/>
            <w:r>
              <w:rPr>
                <w:rFonts w:hint="eastAsia" w:ascii="宋体" w:hAnsi="宋体" w:eastAsia="宋体" w:cs="宋体"/>
                <w:color w:val="auto"/>
                <w:sz w:val="24"/>
                <w:szCs w:val="24"/>
                <w:highlight w:val="none"/>
              </w:rPr>
              <w:t>5</w:t>
            </w:r>
            <w:bookmarkEnd w:id="118"/>
            <w:bookmarkEnd w:id="119"/>
            <w:bookmarkEnd w:id="120"/>
            <w:bookmarkEnd w:id="121"/>
            <w:bookmarkEnd w:id="122"/>
            <w:bookmarkEnd w:id="123"/>
            <w:bookmarkEnd w:id="124"/>
            <w:bookmarkEnd w:id="125"/>
            <w:bookmarkEnd w:id="126"/>
          </w:p>
        </w:tc>
        <w:tc>
          <w:tcPr>
            <w:tcW w:w="992" w:type="dxa"/>
            <w:tcBorders>
              <w:right w:val="single" w:color="auto" w:sz="4" w:space="0"/>
            </w:tcBorders>
            <w:noWrap w:val="0"/>
            <w:vAlign w:val="center"/>
          </w:tcPr>
          <w:p w14:paraId="467ECF77">
            <w:pPr>
              <w:pStyle w:val="20"/>
              <w:spacing w:line="360" w:lineRule="auto"/>
              <w:ind w:firstLine="0"/>
              <w:contextualSpacing/>
              <w:jc w:val="center"/>
              <w:rPr>
                <w:rFonts w:ascii="宋体" w:hAnsi="宋体" w:eastAsia="宋体" w:cs="宋体"/>
                <w:color w:val="auto"/>
                <w:sz w:val="24"/>
                <w:szCs w:val="24"/>
                <w:highlight w:val="none"/>
              </w:rPr>
            </w:pPr>
          </w:p>
        </w:tc>
        <w:tc>
          <w:tcPr>
            <w:tcW w:w="3292" w:type="dxa"/>
            <w:tcBorders>
              <w:left w:val="single" w:color="auto" w:sz="4" w:space="0"/>
            </w:tcBorders>
            <w:noWrap w:val="0"/>
            <w:vAlign w:val="center"/>
          </w:tcPr>
          <w:p w14:paraId="1CD420A3">
            <w:pPr>
              <w:pStyle w:val="20"/>
              <w:spacing w:line="360" w:lineRule="auto"/>
              <w:ind w:firstLine="0"/>
              <w:contextualSpacing/>
              <w:jc w:val="center"/>
              <w:rPr>
                <w:rFonts w:ascii="宋体" w:hAnsi="宋体" w:eastAsia="宋体" w:cs="宋体"/>
                <w:color w:val="auto"/>
                <w:sz w:val="24"/>
                <w:szCs w:val="24"/>
                <w:highlight w:val="none"/>
              </w:rPr>
            </w:pPr>
          </w:p>
        </w:tc>
        <w:tc>
          <w:tcPr>
            <w:tcW w:w="2963" w:type="dxa"/>
            <w:noWrap w:val="0"/>
            <w:vAlign w:val="center"/>
          </w:tcPr>
          <w:p w14:paraId="708FE656">
            <w:pPr>
              <w:pStyle w:val="20"/>
              <w:spacing w:line="360" w:lineRule="auto"/>
              <w:ind w:firstLine="0"/>
              <w:contextualSpacing/>
              <w:jc w:val="center"/>
              <w:rPr>
                <w:rFonts w:ascii="宋体" w:hAnsi="宋体" w:eastAsia="宋体" w:cs="宋体"/>
                <w:color w:val="auto"/>
                <w:sz w:val="24"/>
                <w:szCs w:val="24"/>
                <w:highlight w:val="none"/>
              </w:rPr>
            </w:pPr>
          </w:p>
        </w:tc>
        <w:tc>
          <w:tcPr>
            <w:tcW w:w="1616" w:type="dxa"/>
            <w:noWrap w:val="0"/>
            <w:vAlign w:val="center"/>
          </w:tcPr>
          <w:p w14:paraId="031BC6E8">
            <w:pPr>
              <w:pStyle w:val="20"/>
              <w:spacing w:line="360" w:lineRule="auto"/>
              <w:ind w:firstLine="0"/>
              <w:contextualSpacing/>
              <w:jc w:val="center"/>
              <w:rPr>
                <w:rFonts w:ascii="宋体" w:hAnsi="宋体" w:eastAsia="宋体" w:cs="宋体"/>
                <w:color w:val="auto"/>
                <w:sz w:val="24"/>
                <w:szCs w:val="24"/>
                <w:highlight w:val="none"/>
              </w:rPr>
            </w:pPr>
          </w:p>
        </w:tc>
      </w:tr>
      <w:tr w14:paraId="5AECCC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91" w:type="dxa"/>
            <w:noWrap w:val="0"/>
            <w:vAlign w:val="center"/>
          </w:tcPr>
          <w:p w14:paraId="7937FBE4">
            <w:pPr>
              <w:pStyle w:val="20"/>
              <w:spacing w:line="360" w:lineRule="auto"/>
              <w:ind w:firstLine="0"/>
              <w:contextualSpacing/>
              <w:jc w:val="center"/>
              <w:rPr>
                <w:rFonts w:ascii="宋体" w:hAnsi="宋体" w:eastAsia="宋体" w:cs="宋体"/>
                <w:color w:val="auto"/>
                <w:sz w:val="24"/>
                <w:szCs w:val="24"/>
                <w:highlight w:val="none"/>
              </w:rPr>
            </w:pPr>
            <w:bookmarkStart w:id="127" w:name="_Toc373333699"/>
            <w:bookmarkStart w:id="128" w:name="_Toc173066415"/>
            <w:bookmarkStart w:id="129" w:name="_Toc383699916"/>
            <w:bookmarkStart w:id="130" w:name="_Toc301781621"/>
            <w:bookmarkStart w:id="131" w:name="_Toc295404991"/>
            <w:bookmarkStart w:id="132" w:name="_Toc173211914"/>
            <w:bookmarkStart w:id="133" w:name="_Toc297193195"/>
            <w:bookmarkStart w:id="134" w:name="_Toc254970602"/>
            <w:bookmarkStart w:id="135" w:name="_Toc254970743"/>
            <w:r>
              <w:rPr>
                <w:rFonts w:hint="eastAsia" w:ascii="宋体" w:hAnsi="宋体" w:eastAsia="宋体" w:cs="宋体"/>
                <w:color w:val="auto"/>
                <w:sz w:val="24"/>
                <w:szCs w:val="24"/>
                <w:highlight w:val="none"/>
              </w:rPr>
              <w:t>…</w:t>
            </w:r>
            <w:bookmarkEnd w:id="127"/>
            <w:bookmarkEnd w:id="128"/>
            <w:bookmarkEnd w:id="129"/>
            <w:bookmarkEnd w:id="130"/>
            <w:bookmarkEnd w:id="131"/>
            <w:bookmarkEnd w:id="132"/>
            <w:bookmarkEnd w:id="133"/>
            <w:bookmarkEnd w:id="134"/>
            <w:bookmarkEnd w:id="135"/>
          </w:p>
        </w:tc>
        <w:tc>
          <w:tcPr>
            <w:tcW w:w="992" w:type="dxa"/>
            <w:tcBorders>
              <w:right w:val="single" w:color="auto" w:sz="4" w:space="0"/>
            </w:tcBorders>
            <w:noWrap w:val="0"/>
            <w:vAlign w:val="center"/>
          </w:tcPr>
          <w:p w14:paraId="4799B6B0">
            <w:pPr>
              <w:pStyle w:val="20"/>
              <w:spacing w:line="360" w:lineRule="auto"/>
              <w:ind w:firstLine="0"/>
              <w:contextualSpacing/>
              <w:jc w:val="center"/>
              <w:rPr>
                <w:rFonts w:ascii="宋体" w:hAnsi="宋体" w:eastAsia="宋体" w:cs="宋体"/>
                <w:color w:val="auto"/>
                <w:sz w:val="24"/>
                <w:szCs w:val="24"/>
                <w:highlight w:val="none"/>
              </w:rPr>
            </w:pPr>
          </w:p>
        </w:tc>
        <w:tc>
          <w:tcPr>
            <w:tcW w:w="3292" w:type="dxa"/>
            <w:tcBorders>
              <w:left w:val="single" w:color="auto" w:sz="4" w:space="0"/>
            </w:tcBorders>
            <w:noWrap w:val="0"/>
            <w:vAlign w:val="center"/>
          </w:tcPr>
          <w:p w14:paraId="15A2B5E9">
            <w:pPr>
              <w:pStyle w:val="20"/>
              <w:spacing w:line="360" w:lineRule="auto"/>
              <w:ind w:firstLine="0"/>
              <w:contextualSpacing/>
              <w:jc w:val="center"/>
              <w:rPr>
                <w:rFonts w:ascii="宋体" w:hAnsi="宋体" w:eastAsia="宋体" w:cs="宋体"/>
                <w:color w:val="auto"/>
                <w:sz w:val="24"/>
                <w:szCs w:val="24"/>
                <w:highlight w:val="none"/>
              </w:rPr>
            </w:pPr>
          </w:p>
        </w:tc>
        <w:tc>
          <w:tcPr>
            <w:tcW w:w="2963" w:type="dxa"/>
            <w:noWrap w:val="0"/>
            <w:vAlign w:val="center"/>
          </w:tcPr>
          <w:p w14:paraId="7FC53255">
            <w:pPr>
              <w:pStyle w:val="20"/>
              <w:spacing w:line="360" w:lineRule="auto"/>
              <w:ind w:firstLine="0"/>
              <w:contextualSpacing/>
              <w:jc w:val="center"/>
              <w:rPr>
                <w:rFonts w:ascii="宋体" w:hAnsi="宋体" w:eastAsia="宋体" w:cs="宋体"/>
                <w:color w:val="auto"/>
                <w:sz w:val="24"/>
                <w:szCs w:val="24"/>
                <w:highlight w:val="none"/>
              </w:rPr>
            </w:pPr>
          </w:p>
        </w:tc>
        <w:tc>
          <w:tcPr>
            <w:tcW w:w="1616" w:type="dxa"/>
            <w:tcBorders>
              <w:right w:val="single" w:color="auto" w:sz="4" w:space="0"/>
            </w:tcBorders>
            <w:noWrap w:val="0"/>
            <w:vAlign w:val="center"/>
          </w:tcPr>
          <w:p w14:paraId="6F9ADFD5">
            <w:pPr>
              <w:pStyle w:val="20"/>
              <w:spacing w:line="360" w:lineRule="auto"/>
              <w:ind w:firstLine="0"/>
              <w:contextualSpacing/>
              <w:jc w:val="center"/>
              <w:rPr>
                <w:rFonts w:ascii="宋体" w:hAnsi="宋体" w:eastAsia="宋体" w:cs="宋体"/>
                <w:color w:val="auto"/>
                <w:sz w:val="24"/>
                <w:szCs w:val="24"/>
                <w:highlight w:val="none"/>
              </w:rPr>
            </w:pPr>
          </w:p>
        </w:tc>
      </w:tr>
    </w:tbl>
    <w:p w14:paraId="028C8076">
      <w:pPr>
        <w:spacing w:line="360" w:lineRule="auto"/>
        <w:contextualSpacing/>
        <w:rPr>
          <w:rFonts w:ascii="宋体" w:hAnsi="宋体" w:cs="宋体"/>
          <w:color w:val="auto"/>
          <w:sz w:val="24"/>
          <w:highlight w:val="none"/>
        </w:rPr>
      </w:pPr>
    </w:p>
    <w:p w14:paraId="20BCD6DB">
      <w:pPr>
        <w:pStyle w:val="20"/>
        <w:spacing w:line="360" w:lineRule="auto"/>
        <w:ind w:firstLine="0"/>
        <w:contextualSpacing/>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注：</w:t>
      </w:r>
    </w:p>
    <w:p w14:paraId="2FDB6E15">
      <w:pPr>
        <w:pStyle w:val="20"/>
        <w:spacing w:line="360" w:lineRule="auto"/>
        <w:ind w:firstLine="0"/>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1.</w:t>
      </w:r>
      <w:r>
        <w:rPr>
          <w:rFonts w:hint="eastAsia" w:ascii="楷体" w:hAnsi="楷体" w:eastAsia="楷体" w:cs="宋体"/>
          <w:color w:val="auto"/>
          <w:sz w:val="24"/>
          <w:szCs w:val="24"/>
          <w:highlight w:val="none"/>
        </w:rPr>
        <w:t>说明：应对照磋商文件“第三章</w:t>
      </w:r>
      <w:r>
        <w:rPr>
          <w:rFonts w:ascii="楷体" w:hAnsi="楷体" w:eastAsia="楷体" w:cs="宋体"/>
          <w:color w:val="auto"/>
          <w:sz w:val="24"/>
          <w:szCs w:val="24"/>
          <w:highlight w:val="none"/>
        </w:rPr>
        <w:t xml:space="preserve"> </w:t>
      </w:r>
      <w:r>
        <w:rPr>
          <w:rFonts w:hint="eastAsia" w:ascii="楷体" w:hAnsi="楷体" w:eastAsia="楷体" w:cs="宋体"/>
          <w:color w:val="auto"/>
          <w:sz w:val="24"/>
          <w:szCs w:val="24"/>
          <w:highlight w:val="none"/>
        </w:rPr>
        <w:t>采购需求”中的服务要求逐条作出明确响应，并作出偏离说明。</w:t>
      </w:r>
    </w:p>
    <w:p w14:paraId="5F40475B">
      <w:pPr>
        <w:pStyle w:val="20"/>
        <w:spacing w:line="360" w:lineRule="auto"/>
        <w:ind w:firstLine="0"/>
        <w:contextualSpacing/>
        <w:rPr>
          <w:rFonts w:ascii="楷体" w:hAnsi="楷体" w:eastAsia="楷体" w:cs="宋体"/>
          <w:color w:val="auto"/>
          <w:sz w:val="24"/>
          <w:szCs w:val="24"/>
          <w:highlight w:val="none"/>
        </w:rPr>
      </w:pPr>
      <w:r>
        <w:rPr>
          <w:rFonts w:ascii="楷体" w:hAnsi="楷体" w:eastAsia="楷体" w:cs="宋体"/>
          <w:color w:val="auto"/>
          <w:sz w:val="24"/>
          <w:szCs w:val="24"/>
          <w:highlight w:val="none"/>
        </w:rPr>
        <w:t>2.供应商应根据自身的承诺，对照磋商文件要求，在“偏离说明”中注明“正偏离”、“负偏离”或者“无偏离”。既不属于“正偏离”也不属于“负偏离”即为“无偏离”。</w:t>
      </w:r>
    </w:p>
    <w:p w14:paraId="3989EAB5">
      <w:pPr>
        <w:spacing w:line="360" w:lineRule="auto"/>
        <w:ind w:right="-817"/>
        <w:contextualSpacing/>
        <w:rPr>
          <w:rFonts w:ascii="宋体" w:hAnsi="宋体" w:cs="宋体"/>
          <w:color w:val="auto"/>
          <w:sz w:val="24"/>
          <w:highlight w:val="none"/>
        </w:rPr>
      </w:pPr>
    </w:p>
    <w:p w14:paraId="72B878D0">
      <w:pPr>
        <w:spacing w:line="360" w:lineRule="auto"/>
        <w:ind w:right="-817" w:firstLine="960"/>
        <w:contextualSpacing/>
        <w:rPr>
          <w:rFonts w:ascii="宋体" w:hAnsi="宋体" w:cs="宋体"/>
          <w:color w:val="auto"/>
          <w:sz w:val="24"/>
          <w:highlight w:val="none"/>
        </w:rPr>
      </w:pPr>
      <w:r>
        <w:rPr>
          <w:rFonts w:hint="eastAsia" w:ascii="宋体" w:hAnsi="宋体" w:cs="宋体"/>
          <w:color w:val="auto"/>
          <w:sz w:val="24"/>
          <w:highlight w:val="none"/>
        </w:rPr>
        <w:t>法定代表人或者委托代理人（签字）：</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D9C59F2">
      <w:pPr>
        <w:spacing w:line="360" w:lineRule="auto"/>
        <w:ind w:right="-817" w:firstLine="2640"/>
        <w:contextualSpacing/>
        <w:rPr>
          <w:rFonts w:ascii="宋体" w:hAnsi="宋体" w:cs="宋体"/>
          <w:color w:val="auto"/>
          <w:sz w:val="24"/>
          <w:highlight w:val="none"/>
        </w:rPr>
      </w:pPr>
      <w:r>
        <w:rPr>
          <w:rFonts w:hint="eastAsia" w:ascii="宋体" w:hAnsi="宋体" w:cs="宋体"/>
          <w:color w:val="auto"/>
          <w:sz w:val="24"/>
          <w:highlight w:val="none"/>
        </w:rPr>
        <w:t>供应商（公章）：</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4FF9CF72">
      <w:pPr>
        <w:spacing w:line="360" w:lineRule="auto"/>
        <w:ind w:right="-817" w:firstLine="4080"/>
        <w:contextualSpacing/>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4ED9F0BB">
      <w:pPr>
        <w:spacing w:before="156" w:after="50"/>
        <w:ind w:left="142"/>
        <w:jc w:val="left"/>
        <w:rPr>
          <w:rFonts w:ascii="宋体" w:hAnsi="宋体" w:cs="宋体"/>
          <w:b/>
          <w:color w:val="auto"/>
          <w:sz w:val="24"/>
          <w:highlight w:val="none"/>
        </w:rPr>
      </w:pPr>
      <w:r>
        <w:rPr>
          <w:rFonts w:hint="eastAsia" w:ascii="宋体" w:hAnsi="宋体" w:cs="宋体"/>
          <w:color w:val="auto"/>
          <w:sz w:val="24"/>
          <w:highlight w:val="none"/>
        </w:rPr>
        <w:br w:type="page"/>
      </w:r>
      <w:r>
        <w:rPr>
          <w:rFonts w:hint="eastAsia" w:ascii="宋体" w:hAnsi="宋体" w:cs="宋体"/>
          <w:b/>
          <w:color w:val="auto"/>
          <w:sz w:val="24"/>
          <w:highlight w:val="none"/>
        </w:rPr>
        <w:t>项目实施人员一览表格式</w:t>
      </w:r>
    </w:p>
    <w:p w14:paraId="64F71500">
      <w:pPr>
        <w:spacing w:before="156" w:after="50"/>
        <w:ind w:left="142"/>
        <w:jc w:val="left"/>
        <w:rPr>
          <w:rFonts w:ascii="宋体" w:hAnsi="宋体" w:cs="宋体"/>
          <w:b/>
          <w:color w:val="auto"/>
          <w:sz w:val="24"/>
          <w:highlight w:val="none"/>
        </w:rPr>
      </w:pPr>
    </w:p>
    <w:p w14:paraId="15BA9D1F">
      <w:pPr>
        <w:spacing w:line="360" w:lineRule="auto"/>
        <w:ind w:left="142"/>
        <w:contextualSpacing/>
        <w:jc w:val="center"/>
        <w:rPr>
          <w:rFonts w:ascii="宋体" w:hAnsi="宋体" w:cs="宋体"/>
          <w:b/>
          <w:color w:val="auto"/>
          <w:sz w:val="32"/>
          <w:szCs w:val="32"/>
          <w:highlight w:val="none"/>
        </w:rPr>
      </w:pPr>
      <w:r>
        <w:rPr>
          <w:rFonts w:hint="eastAsia" w:ascii="宋体" w:hAnsi="宋体" w:cs="宋体"/>
          <w:b/>
          <w:color w:val="auto"/>
          <w:sz w:val="32"/>
          <w:szCs w:val="32"/>
          <w:highlight w:val="none"/>
        </w:rPr>
        <w:t>项目实施人员一览表</w:t>
      </w:r>
    </w:p>
    <w:p w14:paraId="7CD01F10">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516434EE">
      <w:pPr>
        <w:spacing w:line="360" w:lineRule="auto"/>
        <w:contextualSpacing/>
        <w:rPr>
          <w:rFonts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1A6B34CF">
      <w:pPr>
        <w:pStyle w:val="24"/>
        <w:spacing w:line="360" w:lineRule="auto"/>
        <w:contextualSpacing/>
        <w:rPr>
          <w:rFonts w:hAnsi="宋体" w:cs="宋体"/>
          <w:color w:val="auto"/>
          <w:sz w:val="24"/>
          <w:szCs w:val="24"/>
          <w:highlight w: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794"/>
        <w:gridCol w:w="1907"/>
        <w:gridCol w:w="1592"/>
        <w:gridCol w:w="1903"/>
        <w:gridCol w:w="2066"/>
      </w:tblGrid>
      <w:tr w14:paraId="0A7E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trPr>
        <w:tc>
          <w:tcPr>
            <w:tcW w:w="915" w:type="dxa"/>
            <w:noWrap w:val="0"/>
            <w:vAlign w:val="center"/>
          </w:tcPr>
          <w:p w14:paraId="41E43089">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姓名</w:t>
            </w:r>
          </w:p>
        </w:tc>
        <w:tc>
          <w:tcPr>
            <w:tcW w:w="794" w:type="dxa"/>
            <w:noWrap w:val="0"/>
            <w:vAlign w:val="center"/>
          </w:tcPr>
          <w:p w14:paraId="00DD0320">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职务</w:t>
            </w:r>
          </w:p>
        </w:tc>
        <w:tc>
          <w:tcPr>
            <w:tcW w:w="1907" w:type="dxa"/>
            <w:noWrap w:val="0"/>
            <w:vAlign w:val="center"/>
          </w:tcPr>
          <w:p w14:paraId="4354B8B9">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专业技术资格（职称）或者职业资格或者执业资格证或者其他证书</w:t>
            </w:r>
          </w:p>
        </w:tc>
        <w:tc>
          <w:tcPr>
            <w:tcW w:w="1592" w:type="dxa"/>
            <w:noWrap w:val="0"/>
            <w:vAlign w:val="center"/>
          </w:tcPr>
          <w:p w14:paraId="6B4F5B11">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证书编号</w:t>
            </w:r>
          </w:p>
        </w:tc>
        <w:tc>
          <w:tcPr>
            <w:tcW w:w="1903" w:type="dxa"/>
            <w:noWrap w:val="0"/>
            <w:vAlign w:val="center"/>
          </w:tcPr>
          <w:p w14:paraId="0FBBCC57">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参加本单位</w:t>
            </w:r>
          </w:p>
          <w:p w14:paraId="062F7BED">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工作时间</w:t>
            </w:r>
          </w:p>
        </w:tc>
        <w:tc>
          <w:tcPr>
            <w:tcW w:w="2066" w:type="dxa"/>
            <w:noWrap w:val="0"/>
            <w:vAlign w:val="center"/>
          </w:tcPr>
          <w:p w14:paraId="214382D3">
            <w:pPr>
              <w:contextualSpacing/>
              <w:jc w:val="center"/>
              <w:rPr>
                <w:rFonts w:ascii="宋体" w:hAnsi="宋体" w:cs="宋体"/>
                <w:color w:val="auto"/>
                <w:sz w:val="24"/>
                <w:szCs w:val="20"/>
                <w:highlight w:val="none"/>
              </w:rPr>
            </w:pPr>
            <w:r>
              <w:rPr>
                <w:rFonts w:hint="eastAsia" w:ascii="宋体" w:hAnsi="宋体" w:cs="宋体"/>
                <w:color w:val="auto"/>
                <w:sz w:val="24"/>
                <w:szCs w:val="20"/>
                <w:highlight w:val="none"/>
              </w:rPr>
              <w:t>备注</w:t>
            </w:r>
          </w:p>
        </w:tc>
      </w:tr>
      <w:tr w14:paraId="2E2E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15" w:type="dxa"/>
            <w:noWrap w:val="0"/>
            <w:vAlign w:val="center"/>
          </w:tcPr>
          <w:p w14:paraId="3ACB5E05">
            <w:pPr>
              <w:spacing w:line="360" w:lineRule="auto"/>
              <w:contextualSpacing/>
              <w:jc w:val="center"/>
              <w:rPr>
                <w:rFonts w:ascii="宋体" w:hAnsi="宋体" w:cs="宋体"/>
                <w:color w:val="auto"/>
                <w:sz w:val="24"/>
                <w:szCs w:val="20"/>
                <w:highlight w:val="none"/>
              </w:rPr>
            </w:pPr>
          </w:p>
        </w:tc>
        <w:tc>
          <w:tcPr>
            <w:tcW w:w="794" w:type="dxa"/>
            <w:noWrap w:val="0"/>
            <w:vAlign w:val="center"/>
          </w:tcPr>
          <w:p w14:paraId="202955F2">
            <w:pPr>
              <w:spacing w:line="360" w:lineRule="auto"/>
              <w:contextualSpacing/>
              <w:jc w:val="center"/>
              <w:rPr>
                <w:rFonts w:ascii="宋体" w:hAnsi="宋体" w:cs="宋体"/>
                <w:color w:val="auto"/>
                <w:sz w:val="24"/>
                <w:szCs w:val="20"/>
                <w:highlight w:val="none"/>
              </w:rPr>
            </w:pPr>
          </w:p>
        </w:tc>
        <w:tc>
          <w:tcPr>
            <w:tcW w:w="1907" w:type="dxa"/>
            <w:noWrap w:val="0"/>
            <w:vAlign w:val="center"/>
          </w:tcPr>
          <w:p w14:paraId="03623886">
            <w:pPr>
              <w:spacing w:line="360" w:lineRule="auto"/>
              <w:contextualSpacing/>
              <w:jc w:val="center"/>
              <w:rPr>
                <w:rFonts w:ascii="宋体" w:hAnsi="宋体" w:cs="宋体"/>
                <w:color w:val="auto"/>
                <w:sz w:val="24"/>
                <w:szCs w:val="20"/>
                <w:highlight w:val="none"/>
              </w:rPr>
            </w:pPr>
          </w:p>
        </w:tc>
        <w:tc>
          <w:tcPr>
            <w:tcW w:w="1592" w:type="dxa"/>
            <w:noWrap w:val="0"/>
            <w:vAlign w:val="center"/>
          </w:tcPr>
          <w:p w14:paraId="74FC27BD">
            <w:pPr>
              <w:spacing w:line="360" w:lineRule="auto"/>
              <w:contextualSpacing/>
              <w:jc w:val="center"/>
              <w:rPr>
                <w:rFonts w:ascii="宋体" w:hAnsi="宋体" w:cs="宋体"/>
                <w:color w:val="auto"/>
                <w:sz w:val="24"/>
                <w:szCs w:val="20"/>
                <w:highlight w:val="none"/>
              </w:rPr>
            </w:pPr>
          </w:p>
        </w:tc>
        <w:tc>
          <w:tcPr>
            <w:tcW w:w="1903" w:type="dxa"/>
            <w:noWrap w:val="0"/>
            <w:vAlign w:val="center"/>
          </w:tcPr>
          <w:p w14:paraId="0F91A694">
            <w:pPr>
              <w:spacing w:line="360" w:lineRule="auto"/>
              <w:contextualSpacing/>
              <w:jc w:val="center"/>
              <w:rPr>
                <w:rFonts w:ascii="宋体" w:hAnsi="宋体" w:cs="宋体"/>
                <w:color w:val="auto"/>
                <w:sz w:val="24"/>
                <w:szCs w:val="20"/>
                <w:highlight w:val="none"/>
              </w:rPr>
            </w:pPr>
          </w:p>
        </w:tc>
        <w:tc>
          <w:tcPr>
            <w:tcW w:w="2066" w:type="dxa"/>
            <w:noWrap w:val="0"/>
            <w:vAlign w:val="center"/>
          </w:tcPr>
          <w:p w14:paraId="06147F75">
            <w:pPr>
              <w:spacing w:line="360" w:lineRule="auto"/>
              <w:contextualSpacing/>
              <w:jc w:val="center"/>
              <w:rPr>
                <w:rFonts w:ascii="宋体" w:hAnsi="宋体" w:cs="宋体"/>
                <w:color w:val="auto"/>
                <w:sz w:val="24"/>
                <w:szCs w:val="20"/>
                <w:highlight w:val="none"/>
              </w:rPr>
            </w:pPr>
          </w:p>
        </w:tc>
      </w:tr>
      <w:tr w14:paraId="2FA3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15" w:type="dxa"/>
            <w:noWrap w:val="0"/>
            <w:vAlign w:val="center"/>
          </w:tcPr>
          <w:p w14:paraId="5E8AF650">
            <w:pPr>
              <w:spacing w:line="360" w:lineRule="auto"/>
              <w:contextualSpacing/>
              <w:jc w:val="center"/>
              <w:rPr>
                <w:rFonts w:ascii="宋体" w:hAnsi="宋体" w:cs="宋体"/>
                <w:color w:val="auto"/>
                <w:sz w:val="24"/>
                <w:szCs w:val="20"/>
                <w:highlight w:val="none"/>
              </w:rPr>
            </w:pPr>
          </w:p>
        </w:tc>
        <w:tc>
          <w:tcPr>
            <w:tcW w:w="794" w:type="dxa"/>
            <w:noWrap w:val="0"/>
            <w:vAlign w:val="center"/>
          </w:tcPr>
          <w:p w14:paraId="41A2F605">
            <w:pPr>
              <w:spacing w:line="360" w:lineRule="auto"/>
              <w:contextualSpacing/>
              <w:jc w:val="center"/>
              <w:rPr>
                <w:rFonts w:ascii="宋体" w:hAnsi="宋体" w:cs="宋体"/>
                <w:color w:val="auto"/>
                <w:sz w:val="24"/>
                <w:szCs w:val="20"/>
                <w:highlight w:val="none"/>
              </w:rPr>
            </w:pPr>
          </w:p>
        </w:tc>
        <w:tc>
          <w:tcPr>
            <w:tcW w:w="1907" w:type="dxa"/>
            <w:noWrap w:val="0"/>
            <w:vAlign w:val="center"/>
          </w:tcPr>
          <w:p w14:paraId="302C1F8A">
            <w:pPr>
              <w:spacing w:line="360" w:lineRule="auto"/>
              <w:contextualSpacing/>
              <w:jc w:val="center"/>
              <w:rPr>
                <w:rFonts w:ascii="宋体" w:hAnsi="宋体" w:cs="宋体"/>
                <w:color w:val="auto"/>
                <w:sz w:val="24"/>
                <w:szCs w:val="20"/>
                <w:highlight w:val="none"/>
              </w:rPr>
            </w:pPr>
          </w:p>
        </w:tc>
        <w:tc>
          <w:tcPr>
            <w:tcW w:w="1592" w:type="dxa"/>
            <w:noWrap w:val="0"/>
            <w:vAlign w:val="center"/>
          </w:tcPr>
          <w:p w14:paraId="220CB07A">
            <w:pPr>
              <w:spacing w:line="360" w:lineRule="auto"/>
              <w:contextualSpacing/>
              <w:jc w:val="center"/>
              <w:rPr>
                <w:rFonts w:ascii="宋体" w:hAnsi="宋体" w:cs="宋体"/>
                <w:color w:val="auto"/>
                <w:sz w:val="24"/>
                <w:szCs w:val="20"/>
                <w:highlight w:val="none"/>
              </w:rPr>
            </w:pPr>
          </w:p>
        </w:tc>
        <w:tc>
          <w:tcPr>
            <w:tcW w:w="1903" w:type="dxa"/>
            <w:noWrap w:val="0"/>
            <w:vAlign w:val="center"/>
          </w:tcPr>
          <w:p w14:paraId="292D0818">
            <w:pPr>
              <w:spacing w:line="360" w:lineRule="auto"/>
              <w:contextualSpacing/>
              <w:jc w:val="center"/>
              <w:rPr>
                <w:rFonts w:ascii="宋体" w:hAnsi="宋体" w:cs="宋体"/>
                <w:color w:val="auto"/>
                <w:sz w:val="24"/>
                <w:szCs w:val="20"/>
                <w:highlight w:val="none"/>
              </w:rPr>
            </w:pPr>
          </w:p>
        </w:tc>
        <w:tc>
          <w:tcPr>
            <w:tcW w:w="2066" w:type="dxa"/>
            <w:noWrap w:val="0"/>
            <w:vAlign w:val="center"/>
          </w:tcPr>
          <w:p w14:paraId="4F0637A6">
            <w:pPr>
              <w:spacing w:line="360" w:lineRule="auto"/>
              <w:contextualSpacing/>
              <w:jc w:val="center"/>
              <w:rPr>
                <w:rFonts w:ascii="宋体" w:hAnsi="宋体" w:cs="宋体"/>
                <w:color w:val="auto"/>
                <w:sz w:val="24"/>
                <w:szCs w:val="20"/>
                <w:highlight w:val="none"/>
              </w:rPr>
            </w:pPr>
          </w:p>
        </w:tc>
      </w:tr>
      <w:tr w14:paraId="3000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15" w:type="dxa"/>
            <w:noWrap w:val="0"/>
            <w:vAlign w:val="center"/>
          </w:tcPr>
          <w:p w14:paraId="00170D00">
            <w:pPr>
              <w:spacing w:line="360" w:lineRule="auto"/>
              <w:contextualSpacing/>
              <w:jc w:val="center"/>
              <w:rPr>
                <w:rFonts w:ascii="宋体" w:hAnsi="宋体" w:cs="宋体"/>
                <w:color w:val="auto"/>
                <w:sz w:val="24"/>
                <w:szCs w:val="20"/>
                <w:highlight w:val="none"/>
              </w:rPr>
            </w:pPr>
          </w:p>
        </w:tc>
        <w:tc>
          <w:tcPr>
            <w:tcW w:w="794" w:type="dxa"/>
            <w:noWrap w:val="0"/>
            <w:vAlign w:val="center"/>
          </w:tcPr>
          <w:p w14:paraId="6E4AC14C">
            <w:pPr>
              <w:spacing w:line="360" w:lineRule="auto"/>
              <w:contextualSpacing/>
              <w:jc w:val="center"/>
              <w:rPr>
                <w:rFonts w:ascii="宋体" w:hAnsi="宋体" w:cs="宋体"/>
                <w:color w:val="auto"/>
                <w:sz w:val="24"/>
                <w:szCs w:val="20"/>
                <w:highlight w:val="none"/>
              </w:rPr>
            </w:pPr>
          </w:p>
        </w:tc>
        <w:tc>
          <w:tcPr>
            <w:tcW w:w="1907" w:type="dxa"/>
            <w:noWrap w:val="0"/>
            <w:vAlign w:val="center"/>
          </w:tcPr>
          <w:p w14:paraId="7191BFDA">
            <w:pPr>
              <w:spacing w:line="360" w:lineRule="auto"/>
              <w:contextualSpacing/>
              <w:jc w:val="center"/>
              <w:rPr>
                <w:rFonts w:ascii="宋体" w:hAnsi="宋体" w:cs="宋体"/>
                <w:color w:val="auto"/>
                <w:sz w:val="24"/>
                <w:szCs w:val="20"/>
                <w:highlight w:val="none"/>
              </w:rPr>
            </w:pPr>
          </w:p>
        </w:tc>
        <w:tc>
          <w:tcPr>
            <w:tcW w:w="1592" w:type="dxa"/>
            <w:noWrap w:val="0"/>
            <w:vAlign w:val="center"/>
          </w:tcPr>
          <w:p w14:paraId="0D50FA4F">
            <w:pPr>
              <w:spacing w:line="360" w:lineRule="auto"/>
              <w:contextualSpacing/>
              <w:jc w:val="center"/>
              <w:rPr>
                <w:rFonts w:ascii="宋体" w:hAnsi="宋体" w:cs="宋体"/>
                <w:color w:val="auto"/>
                <w:sz w:val="24"/>
                <w:szCs w:val="20"/>
                <w:highlight w:val="none"/>
              </w:rPr>
            </w:pPr>
          </w:p>
        </w:tc>
        <w:tc>
          <w:tcPr>
            <w:tcW w:w="1903" w:type="dxa"/>
            <w:noWrap w:val="0"/>
            <w:vAlign w:val="center"/>
          </w:tcPr>
          <w:p w14:paraId="49407FF1">
            <w:pPr>
              <w:spacing w:line="360" w:lineRule="auto"/>
              <w:contextualSpacing/>
              <w:jc w:val="center"/>
              <w:rPr>
                <w:rFonts w:ascii="宋体" w:hAnsi="宋体" w:cs="宋体"/>
                <w:color w:val="auto"/>
                <w:sz w:val="24"/>
                <w:szCs w:val="20"/>
                <w:highlight w:val="none"/>
              </w:rPr>
            </w:pPr>
          </w:p>
        </w:tc>
        <w:tc>
          <w:tcPr>
            <w:tcW w:w="2066" w:type="dxa"/>
            <w:noWrap w:val="0"/>
            <w:vAlign w:val="center"/>
          </w:tcPr>
          <w:p w14:paraId="7F5544E2">
            <w:pPr>
              <w:spacing w:line="360" w:lineRule="auto"/>
              <w:contextualSpacing/>
              <w:jc w:val="center"/>
              <w:rPr>
                <w:rFonts w:ascii="宋体" w:hAnsi="宋体" w:cs="宋体"/>
                <w:color w:val="auto"/>
                <w:sz w:val="24"/>
                <w:szCs w:val="20"/>
                <w:highlight w:val="none"/>
              </w:rPr>
            </w:pPr>
          </w:p>
        </w:tc>
      </w:tr>
    </w:tbl>
    <w:p w14:paraId="6D0B5B0C">
      <w:pPr>
        <w:spacing w:line="360" w:lineRule="auto"/>
        <w:contextualSpacing/>
        <w:jc w:val="left"/>
        <w:rPr>
          <w:rFonts w:ascii="楷体" w:hAnsi="楷体" w:eastAsia="楷体" w:cs="宋体"/>
          <w:b/>
          <w:color w:val="auto"/>
          <w:sz w:val="24"/>
          <w:szCs w:val="20"/>
          <w:highlight w:val="none"/>
        </w:rPr>
      </w:pPr>
      <w:r>
        <w:rPr>
          <w:rFonts w:hint="eastAsia" w:ascii="楷体" w:hAnsi="楷体" w:eastAsia="楷体" w:cs="宋体"/>
          <w:b/>
          <w:color w:val="auto"/>
          <w:sz w:val="24"/>
          <w:szCs w:val="20"/>
          <w:highlight w:val="none"/>
        </w:rPr>
        <w:t>注：</w:t>
      </w:r>
    </w:p>
    <w:p w14:paraId="08C91ED7">
      <w:pPr>
        <w:spacing w:line="360" w:lineRule="auto"/>
        <w:contextualSpacing/>
        <w:jc w:val="left"/>
        <w:rPr>
          <w:rFonts w:ascii="楷体" w:hAnsi="楷体" w:eastAsia="楷体" w:cs="宋体"/>
          <w:color w:val="auto"/>
          <w:sz w:val="24"/>
          <w:szCs w:val="20"/>
          <w:highlight w:val="none"/>
        </w:rPr>
      </w:pPr>
      <w:r>
        <w:rPr>
          <w:rFonts w:ascii="楷体" w:hAnsi="楷体" w:eastAsia="楷体" w:cs="宋体"/>
          <w:color w:val="auto"/>
          <w:sz w:val="24"/>
          <w:szCs w:val="20"/>
          <w:highlight w:val="none"/>
        </w:rPr>
        <w:t>1.在填写时，如本表格不适合供应商的实际情况，可根据本表格式自行制表填写。</w:t>
      </w:r>
    </w:p>
    <w:p w14:paraId="0DAB6D52">
      <w:pPr>
        <w:spacing w:line="360" w:lineRule="auto"/>
        <w:contextualSpacing/>
        <w:jc w:val="left"/>
        <w:outlineLvl w:val="2"/>
        <w:rPr>
          <w:rFonts w:ascii="楷体" w:hAnsi="楷体" w:eastAsia="楷体" w:cs="宋体"/>
          <w:color w:val="auto"/>
          <w:sz w:val="24"/>
          <w:szCs w:val="20"/>
          <w:highlight w:val="none"/>
        </w:rPr>
      </w:pPr>
      <w:r>
        <w:rPr>
          <w:rFonts w:ascii="楷体" w:hAnsi="楷体" w:eastAsia="楷体" w:cs="宋体"/>
          <w:color w:val="auto"/>
          <w:sz w:val="24"/>
          <w:szCs w:val="20"/>
          <w:highlight w:val="none"/>
        </w:rPr>
        <w:t>2.供应商应当附本表所</w:t>
      </w:r>
      <w:r>
        <w:rPr>
          <w:rFonts w:hint="eastAsia" w:ascii="楷体" w:hAnsi="楷体" w:eastAsia="楷体" w:cs="宋体"/>
          <w:color w:val="auto"/>
          <w:sz w:val="24"/>
          <w:szCs w:val="20"/>
          <w:highlight w:val="none"/>
        </w:rPr>
        <w:t>列证书的复印件并加盖供应商公章。</w:t>
      </w:r>
    </w:p>
    <w:p w14:paraId="64BB73F6">
      <w:pPr>
        <w:pStyle w:val="18"/>
        <w:rPr>
          <w:color w:val="auto"/>
          <w:highlight w:val="none"/>
        </w:rPr>
      </w:pPr>
    </w:p>
    <w:p w14:paraId="3D6A9AD3">
      <w:pPr>
        <w:spacing w:line="360" w:lineRule="auto"/>
        <w:ind w:firstLine="3120"/>
        <w:contextualSpacing/>
        <w:rPr>
          <w:rFonts w:ascii="宋体" w:hAnsi="宋体" w:cs="宋体"/>
          <w:color w:val="auto"/>
          <w:spacing w:val="20"/>
          <w:sz w:val="24"/>
          <w:szCs w:val="20"/>
          <w:highlight w:val="none"/>
          <w:u w:val="single"/>
        </w:rPr>
      </w:pPr>
      <w:r>
        <w:rPr>
          <w:rFonts w:hint="eastAsia" w:ascii="宋体" w:hAnsi="宋体" w:cs="宋体"/>
          <w:color w:val="auto"/>
          <w:sz w:val="24"/>
          <w:highlight w:val="none"/>
        </w:rPr>
        <w:t>法定代表人或者委托代理人（</w:t>
      </w:r>
      <w:r>
        <w:rPr>
          <w:rFonts w:hint="eastAsia" w:ascii="宋体" w:hAnsi="宋体" w:cs="宋体"/>
          <w:color w:val="auto"/>
          <w:spacing w:val="20"/>
          <w:sz w:val="24"/>
          <w:highlight w:val="none"/>
        </w:rPr>
        <w:t>签字</w:t>
      </w:r>
      <w:r>
        <w:rPr>
          <w:rFonts w:hint="eastAsia" w:ascii="宋体" w:hAnsi="宋体" w:cs="宋体"/>
          <w:color w:val="auto"/>
          <w:sz w:val="24"/>
          <w:highlight w:val="none"/>
        </w:rPr>
        <w:t>）</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p>
    <w:p w14:paraId="78EDB5FF">
      <w:pPr>
        <w:spacing w:line="360" w:lineRule="auto"/>
        <w:ind w:firstLine="3080"/>
        <w:contextualSpacing/>
        <w:jc w:val="left"/>
        <w:rPr>
          <w:rFonts w:ascii="宋体" w:hAnsi="宋体" w:cs="宋体"/>
          <w:color w:val="auto"/>
          <w:spacing w:val="20"/>
          <w:sz w:val="24"/>
          <w:highlight w:val="none"/>
        </w:rPr>
      </w:pPr>
      <w:r>
        <w:rPr>
          <w:rFonts w:hint="eastAsia" w:ascii="宋体" w:hAnsi="宋体" w:cs="宋体"/>
          <w:color w:val="auto"/>
          <w:spacing w:val="20"/>
          <w:sz w:val="24"/>
          <w:highlight w:val="none"/>
        </w:rPr>
        <w:t>供应商（公章）：</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14:paraId="7B523DF6">
      <w:pPr>
        <w:spacing w:line="360" w:lineRule="auto"/>
        <w:ind w:firstLine="3080"/>
        <w:contextualSpacing/>
        <w:jc w:val="left"/>
        <w:rPr>
          <w:rFonts w:ascii="宋体" w:hAnsi="宋体" w:cs="宋体"/>
          <w:color w:val="auto"/>
          <w:sz w:val="24"/>
          <w:szCs w:val="20"/>
          <w:highlight w:val="none"/>
        </w:rPr>
      </w:pPr>
      <w:r>
        <w:rPr>
          <w:rFonts w:hint="eastAsia" w:ascii="宋体" w:hAnsi="宋体" w:cs="宋体"/>
          <w:color w:val="auto"/>
          <w:spacing w:val="20"/>
          <w:sz w:val="24"/>
          <w:highlight w:val="none"/>
        </w:rPr>
        <w:t>日 期：年</w:t>
      </w:r>
      <w:r>
        <w:rPr>
          <w:rFonts w:hint="eastAsia" w:ascii="宋体" w:hAnsi="宋体" w:cs="宋体"/>
          <w:color w:val="auto"/>
          <w:spacing w:val="20"/>
          <w:sz w:val="24"/>
          <w:highlight w:val="none"/>
          <w:u w:val="single"/>
        </w:rPr>
        <w:t xml:space="preserve"> </w:t>
      </w:r>
      <w:r>
        <w:rPr>
          <w:rFonts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月</w:t>
      </w:r>
      <w:r>
        <w:rPr>
          <w:rFonts w:hint="eastAsia" w:ascii="宋体" w:hAnsi="宋体" w:cs="宋体"/>
          <w:color w:val="auto"/>
          <w:spacing w:val="20"/>
          <w:sz w:val="24"/>
          <w:highlight w:val="none"/>
          <w:u w:val="single"/>
        </w:rPr>
        <w:t xml:space="preserve"> </w:t>
      </w:r>
      <w:r>
        <w:rPr>
          <w:rFonts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日</w:t>
      </w:r>
    </w:p>
    <w:p w14:paraId="3D72E2FF">
      <w:pPr>
        <w:spacing w:before="50" w:after="156"/>
        <w:jc w:val="left"/>
        <w:rPr>
          <w:rFonts w:ascii="宋体" w:hAnsi="宋体" w:cs="宋体"/>
          <w:color w:val="auto"/>
          <w:sz w:val="24"/>
          <w:szCs w:val="20"/>
          <w:highlight w:val="none"/>
        </w:rPr>
      </w:pPr>
    </w:p>
    <w:p w14:paraId="4CBBBF80">
      <w:pPr>
        <w:spacing w:before="50" w:after="50" w:line="360" w:lineRule="auto"/>
        <w:ind w:right="-817" w:firstLine="5461"/>
        <w:rPr>
          <w:rFonts w:ascii="宋体" w:hAnsi="宋体" w:cs="宋体"/>
          <w:b/>
          <w:color w:val="auto"/>
          <w:sz w:val="32"/>
          <w:szCs w:val="32"/>
          <w:highlight w:val="none"/>
        </w:rPr>
      </w:pPr>
    </w:p>
    <w:p w14:paraId="3C30993C">
      <w:pPr>
        <w:rPr>
          <w:rFonts w:ascii="宋体" w:hAnsi="宋体" w:cs="宋体"/>
          <w:color w:val="auto"/>
          <w:sz w:val="21"/>
          <w:szCs w:val="21"/>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其他文书、文件格式</w:t>
      </w:r>
    </w:p>
    <w:p w14:paraId="18AF5586">
      <w:pPr>
        <w:spacing w:line="360" w:lineRule="auto"/>
        <w:jc w:val="center"/>
        <w:rPr>
          <w:rFonts w:ascii="宋体" w:hAnsi="宋体" w:cs="宋体"/>
          <w:b/>
          <w:bCs/>
          <w:color w:val="auto"/>
          <w:sz w:val="32"/>
          <w:szCs w:val="32"/>
          <w:highlight w:val="none"/>
        </w:rPr>
      </w:pPr>
      <w:r>
        <w:rPr>
          <w:rFonts w:hint="eastAsia" w:ascii="宋体" w:hAnsi="宋体" w:cs="宋体"/>
          <w:b/>
          <w:color w:val="auto"/>
          <w:sz w:val="44"/>
          <w:szCs w:val="44"/>
          <w:highlight w:val="none"/>
        </w:rPr>
        <w:t>质疑函</w:t>
      </w:r>
      <w:r>
        <w:rPr>
          <w:rFonts w:hint="eastAsia" w:ascii="宋体" w:hAnsi="宋体" w:cs="宋体"/>
          <w:color w:val="auto"/>
          <w:sz w:val="28"/>
          <w:szCs w:val="28"/>
          <w:highlight w:val="none"/>
        </w:rPr>
        <w:t>（格式）</w:t>
      </w:r>
    </w:p>
    <w:p w14:paraId="084E3AA8">
      <w:pPr>
        <w:pStyle w:val="24"/>
        <w:spacing w:line="360" w:lineRule="auto"/>
        <w:ind w:firstLine="482"/>
        <w:contextualSpacing/>
        <w:outlineLvl w:val="1"/>
        <w:rPr>
          <w:rFonts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7B7D8A12">
      <w:pPr>
        <w:pStyle w:val="24"/>
        <w:spacing w:line="360" w:lineRule="auto"/>
        <w:ind w:firstLine="480"/>
        <w:contextualSpacing/>
        <w:rPr>
          <w:rFonts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6A88E293">
      <w:pPr>
        <w:pStyle w:val="24"/>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71517336">
      <w:pPr>
        <w:pStyle w:val="24"/>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1B0BA071">
      <w:pPr>
        <w:pStyle w:val="24"/>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714A2F8B">
      <w:pPr>
        <w:pStyle w:val="24"/>
        <w:spacing w:line="360" w:lineRule="auto"/>
        <w:ind w:firstLine="480"/>
        <w:contextualSpacing/>
        <w:rPr>
          <w:rFonts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4D96B625">
      <w:pPr>
        <w:pStyle w:val="24"/>
        <w:spacing w:line="360" w:lineRule="auto"/>
        <w:ind w:firstLine="480"/>
        <w:contextualSpacing/>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31C7F08B">
      <w:pPr>
        <w:pStyle w:val="24"/>
        <w:spacing w:line="360" w:lineRule="auto"/>
        <w:ind w:firstLine="482"/>
        <w:contextualSpacing/>
        <w:outlineLvl w:val="1"/>
        <w:rPr>
          <w:rFonts w:hAnsi="宋体" w:cs="宋体"/>
          <w:b/>
          <w:bCs/>
          <w:color w:val="auto"/>
          <w:sz w:val="24"/>
          <w:szCs w:val="24"/>
          <w:highlight w:val="none"/>
        </w:rPr>
      </w:pPr>
      <w:r>
        <w:rPr>
          <w:rFonts w:hint="eastAsia" w:hAnsi="宋体" w:cs="宋体"/>
          <w:b/>
          <w:bCs/>
          <w:color w:val="auto"/>
          <w:sz w:val="24"/>
          <w:szCs w:val="24"/>
          <w:highlight w:val="none"/>
        </w:rPr>
        <w:t>二、质疑项目基本情况：</w:t>
      </w:r>
    </w:p>
    <w:p w14:paraId="757F12C9">
      <w:pPr>
        <w:pStyle w:val="24"/>
        <w:spacing w:line="360" w:lineRule="auto"/>
        <w:ind w:left="25" w:firstLine="472"/>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4E5BC893">
      <w:pPr>
        <w:pStyle w:val="24"/>
        <w:spacing w:line="360" w:lineRule="auto"/>
        <w:ind w:left="25" w:firstLine="472"/>
        <w:contextualSpacing/>
        <w:rPr>
          <w:rFonts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54418148">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29D7AE8D">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质疑事项：</w:t>
      </w:r>
    </w:p>
    <w:p w14:paraId="77FC4048">
      <w:pPr>
        <w:pStyle w:val="24"/>
        <w:spacing w:line="360" w:lineRule="auto"/>
        <w:ind w:left="25" w:firstLine="352"/>
        <w:contextualSpacing/>
        <w:rPr>
          <w:rFonts w:hAnsi="宋体" w:cs="宋体"/>
          <w:color w:val="auto"/>
          <w:sz w:val="24"/>
          <w:szCs w:val="24"/>
          <w:highlight w:val="none"/>
        </w:rPr>
      </w:pPr>
      <w:r>
        <w:rPr>
          <w:rFonts w:hint="eastAsia" w:hAnsi="宋体" w:cs="宋体"/>
          <w:color w:val="auto"/>
          <w:sz w:val="24"/>
          <w:szCs w:val="24"/>
          <w:highlight w:val="none"/>
        </w:rPr>
        <w:t>□采购文件   采购文件获取日期：</w:t>
      </w:r>
      <w:r>
        <w:rPr>
          <w:rFonts w:hint="eastAsia" w:hAnsi="宋体" w:cs="宋体"/>
          <w:bCs/>
          <w:color w:val="auto"/>
          <w:sz w:val="24"/>
          <w:szCs w:val="24"/>
          <w:highlight w:val="none"/>
          <w:u w:val="single"/>
        </w:rPr>
        <w:t xml:space="preserve">                                   </w:t>
      </w:r>
    </w:p>
    <w:p w14:paraId="2327579A">
      <w:pPr>
        <w:pStyle w:val="24"/>
        <w:spacing w:line="360" w:lineRule="auto"/>
        <w:ind w:left="25" w:firstLine="352"/>
        <w:contextualSpacing/>
        <w:rPr>
          <w:rFonts w:hAnsi="宋体" w:cs="宋体"/>
          <w:color w:val="auto"/>
          <w:sz w:val="24"/>
          <w:szCs w:val="24"/>
          <w:highlight w:val="none"/>
        </w:rPr>
      </w:pPr>
      <w:r>
        <w:rPr>
          <w:rFonts w:hint="eastAsia" w:hAnsi="宋体" w:cs="宋体"/>
          <w:color w:val="auto"/>
          <w:sz w:val="24"/>
          <w:szCs w:val="24"/>
          <w:highlight w:val="none"/>
        </w:rPr>
        <w:t xml:space="preserve">□采购过程   </w:t>
      </w:r>
    </w:p>
    <w:p w14:paraId="75C9A5F8">
      <w:pPr>
        <w:pStyle w:val="24"/>
        <w:spacing w:line="360" w:lineRule="auto"/>
        <w:ind w:left="25" w:firstLine="352"/>
        <w:contextualSpacing/>
        <w:rPr>
          <w:rFonts w:hAnsi="宋体" w:cs="宋体"/>
          <w:bCs/>
          <w:color w:val="auto"/>
          <w:sz w:val="24"/>
          <w:szCs w:val="24"/>
          <w:highlight w:val="none"/>
          <w:u w:val="single"/>
        </w:rPr>
      </w:pPr>
      <w:r>
        <w:rPr>
          <w:rFonts w:hint="eastAsia" w:hAnsi="宋体" w:cs="宋体"/>
          <w:color w:val="auto"/>
          <w:sz w:val="24"/>
          <w:szCs w:val="24"/>
          <w:highlight w:val="none"/>
        </w:rPr>
        <w:t xml:space="preserve">□成交结果   </w:t>
      </w:r>
    </w:p>
    <w:p w14:paraId="5A65DDE6">
      <w:pPr>
        <w:pStyle w:val="24"/>
        <w:spacing w:line="360" w:lineRule="auto"/>
        <w:ind w:left="25" w:firstLine="472"/>
        <w:contextualSpacing/>
        <w:outlineLvl w:val="1"/>
        <w:rPr>
          <w:rFonts w:hAnsi="宋体" w:cs="宋体"/>
          <w:b/>
          <w:color w:val="auto"/>
          <w:sz w:val="24"/>
          <w:szCs w:val="24"/>
          <w:highlight w:val="none"/>
        </w:rPr>
      </w:pPr>
      <w:r>
        <w:rPr>
          <w:rFonts w:hint="eastAsia" w:hAnsi="宋体" w:cs="宋体"/>
          <w:b/>
          <w:color w:val="auto"/>
          <w:sz w:val="24"/>
          <w:szCs w:val="24"/>
          <w:highlight w:val="none"/>
        </w:rPr>
        <w:t>三、质疑事项具体内容</w:t>
      </w:r>
    </w:p>
    <w:p w14:paraId="0803A264">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04A0F787">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73A3E81A">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color w:val="auto"/>
          <w:sz w:val="24"/>
          <w:szCs w:val="24"/>
          <w:highlight w:val="none"/>
          <w:u w:val="single"/>
        </w:rPr>
        <w:t xml:space="preserve">                                                        </w:t>
      </w:r>
      <w:r>
        <w:rPr>
          <w:rFonts w:hint="eastAsia" w:hAnsi="宋体" w:cs="宋体"/>
          <w:bCs/>
          <w:color w:val="auto"/>
          <w:sz w:val="24"/>
          <w:szCs w:val="24"/>
          <w:highlight w:val="none"/>
          <w:u w:val="single"/>
        </w:rPr>
        <w:t xml:space="preserve">               </w:t>
      </w:r>
    </w:p>
    <w:p w14:paraId="07F08895">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质疑事项2</w:t>
      </w:r>
    </w:p>
    <w:p w14:paraId="195C827D">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w:t>
      </w:r>
    </w:p>
    <w:p w14:paraId="6451AFE2">
      <w:pPr>
        <w:pStyle w:val="24"/>
        <w:spacing w:line="360" w:lineRule="auto"/>
        <w:ind w:left="25" w:firstLine="472"/>
        <w:contextualSpacing/>
        <w:outlineLvl w:val="1"/>
        <w:rPr>
          <w:rFonts w:hAnsi="宋体" w:cs="宋体"/>
          <w:color w:val="auto"/>
          <w:sz w:val="24"/>
          <w:szCs w:val="24"/>
          <w:highlight w:val="none"/>
        </w:rPr>
      </w:pPr>
      <w:r>
        <w:rPr>
          <w:rFonts w:hint="eastAsia" w:hAnsi="宋体" w:cs="宋体"/>
          <w:color w:val="auto"/>
          <w:sz w:val="24"/>
          <w:szCs w:val="24"/>
          <w:highlight w:val="none"/>
        </w:rPr>
        <w:t>四、与质疑事项相关的质疑请求：</w:t>
      </w:r>
    </w:p>
    <w:p w14:paraId="6F4B22CA">
      <w:pPr>
        <w:pStyle w:val="24"/>
        <w:spacing w:line="360" w:lineRule="auto"/>
        <w:ind w:left="25" w:firstLine="472"/>
        <w:contextualSpacing/>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3D0BA7C7">
      <w:pPr>
        <w:pStyle w:val="24"/>
        <w:spacing w:line="360" w:lineRule="auto"/>
        <w:ind w:left="25" w:firstLine="352"/>
        <w:contextualSpacing/>
        <w:rPr>
          <w:rFonts w:hAnsi="宋体" w:cs="宋体"/>
          <w:color w:val="auto"/>
          <w:sz w:val="24"/>
          <w:szCs w:val="24"/>
          <w:highlight w:val="none"/>
        </w:rPr>
      </w:pPr>
    </w:p>
    <w:p w14:paraId="4EFAD44C">
      <w:pPr>
        <w:pStyle w:val="24"/>
        <w:spacing w:line="360" w:lineRule="auto"/>
        <w:ind w:left="25" w:firstLine="472"/>
        <w:contextualSpacing/>
        <w:rPr>
          <w:rFonts w:hAnsi="宋体" w:cs="宋体"/>
          <w:color w:val="auto"/>
          <w:sz w:val="24"/>
          <w:szCs w:val="24"/>
          <w:highlight w:val="none"/>
          <w:u w:val="single"/>
        </w:rPr>
      </w:pPr>
      <w:r>
        <w:rPr>
          <w:rFonts w:hint="eastAsia" w:hAnsi="宋体" w:cs="宋体"/>
          <w:color w:val="auto"/>
          <w:sz w:val="24"/>
          <w:szCs w:val="24"/>
          <w:highlight w:val="none"/>
        </w:rPr>
        <w:t>签字（签章）：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 xml:space="preserve">                           公章：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p>
    <w:p w14:paraId="11FBFECB">
      <w:pPr>
        <w:pStyle w:val="24"/>
        <w:spacing w:line="360" w:lineRule="auto"/>
        <w:ind w:firstLine="480"/>
        <w:contextualSpacing/>
        <w:rPr>
          <w:rFonts w:hAnsi="宋体" w:cs="宋体"/>
          <w:color w:val="auto"/>
          <w:sz w:val="24"/>
          <w:szCs w:val="24"/>
          <w:highlight w:val="none"/>
        </w:rPr>
      </w:pPr>
      <w:r>
        <w:rPr>
          <w:rFonts w:hint="eastAsia" w:hAnsi="宋体" w:cs="宋体"/>
          <w:color w:val="auto"/>
          <w:sz w:val="24"/>
          <w:szCs w:val="24"/>
          <w:highlight w:val="none"/>
        </w:rPr>
        <w:t>日期：</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年</w:t>
      </w:r>
      <w:r>
        <w:rPr>
          <w:rFonts w:hAnsi="宋体" w:cs="宋体"/>
          <w:color w:val="auto"/>
          <w:sz w:val="24"/>
          <w:szCs w:val="24"/>
          <w:highlight w:val="none"/>
          <w:u w:val="single"/>
        </w:rPr>
        <w:t xml:space="preserve">     </w:t>
      </w:r>
      <w:r>
        <w:rPr>
          <w:rFonts w:hint="eastAsia" w:hAnsi="宋体" w:cs="宋体"/>
          <w:color w:val="auto"/>
          <w:sz w:val="24"/>
          <w:szCs w:val="24"/>
          <w:highlight w:val="none"/>
        </w:rPr>
        <w:t>月</w:t>
      </w:r>
      <w:r>
        <w:rPr>
          <w:rFonts w:hAnsi="宋体" w:cs="宋体"/>
          <w:color w:val="auto"/>
          <w:sz w:val="24"/>
          <w:szCs w:val="24"/>
          <w:highlight w:val="none"/>
          <w:u w:val="single"/>
        </w:rPr>
        <w:t xml:space="preserve">    </w:t>
      </w:r>
      <w:r>
        <w:rPr>
          <w:rFonts w:hint="eastAsia" w:hAnsi="宋体" w:cs="宋体"/>
          <w:color w:val="auto"/>
          <w:sz w:val="24"/>
          <w:szCs w:val="24"/>
          <w:highlight w:val="none"/>
        </w:rPr>
        <w:t>日</w:t>
      </w:r>
    </w:p>
    <w:p w14:paraId="66413571">
      <w:pPr>
        <w:rPr>
          <w:color w:val="auto"/>
          <w:highlight w:val="none"/>
        </w:rPr>
      </w:pPr>
    </w:p>
    <w:p w14:paraId="58BCA554">
      <w:pPr>
        <w:pStyle w:val="18"/>
        <w:rPr>
          <w:color w:val="auto"/>
          <w:highlight w:val="none"/>
        </w:rPr>
      </w:pPr>
    </w:p>
    <w:p w14:paraId="390B7D0B">
      <w:pPr>
        <w:pStyle w:val="24"/>
        <w:spacing w:line="360" w:lineRule="auto"/>
        <w:ind w:firstLine="482"/>
        <w:contextualSpacing/>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说明：</w:t>
      </w:r>
    </w:p>
    <w:p w14:paraId="3001E703">
      <w:pPr>
        <w:pStyle w:val="24"/>
        <w:spacing w:line="360" w:lineRule="auto"/>
        <w:ind w:left="25" w:firstLine="354"/>
        <w:contextualSpacing/>
        <w:outlineLvl w:val="2"/>
        <w:rPr>
          <w:rFonts w:ascii="楷体" w:hAnsi="楷体" w:eastAsia="楷体" w:cs="宋体"/>
          <w:b/>
          <w:bCs/>
          <w:color w:val="auto"/>
          <w:sz w:val="24"/>
          <w:szCs w:val="24"/>
          <w:highlight w:val="none"/>
        </w:rPr>
      </w:pPr>
      <w:r>
        <w:rPr>
          <w:rFonts w:ascii="楷体" w:hAnsi="楷体" w:eastAsia="楷体" w:cs="宋体"/>
          <w:b/>
          <w:color w:val="auto"/>
          <w:sz w:val="24"/>
          <w:szCs w:val="24"/>
          <w:highlight w:val="none"/>
        </w:rPr>
        <w:t>1.供应商提出质疑时，应提交质疑函和必要的证明材料</w:t>
      </w:r>
      <w:r>
        <w:rPr>
          <w:rFonts w:hint="eastAsia" w:ascii="楷体" w:hAnsi="楷体" w:eastAsia="楷体" w:cs="宋体"/>
          <w:b/>
          <w:bCs/>
          <w:color w:val="auto"/>
          <w:sz w:val="24"/>
          <w:szCs w:val="24"/>
          <w:highlight w:val="none"/>
        </w:rPr>
        <w:t>。</w:t>
      </w:r>
    </w:p>
    <w:p w14:paraId="56E9469E">
      <w:pPr>
        <w:pStyle w:val="24"/>
        <w:spacing w:line="360" w:lineRule="auto"/>
        <w:ind w:left="25" w:firstLine="354"/>
        <w:contextualSpacing/>
        <w:rPr>
          <w:rFonts w:ascii="楷体" w:hAnsi="楷体" w:eastAsia="楷体" w:cs="宋体"/>
          <w:b/>
          <w:color w:val="auto"/>
          <w:sz w:val="24"/>
          <w:szCs w:val="24"/>
          <w:highlight w:val="none"/>
        </w:rPr>
      </w:pPr>
      <w:r>
        <w:rPr>
          <w:rFonts w:ascii="楷体" w:hAnsi="楷体" w:eastAsia="楷体" w:cs="宋体"/>
          <w:b/>
          <w:color w:val="auto"/>
          <w:sz w:val="24"/>
          <w:szCs w:val="24"/>
          <w:highlight w:val="none"/>
        </w:rPr>
        <w:t>2.质疑供应商若委托代理人进行质疑的，</w:t>
      </w:r>
      <w:r>
        <w:rPr>
          <w:rFonts w:hint="eastAsia" w:ascii="楷体" w:hAnsi="楷体" w:eastAsia="楷体" w:cs="宋体"/>
          <w:b/>
          <w:color w:val="auto"/>
          <w:sz w:val="24"/>
          <w:szCs w:val="24"/>
          <w:highlight w:val="none"/>
        </w:rPr>
        <w:t>质疑函应按要求列明“授权代表”的有关内容，并在附件中提交由质疑供应商签署的授权委托书。授权委托书应载明代理人的姓名或者名称、代理事项、具体权限、期限和相关事项。</w:t>
      </w:r>
    </w:p>
    <w:p w14:paraId="7987DE81">
      <w:pPr>
        <w:pStyle w:val="24"/>
        <w:spacing w:line="360" w:lineRule="auto"/>
        <w:ind w:left="25" w:firstLine="354"/>
        <w:contextualSpacing/>
        <w:rPr>
          <w:rFonts w:ascii="楷体" w:hAnsi="楷体" w:eastAsia="楷体" w:cs="宋体"/>
          <w:b/>
          <w:color w:val="auto"/>
          <w:sz w:val="24"/>
          <w:szCs w:val="24"/>
          <w:highlight w:val="none"/>
        </w:rPr>
      </w:pPr>
      <w:r>
        <w:rPr>
          <w:rFonts w:ascii="楷体" w:hAnsi="楷体" w:eastAsia="楷体" w:cs="宋体"/>
          <w:b/>
          <w:color w:val="auto"/>
          <w:sz w:val="24"/>
          <w:szCs w:val="24"/>
          <w:highlight w:val="none"/>
        </w:rPr>
        <w:t>3.质疑函的质疑事项应具体、明确，并有必要的事实依据和法律依据。</w:t>
      </w:r>
    </w:p>
    <w:p w14:paraId="25036687">
      <w:pPr>
        <w:pStyle w:val="24"/>
        <w:spacing w:line="360" w:lineRule="auto"/>
        <w:ind w:left="25" w:firstLine="354"/>
        <w:contextualSpacing/>
        <w:outlineLvl w:val="2"/>
        <w:rPr>
          <w:rFonts w:ascii="楷体" w:hAnsi="楷体" w:eastAsia="楷体" w:cs="宋体"/>
          <w:b/>
          <w:color w:val="auto"/>
          <w:sz w:val="24"/>
          <w:szCs w:val="24"/>
          <w:highlight w:val="none"/>
        </w:rPr>
      </w:pPr>
      <w:r>
        <w:rPr>
          <w:rFonts w:ascii="楷体" w:hAnsi="楷体" w:eastAsia="楷体" w:cs="宋体"/>
          <w:b/>
          <w:color w:val="auto"/>
          <w:sz w:val="24"/>
          <w:szCs w:val="24"/>
          <w:highlight w:val="none"/>
        </w:rPr>
        <w:t>4.质疑函的质疑请求应与质疑事项相关。</w:t>
      </w:r>
    </w:p>
    <w:p w14:paraId="3E392E6A">
      <w:pPr>
        <w:pStyle w:val="24"/>
        <w:spacing w:line="360" w:lineRule="auto"/>
        <w:ind w:left="25" w:firstLine="354"/>
        <w:contextualSpacing/>
        <w:rPr>
          <w:rFonts w:ascii="楷体" w:hAnsi="楷体" w:eastAsia="楷体" w:cs="宋体"/>
          <w:b/>
          <w:color w:val="auto"/>
          <w:sz w:val="24"/>
          <w:szCs w:val="24"/>
          <w:highlight w:val="none"/>
        </w:rPr>
      </w:pPr>
      <w:r>
        <w:rPr>
          <w:rFonts w:ascii="楷体" w:hAnsi="楷体" w:eastAsia="楷体" w:cs="宋体"/>
          <w:b/>
          <w:color w:val="auto"/>
          <w:sz w:val="24"/>
          <w:szCs w:val="24"/>
          <w:highlight w:val="none"/>
        </w:rPr>
        <w:t>5.质疑供应商为法人或者其他组织的，</w:t>
      </w:r>
      <w:r>
        <w:rPr>
          <w:rFonts w:hint="eastAsia" w:ascii="楷体" w:hAnsi="楷体" w:eastAsia="楷体" w:cs="宋体"/>
          <w:b/>
          <w:color w:val="auto"/>
          <w:sz w:val="24"/>
          <w:szCs w:val="24"/>
          <w:highlight w:val="none"/>
        </w:rPr>
        <w:t>质疑函应由法定代表人、主要负责人，或者其授权代表签字或者盖章，并加盖公章。</w:t>
      </w:r>
    </w:p>
    <w:p w14:paraId="27D81FB5">
      <w:pPr>
        <w:pStyle w:val="24"/>
        <w:rPr>
          <w:rFonts w:hAnsi="宋体" w:cs="宋体"/>
          <w:b/>
          <w:color w:val="auto"/>
          <w:sz w:val="24"/>
          <w:szCs w:val="24"/>
          <w:highlight w:val="none"/>
        </w:rPr>
      </w:pPr>
    </w:p>
    <w:p w14:paraId="6D35A6B2">
      <w:pPr>
        <w:rPr>
          <w:rFonts w:ascii="宋体" w:hAnsi="宋体" w:cs="宋体"/>
          <w:color w:val="auto"/>
          <w:sz w:val="32"/>
          <w:szCs w:val="40"/>
          <w:highlight w:val="none"/>
        </w:rPr>
      </w:pPr>
    </w:p>
    <w:p w14:paraId="2F287E8A">
      <w:pPr>
        <w:rPr>
          <w:rFonts w:ascii="宋体" w:hAnsi="宋体" w:cs="宋体"/>
          <w:color w:val="auto"/>
          <w:sz w:val="32"/>
          <w:szCs w:val="40"/>
          <w:highlight w:val="none"/>
        </w:rPr>
      </w:pPr>
    </w:p>
    <w:p w14:paraId="642D5898">
      <w:pPr>
        <w:rPr>
          <w:rFonts w:ascii="宋体" w:hAnsi="宋体" w:cs="宋体"/>
          <w:color w:val="auto"/>
          <w:sz w:val="32"/>
          <w:szCs w:val="40"/>
          <w:highlight w:val="none"/>
        </w:rPr>
      </w:pPr>
    </w:p>
    <w:p w14:paraId="7C5064C3">
      <w:pPr>
        <w:rPr>
          <w:rFonts w:ascii="宋体" w:hAnsi="宋体" w:cs="宋体"/>
          <w:color w:val="auto"/>
          <w:sz w:val="32"/>
          <w:szCs w:val="40"/>
          <w:highlight w:val="none"/>
        </w:rPr>
      </w:pPr>
    </w:p>
    <w:p w14:paraId="7B366896">
      <w:pPr>
        <w:rPr>
          <w:rFonts w:ascii="宋体" w:hAnsi="宋体" w:cs="宋体"/>
          <w:color w:val="auto"/>
          <w:sz w:val="32"/>
          <w:szCs w:val="40"/>
          <w:highlight w:val="none"/>
        </w:rPr>
      </w:pPr>
    </w:p>
    <w:p w14:paraId="7A1EC7A5">
      <w:pPr>
        <w:rPr>
          <w:rFonts w:ascii="宋体" w:hAnsi="宋体" w:cs="宋体"/>
          <w:color w:val="auto"/>
          <w:sz w:val="32"/>
          <w:szCs w:val="40"/>
          <w:highlight w:val="none"/>
        </w:rPr>
      </w:pPr>
    </w:p>
    <w:p w14:paraId="60630916">
      <w:pPr>
        <w:rPr>
          <w:rFonts w:ascii="宋体" w:hAnsi="宋体" w:cs="宋体"/>
          <w:color w:val="auto"/>
          <w:sz w:val="32"/>
          <w:szCs w:val="40"/>
          <w:highlight w:val="none"/>
        </w:rPr>
      </w:pPr>
    </w:p>
    <w:p w14:paraId="28B98AC5">
      <w:pPr>
        <w:rPr>
          <w:rFonts w:ascii="宋体" w:hAnsi="宋体" w:cs="宋体"/>
          <w:color w:val="auto"/>
          <w:sz w:val="32"/>
          <w:szCs w:val="40"/>
          <w:highlight w:val="none"/>
        </w:rPr>
      </w:pPr>
    </w:p>
    <w:p w14:paraId="15527229">
      <w:pPr>
        <w:rPr>
          <w:rFonts w:ascii="宋体" w:hAnsi="宋体" w:cs="宋体"/>
          <w:color w:val="auto"/>
          <w:sz w:val="32"/>
          <w:szCs w:val="40"/>
          <w:highlight w:val="none"/>
        </w:rPr>
      </w:pPr>
    </w:p>
    <w:p w14:paraId="44D3B1C4">
      <w:pPr>
        <w:rPr>
          <w:rFonts w:ascii="宋体" w:hAnsi="宋体" w:cs="宋体"/>
          <w:color w:val="auto"/>
          <w:sz w:val="32"/>
          <w:szCs w:val="40"/>
          <w:highlight w:val="none"/>
        </w:rPr>
      </w:pPr>
    </w:p>
    <w:p w14:paraId="10B6E772">
      <w:pPr>
        <w:rPr>
          <w:rFonts w:ascii="宋体" w:hAnsi="宋体" w:cs="宋体"/>
          <w:color w:val="auto"/>
          <w:sz w:val="32"/>
          <w:szCs w:val="40"/>
          <w:highlight w:val="none"/>
        </w:rPr>
      </w:pPr>
    </w:p>
    <w:p w14:paraId="114840A9">
      <w:pPr>
        <w:rPr>
          <w:rFonts w:ascii="宋体" w:hAnsi="宋体" w:cs="宋体"/>
          <w:color w:val="auto"/>
          <w:sz w:val="32"/>
          <w:szCs w:val="40"/>
          <w:highlight w:val="none"/>
        </w:rPr>
      </w:pPr>
    </w:p>
    <w:p w14:paraId="7EAF1FFC">
      <w:pPr>
        <w:rPr>
          <w:rFonts w:ascii="宋体" w:hAnsi="宋体" w:cs="宋体"/>
          <w:color w:val="auto"/>
          <w:sz w:val="32"/>
          <w:szCs w:val="40"/>
          <w:highlight w:val="none"/>
        </w:rPr>
      </w:pPr>
    </w:p>
    <w:p w14:paraId="1B0C2B40">
      <w:pPr>
        <w:rPr>
          <w:rFonts w:ascii="宋体" w:hAnsi="宋体" w:cs="宋体"/>
          <w:color w:val="auto"/>
          <w:sz w:val="32"/>
          <w:szCs w:val="40"/>
          <w:highlight w:val="none"/>
        </w:rPr>
      </w:pPr>
    </w:p>
    <w:p w14:paraId="1C9DB78B">
      <w:pPr>
        <w:spacing w:line="360" w:lineRule="auto"/>
        <w:jc w:val="center"/>
        <w:rPr>
          <w:rFonts w:ascii="宋体" w:hAnsi="宋体" w:cs="宋体"/>
          <w:color w:val="auto"/>
          <w:sz w:val="24"/>
          <w:highlight w:val="none"/>
        </w:rPr>
      </w:pPr>
      <w:r>
        <w:rPr>
          <w:rFonts w:hint="eastAsia" w:ascii="宋体" w:hAnsi="宋体" w:cs="宋体"/>
          <w:color w:val="auto"/>
          <w:sz w:val="44"/>
          <w:szCs w:val="44"/>
          <w:highlight w:val="none"/>
        </w:rPr>
        <w:br w:type="page"/>
      </w:r>
      <w:r>
        <w:rPr>
          <w:rFonts w:hint="eastAsia" w:ascii="宋体" w:hAnsi="宋体" w:cs="宋体"/>
          <w:color w:val="auto"/>
          <w:sz w:val="44"/>
          <w:szCs w:val="44"/>
          <w:highlight w:val="none"/>
        </w:rPr>
        <w:t>投诉书</w:t>
      </w:r>
      <w:r>
        <w:rPr>
          <w:rFonts w:hint="eastAsia" w:ascii="宋体" w:hAnsi="宋体" w:cs="宋体"/>
          <w:color w:val="auto"/>
          <w:sz w:val="28"/>
          <w:szCs w:val="28"/>
          <w:highlight w:val="none"/>
        </w:rPr>
        <w:t>（格式）</w:t>
      </w:r>
    </w:p>
    <w:p w14:paraId="0F79D804">
      <w:pPr>
        <w:pStyle w:val="24"/>
        <w:spacing w:line="360" w:lineRule="auto"/>
        <w:ind w:firstLine="482"/>
        <w:outlineLvl w:val="1"/>
        <w:rPr>
          <w:rFonts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6D4750D9">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供应商：</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51E6159E">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7AF83F49">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28154A86">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FBADA4B">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29F7C6E">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5ED95D0E">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1B26D6A4">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被投诉人1：</w:t>
      </w:r>
    </w:p>
    <w:p w14:paraId="1A9511FF">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1563DAEC">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6278F136">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0F9A2C3F">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被投诉人2：</w:t>
      </w:r>
    </w:p>
    <w:p w14:paraId="7EA7386A">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w:t>
      </w:r>
    </w:p>
    <w:p w14:paraId="5FA41414">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01DA290B">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242BD902">
      <w:pPr>
        <w:pStyle w:val="24"/>
        <w:spacing w:line="360" w:lineRule="auto"/>
        <w:ind w:firstLine="480"/>
        <w:rPr>
          <w:rFonts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w:t>
      </w:r>
    </w:p>
    <w:p w14:paraId="2B37AC5A">
      <w:pPr>
        <w:pStyle w:val="24"/>
        <w:spacing w:line="360" w:lineRule="auto"/>
        <w:ind w:firstLine="482"/>
        <w:outlineLvl w:val="1"/>
        <w:rPr>
          <w:rFonts w:hAnsi="宋体" w:cs="宋体"/>
          <w:b/>
          <w:bCs/>
          <w:color w:val="auto"/>
          <w:sz w:val="24"/>
          <w:szCs w:val="24"/>
          <w:highlight w:val="none"/>
        </w:rPr>
      </w:pPr>
      <w:r>
        <w:rPr>
          <w:rFonts w:hint="eastAsia" w:hAnsi="宋体" w:cs="宋体"/>
          <w:b/>
          <w:bCs/>
          <w:color w:val="auto"/>
          <w:sz w:val="24"/>
          <w:szCs w:val="24"/>
          <w:highlight w:val="none"/>
        </w:rPr>
        <w:t>二、投诉项目基本情况：</w:t>
      </w:r>
    </w:p>
    <w:p w14:paraId="0B5FCF64">
      <w:pPr>
        <w:pStyle w:val="24"/>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581054BB">
      <w:pPr>
        <w:pStyle w:val="24"/>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33225EC3">
      <w:pPr>
        <w:pStyle w:val="24"/>
        <w:spacing w:line="360" w:lineRule="auto"/>
        <w:ind w:left="25" w:firstLine="472"/>
        <w:rPr>
          <w:rFonts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206228C4">
      <w:pPr>
        <w:pStyle w:val="24"/>
        <w:spacing w:line="360" w:lineRule="auto"/>
        <w:ind w:left="25" w:firstLine="472"/>
        <w:rPr>
          <w:rFonts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22A7E5C0">
      <w:pPr>
        <w:pStyle w:val="24"/>
        <w:spacing w:line="360" w:lineRule="auto"/>
        <w:ind w:left="25" w:firstLine="472"/>
        <w:rPr>
          <w:rFonts w:hAnsi="宋体" w:cs="宋体"/>
          <w:bCs/>
          <w:color w:val="auto"/>
          <w:sz w:val="24"/>
          <w:szCs w:val="24"/>
          <w:highlight w:val="none"/>
          <w:u w:val="single"/>
        </w:rPr>
      </w:pPr>
      <w:r>
        <w:rPr>
          <w:rFonts w:hint="eastAsia" w:hAnsi="宋体" w:cs="宋体"/>
          <w:bCs/>
          <w:color w:val="auto"/>
          <w:sz w:val="24"/>
          <w:szCs w:val="24"/>
          <w:highlight w:val="none"/>
        </w:rPr>
        <w:t>竞争性磋商文件公告：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6770D802">
      <w:pPr>
        <w:pStyle w:val="24"/>
        <w:spacing w:line="360" w:lineRule="auto"/>
        <w:ind w:left="25" w:firstLine="472"/>
        <w:rPr>
          <w:rFonts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0AB9F685">
      <w:pPr>
        <w:pStyle w:val="24"/>
        <w:spacing w:line="360" w:lineRule="auto"/>
        <w:ind w:left="25" w:firstLine="472"/>
        <w:outlineLvl w:val="1"/>
        <w:rPr>
          <w:rFonts w:hAnsi="宋体" w:cs="宋体"/>
          <w:b/>
          <w:color w:val="auto"/>
          <w:sz w:val="24"/>
          <w:szCs w:val="24"/>
          <w:highlight w:val="none"/>
        </w:rPr>
      </w:pPr>
      <w:r>
        <w:rPr>
          <w:rFonts w:hint="eastAsia" w:hAnsi="宋体" w:cs="宋体"/>
          <w:b/>
          <w:color w:val="auto"/>
          <w:sz w:val="24"/>
          <w:szCs w:val="24"/>
          <w:highlight w:val="none"/>
        </w:rPr>
        <w:t>三、质疑基本情况</w:t>
      </w:r>
    </w:p>
    <w:p w14:paraId="537854C7">
      <w:pPr>
        <w:pStyle w:val="24"/>
        <w:spacing w:line="360" w:lineRule="auto"/>
        <w:ind w:firstLine="480"/>
        <w:rPr>
          <w:rFonts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提出质疑，质疑事项为：</w:t>
      </w:r>
    </w:p>
    <w:p w14:paraId="65983856">
      <w:pPr>
        <w:pStyle w:val="24"/>
        <w:spacing w:line="360" w:lineRule="auto"/>
        <w:ind w:firstLine="241"/>
        <w:rPr>
          <w:rFonts w:hAnsi="宋体" w:cs="宋体"/>
          <w:bCs/>
          <w:color w:val="auto"/>
          <w:sz w:val="24"/>
          <w:szCs w:val="24"/>
          <w:highlight w:val="none"/>
          <w:u w:val="single"/>
        </w:rPr>
      </w:pP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1D44277C">
      <w:pPr>
        <w:pStyle w:val="24"/>
        <w:spacing w:line="360" w:lineRule="auto"/>
        <w:ind w:firstLine="241"/>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59C36596">
      <w:pPr>
        <w:pStyle w:val="24"/>
        <w:spacing w:line="360" w:lineRule="auto"/>
        <w:ind w:firstLine="480"/>
        <w:rPr>
          <w:rFonts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1E2DD963">
      <w:pPr>
        <w:pStyle w:val="24"/>
        <w:spacing w:line="360" w:lineRule="auto"/>
        <w:ind w:left="25" w:firstLine="472"/>
        <w:outlineLvl w:val="1"/>
        <w:rPr>
          <w:rFonts w:hAnsi="宋体" w:cs="宋体"/>
          <w:b/>
          <w:color w:val="auto"/>
          <w:sz w:val="24"/>
          <w:szCs w:val="24"/>
          <w:highlight w:val="none"/>
        </w:rPr>
      </w:pPr>
      <w:r>
        <w:rPr>
          <w:rFonts w:hint="eastAsia" w:hAnsi="宋体" w:cs="宋体"/>
          <w:b/>
          <w:color w:val="auto"/>
          <w:sz w:val="24"/>
          <w:szCs w:val="24"/>
          <w:highlight w:val="none"/>
        </w:rPr>
        <w:t>四、投诉事项具体内容</w:t>
      </w:r>
    </w:p>
    <w:p w14:paraId="1B73ECA0">
      <w:pPr>
        <w:pStyle w:val="24"/>
        <w:spacing w:line="360" w:lineRule="auto"/>
        <w:ind w:left="25" w:firstLine="472"/>
        <w:rPr>
          <w:rFonts w:hAnsi="宋体" w:cs="宋体"/>
          <w:bCs/>
          <w:color w:val="auto"/>
          <w:sz w:val="24"/>
          <w:szCs w:val="24"/>
          <w:highlight w:val="none"/>
          <w:u w:val="single"/>
        </w:rPr>
      </w:pPr>
      <w:r>
        <w:rPr>
          <w:rFonts w:hint="eastAsia" w:hAnsi="宋体" w:cs="宋体"/>
          <w:color w:val="auto"/>
          <w:sz w:val="24"/>
          <w:szCs w:val="24"/>
          <w:highlight w:val="none"/>
        </w:rPr>
        <w:t>投诉事项1：</w:t>
      </w:r>
      <w:r>
        <w:rPr>
          <w:rFonts w:hint="eastAsia" w:hAnsi="宋体" w:cs="宋体"/>
          <w:bCs/>
          <w:color w:val="auto"/>
          <w:sz w:val="24"/>
          <w:szCs w:val="24"/>
          <w:highlight w:val="none"/>
          <w:u w:val="single"/>
        </w:rPr>
        <w:t xml:space="preserve">                                                                           </w:t>
      </w:r>
    </w:p>
    <w:p w14:paraId="12705EDC">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事实依据：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5F06FC08">
      <w:pPr>
        <w:pStyle w:val="24"/>
        <w:spacing w:line="360" w:lineRule="auto"/>
        <w:ind w:left="25" w:firstLine="472"/>
        <w:rPr>
          <w:rFonts w:hAnsi="宋体" w:cs="宋体"/>
          <w:color w:val="auto"/>
          <w:sz w:val="24"/>
          <w:szCs w:val="24"/>
          <w:highlight w:val="none"/>
        </w:rPr>
      </w:pPr>
      <w:r>
        <w:rPr>
          <w:rFonts w:hint="eastAsia" w:hAnsi="宋体" w:cs="宋体"/>
          <w:bCs/>
          <w:color w:val="auto"/>
          <w:sz w:val="24"/>
          <w:szCs w:val="24"/>
          <w:highlight w:val="none"/>
          <w:u w:val="single"/>
        </w:rPr>
        <w:t xml:space="preserve">                                                                                        </w:t>
      </w:r>
    </w:p>
    <w:p w14:paraId="15C96FE7">
      <w:pPr>
        <w:pStyle w:val="24"/>
        <w:spacing w:line="360" w:lineRule="auto"/>
        <w:ind w:firstLine="480"/>
        <w:rPr>
          <w:rFonts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color w:val="auto"/>
          <w:sz w:val="24"/>
          <w:szCs w:val="24"/>
          <w:highlight w:val="none"/>
        </w:rPr>
        <w:t xml:space="preserve"> </w:t>
      </w:r>
      <w:r>
        <w:rPr>
          <w:rFonts w:hint="eastAsia" w:hAnsi="宋体" w:cs="宋体"/>
          <w:bCs/>
          <w:color w:val="auto"/>
          <w:sz w:val="24"/>
          <w:szCs w:val="24"/>
          <w:highlight w:val="none"/>
          <w:u w:val="single"/>
        </w:rPr>
        <w:t xml:space="preserve">                                                                                      </w:t>
      </w:r>
    </w:p>
    <w:p w14:paraId="7B687CE2">
      <w:pPr>
        <w:pStyle w:val="24"/>
        <w:spacing w:line="360" w:lineRule="auto"/>
        <w:ind w:left="25" w:firstLine="352"/>
        <w:rPr>
          <w:rFonts w:hAnsi="宋体" w:cs="宋体"/>
          <w:bCs/>
          <w:color w:val="auto"/>
          <w:sz w:val="24"/>
          <w:szCs w:val="24"/>
          <w:highlight w:val="none"/>
          <w:u w:val="single"/>
        </w:rPr>
      </w:pPr>
      <w:r>
        <w:rPr>
          <w:rFonts w:hint="eastAsia" w:hAnsi="宋体" w:cs="宋体"/>
          <w:bCs/>
          <w:color w:val="auto"/>
          <w:sz w:val="24"/>
          <w:szCs w:val="24"/>
          <w:highlight w:val="none"/>
        </w:rPr>
        <w:t xml:space="preserve"> </w:t>
      </w:r>
      <w:r>
        <w:rPr>
          <w:rFonts w:hint="eastAsia" w:hAnsi="宋体" w:cs="宋体"/>
          <w:bCs/>
          <w:color w:val="auto"/>
          <w:sz w:val="24"/>
          <w:szCs w:val="24"/>
          <w:highlight w:val="none"/>
          <w:u w:val="single"/>
        </w:rPr>
        <w:t xml:space="preserve">                                                                                        </w:t>
      </w:r>
    </w:p>
    <w:p w14:paraId="2B1A98C7">
      <w:pPr>
        <w:pStyle w:val="24"/>
        <w:spacing w:line="360" w:lineRule="auto"/>
        <w:ind w:left="25" w:firstLine="472"/>
        <w:rPr>
          <w:rFonts w:hAnsi="宋体" w:cs="宋体"/>
          <w:bCs/>
          <w:color w:val="auto"/>
          <w:sz w:val="24"/>
          <w:szCs w:val="24"/>
          <w:highlight w:val="none"/>
        </w:rPr>
      </w:pPr>
      <w:r>
        <w:rPr>
          <w:rFonts w:hint="eastAsia" w:hAnsi="宋体" w:cs="宋体"/>
          <w:color w:val="auto"/>
          <w:sz w:val="24"/>
          <w:szCs w:val="24"/>
          <w:highlight w:val="none"/>
        </w:rPr>
        <w:t xml:space="preserve">投诉事项2  </w:t>
      </w:r>
      <w:r>
        <w:rPr>
          <w:rFonts w:hint="eastAsia" w:hAnsi="宋体" w:cs="宋体"/>
          <w:bCs/>
          <w:color w:val="auto"/>
          <w:sz w:val="24"/>
          <w:szCs w:val="24"/>
          <w:highlight w:val="none"/>
        </w:rPr>
        <w:t xml:space="preserve">   </w:t>
      </w:r>
    </w:p>
    <w:p w14:paraId="28C22269">
      <w:pPr>
        <w:pStyle w:val="24"/>
        <w:spacing w:line="360" w:lineRule="auto"/>
        <w:ind w:left="25" w:firstLine="472"/>
        <w:rPr>
          <w:rFonts w:hAnsi="宋体" w:cs="宋体"/>
          <w:bCs/>
          <w:color w:val="auto"/>
          <w:sz w:val="24"/>
          <w:szCs w:val="24"/>
          <w:highlight w:val="none"/>
        </w:rPr>
      </w:pPr>
      <w:r>
        <w:rPr>
          <w:rFonts w:hint="eastAsia" w:hAnsi="宋体" w:cs="宋体"/>
          <w:bCs/>
          <w:color w:val="auto"/>
          <w:sz w:val="24"/>
          <w:szCs w:val="24"/>
          <w:highlight w:val="none"/>
        </w:rPr>
        <w:t>……</w:t>
      </w:r>
    </w:p>
    <w:p w14:paraId="3F928C3D">
      <w:pPr>
        <w:pStyle w:val="24"/>
        <w:spacing w:line="360" w:lineRule="auto"/>
        <w:ind w:left="25" w:firstLine="472"/>
        <w:outlineLvl w:val="1"/>
        <w:rPr>
          <w:rFonts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22D6F6A4">
      <w:pPr>
        <w:pStyle w:val="24"/>
        <w:spacing w:line="360" w:lineRule="auto"/>
        <w:ind w:left="25" w:firstLine="472"/>
        <w:rPr>
          <w:rFonts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216D3279">
      <w:pPr>
        <w:pStyle w:val="24"/>
        <w:spacing w:line="360" w:lineRule="auto"/>
        <w:ind w:left="25" w:firstLine="352"/>
        <w:rPr>
          <w:rFonts w:hAnsi="宋体" w:cs="宋体"/>
          <w:color w:val="auto"/>
          <w:sz w:val="24"/>
          <w:szCs w:val="24"/>
          <w:highlight w:val="none"/>
        </w:rPr>
      </w:pPr>
    </w:p>
    <w:p w14:paraId="362BC371">
      <w:pPr>
        <w:pStyle w:val="24"/>
        <w:spacing w:line="360" w:lineRule="auto"/>
        <w:ind w:left="25" w:firstLine="472"/>
        <w:rPr>
          <w:rFonts w:hAnsi="宋体" w:cs="宋体"/>
          <w:color w:val="auto"/>
          <w:sz w:val="24"/>
          <w:szCs w:val="24"/>
          <w:highlight w:val="none"/>
          <w:u w:val="single"/>
        </w:rPr>
      </w:pPr>
      <w:r>
        <w:rPr>
          <w:rFonts w:hint="eastAsia" w:hAnsi="宋体" w:cs="宋体"/>
          <w:color w:val="auto"/>
          <w:sz w:val="24"/>
          <w:szCs w:val="24"/>
          <w:highlight w:val="none"/>
        </w:rPr>
        <w:t>签字（签章）：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 xml:space="preserve">                        公章：</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p>
    <w:p w14:paraId="7CF17C1B">
      <w:pPr>
        <w:pStyle w:val="24"/>
        <w:spacing w:line="360" w:lineRule="auto"/>
        <w:ind w:left="25" w:firstLine="352"/>
        <w:rPr>
          <w:rFonts w:hAnsi="宋体" w:cs="宋体"/>
          <w:color w:val="auto"/>
          <w:sz w:val="24"/>
          <w:szCs w:val="24"/>
          <w:highlight w:val="none"/>
        </w:rPr>
      </w:pPr>
    </w:p>
    <w:p w14:paraId="35D1803A">
      <w:pPr>
        <w:pStyle w:val="24"/>
        <w:spacing w:line="360" w:lineRule="auto"/>
        <w:ind w:left="25" w:firstLine="472"/>
        <w:rPr>
          <w:rFonts w:hAnsi="宋体" w:cs="宋体"/>
          <w:color w:val="auto"/>
          <w:sz w:val="24"/>
          <w:szCs w:val="24"/>
          <w:highlight w:val="none"/>
        </w:rPr>
      </w:pPr>
      <w:r>
        <w:rPr>
          <w:rFonts w:hint="eastAsia" w:hAnsi="宋体" w:cs="宋体"/>
          <w:color w:val="auto"/>
          <w:sz w:val="24"/>
          <w:szCs w:val="24"/>
          <w:highlight w:val="none"/>
        </w:rPr>
        <w:t>日期：</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Ansi="宋体" w:cs="宋体"/>
          <w:color w:val="auto"/>
          <w:sz w:val="24"/>
          <w:szCs w:val="24"/>
          <w:highlight w:val="none"/>
          <w:u w:val="single"/>
        </w:rPr>
        <w:t xml:space="preserve"> </w:t>
      </w:r>
      <w:r>
        <w:rPr>
          <w:rFonts w:hint="eastAsia" w:hAnsi="宋体" w:cs="宋体"/>
          <w:color w:val="auto"/>
          <w:sz w:val="24"/>
          <w:szCs w:val="24"/>
          <w:highlight w:val="none"/>
        </w:rPr>
        <w:t>日</w:t>
      </w:r>
    </w:p>
    <w:p w14:paraId="3E1183C2">
      <w:pPr>
        <w:pStyle w:val="24"/>
        <w:spacing w:line="360" w:lineRule="auto"/>
        <w:ind w:left="25" w:firstLine="472"/>
        <w:rPr>
          <w:rFonts w:hAnsi="宋体" w:cs="宋体"/>
          <w:b/>
          <w:color w:val="auto"/>
          <w:sz w:val="24"/>
          <w:szCs w:val="24"/>
          <w:highlight w:val="none"/>
        </w:rPr>
      </w:pPr>
      <w:r>
        <w:rPr>
          <w:rFonts w:hint="eastAsia" w:hAnsi="宋体" w:cs="宋体"/>
          <w:bCs/>
          <w:color w:val="auto"/>
          <w:sz w:val="24"/>
          <w:szCs w:val="24"/>
          <w:highlight w:val="none"/>
        </w:rPr>
        <w:t xml:space="preserve">                                                                                 </w:t>
      </w:r>
    </w:p>
    <w:p w14:paraId="2E905BA9">
      <w:pPr>
        <w:pStyle w:val="24"/>
        <w:spacing w:line="360" w:lineRule="auto"/>
        <w:rPr>
          <w:rFonts w:ascii="楷体" w:hAnsi="楷体" w:eastAsia="楷体" w:cs="宋体"/>
          <w:b/>
          <w:color w:val="auto"/>
          <w:sz w:val="24"/>
          <w:szCs w:val="24"/>
          <w:highlight w:val="none"/>
        </w:rPr>
      </w:pPr>
      <w:r>
        <w:rPr>
          <w:rFonts w:hint="eastAsia" w:ascii="楷体" w:hAnsi="楷体" w:eastAsia="楷体" w:cs="宋体"/>
          <w:b/>
          <w:color w:val="auto"/>
          <w:sz w:val="24"/>
          <w:szCs w:val="24"/>
          <w:highlight w:val="none"/>
        </w:rPr>
        <w:t>说明：</w:t>
      </w:r>
    </w:p>
    <w:p w14:paraId="25CFC263">
      <w:pPr>
        <w:pStyle w:val="24"/>
        <w:spacing w:line="360" w:lineRule="auto"/>
        <w:ind w:left="25" w:firstLine="354"/>
        <w:rPr>
          <w:rFonts w:ascii="楷体" w:hAnsi="楷体" w:eastAsia="楷体" w:cs="宋体"/>
          <w:b/>
          <w:bCs/>
          <w:color w:val="auto"/>
          <w:sz w:val="24"/>
          <w:szCs w:val="24"/>
          <w:highlight w:val="none"/>
        </w:rPr>
      </w:pPr>
      <w:r>
        <w:rPr>
          <w:rFonts w:ascii="楷体" w:hAnsi="楷体" w:eastAsia="楷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楷体" w:hAnsi="楷体" w:eastAsia="楷体" w:cs="宋体"/>
          <w:b/>
          <w:bCs/>
          <w:color w:val="auto"/>
          <w:sz w:val="24"/>
          <w:szCs w:val="24"/>
          <w:highlight w:val="none"/>
        </w:rPr>
        <w:t>。</w:t>
      </w:r>
    </w:p>
    <w:p w14:paraId="1CC5142C">
      <w:pPr>
        <w:pStyle w:val="24"/>
        <w:spacing w:line="360" w:lineRule="auto"/>
        <w:ind w:left="25" w:firstLine="354"/>
        <w:rPr>
          <w:rFonts w:ascii="楷体" w:hAnsi="楷体" w:eastAsia="楷体" w:cs="宋体"/>
          <w:b/>
          <w:color w:val="auto"/>
          <w:sz w:val="24"/>
          <w:szCs w:val="24"/>
          <w:highlight w:val="none"/>
        </w:rPr>
      </w:pPr>
      <w:r>
        <w:rPr>
          <w:rFonts w:ascii="楷体" w:hAnsi="楷体" w:eastAsia="楷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0A042EA">
      <w:pPr>
        <w:pStyle w:val="24"/>
        <w:spacing w:line="360" w:lineRule="auto"/>
        <w:ind w:left="25" w:firstLine="354"/>
        <w:rPr>
          <w:rFonts w:ascii="楷体" w:hAnsi="楷体" w:eastAsia="楷体" w:cs="宋体"/>
          <w:b/>
          <w:color w:val="auto"/>
          <w:sz w:val="24"/>
          <w:szCs w:val="24"/>
          <w:highlight w:val="none"/>
        </w:rPr>
      </w:pPr>
      <w:r>
        <w:rPr>
          <w:rFonts w:ascii="楷体" w:hAnsi="楷体" w:eastAsia="楷体" w:cs="宋体"/>
          <w:b/>
          <w:color w:val="auto"/>
          <w:sz w:val="24"/>
          <w:szCs w:val="24"/>
          <w:highlight w:val="none"/>
        </w:rPr>
        <w:t>3.投诉书应简要列明质疑事项，质疑函、质疑答复等作为附件材料提供。</w:t>
      </w:r>
    </w:p>
    <w:p w14:paraId="007ADECE">
      <w:pPr>
        <w:pStyle w:val="24"/>
        <w:spacing w:line="360" w:lineRule="auto"/>
        <w:ind w:left="25" w:firstLine="354"/>
        <w:rPr>
          <w:rFonts w:ascii="楷体" w:hAnsi="楷体" w:eastAsia="楷体" w:cs="宋体"/>
          <w:b/>
          <w:color w:val="auto"/>
          <w:sz w:val="24"/>
          <w:szCs w:val="24"/>
          <w:highlight w:val="none"/>
        </w:rPr>
      </w:pPr>
      <w:r>
        <w:rPr>
          <w:rFonts w:ascii="楷体" w:hAnsi="楷体" w:eastAsia="楷体" w:cs="宋体"/>
          <w:b/>
          <w:color w:val="auto"/>
          <w:sz w:val="24"/>
          <w:szCs w:val="24"/>
          <w:highlight w:val="none"/>
        </w:rPr>
        <w:t>4.投诉书的投诉事项应具体、明确，并有必要的事实依据和法律依据。</w:t>
      </w:r>
    </w:p>
    <w:p w14:paraId="12CF6CE0">
      <w:pPr>
        <w:pStyle w:val="24"/>
        <w:spacing w:line="360" w:lineRule="auto"/>
        <w:ind w:left="25" w:firstLine="354"/>
        <w:outlineLvl w:val="2"/>
        <w:rPr>
          <w:rFonts w:ascii="楷体" w:hAnsi="楷体" w:eastAsia="楷体" w:cs="宋体"/>
          <w:b/>
          <w:color w:val="auto"/>
          <w:sz w:val="24"/>
          <w:szCs w:val="24"/>
          <w:highlight w:val="none"/>
        </w:rPr>
      </w:pPr>
      <w:r>
        <w:rPr>
          <w:rFonts w:ascii="楷体" w:hAnsi="楷体" w:eastAsia="楷体" w:cs="宋体"/>
          <w:b/>
          <w:color w:val="auto"/>
          <w:sz w:val="24"/>
          <w:szCs w:val="24"/>
          <w:highlight w:val="none"/>
        </w:rPr>
        <w:t>5.投诉书的投诉请求应与投诉事项相关。</w:t>
      </w:r>
    </w:p>
    <w:p w14:paraId="7B942B67">
      <w:pPr>
        <w:pStyle w:val="24"/>
        <w:spacing w:line="360" w:lineRule="auto"/>
        <w:ind w:left="25" w:firstLine="354"/>
        <w:rPr>
          <w:rFonts w:ascii="楷体" w:hAnsi="楷体" w:eastAsia="楷体" w:cs="宋体"/>
          <w:b/>
          <w:color w:val="auto"/>
          <w:sz w:val="24"/>
          <w:szCs w:val="24"/>
          <w:highlight w:val="none"/>
        </w:rPr>
      </w:pPr>
      <w:r>
        <w:rPr>
          <w:rFonts w:ascii="楷体" w:hAnsi="楷体" w:eastAsia="楷体" w:cs="宋体"/>
          <w:b/>
          <w:color w:val="auto"/>
          <w:sz w:val="24"/>
          <w:szCs w:val="24"/>
          <w:highlight w:val="none"/>
        </w:rPr>
        <w:t>6.投诉人为法人或者其他组织的，投诉书应由法定代表人、主要负责人，或者其授权代表签字或者盖章，并加盖公章。</w:t>
      </w:r>
    </w:p>
    <w:p w14:paraId="315456E9">
      <w:pPr>
        <w:pStyle w:val="24"/>
        <w:spacing w:line="360" w:lineRule="auto"/>
        <w:ind w:left="25" w:firstLine="352"/>
        <w:rPr>
          <w:rFonts w:hAnsi="宋体" w:cs="宋体"/>
          <w:color w:val="auto"/>
          <w:sz w:val="24"/>
          <w:szCs w:val="24"/>
          <w:highlight w:val="none"/>
        </w:rPr>
      </w:pPr>
    </w:p>
    <w:p w14:paraId="49DE3CC0">
      <w:pPr>
        <w:pStyle w:val="2"/>
        <w:spacing w:before="0" w:after="0" w:line="460" w:lineRule="exact"/>
        <w:jc w:val="center"/>
        <w:rPr>
          <w:rFonts w:ascii="宋体" w:hAnsi="宋体" w:cs="宋体"/>
          <w:color w:val="auto"/>
          <w:highlight w:val="none"/>
        </w:rPr>
      </w:pPr>
      <w:bookmarkStart w:id="136" w:name="_Toc13022"/>
      <w:r>
        <w:rPr>
          <w:rFonts w:hint="eastAsia" w:ascii="宋体" w:hAnsi="宋体" w:cs="宋体"/>
          <w:color w:val="auto"/>
          <w:highlight w:val="none"/>
        </w:rPr>
        <w:t>第六章 拟签订的合同文本</w:t>
      </w:r>
      <w:bookmarkEnd w:id="136"/>
    </w:p>
    <w:p w14:paraId="76728508">
      <w:pPr>
        <w:spacing w:before="100" w:beforeAutospacing="1" w:after="100" w:afterAutospacing="1" w:line="280" w:lineRule="atLeast"/>
        <w:jc w:val="left"/>
        <w:rPr>
          <w:rFonts w:hint="eastAsia" w:ascii="宋体" w:hAnsi="宋体" w:cs="宋体"/>
          <w:color w:val="auto"/>
          <w:kern w:val="0"/>
          <w:sz w:val="30"/>
          <w:szCs w:val="28"/>
          <w:highlight w:val="none"/>
        </w:rPr>
      </w:pPr>
      <w:bookmarkStart w:id="137" w:name="_Toc351203480"/>
      <w:bookmarkStart w:id="138" w:name="_Toc296503025"/>
      <w:bookmarkStart w:id="139" w:name="_Toc373227552"/>
      <w:bookmarkStart w:id="140" w:name="_Toc373478199"/>
      <w:bookmarkStart w:id="141" w:name="_Toc389065255"/>
      <w:bookmarkStart w:id="142" w:name="_Toc296890982"/>
      <w:r>
        <w:rPr>
          <w:rFonts w:hint="eastAsia" w:ascii="宋体" w:hAnsi="宋体" w:cs="宋体"/>
          <w:color w:val="auto"/>
          <w:kern w:val="0"/>
          <w:sz w:val="32"/>
          <w:szCs w:val="28"/>
          <w:highlight w:val="none"/>
        </w:rPr>
        <w:t>GF—2016—0203</w:t>
      </w:r>
    </w:p>
    <w:p w14:paraId="7F8ADB24">
      <w:pPr>
        <w:spacing w:before="100" w:beforeAutospacing="1" w:after="100" w:afterAutospacing="1" w:line="280" w:lineRule="atLeast"/>
        <w:jc w:val="right"/>
        <w:rPr>
          <w:rFonts w:hint="eastAsia" w:ascii="宋体" w:hAnsi="宋体" w:cs="宋体"/>
          <w:b/>
          <w:bCs/>
          <w:color w:val="auto"/>
          <w:kern w:val="0"/>
          <w:sz w:val="28"/>
          <w:szCs w:val="28"/>
          <w:highlight w:val="none"/>
          <w:u w:val="single"/>
        </w:rPr>
      </w:pPr>
      <w:r>
        <w:rPr>
          <w:rFonts w:hint="eastAsia" w:ascii="宋体" w:hAnsi="宋体" w:cs="宋体"/>
          <w:b/>
          <w:bCs/>
          <w:color w:val="auto"/>
          <w:kern w:val="0"/>
          <w:sz w:val="32"/>
          <w:szCs w:val="28"/>
          <w:highlight w:val="none"/>
        </w:rPr>
        <w:t xml:space="preserve">                 合同编号：____________</w:t>
      </w:r>
    </w:p>
    <w:p w14:paraId="123BC1EA">
      <w:pPr>
        <w:spacing w:before="100" w:beforeAutospacing="1" w:after="100" w:afterAutospacing="1" w:line="280" w:lineRule="atLeast"/>
        <w:jc w:val="center"/>
        <w:rPr>
          <w:rFonts w:hint="eastAsia" w:ascii="宋体" w:hAnsi="宋体" w:cs="宋体"/>
          <w:b/>
          <w:bCs/>
          <w:color w:val="auto"/>
          <w:spacing w:val="30"/>
          <w:kern w:val="0"/>
          <w:sz w:val="44"/>
          <w:szCs w:val="44"/>
          <w:highlight w:val="none"/>
        </w:rPr>
      </w:pPr>
    </w:p>
    <w:p w14:paraId="482E730F">
      <w:pPr>
        <w:spacing w:before="100" w:beforeAutospacing="1" w:after="100" w:afterAutospacing="1" w:line="280" w:lineRule="atLeast"/>
        <w:jc w:val="center"/>
        <w:rPr>
          <w:rFonts w:hint="eastAsia" w:ascii="宋体" w:hAnsi="宋体" w:cs="宋体"/>
          <w:b/>
          <w:bCs/>
          <w:color w:val="auto"/>
          <w:spacing w:val="30"/>
          <w:kern w:val="0"/>
          <w:sz w:val="44"/>
          <w:szCs w:val="44"/>
          <w:highlight w:val="none"/>
        </w:rPr>
      </w:pPr>
    </w:p>
    <w:p w14:paraId="7EE0F871">
      <w:pPr>
        <w:adjustRightInd w:val="0"/>
        <w:snapToGrid w:val="0"/>
        <w:spacing w:before="100" w:beforeAutospacing="1" w:after="100" w:afterAutospacing="1"/>
        <w:jc w:val="center"/>
        <w:rPr>
          <w:rFonts w:hint="eastAsia" w:ascii="宋体" w:hAnsi="宋体" w:cs="宋体"/>
          <w:color w:val="auto"/>
          <w:kern w:val="0"/>
          <w:sz w:val="72"/>
          <w:szCs w:val="44"/>
          <w:highlight w:val="none"/>
        </w:rPr>
      </w:pPr>
      <w:r>
        <w:rPr>
          <w:rFonts w:hint="eastAsia" w:ascii="宋体" w:hAnsi="宋体" w:cs="宋体"/>
          <w:color w:val="auto"/>
          <w:kern w:val="0"/>
          <w:sz w:val="72"/>
          <w:szCs w:val="44"/>
          <w:highlight w:val="none"/>
        </w:rPr>
        <w:t>建设工程勘察合同</w:t>
      </w:r>
    </w:p>
    <w:p w14:paraId="71355657">
      <w:pPr>
        <w:adjustRightInd w:val="0"/>
        <w:snapToGrid w:val="0"/>
        <w:spacing w:before="100" w:beforeAutospacing="1" w:after="100" w:afterAutospacing="1"/>
        <w:jc w:val="center"/>
        <w:rPr>
          <w:rFonts w:hint="eastAsia" w:ascii="宋体" w:hAnsi="宋体" w:cs="宋体"/>
          <w:b/>
          <w:bCs/>
          <w:color w:val="auto"/>
          <w:kern w:val="0"/>
          <w:sz w:val="52"/>
          <w:szCs w:val="52"/>
          <w:highlight w:val="none"/>
        </w:rPr>
      </w:pPr>
      <w:r>
        <w:rPr>
          <w:rFonts w:hint="eastAsia" w:ascii="宋体" w:hAnsi="宋体" w:cs="宋体"/>
          <w:color w:val="auto"/>
          <w:kern w:val="0"/>
          <w:sz w:val="52"/>
          <w:szCs w:val="52"/>
          <w:highlight w:val="none"/>
        </w:rPr>
        <w:t>（示范文本）</w:t>
      </w:r>
    </w:p>
    <w:p w14:paraId="774F39FF">
      <w:pPr>
        <w:spacing w:before="100" w:beforeAutospacing="1" w:after="100" w:afterAutospacing="1" w:line="280" w:lineRule="atLeast"/>
        <w:jc w:val="center"/>
        <w:rPr>
          <w:rFonts w:hint="eastAsia" w:ascii="宋体" w:hAnsi="宋体" w:cs="宋体"/>
          <w:b/>
          <w:bCs/>
          <w:color w:val="auto"/>
          <w:kern w:val="0"/>
          <w:sz w:val="44"/>
          <w:szCs w:val="30"/>
          <w:highlight w:val="none"/>
        </w:rPr>
      </w:pPr>
    </w:p>
    <w:p w14:paraId="3D3BFAAF">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p w14:paraId="0ACAF24F">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p w14:paraId="401A08F5">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p w14:paraId="00001DA2">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p w14:paraId="33FD6A30">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p w14:paraId="2FB263B7">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p w14:paraId="02C31103">
      <w:pPr>
        <w:tabs>
          <w:tab w:val="left" w:pos="1402"/>
        </w:tabs>
        <w:spacing w:before="100" w:beforeAutospacing="1" w:after="100" w:afterAutospacing="1" w:line="280" w:lineRule="atLeast"/>
        <w:ind w:firstLine="480" w:firstLineChars="200"/>
        <w:jc w:val="center"/>
        <w:rPr>
          <w:rFonts w:hint="eastAsia" w:ascii="宋体" w:hAnsi="宋体" w:cs="宋体"/>
          <w:bCs/>
          <w:color w:val="auto"/>
          <w:kern w:val="0"/>
          <w:sz w:val="24"/>
          <w:highlight w:val="none"/>
        </w:rPr>
      </w:pPr>
    </w:p>
    <w:tbl>
      <w:tblPr>
        <w:tblStyle w:val="45"/>
        <w:tblW w:w="0" w:type="auto"/>
        <w:jc w:val="center"/>
        <w:tblLayout w:type="fixed"/>
        <w:tblCellMar>
          <w:top w:w="0" w:type="dxa"/>
          <w:left w:w="108" w:type="dxa"/>
          <w:bottom w:w="0" w:type="dxa"/>
          <w:right w:w="108" w:type="dxa"/>
        </w:tblCellMar>
      </w:tblPr>
      <w:tblGrid>
        <w:gridCol w:w="3505"/>
        <w:gridCol w:w="977"/>
      </w:tblGrid>
      <w:tr w14:paraId="5AE34037">
        <w:tblPrEx>
          <w:tblCellMar>
            <w:top w:w="0" w:type="dxa"/>
            <w:left w:w="108" w:type="dxa"/>
            <w:bottom w:w="0" w:type="dxa"/>
            <w:right w:w="108" w:type="dxa"/>
          </w:tblCellMar>
        </w:tblPrEx>
        <w:trPr>
          <w:trHeight w:val="567" w:hRule="exact"/>
          <w:jc w:val="center"/>
        </w:trPr>
        <w:tc>
          <w:tcPr>
            <w:tcW w:w="3505" w:type="dxa"/>
            <w:noWrap w:val="0"/>
            <w:vAlign w:val="center"/>
          </w:tcPr>
          <w:p w14:paraId="3DBE34CC">
            <w:pPr>
              <w:adjustRightInd w:val="0"/>
              <w:snapToGrid w:val="0"/>
              <w:spacing w:before="100" w:beforeAutospacing="1" w:after="100" w:afterAutospacing="1" w:line="280" w:lineRule="atLeast"/>
              <w:rPr>
                <w:rFonts w:hint="eastAsia" w:ascii="宋体" w:hAnsi="宋体" w:cs="宋体"/>
                <w:b/>
                <w:color w:val="auto"/>
                <w:spacing w:val="40"/>
                <w:sz w:val="32"/>
                <w:szCs w:val="30"/>
                <w:highlight w:val="none"/>
              </w:rPr>
            </w:pPr>
            <w:r>
              <w:rPr>
                <w:rFonts w:hint="eastAsia" w:ascii="宋体" w:hAnsi="宋体" w:cs="宋体"/>
                <w:b/>
                <w:color w:val="auto"/>
                <w:spacing w:val="40"/>
                <w:sz w:val="32"/>
                <w:szCs w:val="30"/>
                <w:highlight w:val="none"/>
              </w:rPr>
              <w:t>住房和城乡建设部</w:t>
            </w:r>
          </w:p>
        </w:tc>
        <w:tc>
          <w:tcPr>
            <w:tcW w:w="977" w:type="dxa"/>
            <w:vMerge w:val="restart"/>
            <w:noWrap w:val="0"/>
            <w:vAlign w:val="center"/>
          </w:tcPr>
          <w:p w14:paraId="003EA3F4">
            <w:pPr>
              <w:spacing w:before="100" w:beforeAutospacing="1" w:after="100" w:afterAutospacing="1" w:line="280" w:lineRule="atLeast"/>
              <w:rPr>
                <w:rFonts w:hint="eastAsia" w:ascii="宋体" w:hAnsi="宋体" w:cs="宋体"/>
                <w:b/>
                <w:color w:val="auto"/>
                <w:sz w:val="32"/>
                <w:szCs w:val="30"/>
                <w:highlight w:val="none"/>
              </w:rPr>
            </w:pPr>
            <w:r>
              <w:rPr>
                <w:rFonts w:hint="eastAsia" w:ascii="宋体" w:hAnsi="宋体" w:cs="宋体"/>
                <w:b/>
                <w:color w:val="auto"/>
                <w:sz w:val="32"/>
                <w:szCs w:val="30"/>
                <w:highlight w:val="none"/>
              </w:rPr>
              <w:t>制定</w:t>
            </w:r>
          </w:p>
        </w:tc>
      </w:tr>
      <w:tr w14:paraId="2965EDB9">
        <w:tblPrEx>
          <w:tblCellMar>
            <w:top w:w="0" w:type="dxa"/>
            <w:left w:w="108" w:type="dxa"/>
            <w:bottom w:w="0" w:type="dxa"/>
            <w:right w:w="108" w:type="dxa"/>
          </w:tblCellMar>
        </w:tblPrEx>
        <w:trPr>
          <w:trHeight w:val="567" w:hRule="exact"/>
          <w:jc w:val="center"/>
        </w:trPr>
        <w:tc>
          <w:tcPr>
            <w:tcW w:w="3505" w:type="dxa"/>
            <w:noWrap w:val="0"/>
            <w:vAlign w:val="center"/>
          </w:tcPr>
          <w:p w14:paraId="6F076810">
            <w:pPr>
              <w:adjustRightInd w:val="0"/>
              <w:snapToGrid w:val="0"/>
              <w:spacing w:before="100" w:beforeAutospacing="1" w:after="100" w:afterAutospacing="1" w:line="280" w:lineRule="atLeast"/>
              <w:rPr>
                <w:rFonts w:hint="eastAsia" w:ascii="宋体" w:hAnsi="宋体" w:cs="宋体"/>
                <w:b/>
                <w:color w:val="auto"/>
                <w:sz w:val="32"/>
                <w:szCs w:val="30"/>
                <w:highlight w:val="none"/>
              </w:rPr>
            </w:pPr>
            <w:r>
              <w:rPr>
                <w:rFonts w:hint="eastAsia" w:ascii="宋体" w:hAnsi="宋体" w:cs="宋体"/>
                <w:b/>
                <w:color w:val="auto"/>
                <w:sz w:val="32"/>
                <w:szCs w:val="30"/>
                <w:highlight w:val="none"/>
              </w:rPr>
              <w:t>国家工商行政管理总局</w:t>
            </w:r>
          </w:p>
        </w:tc>
        <w:tc>
          <w:tcPr>
            <w:tcW w:w="977" w:type="dxa"/>
            <w:vMerge w:val="continue"/>
            <w:noWrap w:val="0"/>
            <w:vAlign w:val="center"/>
          </w:tcPr>
          <w:p w14:paraId="285906CB">
            <w:pPr>
              <w:spacing w:before="100" w:beforeAutospacing="1" w:after="100" w:afterAutospacing="1" w:line="280" w:lineRule="atLeast"/>
              <w:rPr>
                <w:rFonts w:hint="eastAsia" w:ascii="宋体" w:hAnsi="宋体" w:cs="宋体"/>
                <w:bCs/>
                <w:color w:val="auto"/>
                <w:kern w:val="0"/>
                <w:sz w:val="32"/>
                <w:szCs w:val="28"/>
                <w:highlight w:val="none"/>
              </w:rPr>
            </w:pPr>
          </w:p>
        </w:tc>
      </w:tr>
    </w:tbl>
    <w:p w14:paraId="72974D01">
      <w:pPr>
        <w:spacing w:before="100" w:beforeAutospacing="1" w:after="100" w:afterAutospacing="1" w:line="280" w:lineRule="atLeast"/>
        <w:rPr>
          <w:rFonts w:hint="eastAsia" w:ascii="宋体" w:hAnsi="宋体" w:cs="宋体"/>
          <w:bCs/>
          <w:color w:val="auto"/>
          <w:kern w:val="0"/>
          <w:sz w:val="26"/>
          <w:szCs w:val="28"/>
          <w:highlight w:val="none"/>
        </w:rPr>
        <w:sectPr>
          <w:headerReference r:id="rId9" w:type="first"/>
          <w:footerReference r:id="rId12" w:type="first"/>
          <w:headerReference r:id="rId7" w:type="default"/>
          <w:footerReference r:id="rId10" w:type="default"/>
          <w:headerReference r:id="rId8" w:type="even"/>
          <w:footerReference r:id="rId11" w:type="even"/>
          <w:pgSz w:w="11905" w:h="16838"/>
          <w:pgMar w:top="1417" w:right="1417" w:bottom="1417" w:left="1417" w:header="850" w:footer="992" w:gutter="0"/>
          <w:pgNumType w:fmt="decimal"/>
          <w:cols w:space="720" w:num="1"/>
          <w:rtlGutter w:val="0"/>
          <w:docGrid w:type="lines" w:linePitch="318" w:charSpace="0"/>
        </w:sectPr>
      </w:pPr>
    </w:p>
    <w:p w14:paraId="2FCE6CA7">
      <w:pPr>
        <w:pStyle w:val="3"/>
        <w:jc w:val="center"/>
        <w:rPr>
          <w:rFonts w:hint="eastAsia"/>
          <w:color w:val="auto"/>
          <w:highlight w:val="none"/>
        </w:rPr>
      </w:pPr>
      <w:bookmarkStart w:id="143" w:name="_Toc50021815"/>
      <w:bookmarkStart w:id="144" w:name="_Toc27113"/>
      <w:bookmarkStart w:id="145" w:name="_Toc23914"/>
      <w:bookmarkStart w:id="146" w:name="_Toc15196"/>
      <w:r>
        <w:rPr>
          <w:rFonts w:hint="eastAsia"/>
          <w:color w:val="auto"/>
          <w:highlight w:val="none"/>
        </w:rPr>
        <w:t>第一部分</w:t>
      </w:r>
      <w:r>
        <w:rPr>
          <w:rFonts w:hint="eastAsia"/>
          <w:color w:val="auto"/>
          <w:highlight w:val="none"/>
          <w:lang w:eastAsia="zh-CN"/>
        </w:rPr>
        <w:t>、</w:t>
      </w:r>
      <w:r>
        <w:rPr>
          <w:rFonts w:hint="eastAsia"/>
          <w:color w:val="auto"/>
          <w:highlight w:val="none"/>
        </w:rPr>
        <w:t>合同协议书</w:t>
      </w:r>
      <w:bookmarkEnd w:id="143"/>
      <w:bookmarkEnd w:id="144"/>
      <w:bookmarkEnd w:id="145"/>
      <w:bookmarkEnd w:id="146"/>
    </w:p>
    <w:p w14:paraId="2DD20E1D">
      <w:pPr>
        <w:spacing w:line="360" w:lineRule="auto"/>
        <w:ind w:firstLine="420" w:firstLineChars="200"/>
        <w:rPr>
          <w:rFonts w:hint="eastAsia" w:ascii="宋体" w:hAnsi="宋体" w:cs="宋体"/>
          <w:color w:val="auto"/>
          <w:szCs w:val="21"/>
          <w:highlight w:val="none"/>
        </w:rPr>
      </w:pPr>
    </w:p>
    <w:p w14:paraId="76E780BB">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发包人（全称）：</w:t>
      </w:r>
      <w:r>
        <w:rPr>
          <w:rFonts w:hint="eastAsia" w:ascii="宋体" w:hAnsi="宋体" w:cs="宋体"/>
          <w:color w:val="auto"/>
          <w:szCs w:val="21"/>
          <w:highlight w:val="none"/>
          <w:u w:val="single"/>
        </w:rPr>
        <w:t></w:t>
      </w:r>
      <w:r>
        <w:rPr>
          <w:rFonts w:hint="eastAsia" w:ascii="宋体" w:hAnsi="宋体" w:eastAsia="宋体" w:cs="宋体"/>
          <w:color w:val="auto"/>
          <w:sz w:val="21"/>
          <w:szCs w:val="21"/>
          <w:highlight w:val="none"/>
          <w:u w:val="single"/>
          <w:lang w:val="en-US" w:eastAsia="zh-CN"/>
        </w:rPr>
        <w:t>灵山县</w:t>
      </w:r>
      <w:r>
        <w:rPr>
          <w:rFonts w:hint="eastAsia" w:ascii="宋体" w:hAnsi="宋体" w:eastAsia="宋体" w:cs="宋体"/>
          <w:color w:val="auto"/>
          <w:sz w:val="21"/>
          <w:szCs w:val="21"/>
          <w:highlight w:val="none"/>
          <w:u w:val="single"/>
          <w:lang w:eastAsia="zh-CN"/>
        </w:rPr>
        <w:t>教育局</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rPr>
        <w:t xml:space="preserve">  </w:t>
      </w:r>
    </w:p>
    <w:p w14:paraId="2AF8C04C">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勘察人（全称）：</w:t>
      </w:r>
      <w:r>
        <w:rPr>
          <w:rFonts w:hint="eastAsia" w:ascii="宋体" w:hAnsi="宋体" w:cs="宋体"/>
          <w:color w:val="auto"/>
          <w:szCs w:val="21"/>
          <w:highlight w:val="none"/>
          <w:u w:val="single"/>
        </w:rPr>
        <w:t>                              </w:t>
      </w:r>
    </w:p>
    <w:p w14:paraId="381E55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color w:val="auto"/>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及有关事项协商一致，共同达成如下协议：</w:t>
      </w:r>
    </w:p>
    <w:p w14:paraId="1CBA3E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w:t>
      </w:r>
      <w:r>
        <w:rPr>
          <w:rFonts w:hint="eastAsia" w:ascii="宋体" w:hAnsi="宋体" w:cs="宋体"/>
          <w:b/>
          <w:bCs/>
          <w:color w:val="auto"/>
          <w:szCs w:val="21"/>
          <w:highlight w:val="none"/>
        </w:rPr>
        <w:t>工程概况</w:t>
      </w:r>
    </w:p>
    <w:p w14:paraId="2EE765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1.工程名称：</w:t>
      </w:r>
      <w:r>
        <w:rPr>
          <w:rFonts w:hint="eastAsia"/>
          <w:color w:val="auto"/>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20574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kern w:val="2"/>
          <w:sz w:val="21"/>
          <w:szCs w:val="21"/>
          <w:highlight w:val="none"/>
          <w:lang w:eastAsia="zh-CN"/>
        </w:rPr>
      </w:pPr>
      <w:r>
        <w:rPr>
          <w:rFonts w:hint="eastAsia" w:ascii="宋体" w:hAnsi="宋体" w:cs="宋体"/>
          <w:color w:val="auto"/>
          <w:szCs w:val="21"/>
          <w:highlight w:val="none"/>
        </w:rPr>
        <w:t>2.工程地点</w:t>
      </w:r>
      <w:r>
        <w:rPr>
          <w:rFonts w:hint="eastAsia" w:ascii="宋体" w:hAnsi="宋体" w:cs="宋体"/>
          <w:color w:val="auto"/>
          <w:szCs w:val="21"/>
          <w:highlight w:val="none"/>
          <w:lang w:eastAsia="zh-CN"/>
        </w:rPr>
        <w:t>：</w:t>
      </w:r>
      <w:r>
        <w:rPr>
          <w:rFonts w:hint="eastAsia" w:ascii="宋体" w:hAnsi="宋体" w:eastAsia="宋体" w:cs="宋体"/>
          <w:b w:val="0"/>
          <w:bCs w:val="0"/>
          <w:color w:val="auto"/>
          <w:kern w:val="2"/>
          <w:sz w:val="21"/>
          <w:szCs w:val="21"/>
          <w:highlight w:val="none"/>
          <w:lang w:val="en-US" w:eastAsia="zh-CN"/>
        </w:rPr>
        <w:t xml:space="preserve"> </w:t>
      </w:r>
    </w:p>
    <w:p w14:paraId="0DD6E8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3.工程规模</w:t>
      </w:r>
      <w:r>
        <w:rPr>
          <w:rFonts w:hint="eastAsia" w:ascii="宋体" w:hAnsi="宋体" w:cs="宋体"/>
          <w:color w:val="auto"/>
          <w:szCs w:val="21"/>
          <w:highlight w:val="none"/>
          <w:lang w:eastAsia="zh-CN"/>
        </w:rPr>
        <w:t>：</w:t>
      </w:r>
      <w:r>
        <w:rPr>
          <w:rFonts w:hint="eastAsia" w:ascii="宋体" w:hAnsi="宋体" w:eastAsia="宋体" w:cs="宋体"/>
          <w:color w:val="auto"/>
          <w:sz w:val="21"/>
          <w:szCs w:val="21"/>
          <w:highlight w:val="none"/>
          <w:lang w:val="en-US" w:eastAsia="zh-CN"/>
        </w:rPr>
        <w:t xml:space="preserve"> </w:t>
      </w:r>
    </w:p>
    <w:p w14:paraId="4AE5A2DC">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二、工程勘察范围、阶段技术要求及工作量</w:t>
      </w:r>
    </w:p>
    <w:p w14:paraId="254BAFA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勘察范围和阶段：</w:t>
      </w:r>
      <w:r>
        <w:rPr>
          <w:rFonts w:hint="eastAsia" w:ascii="宋体" w:hAnsi="宋体" w:cs="宋体"/>
          <w:color w:val="auto"/>
          <w:szCs w:val="21"/>
          <w:highlight w:val="none"/>
          <w:u w:val="single"/>
          <w:lang w:val="en-US" w:eastAsia="zh-CN"/>
        </w:rPr>
        <w:t>初步</w:t>
      </w:r>
      <w:r>
        <w:rPr>
          <w:rFonts w:hint="eastAsia" w:ascii="宋体" w:hAnsi="宋体" w:cs="宋体"/>
          <w:color w:val="auto"/>
          <w:highlight w:val="none"/>
          <w:u w:val="single"/>
        </w:rPr>
        <w:t>勘察阶段</w:t>
      </w:r>
      <w:r>
        <w:rPr>
          <w:rFonts w:hint="eastAsia" w:ascii="宋体" w:hAnsi="宋体" w:cs="宋体"/>
          <w:color w:val="auto"/>
          <w:highlight w:val="none"/>
          <w:u w:val="single"/>
          <w:lang w:eastAsia="zh-CN"/>
        </w:rPr>
        <w:t>、</w:t>
      </w:r>
      <w:r>
        <w:rPr>
          <w:rFonts w:hint="eastAsia" w:ascii="宋体" w:hAnsi="宋体" w:cs="宋体"/>
          <w:color w:val="auto"/>
          <w:highlight w:val="none"/>
          <w:u w:val="single"/>
        </w:rPr>
        <w:t xml:space="preserve">详细勘察阶段 </w:t>
      </w:r>
      <w:r>
        <w:rPr>
          <w:rFonts w:hint="eastAsia" w:ascii="宋体" w:hAnsi="宋体" w:cs="宋体"/>
          <w:color w:val="auto"/>
          <w:szCs w:val="21"/>
          <w:highlight w:val="none"/>
        </w:rPr>
        <w:t>。</w:t>
      </w:r>
    </w:p>
    <w:p w14:paraId="49D71A19">
      <w:pPr>
        <w:widowControl/>
        <w:spacing w:line="360" w:lineRule="auto"/>
        <w:ind w:firstLine="420" w:firstLineChars="200"/>
        <w:jc w:val="left"/>
        <w:rPr>
          <w:rFonts w:hint="eastAsia" w:ascii="宋体" w:hAnsi="宋体" w:cs="宋体"/>
          <w:color w:val="auto"/>
          <w:highlight w:val="none"/>
        </w:rPr>
      </w:pPr>
      <w:r>
        <w:rPr>
          <w:rFonts w:hint="eastAsia" w:ascii="宋体" w:hAnsi="宋体" w:cs="宋体"/>
          <w:color w:val="auto"/>
          <w:szCs w:val="21"/>
          <w:highlight w:val="none"/>
        </w:rPr>
        <w:t>2. 技术要求：</w:t>
      </w:r>
      <w:r>
        <w:rPr>
          <w:rFonts w:hint="eastAsia" w:ascii="宋体" w:hAnsi="宋体" w:cs="宋体"/>
          <w:color w:val="auto"/>
          <w:kern w:val="0"/>
          <w:highlight w:val="none"/>
          <w:u w:val="single"/>
        </w:rPr>
        <w:t xml:space="preserve">定勘探孔位，工程钻探，取土岩样、水样，做标贯、动探等原位测试，做土工、 岩石试验，编写岩土工程勘察报告，技术要求按《岩土工程勘察规范》GB50021-2001 执行。 </w:t>
      </w:r>
    </w:p>
    <w:p w14:paraId="1EF0B2B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工作量：按实际工程量结算。</w:t>
      </w:r>
    </w:p>
    <w:p w14:paraId="66A9AAE4">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三、合同工期</w:t>
      </w:r>
    </w:p>
    <w:p w14:paraId="1C59D70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 开工日期：______________________________________</w:t>
      </w:r>
    </w:p>
    <w:p w14:paraId="7779C13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 成果提交日期：__________________________________</w:t>
      </w:r>
    </w:p>
    <w:p w14:paraId="69CBDF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合同工期（总日历天数）</w:t>
      </w:r>
      <w:r>
        <w:rPr>
          <w:rFonts w:hint="eastAsia" w:ascii="宋体" w:hAnsi="宋体" w:cs="宋体"/>
          <w:color w:val="auto"/>
          <w:szCs w:val="21"/>
          <w:highlight w:val="none"/>
          <w:u w:val="single"/>
        </w:rPr>
        <w:t>_</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日历天</w:t>
      </w:r>
    </w:p>
    <w:p w14:paraId="30667D9D">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四、质量标准</w:t>
      </w:r>
    </w:p>
    <w:p w14:paraId="5B7EEFEA">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质量标准：</w:t>
      </w:r>
      <w:r>
        <w:rPr>
          <w:rFonts w:hint="eastAsia" w:ascii="宋体" w:hAnsi="宋体" w:cs="宋体"/>
          <w:color w:val="auto"/>
          <w:szCs w:val="21"/>
          <w:highlight w:val="none"/>
          <w:u w:val="single"/>
        </w:rPr>
        <w:t>合格，真实反映地质情况，符合有关国</w:t>
      </w:r>
      <w:r>
        <w:rPr>
          <w:rFonts w:hint="eastAsia" w:ascii="宋体" w:hAnsi="宋体" w:cs="宋体"/>
          <w:color w:val="auto"/>
          <w:spacing w:val="-1"/>
          <w:szCs w:val="21"/>
          <w:highlight w:val="none"/>
          <w:u w:val="single"/>
        </w:rPr>
        <w:t>家质量标准、技术规范及规程并满足设计、施工要求，并通过有关行政主管部门备案。</w:t>
      </w:r>
      <w:r>
        <w:rPr>
          <w:rFonts w:hint="eastAsia" w:ascii="宋体" w:hAnsi="宋体" w:cs="宋体"/>
          <w:color w:val="auto"/>
          <w:szCs w:val="21"/>
          <w:highlight w:val="none"/>
        </w:rPr>
        <w:t>_</w:t>
      </w:r>
    </w:p>
    <w:p w14:paraId="4AE4082C">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五、合同价款</w:t>
      </w:r>
    </w:p>
    <w:p w14:paraId="40F8C339">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1.签约合同价为</w:t>
      </w:r>
      <w:r>
        <w:rPr>
          <w:rFonts w:hint="eastAsia" w:ascii="宋体" w:hAnsi="宋体" w:cs="宋体"/>
          <w:color w:val="auto"/>
          <w:highlight w:val="none"/>
        </w:rPr>
        <w:t xml:space="preserve">人民币（大写）（¥ </w:t>
      </w:r>
      <w:r>
        <w:rPr>
          <w:rFonts w:hint="eastAsia" w:ascii="宋体" w:hAnsi="宋体" w:cs="宋体"/>
          <w:color w:val="auto"/>
          <w:highlight w:val="none"/>
          <w:u w:val="single"/>
        </w:rPr>
        <w:t xml:space="preserve">         </w:t>
      </w:r>
      <w:r>
        <w:rPr>
          <w:rFonts w:hint="eastAsia" w:ascii="宋体" w:hAnsi="宋体" w:cs="宋体"/>
          <w:color w:val="auto"/>
          <w:highlight w:val="none"/>
        </w:rPr>
        <w:t>元）。</w:t>
      </w:r>
    </w:p>
    <w:p w14:paraId="6ED3CB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2.合同价格形式：</w:t>
      </w:r>
      <w:r>
        <w:rPr>
          <w:rFonts w:hint="eastAsia" w:ascii="宋体" w:hAnsi="宋体" w:cs="宋体"/>
          <w:color w:val="auto"/>
          <w:szCs w:val="21"/>
          <w:highlight w:val="none"/>
          <w:u w:val="single"/>
          <w:lang w:val="en-US" w:eastAsia="zh-CN"/>
        </w:rPr>
        <w:t>总价包干</w:t>
      </w:r>
      <w:r>
        <w:rPr>
          <w:rFonts w:hint="eastAsia" w:ascii="宋体" w:hAnsi="宋体" w:cs="宋体"/>
          <w:color w:val="auto"/>
          <w:szCs w:val="21"/>
          <w:highlight w:val="none"/>
        </w:rPr>
        <w:t>。</w:t>
      </w:r>
    </w:p>
    <w:p w14:paraId="1A4A58EF">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六、合同文件构成</w:t>
      </w:r>
    </w:p>
    <w:p w14:paraId="7A6EBBB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组成本合同的文件包括：</w:t>
      </w:r>
    </w:p>
    <w:p w14:paraId="465605E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（1）合同协议书；</w:t>
      </w:r>
    </w:p>
    <w:p w14:paraId="5B92696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（2）专用合同条款及其附件；</w:t>
      </w:r>
    </w:p>
    <w:p w14:paraId="2ED8201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（3）通用合同条款；</w:t>
      </w:r>
    </w:p>
    <w:p w14:paraId="660BD14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（4）成交通知书（如果有）；</w:t>
      </w:r>
    </w:p>
    <w:p w14:paraId="4D77F45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（5）响应文件及其附件（如果有）；</w:t>
      </w:r>
    </w:p>
    <w:p w14:paraId="5E06682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（6）技术标准和要求；</w:t>
      </w:r>
    </w:p>
    <w:p w14:paraId="5590AE6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（7）图纸；</w:t>
      </w:r>
    </w:p>
    <w:p w14:paraId="04DF619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（8）其他合同文件。</w:t>
      </w:r>
    </w:p>
    <w:p w14:paraId="39CF579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在合同履行过程中形成的与合同有关的文件构成合同文件组成部分。</w:t>
      </w:r>
    </w:p>
    <w:p w14:paraId="7E9F5E0B">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七、承诺</w:t>
      </w:r>
    </w:p>
    <w:p w14:paraId="00A300DF">
      <w:pPr>
        <w:tabs>
          <w:tab w:val="left" w:pos="72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1.发包人承诺按照法律规定履行项目审批手续，按照合同约定提供工程勘察条件和相关资料，并按照合同约定的期限和方式支付合同价款。</w:t>
      </w:r>
    </w:p>
    <w:p w14:paraId="04B89CA5">
      <w:pPr>
        <w:tabs>
          <w:tab w:val="left" w:pos="72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2.勘察人承诺按照法律法规和技术标准规定及合同约定提供勘察技术服务。</w:t>
      </w:r>
    </w:p>
    <w:p w14:paraId="38D03860">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八、词语含义</w:t>
      </w:r>
    </w:p>
    <w:p w14:paraId="290186B0">
      <w:pPr>
        <w:tabs>
          <w:tab w:val="left" w:pos="540"/>
          <w:tab w:val="left" w:pos="72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本合同协议书中词语含义与合同第二部分《通用合同条款》中的词语含义相同。</w:t>
      </w:r>
    </w:p>
    <w:p w14:paraId="78DCFD52">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九、签订地点</w:t>
      </w:r>
    </w:p>
    <w:p w14:paraId="5101D01A">
      <w:pPr>
        <w:tabs>
          <w:tab w:val="left" w:pos="540"/>
          <w:tab w:val="left" w:pos="72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本合同于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日签订</w:t>
      </w:r>
    </w:p>
    <w:p w14:paraId="1FF893AD">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十、签订地点</w:t>
      </w:r>
    </w:p>
    <w:p w14:paraId="37C30B5D">
      <w:pPr>
        <w:tabs>
          <w:tab w:val="left" w:pos="540"/>
          <w:tab w:val="left" w:pos="72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本合同在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签订。</w:t>
      </w:r>
    </w:p>
    <w:p w14:paraId="75C6BD9D">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十一、合同生效</w:t>
      </w:r>
    </w:p>
    <w:p w14:paraId="6F832A3F">
      <w:pPr>
        <w:autoSpaceDE w:val="0"/>
        <w:autoSpaceDN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本合同自</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生效。</w:t>
      </w:r>
    </w:p>
    <w:p w14:paraId="59789BA9">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十二、合同份数</w:t>
      </w:r>
    </w:p>
    <w:p w14:paraId="040C577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份，具有同等法律效力，发包人执</w:t>
      </w:r>
      <w:r>
        <w:rPr>
          <w:rFonts w:hint="eastAsia" w:ascii="宋体" w:hAnsi="宋体" w:cs="宋体"/>
          <w:color w:val="auto"/>
          <w:szCs w:val="21"/>
          <w:highlight w:val="none"/>
          <w:u w:val="single"/>
        </w:rPr>
        <w:t xml:space="preserve"> 陆 </w:t>
      </w:r>
      <w:r>
        <w:rPr>
          <w:rFonts w:hint="eastAsia" w:ascii="宋体" w:hAnsi="宋体" w:cs="宋体"/>
          <w:color w:val="auto"/>
          <w:szCs w:val="21"/>
          <w:highlight w:val="none"/>
        </w:rPr>
        <w:t>份，勘察人执</w:t>
      </w:r>
      <w:r>
        <w:rPr>
          <w:rFonts w:hint="eastAsia" w:ascii="宋体" w:hAnsi="宋体" w:cs="宋体"/>
          <w:color w:val="auto"/>
          <w:szCs w:val="21"/>
          <w:highlight w:val="none"/>
          <w:u w:val="single"/>
        </w:rPr>
        <w:t>贰</w:t>
      </w:r>
      <w:r>
        <w:rPr>
          <w:rFonts w:hint="eastAsia" w:ascii="宋体" w:hAnsi="宋体" w:cs="宋体"/>
          <w:color w:val="auto"/>
          <w:szCs w:val="21"/>
          <w:highlight w:val="none"/>
        </w:rPr>
        <w:t>份。</w:t>
      </w:r>
    </w:p>
    <w:p w14:paraId="2C4FDEEF">
      <w:pPr>
        <w:spacing w:line="360" w:lineRule="auto"/>
        <w:ind w:firstLine="420" w:firstLineChars="200"/>
        <w:rPr>
          <w:rFonts w:hint="eastAsia" w:ascii="宋体" w:hAnsi="宋体" w:cs="宋体"/>
          <w:color w:val="auto"/>
          <w:szCs w:val="21"/>
          <w:highlight w:val="none"/>
        </w:rPr>
      </w:pPr>
    </w:p>
    <w:p w14:paraId="5E1840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  （公章）                            勘察人：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（公章）</w:t>
      </w:r>
    </w:p>
    <w:p w14:paraId="0256EA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                    法定代表人或其委托代理人：</w:t>
      </w:r>
    </w:p>
    <w:p w14:paraId="33DB05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（签字）                                     （签字）</w:t>
      </w:r>
    </w:p>
    <w:p w14:paraId="322F0077">
      <w:pPr>
        <w:spacing w:line="360" w:lineRule="auto"/>
        <w:ind w:firstLine="420" w:firstLineChars="200"/>
        <w:rPr>
          <w:rFonts w:hint="eastAsia" w:ascii="宋体" w:hAnsi="宋体" w:cs="宋体"/>
          <w:color w:val="auto"/>
          <w:szCs w:val="21"/>
          <w:highlight w:val="none"/>
          <w:u w:val="single"/>
        </w:rPr>
      </w:pPr>
    </w:p>
    <w:p w14:paraId="52D31338">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社会信用代码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社会信用代码：</w:t>
      </w:r>
      <w:r>
        <w:rPr>
          <w:rFonts w:hint="eastAsia" w:ascii="宋体" w:hAnsi="宋体" w:cs="宋体"/>
          <w:color w:val="auto"/>
          <w:szCs w:val="21"/>
          <w:highlight w:val="none"/>
          <w:u w:val="single"/>
        </w:rPr>
        <w:t></w:t>
      </w:r>
    </w:p>
    <w:p w14:paraId="63A179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      </w:t>
      </w:r>
    </w:p>
    <w:p w14:paraId="147A31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61B246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744E7E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2264FCA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w:t>
      </w:r>
    </w:p>
    <w:p w14:paraId="50866EC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05D94D4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开户账号：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开户账号：</w:t>
      </w:r>
      <w:r>
        <w:rPr>
          <w:rFonts w:hint="eastAsia" w:ascii="宋体" w:hAnsi="宋体" w:cs="宋体"/>
          <w:color w:val="auto"/>
          <w:szCs w:val="21"/>
          <w:highlight w:val="none"/>
          <w:u w:val="single"/>
        </w:rPr>
        <w:t xml:space="preserve">    </w:t>
      </w:r>
    </w:p>
    <w:p w14:paraId="3C6555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签订时间：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                签订时间：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5587BF3">
      <w:pPr>
        <w:pStyle w:val="3"/>
        <w:jc w:val="center"/>
        <w:rPr>
          <w:rFonts w:hint="eastAsia"/>
          <w:color w:val="auto"/>
          <w:highlight w:val="none"/>
        </w:rPr>
      </w:pPr>
      <w:r>
        <w:rPr>
          <w:rFonts w:hint="eastAsia" w:ascii="宋体" w:hAnsi="宋体" w:cs="宋体"/>
          <w:color w:val="auto"/>
          <w:szCs w:val="21"/>
          <w:highlight w:val="none"/>
        </w:rPr>
        <w:br w:type="page"/>
      </w:r>
      <w:bookmarkStart w:id="147" w:name="_Toc50021816"/>
      <w:bookmarkStart w:id="148" w:name="_Toc24858"/>
      <w:bookmarkStart w:id="149" w:name="_Toc32281"/>
      <w:bookmarkStart w:id="150" w:name="_Toc18050"/>
      <w:r>
        <w:rPr>
          <w:rFonts w:hint="eastAsia"/>
          <w:color w:val="auto"/>
          <w:highlight w:val="none"/>
        </w:rPr>
        <w:t>第二部分</w:t>
      </w:r>
      <w:r>
        <w:rPr>
          <w:rFonts w:hint="eastAsia"/>
          <w:color w:val="auto"/>
          <w:highlight w:val="none"/>
          <w:lang w:eastAsia="zh-CN"/>
        </w:rPr>
        <w:t>、</w:t>
      </w:r>
      <w:r>
        <w:rPr>
          <w:rFonts w:hint="eastAsia"/>
          <w:color w:val="auto"/>
          <w:highlight w:val="none"/>
        </w:rPr>
        <w:t>通用合同条款</w:t>
      </w:r>
      <w:bookmarkEnd w:id="147"/>
      <w:bookmarkEnd w:id="148"/>
      <w:bookmarkEnd w:id="149"/>
      <w:bookmarkEnd w:id="150"/>
    </w:p>
    <w:p w14:paraId="09425EDC">
      <w:pPr>
        <w:pStyle w:val="4"/>
        <w:rPr>
          <w:rFonts w:hint="eastAsia" w:ascii="宋体" w:hAnsi="宋体" w:cs="宋体"/>
          <w:color w:val="auto"/>
          <w:sz w:val="21"/>
          <w:szCs w:val="21"/>
          <w:highlight w:val="none"/>
        </w:rPr>
      </w:pPr>
      <w:bookmarkStart w:id="151" w:name="_Toc457826152"/>
      <w:bookmarkStart w:id="152" w:name="_Toc24456"/>
      <w:r>
        <w:rPr>
          <w:rFonts w:hint="eastAsia" w:ascii="宋体" w:hAnsi="宋体" w:cs="宋体"/>
          <w:color w:val="auto"/>
          <w:sz w:val="21"/>
          <w:szCs w:val="21"/>
          <w:highlight w:val="none"/>
        </w:rPr>
        <w:t>第1条 一般约定</w:t>
      </w:r>
      <w:bookmarkEnd w:id="151"/>
      <w:bookmarkEnd w:id="152"/>
    </w:p>
    <w:p w14:paraId="3E5C76A7">
      <w:pPr>
        <w:pStyle w:val="5"/>
        <w:rPr>
          <w:rFonts w:hint="eastAsia" w:ascii="宋体" w:hAnsi="宋体" w:cs="宋体"/>
          <w:color w:val="auto"/>
          <w:kern w:val="0"/>
          <w:sz w:val="21"/>
          <w:szCs w:val="21"/>
          <w:highlight w:val="none"/>
        </w:rPr>
      </w:pPr>
      <w:bookmarkStart w:id="153" w:name="_Toc12979"/>
      <w:bookmarkStart w:id="154" w:name="_Toc457826153"/>
      <w:bookmarkStart w:id="155" w:name="_Toc406150424"/>
      <w:r>
        <w:rPr>
          <w:rFonts w:hint="eastAsia" w:ascii="宋体" w:hAnsi="宋体" w:cs="宋体"/>
          <w:color w:val="auto"/>
          <w:kern w:val="0"/>
          <w:sz w:val="21"/>
          <w:szCs w:val="21"/>
          <w:highlight w:val="none"/>
        </w:rPr>
        <w:t>1.1 词语定义</w:t>
      </w:r>
      <w:bookmarkEnd w:id="153"/>
      <w:bookmarkEnd w:id="154"/>
      <w:bookmarkEnd w:id="155"/>
    </w:p>
    <w:p w14:paraId="6D0A8D8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下列词语除专用合同条款另有约定外，应具有本条所赋予的含义。</w:t>
      </w:r>
    </w:p>
    <w:p w14:paraId="31FDF85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 合同：指根据法律规定和合同当事人约定具有约束力的文件，构成合同的文件包括合同协议书、专用合同条款及其附件、通用合同条款、中标通知书（如果有）、</w:t>
      </w:r>
      <w:r>
        <w:rPr>
          <w:rFonts w:hint="eastAsia" w:ascii="宋体" w:hAnsi="宋体" w:cs="宋体"/>
          <w:color w:val="auto"/>
          <w:kern w:val="0"/>
          <w:szCs w:val="21"/>
          <w:highlight w:val="none"/>
          <w:lang w:eastAsia="zh-CN"/>
        </w:rPr>
        <w:t>响应文件</w:t>
      </w:r>
      <w:r>
        <w:rPr>
          <w:rFonts w:hint="eastAsia" w:ascii="宋体" w:hAnsi="宋体" w:cs="宋体"/>
          <w:color w:val="auto"/>
          <w:kern w:val="0"/>
          <w:szCs w:val="21"/>
          <w:highlight w:val="none"/>
        </w:rPr>
        <w:t>及其附件（如果有）、技术标准和要求、图纸以及其他合同文件。</w:t>
      </w:r>
    </w:p>
    <w:p w14:paraId="73ADE20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1.1.2 合同协议书：指构成合同的由发包人和勘察人共同签署的称为“合同协议书”的书面文件。</w:t>
      </w:r>
    </w:p>
    <w:p w14:paraId="49EBC0C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1.1.3 通用合同条款：是根据法律、行政法规规定及建设工程勘察的需要订立，通用于建设工程勘察的合同条款。</w:t>
      </w:r>
    </w:p>
    <w:p w14:paraId="6E121FC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1.1.4 专用合同条款：是发包人与勘察人根据法律、行政法规规定，结合具体工程实际，经协商达成一致意见的合同条款，是对通用合同条款的细化、完善、补充、修改或另行约定。</w:t>
      </w:r>
    </w:p>
    <w:p w14:paraId="2B19232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1.1.5 发包人：指与勘察人签定合同协议书的当事人以及取得该当事人资格的合法继承人。</w:t>
      </w:r>
    </w:p>
    <w:p w14:paraId="3BC09E4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1.1.6 勘察人：指在合同协议书中约定，被发包人接受的具有工程勘察资质的当事人以及取得该当事人资格的合法继承人。</w:t>
      </w:r>
    </w:p>
    <w:p w14:paraId="3172829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1.1.7 工程：指发包人与勘察人在合同协议书中约定的勘察范围内的项目。</w:t>
      </w:r>
    </w:p>
    <w:p w14:paraId="38F1602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1.1.8 勘察任务书：指由发包人就工程勘察范围、内容和技术标准等提出要求的书面文件。勘察任务书构成合同文件组成部分。</w:t>
      </w:r>
    </w:p>
    <w:p w14:paraId="7553C93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1.1.9 合同价款：指合同当事人在合同协议书中约定，发包人用以支付勘察人完成合同约定范围内工程勘察工作的款项。</w:t>
      </w:r>
    </w:p>
    <w:p w14:paraId="2CAE50C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1.1.10 费用：指为履行合同所发生的或将要发生的必需的支出。</w:t>
      </w:r>
    </w:p>
    <w:p w14:paraId="046695E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1.1.11 工期：指合同当事人在合同协议书中约定，按总日历天数（包括法定节假日）计算的工作天数。</w:t>
      </w:r>
    </w:p>
    <w:p w14:paraId="167C547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1.1.12 天：除特别指明外，均指日历天。约定按天计算时间的，开始当天不计入，从次日开始计算。时限的最后一天是休息日或者其他法定节假日的，以节假日次日为时限的最后一天，时限的最后一天的截止时间为当日24时。</w:t>
      </w:r>
    </w:p>
    <w:p w14:paraId="777AA6C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1.1.13 开工日期：指合同当事人在合同中约定，勘察人开始工作的绝对或相对日期。</w:t>
      </w:r>
    </w:p>
    <w:p w14:paraId="1979AD9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1.1.14 成果提交日期：指合同当事人在合同中约定，勘察人完成合同范围内工作并提交成果资料的绝对或相对日期。</w:t>
      </w:r>
    </w:p>
    <w:p w14:paraId="7A9CA8E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1.1.15 图纸：指由发包人提供或由勘察人提供并经发包人认可，满足勘察人开展工作需要的所有图件，包括相关说明和资料。</w:t>
      </w:r>
    </w:p>
    <w:p w14:paraId="105E738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1.1.16 作业场地：指工程勘察作业的场所以及发包人具体指定的供工程勘察作业使用的其他场所。</w:t>
      </w:r>
    </w:p>
    <w:p w14:paraId="509FFB5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1.1.17 书面形式：指合同书、信件和数据电文（包括电报、电传、传真、电子数据交换和电子邮件）等可以有形地表现所载内容的形式。</w:t>
      </w:r>
    </w:p>
    <w:p w14:paraId="5B118EA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1.1.18 索赔：指在合同履行过程中，一方违反合同约定，直接或间接地给另一方造成实际损失，受损方向违约方提出经济赔偿和（或）工期顺延的要求。</w:t>
      </w:r>
    </w:p>
    <w:p w14:paraId="436F973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1.1.19 不利物质条件：指勘察人在作业场地遇到的不可预见的自然物质条件、非自然的物质障碍和污染物。</w:t>
      </w:r>
    </w:p>
    <w:p w14:paraId="1DEC765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1.1.20 后期服务：指勘察人提交成果资料后，为发包人提供的后续技术服务工作和程序性工作，如报告成果咨询、基槽检验、现场交桩和竣工验收等。</w:t>
      </w:r>
    </w:p>
    <w:p w14:paraId="3F823652">
      <w:pPr>
        <w:pStyle w:val="5"/>
        <w:rPr>
          <w:rFonts w:hint="eastAsia" w:ascii="宋体" w:hAnsi="宋体" w:cs="宋体"/>
          <w:color w:val="auto"/>
          <w:kern w:val="0"/>
          <w:sz w:val="21"/>
          <w:szCs w:val="21"/>
          <w:highlight w:val="none"/>
        </w:rPr>
      </w:pPr>
      <w:bookmarkStart w:id="156" w:name="_Toc457826154"/>
      <w:bookmarkStart w:id="157" w:name="_Toc19711"/>
      <w:bookmarkStart w:id="158" w:name="_Toc406150425"/>
      <w:r>
        <w:rPr>
          <w:rFonts w:hint="eastAsia" w:ascii="宋体" w:hAnsi="宋体" w:cs="宋体"/>
          <w:color w:val="auto"/>
          <w:kern w:val="0"/>
          <w:sz w:val="21"/>
          <w:szCs w:val="21"/>
          <w:highlight w:val="none"/>
        </w:rPr>
        <w:t>1.2 合同文件及优先解释顺序</w:t>
      </w:r>
      <w:bookmarkEnd w:id="156"/>
      <w:bookmarkEnd w:id="157"/>
    </w:p>
    <w:p w14:paraId="668B4373">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1.2.1 合同文件应能相互解释，互为说明。除专用合同条款另有约定外，组成本合同的文件及优先解释顺序如下：</w:t>
      </w:r>
    </w:p>
    <w:p w14:paraId="33C9672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（1）合同协议书；</w:t>
      </w:r>
    </w:p>
    <w:p w14:paraId="65E2EA1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（2）专用合同条款及其附件；</w:t>
      </w:r>
    </w:p>
    <w:p w14:paraId="7787EAE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（3）通用合同条款；</w:t>
      </w:r>
    </w:p>
    <w:p w14:paraId="4B81495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（4）中标通知书（如果有）；</w:t>
      </w:r>
    </w:p>
    <w:p w14:paraId="5BB0C29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w:t>
      </w:r>
      <w:r>
        <w:rPr>
          <w:rFonts w:hint="eastAsia" w:ascii="宋体" w:hAnsi="宋体" w:cs="宋体"/>
          <w:color w:val="auto"/>
          <w:kern w:val="0"/>
          <w:szCs w:val="21"/>
          <w:highlight w:val="none"/>
          <w:lang w:eastAsia="zh-CN"/>
        </w:rPr>
        <w:t>响应文件</w:t>
      </w:r>
      <w:r>
        <w:rPr>
          <w:rFonts w:hint="eastAsia" w:ascii="宋体" w:hAnsi="宋体" w:cs="宋体"/>
          <w:color w:val="auto"/>
          <w:kern w:val="0"/>
          <w:szCs w:val="21"/>
          <w:highlight w:val="none"/>
        </w:rPr>
        <w:t>及其附件（如果有）；</w:t>
      </w:r>
    </w:p>
    <w:p w14:paraId="06CA133C">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（6）技术标准和要求；</w:t>
      </w:r>
    </w:p>
    <w:p w14:paraId="64C6CE0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（7）图纸；</w:t>
      </w:r>
    </w:p>
    <w:p w14:paraId="29BDCF8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（8）其他合同文件。</w:t>
      </w:r>
    </w:p>
    <w:p w14:paraId="2BBBAEDC">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上述合同文件包括合同当事人就该项合同文件所作出的补充和修改，属于同一类内容的文件，应以最新签署的为准。</w:t>
      </w:r>
    </w:p>
    <w:p w14:paraId="4EEE12D3">
      <w:pPr>
        <w:tabs>
          <w:tab w:val="left" w:pos="180"/>
        </w:tabs>
        <w:spacing w:line="360" w:lineRule="auto"/>
        <w:ind w:firstLine="420" w:firstLineChars="200"/>
        <w:rPr>
          <w:rFonts w:hint="eastAsia" w:ascii="宋体" w:hAnsi="宋体" w:cs="宋体"/>
          <w:color w:val="auto"/>
          <w:kern w:val="0"/>
          <w:szCs w:val="21"/>
          <w:highlight w:val="none"/>
        </w:rPr>
      </w:pPr>
      <w:bookmarkStart w:id="159" w:name="_Toc457826155"/>
      <w:r>
        <w:rPr>
          <w:rFonts w:hint="eastAsia" w:ascii="宋体" w:hAnsi="宋体" w:cs="宋体"/>
          <w:color w:val="auto"/>
          <w:kern w:val="0"/>
          <w:szCs w:val="21"/>
          <w:highlight w:val="none"/>
        </w:rPr>
        <w:t>1.2.2 当合同文件内容含糊不清或不相一致时，在不影响工作正常进行的情况下，由发包人和勘察人协商解决。双方协商不成时，按第16条〔争议解决〕的约定处理。</w:t>
      </w:r>
      <w:bookmarkEnd w:id="158"/>
      <w:bookmarkEnd w:id="159"/>
    </w:p>
    <w:p w14:paraId="4C26677B">
      <w:pPr>
        <w:pStyle w:val="5"/>
        <w:rPr>
          <w:rFonts w:hint="eastAsia" w:ascii="宋体" w:hAnsi="宋体" w:cs="宋体"/>
          <w:color w:val="auto"/>
          <w:kern w:val="0"/>
          <w:sz w:val="21"/>
          <w:szCs w:val="21"/>
          <w:highlight w:val="none"/>
        </w:rPr>
      </w:pPr>
      <w:bookmarkStart w:id="160" w:name="_Toc1315"/>
      <w:bookmarkStart w:id="161" w:name="_Toc406150426"/>
      <w:bookmarkStart w:id="162" w:name="_Toc457826156"/>
      <w:r>
        <w:rPr>
          <w:rFonts w:hint="eastAsia" w:ascii="宋体" w:hAnsi="宋体" w:cs="宋体"/>
          <w:color w:val="auto"/>
          <w:kern w:val="0"/>
          <w:sz w:val="21"/>
          <w:szCs w:val="21"/>
          <w:highlight w:val="none"/>
        </w:rPr>
        <w:t>1.3 适用法律法规、技术标准</w:t>
      </w:r>
      <w:bookmarkEnd w:id="160"/>
      <w:bookmarkEnd w:id="161"/>
      <w:bookmarkEnd w:id="162"/>
    </w:p>
    <w:p w14:paraId="772476D9">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1.3.1 适用法律法规</w:t>
      </w:r>
    </w:p>
    <w:p w14:paraId="04F336F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本合同文件适用中华人民共和国法律、行政法规、部门规章以及工程所在地的地方性法规、自治条例、单行条例和地方政府规章等。其他需要明示的规范性文件，由合同当事人在专用合同条款中约定。</w:t>
      </w:r>
    </w:p>
    <w:p w14:paraId="21B19DB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1.3.2 适用技术标准</w:t>
      </w:r>
    </w:p>
    <w:p w14:paraId="582146F6">
      <w:pPr>
        <w:autoSpaceDE w:val="0"/>
        <w:autoSpaceDN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适用于工程的现行有效国家标准、行业标准、工程所在地的地方标准以及相应的规范、规程为本合同文件适用的技术标准。合同当事人有特别要求的，应在专用合同条款中约定。</w:t>
      </w:r>
    </w:p>
    <w:p w14:paraId="6F5F55D4">
      <w:pPr>
        <w:autoSpaceDE w:val="0"/>
        <w:autoSpaceDN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发包人要求使用国外技术标准的，应在专用合同条款中约定所使用技术标准的名称及提供方，并约定技术标准原文版、中译本的份数、时间及费用承担等事项。</w:t>
      </w:r>
    </w:p>
    <w:p w14:paraId="61B378E8">
      <w:pPr>
        <w:pStyle w:val="5"/>
        <w:rPr>
          <w:rFonts w:hint="eastAsia" w:ascii="宋体" w:hAnsi="宋体" w:cs="宋体"/>
          <w:color w:val="auto"/>
          <w:kern w:val="0"/>
          <w:sz w:val="21"/>
          <w:szCs w:val="21"/>
          <w:highlight w:val="none"/>
        </w:rPr>
      </w:pPr>
      <w:bookmarkStart w:id="163" w:name="_Toc457826157"/>
      <w:bookmarkStart w:id="164" w:name="_Toc16466"/>
      <w:r>
        <w:rPr>
          <w:rFonts w:hint="eastAsia" w:ascii="宋体" w:hAnsi="宋体" w:cs="宋体"/>
          <w:color w:val="auto"/>
          <w:kern w:val="0"/>
          <w:sz w:val="21"/>
          <w:szCs w:val="21"/>
          <w:highlight w:val="none"/>
        </w:rPr>
        <w:t>1.4 语言文字</w:t>
      </w:r>
      <w:bookmarkEnd w:id="163"/>
      <w:bookmarkEnd w:id="164"/>
    </w:p>
    <w:p w14:paraId="602539A8">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本合同文件使用汉语语言文字书写、解释和说明。如专用合同条款约定使用两种以上（含两种）语言时，汉语为优先解释和说明本合同的语言。</w:t>
      </w:r>
    </w:p>
    <w:p w14:paraId="03FFE808">
      <w:pPr>
        <w:pStyle w:val="5"/>
        <w:rPr>
          <w:rFonts w:hint="eastAsia" w:ascii="宋体" w:hAnsi="宋体" w:cs="宋体"/>
          <w:color w:val="auto"/>
          <w:kern w:val="0"/>
          <w:sz w:val="21"/>
          <w:szCs w:val="21"/>
          <w:highlight w:val="none"/>
        </w:rPr>
      </w:pPr>
      <w:bookmarkStart w:id="165" w:name="_Toc351203502"/>
      <w:bookmarkStart w:id="166" w:name="_Toc457826158"/>
      <w:bookmarkStart w:id="167" w:name="_Toc14814"/>
      <w:bookmarkStart w:id="168" w:name="_Toc406150428"/>
      <w:bookmarkStart w:id="169" w:name="_Toc337558733"/>
      <w:bookmarkStart w:id="170" w:name="_Toc296346534"/>
      <w:bookmarkStart w:id="171" w:name="_Toc296503033"/>
      <w:r>
        <w:rPr>
          <w:rFonts w:hint="eastAsia" w:ascii="宋体" w:hAnsi="宋体" w:cs="宋体"/>
          <w:color w:val="auto"/>
          <w:kern w:val="0"/>
          <w:sz w:val="21"/>
          <w:szCs w:val="21"/>
          <w:highlight w:val="none"/>
        </w:rPr>
        <w:t>1.5 联络</w:t>
      </w:r>
      <w:bookmarkEnd w:id="165"/>
      <w:bookmarkEnd w:id="166"/>
      <w:bookmarkEnd w:id="167"/>
      <w:bookmarkEnd w:id="168"/>
    </w:p>
    <w:bookmarkEnd w:id="169"/>
    <w:bookmarkEnd w:id="170"/>
    <w:bookmarkEnd w:id="171"/>
    <w:p w14:paraId="1BD24F2B">
      <w:pPr>
        <w:tabs>
          <w:tab w:val="left" w:pos="540"/>
          <w:tab w:val="left" w:pos="72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1.5.1 与合同有关的批准文件、通知、证明、证书、指示、指令、要求、请求、意见、确定和决定等，均应采用书面形式或合同双方确认的其他形式，并应在合同约定的期限内送达接收人。</w:t>
      </w:r>
    </w:p>
    <w:p w14:paraId="6FC76175">
      <w:pPr>
        <w:tabs>
          <w:tab w:val="left" w:pos="540"/>
          <w:tab w:val="left" w:pos="1260"/>
        </w:tabs>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1.5.2 发包人和勘察人应在专用合同条款中约定各自的送达接收人、送达形式及联系方式。合同当事人指定的接收人、送达地点或联系方式发生变动的，应提前3天以书面形式通知对方，否则视为未发生变动。</w:t>
      </w:r>
    </w:p>
    <w:p w14:paraId="73D7C2DC">
      <w:pPr>
        <w:tabs>
          <w:tab w:val="left" w:pos="540"/>
          <w:tab w:val="left" w:pos="1260"/>
        </w:tabs>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1.5.3 发包人、勘察人应及时签收对方送达至约定送达地点和指定接收人的来往信函；如确有充分证据证明一方无正当理由拒不签收的，视为拒绝签收一方认可往来信函的内容。</w:t>
      </w:r>
    </w:p>
    <w:p w14:paraId="577D53D7">
      <w:pPr>
        <w:pStyle w:val="5"/>
        <w:rPr>
          <w:rFonts w:hint="eastAsia" w:ascii="宋体" w:hAnsi="宋体" w:cs="宋体"/>
          <w:color w:val="auto"/>
          <w:kern w:val="0"/>
          <w:sz w:val="21"/>
          <w:szCs w:val="21"/>
          <w:highlight w:val="none"/>
        </w:rPr>
      </w:pPr>
      <w:bookmarkStart w:id="172" w:name="_Toc449383259"/>
      <w:bookmarkStart w:id="173" w:name="_Toc406150429"/>
      <w:bookmarkStart w:id="174" w:name="_Toc351203503"/>
      <w:bookmarkStart w:id="175" w:name="_Toc2591"/>
      <w:bookmarkStart w:id="176" w:name="_Toc337558734"/>
      <w:bookmarkStart w:id="177" w:name="_Toc296503035"/>
      <w:bookmarkStart w:id="178" w:name="_Toc296346536"/>
      <w:bookmarkStart w:id="179" w:name="_Toc457826159"/>
      <w:bookmarkStart w:id="180" w:name="_Toc406150430"/>
      <w:bookmarkStart w:id="181" w:name="_Toc337558738"/>
      <w:r>
        <w:rPr>
          <w:rFonts w:hint="eastAsia" w:ascii="宋体" w:hAnsi="宋体" w:cs="宋体"/>
          <w:color w:val="auto"/>
          <w:kern w:val="0"/>
          <w:sz w:val="21"/>
          <w:szCs w:val="21"/>
          <w:highlight w:val="none"/>
        </w:rPr>
        <w:t>1.6 严禁贿赂</w:t>
      </w:r>
      <w:bookmarkEnd w:id="172"/>
      <w:bookmarkEnd w:id="173"/>
      <w:bookmarkEnd w:id="174"/>
      <w:bookmarkEnd w:id="175"/>
    </w:p>
    <w:bookmarkEnd w:id="176"/>
    <w:bookmarkEnd w:id="177"/>
    <w:bookmarkEnd w:id="178"/>
    <w:p w14:paraId="072576F0">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合同当事人不得以贿赂或变相贿赂的方式，谋取非法利益或损害对方权益。因一方的贿赂造成对方损失的，应赔偿损失并承担相应的法律责任。</w:t>
      </w:r>
    </w:p>
    <w:p w14:paraId="2653233A">
      <w:pPr>
        <w:pStyle w:val="5"/>
        <w:rPr>
          <w:rFonts w:hint="eastAsia" w:ascii="宋体" w:hAnsi="宋体" w:cs="宋体"/>
          <w:color w:val="auto"/>
          <w:kern w:val="0"/>
          <w:sz w:val="21"/>
          <w:szCs w:val="21"/>
          <w:highlight w:val="none"/>
        </w:rPr>
      </w:pPr>
      <w:bookmarkStart w:id="182" w:name="_Toc26660"/>
      <w:r>
        <w:rPr>
          <w:rFonts w:hint="eastAsia" w:ascii="宋体" w:hAnsi="宋体" w:cs="宋体"/>
          <w:color w:val="auto"/>
          <w:kern w:val="0"/>
          <w:sz w:val="21"/>
          <w:szCs w:val="21"/>
          <w:highlight w:val="none"/>
        </w:rPr>
        <w:t>1.7 保密</w:t>
      </w:r>
      <w:bookmarkEnd w:id="179"/>
      <w:bookmarkEnd w:id="180"/>
      <w:bookmarkEnd w:id="182"/>
    </w:p>
    <w:bookmarkEnd w:id="181"/>
    <w:p w14:paraId="48A6C903">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除法律法规规定或合同另有约定外，未经发包人同意，勘察人不得将发包人提供的图纸、文件以及声明需要保密的资料信息等商业秘密泄露给第三方。</w:t>
      </w:r>
    </w:p>
    <w:p w14:paraId="34F3A6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除法律法规规定或合同另有约定外，未经勘察人同意，发包人不得将勘察人提供的技术文件、成果资料、技术秘密及声明需要保密的资料信息等商业秘密泄露给第三方。</w:t>
      </w:r>
    </w:p>
    <w:p w14:paraId="6B950E42">
      <w:pPr>
        <w:pStyle w:val="4"/>
        <w:rPr>
          <w:rFonts w:hint="eastAsia" w:ascii="宋体" w:hAnsi="宋体" w:cs="宋体"/>
          <w:color w:val="auto"/>
          <w:sz w:val="21"/>
          <w:szCs w:val="21"/>
          <w:highlight w:val="none"/>
        </w:rPr>
      </w:pPr>
      <w:bookmarkStart w:id="183" w:name="_Toc457826160"/>
      <w:bookmarkStart w:id="184" w:name="_Toc4459"/>
      <w:bookmarkStart w:id="185" w:name="_Toc406150431"/>
      <w:r>
        <w:rPr>
          <w:rFonts w:hint="eastAsia" w:ascii="宋体" w:hAnsi="宋体" w:cs="宋体"/>
          <w:color w:val="auto"/>
          <w:sz w:val="21"/>
          <w:szCs w:val="21"/>
          <w:highlight w:val="none"/>
        </w:rPr>
        <w:t>第2条 发包人</w:t>
      </w:r>
      <w:bookmarkEnd w:id="183"/>
      <w:bookmarkEnd w:id="184"/>
      <w:bookmarkEnd w:id="185"/>
    </w:p>
    <w:p w14:paraId="52B87EA6">
      <w:pPr>
        <w:pStyle w:val="5"/>
        <w:rPr>
          <w:rFonts w:hint="eastAsia" w:ascii="宋体" w:hAnsi="宋体" w:cs="宋体"/>
          <w:color w:val="auto"/>
          <w:kern w:val="0"/>
          <w:sz w:val="21"/>
          <w:szCs w:val="21"/>
          <w:highlight w:val="none"/>
        </w:rPr>
      </w:pPr>
      <w:bookmarkStart w:id="186" w:name="_Toc457826161"/>
      <w:bookmarkStart w:id="187" w:name="_Toc31872"/>
      <w:bookmarkStart w:id="188" w:name="_Toc406150432"/>
      <w:r>
        <w:rPr>
          <w:rFonts w:hint="eastAsia" w:ascii="宋体" w:hAnsi="宋体" w:cs="宋体"/>
          <w:color w:val="auto"/>
          <w:kern w:val="0"/>
          <w:sz w:val="21"/>
          <w:szCs w:val="21"/>
          <w:highlight w:val="none"/>
        </w:rPr>
        <w:t>2.1 发包人权利</w:t>
      </w:r>
      <w:bookmarkEnd w:id="186"/>
      <w:bookmarkEnd w:id="187"/>
      <w:bookmarkEnd w:id="188"/>
    </w:p>
    <w:p w14:paraId="060C19CF">
      <w:pPr>
        <w:tabs>
          <w:tab w:val="left" w:pos="540"/>
        </w:tabs>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2.1.1 发包人对勘察人的勘察工作有权依照合同约定实施监督，并对勘察成果予以验收。</w:t>
      </w:r>
    </w:p>
    <w:p w14:paraId="4515C695">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2.1.2 </w:t>
      </w:r>
      <w:r>
        <w:rPr>
          <w:rFonts w:hint="eastAsia" w:ascii="宋体" w:hAnsi="宋体" w:cs="宋体"/>
          <w:color w:val="auto"/>
          <w:szCs w:val="21"/>
          <w:highlight w:val="none"/>
        </w:rPr>
        <w:t>发包人对勘察人无法胜任工程勘察工作的人员有权提出更换。</w:t>
      </w:r>
    </w:p>
    <w:p w14:paraId="10B2A939">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2.1.3 发包人拥有勘察人为其项目编制的所有文件资料的使用权，包括</w:t>
      </w:r>
      <w:r>
        <w:rPr>
          <w:rFonts w:hint="eastAsia" w:ascii="宋体" w:hAnsi="宋体" w:cs="宋体"/>
          <w:color w:val="auto"/>
          <w:kern w:val="0"/>
          <w:szCs w:val="21"/>
          <w:highlight w:val="none"/>
          <w:lang w:eastAsia="zh-CN"/>
        </w:rPr>
        <w:t>响应文件</w:t>
      </w:r>
      <w:r>
        <w:rPr>
          <w:rFonts w:hint="eastAsia" w:ascii="宋体" w:hAnsi="宋体" w:cs="宋体"/>
          <w:color w:val="auto"/>
          <w:kern w:val="0"/>
          <w:szCs w:val="21"/>
          <w:highlight w:val="none"/>
        </w:rPr>
        <w:t>、成果资料和数据等。</w:t>
      </w:r>
    </w:p>
    <w:p w14:paraId="6BB336AF">
      <w:pPr>
        <w:pStyle w:val="5"/>
        <w:rPr>
          <w:rFonts w:hint="eastAsia" w:ascii="宋体" w:hAnsi="宋体" w:cs="宋体"/>
          <w:color w:val="auto"/>
          <w:kern w:val="0"/>
          <w:sz w:val="21"/>
          <w:szCs w:val="21"/>
          <w:highlight w:val="none"/>
        </w:rPr>
      </w:pPr>
      <w:bookmarkStart w:id="189" w:name="_Toc457826162"/>
      <w:bookmarkStart w:id="190" w:name="_Toc13235"/>
      <w:bookmarkStart w:id="191" w:name="_Toc406150433"/>
      <w:r>
        <w:rPr>
          <w:rFonts w:hint="eastAsia" w:ascii="宋体" w:hAnsi="宋体" w:cs="宋体"/>
          <w:color w:val="auto"/>
          <w:kern w:val="0"/>
          <w:sz w:val="21"/>
          <w:szCs w:val="21"/>
          <w:highlight w:val="none"/>
        </w:rPr>
        <w:t>2.2 发包人义务</w:t>
      </w:r>
      <w:bookmarkEnd w:id="189"/>
      <w:bookmarkEnd w:id="190"/>
      <w:bookmarkEnd w:id="191"/>
    </w:p>
    <w:p w14:paraId="03856649">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2.2.1 </w:t>
      </w:r>
      <w:r>
        <w:rPr>
          <w:rFonts w:hint="eastAsia" w:ascii="宋体" w:hAnsi="宋体" w:cs="宋体"/>
          <w:color w:val="auto"/>
          <w:szCs w:val="21"/>
          <w:highlight w:val="none"/>
        </w:rPr>
        <w:t>发包人应以书面形式向勘察人明确勘察任务及技术要求。</w:t>
      </w:r>
    </w:p>
    <w:p w14:paraId="13109A09">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2.2.2 </w:t>
      </w:r>
      <w:r>
        <w:rPr>
          <w:rFonts w:hint="eastAsia" w:ascii="宋体" w:hAnsi="宋体" w:cs="宋体"/>
          <w:color w:val="auto"/>
          <w:szCs w:val="21"/>
          <w:highlight w:val="none"/>
        </w:rPr>
        <w:t>发包人应提供开展工程勘察工作所需要的图纸及技术资料，包括总平面图、地形图、已有水准点和坐标控制点等，若上述资料由勘察人负责搜集时，发包人应承担相关费用。</w:t>
      </w:r>
    </w:p>
    <w:p w14:paraId="2116A0C5">
      <w:pPr>
        <w:tabs>
          <w:tab w:val="left" w:pos="54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2.2.3 </w:t>
      </w:r>
      <w:r>
        <w:rPr>
          <w:rFonts w:hint="eastAsia" w:ascii="宋体" w:hAnsi="宋体" w:cs="宋体"/>
          <w:color w:val="auto"/>
          <w:szCs w:val="21"/>
          <w:highlight w:val="none"/>
        </w:rPr>
        <w:t>发包人应提供工程勘察作业所需的批准及许可文件，包括立项批复、占用和挖掘道路许可等。</w:t>
      </w:r>
    </w:p>
    <w:p w14:paraId="31297130">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2.2.4 </w:t>
      </w:r>
      <w:r>
        <w:rPr>
          <w:rFonts w:hint="eastAsia" w:ascii="宋体" w:hAnsi="宋体" w:cs="宋体"/>
          <w:color w:val="auto"/>
          <w:szCs w:val="21"/>
          <w:highlight w:val="none"/>
        </w:rPr>
        <w:t>发包人应为勘察人提供具备条件的作业场地及进场通道（包括土地征用、障碍物清除、场地平整、提供水电接口和青苗赔偿等）并承担相关费用。</w:t>
      </w:r>
    </w:p>
    <w:p w14:paraId="64DF0B26">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2.2.5 </w:t>
      </w:r>
      <w:r>
        <w:rPr>
          <w:rFonts w:hint="eastAsia" w:ascii="宋体" w:hAnsi="宋体" w:cs="宋体"/>
          <w:color w:val="auto"/>
          <w:szCs w:val="21"/>
          <w:highlight w:val="none"/>
        </w:rPr>
        <w:t>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14:paraId="6B8EE94A">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2.2.6 </w:t>
      </w:r>
      <w:r>
        <w:rPr>
          <w:rFonts w:hint="eastAsia" w:ascii="宋体" w:hAnsi="宋体" w:cs="宋体"/>
          <w:color w:val="auto"/>
          <w:szCs w:val="21"/>
          <w:highlight w:val="none"/>
        </w:rPr>
        <w:t>发包人应按照法律法规规定为勘察人安全生产提供条件并支付安全生产防护费用，发包人不得要求勘察人违反安全生产管理规定进行作业。</w:t>
      </w:r>
    </w:p>
    <w:p w14:paraId="0E4F371C">
      <w:pPr>
        <w:tabs>
          <w:tab w:val="left" w:pos="54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2.2.7 </w:t>
      </w:r>
      <w:r>
        <w:rPr>
          <w:rFonts w:hint="eastAsia" w:ascii="宋体" w:hAnsi="宋体" w:cs="宋体"/>
          <w:color w:val="auto"/>
          <w:szCs w:val="21"/>
          <w:highlight w:val="none"/>
        </w:rPr>
        <w:t>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14:paraId="07F5DCEC">
      <w:pPr>
        <w:tabs>
          <w:tab w:val="left" w:pos="54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2.2.8 </w:t>
      </w:r>
      <w:r>
        <w:rPr>
          <w:rFonts w:hint="eastAsia" w:ascii="宋体" w:hAnsi="宋体" w:cs="宋体"/>
          <w:color w:val="auto"/>
          <w:szCs w:val="21"/>
          <w:highlight w:val="none"/>
        </w:rPr>
        <w:t>发包人应对勘察人满足质量标准的已完工作，按照合同约定及时支付相应的工程勘察合同价款及费用。</w:t>
      </w:r>
    </w:p>
    <w:p w14:paraId="4F9CEC0D">
      <w:pPr>
        <w:pStyle w:val="5"/>
        <w:rPr>
          <w:rFonts w:hint="eastAsia" w:ascii="宋体" w:hAnsi="宋体" w:cs="宋体"/>
          <w:color w:val="auto"/>
          <w:kern w:val="0"/>
          <w:sz w:val="21"/>
          <w:szCs w:val="21"/>
          <w:highlight w:val="none"/>
        </w:rPr>
      </w:pPr>
      <w:bookmarkStart w:id="192" w:name="_Toc457826163"/>
      <w:bookmarkStart w:id="193" w:name="_Toc23856"/>
      <w:bookmarkStart w:id="194" w:name="_Toc406150434"/>
      <w:r>
        <w:rPr>
          <w:rFonts w:hint="eastAsia" w:ascii="宋体" w:hAnsi="宋体" w:cs="宋体"/>
          <w:color w:val="auto"/>
          <w:kern w:val="0"/>
          <w:sz w:val="21"/>
          <w:szCs w:val="21"/>
          <w:highlight w:val="none"/>
        </w:rPr>
        <w:t>2.3 发包人代表</w:t>
      </w:r>
      <w:bookmarkEnd w:id="192"/>
      <w:bookmarkEnd w:id="193"/>
      <w:bookmarkEnd w:id="194"/>
    </w:p>
    <w:p w14:paraId="22FB3FA3">
      <w:pPr>
        <w:tabs>
          <w:tab w:val="left" w:pos="54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发包人应在专用合同条款中明确其负责工程勘察的发包人代表的姓名、职务、联系方式及授权范围等事项。发包人代表在发包人的授权范围内，负责处理合同履行过程中与发包人有关的具体事宜。</w:t>
      </w:r>
    </w:p>
    <w:p w14:paraId="682B4E5D">
      <w:pPr>
        <w:pStyle w:val="4"/>
        <w:rPr>
          <w:rFonts w:hint="eastAsia" w:ascii="宋体" w:hAnsi="宋体" w:cs="宋体"/>
          <w:color w:val="auto"/>
          <w:sz w:val="21"/>
          <w:szCs w:val="21"/>
          <w:highlight w:val="none"/>
        </w:rPr>
      </w:pPr>
      <w:bookmarkStart w:id="195" w:name="_Toc406150435"/>
      <w:bookmarkStart w:id="196" w:name="_Toc457826164"/>
      <w:bookmarkStart w:id="197" w:name="_Toc2600"/>
      <w:r>
        <w:rPr>
          <w:rFonts w:hint="eastAsia" w:ascii="宋体" w:hAnsi="宋体" w:cs="宋体"/>
          <w:color w:val="auto"/>
          <w:sz w:val="21"/>
          <w:szCs w:val="21"/>
          <w:highlight w:val="none"/>
        </w:rPr>
        <w:t>第3条 勘察人</w:t>
      </w:r>
      <w:bookmarkEnd w:id="195"/>
      <w:bookmarkEnd w:id="196"/>
      <w:bookmarkEnd w:id="197"/>
    </w:p>
    <w:p w14:paraId="6A61669B">
      <w:pPr>
        <w:pStyle w:val="5"/>
        <w:rPr>
          <w:rFonts w:hint="eastAsia" w:ascii="宋体" w:hAnsi="宋体" w:cs="宋体"/>
          <w:color w:val="auto"/>
          <w:kern w:val="0"/>
          <w:sz w:val="21"/>
          <w:szCs w:val="21"/>
          <w:highlight w:val="none"/>
        </w:rPr>
      </w:pPr>
      <w:bookmarkStart w:id="198" w:name="_Toc406150436"/>
      <w:bookmarkStart w:id="199" w:name="_Toc741"/>
      <w:bookmarkStart w:id="200" w:name="_Toc457826165"/>
      <w:r>
        <w:rPr>
          <w:rFonts w:hint="eastAsia" w:ascii="宋体" w:hAnsi="宋体" w:cs="宋体"/>
          <w:color w:val="auto"/>
          <w:kern w:val="0"/>
          <w:sz w:val="21"/>
          <w:szCs w:val="21"/>
          <w:highlight w:val="none"/>
        </w:rPr>
        <w:t>3.1 勘察人权利</w:t>
      </w:r>
      <w:bookmarkEnd w:id="198"/>
      <w:bookmarkEnd w:id="199"/>
      <w:bookmarkEnd w:id="200"/>
    </w:p>
    <w:p w14:paraId="6FDE8441">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3.1.1 </w:t>
      </w:r>
      <w:r>
        <w:rPr>
          <w:rFonts w:hint="eastAsia" w:ascii="宋体" w:hAnsi="宋体" w:cs="宋体"/>
          <w:color w:val="auto"/>
          <w:szCs w:val="21"/>
          <w:highlight w:val="none"/>
        </w:rPr>
        <w:t>勘察人在工程勘察期间，根据项目条件和技术标准、法律法规规定等方面的变化，有权向发包人提出增减合同工作量或修改技术方案的建议。</w:t>
      </w:r>
    </w:p>
    <w:p w14:paraId="4CA51FE1">
      <w:pPr>
        <w:tabs>
          <w:tab w:val="left" w:pos="54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3.1.2 </w:t>
      </w:r>
      <w:r>
        <w:rPr>
          <w:rFonts w:hint="eastAsia" w:ascii="宋体" w:hAnsi="宋体" w:cs="宋体"/>
          <w:color w:val="auto"/>
          <w:szCs w:val="21"/>
          <w:highlight w:val="none"/>
        </w:rPr>
        <w:t>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14:paraId="51214847">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3.1.3 </w:t>
      </w:r>
      <w:r>
        <w:rPr>
          <w:rFonts w:hint="eastAsia" w:ascii="宋体" w:hAnsi="宋体" w:cs="宋体"/>
          <w:color w:val="auto"/>
          <w:szCs w:val="21"/>
          <w:highlight w:val="none"/>
        </w:rPr>
        <w:t>勘察人对其编制的所有文件资料，包括</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、成果资料、数据和专利技术等拥有知识产权。</w:t>
      </w:r>
    </w:p>
    <w:p w14:paraId="0DB37F6E">
      <w:pPr>
        <w:pStyle w:val="5"/>
        <w:rPr>
          <w:rFonts w:hint="eastAsia" w:ascii="宋体" w:hAnsi="宋体" w:cs="宋体"/>
          <w:color w:val="auto"/>
          <w:kern w:val="0"/>
          <w:sz w:val="21"/>
          <w:szCs w:val="21"/>
          <w:highlight w:val="none"/>
        </w:rPr>
      </w:pPr>
      <w:bookmarkStart w:id="201" w:name="_Toc457826166"/>
      <w:bookmarkStart w:id="202" w:name="_Toc406150437"/>
      <w:bookmarkStart w:id="203" w:name="_Toc26095"/>
      <w:r>
        <w:rPr>
          <w:rFonts w:hint="eastAsia" w:ascii="宋体" w:hAnsi="宋体" w:cs="宋体"/>
          <w:color w:val="auto"/>
          <w:kern w:val="0"/>
          <w:sz w:val="21"/>
          <w:szCs w:val="21"/>
          <w:highlight w:val="none"/>
        </w:rPr>
        <w:t>3.2 勘察人义务</w:t>
      </w:r>
      <w:bookmarkEnd w:id="201"/>
      <w:bookmarkEnd w:id="202"/>
      <w:bookmarkEnd w:id="203"/>
    </w:p>
    <w:p w14:paraId="42E070B5">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勘察人应按勘察任务书和技术要求并依据有关技术标准进行工程勘察工作。</w:t>
      </w:r>
    </w:p>
    <w:p w14:paraId="6EC4F9DD">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3.2.2 </w:t>
      </w:r>
      <w:r>
        <w:rPr>
          <w:rFonts w:hint="eastAsia" w:ascii="宋体" w:hAnsi="宋体" w:cs="宋体"/>
          <w:color w:val="auto"/>
          <w:szCs w:val="21"/>
          <w:highlight w:val="none"/>
        </w:rPr>
        <w:t>勘察人应建立质量保证体系，按本合同约定的时间提交质量合格的成果资料，并对其质量负责。</w:t>
      </w:r>
    </w:p>
    <w:p w14:paraId="78EFEED4">
      <w:p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3.2.3 </w:t>
      </w:r>
      <w:r>
        <w:rPr>
          <w:rFonts w:hint="eastAsia" w:ascii="宋体" w:hAnsi="宋体" w:cs="宋体"/>
          <w:color w:val="auto"/>
          <w:szCs w:val="21"/>
          <w:highlight w:val="none"/>
        </w:rPr>
        <w:t>勘察人在提交成果资料后，应为发包人继续提供后期服务。</w:t>
      </w:r>
      <w:r>
        <w:rPr>
          <w:rFonts w:hint="eastAsia" w:ascii="宋体" w:hAnsi="宋体" w:cs="宋体"/>
          <w:color w:val="auto"/>
          <w:kern w:val="0"/>
          <w:szCs w:val="21"/>
          <w:highlight w:val="none"/>
        </w:rPr>
        <w:t xml:space="preserve">3.2.4 </w:t>
      </w:r>
      <w:r>
        <w:rPr>
          <w:rFonts w:hint="eastAsia" w:ascii="宋体" w:hAnsi="宋体" w:cs="宋体"/>
          <w:color w:val="auto"/>
          <w:szCs w:val="21"/>
          <w:highlight w:val="none"/>
        </w:rPr>
        <w:t>勘察人在工程勘察期间遇到地下文物时，应及时向发包人和</w:t>
      </w:r>
    </w:p>
    <w:p w14:paraId="168AD9DD">
      <w:p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文物主管部门报告并妥善保护。</w:t>
      </w:r>
    </w:p>
    <w:p w14:paraId="2A74A903">
      <w:pPr>
        <w:tabs>
          <w:tab w:val="left" w:pos="54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3.2.5 勘察人开展工程勘察活动时应遵守有关</w:t>
      </w:r>
      <w:r>
        <w:rPr>
          <w:rFonts w:hint="eastAsia" w:ascii="宋体" w:hAnsi="宋体" w:cs="宋体"/>
          <w:color w:val="auto"/>
          <w:szCs w:val="21"/>
          <w:highlight w:val="none"/>
        </w:rPr>
        <w:t>职业健康及</w:t>
      </w:r>
      <w:r>
        <w:rPr>
          <w:rFonts w:hint="eastAsia" w:ascii="宋体" w:hAnsi="宋体" w:cs="宋体"/>
          <w:color w:val="auto"/>
          <w:kern w:val="0"/>
          <w:szCs w:val="21"/>
          <w:highlight w:val="none"/>
        </w:rPr>
        <w:t>安全生产方面</w:t>
      </w:r>
      <w:r>
        <w:rPr>
          <w:rFonts w:hint="eastAsia" w:ascii="宋体" w:hAnsi="宋体" w:cs="宋体"/>
          <w:color w:val="auto"/>
          <w:szCs w:val="21"/>
          <w:highlight w:val="none"/>
        </w:rPr>
        <w:t>的各项法律法规的规定</w:t>
      </w:r>
      <w:r>
        <w:rPr>
          <w:rFonts w:hint="eastAsia" w:ascii="宋体" w:hAnsi="宋体" w:cs="宋体"/>
          <w:color w:val="auto"/>
          <w:kern w:val="0"/>
          <w:szCs w:val="21"/>
          <w:highlight w:val="none"/>
        </w:rPr>
        <w:t>，采取安全防护措施，确保人员、设备和设施的安全。</w:t>
      </w:r>
    </w:p>
    <w:p w14:paraId="363E7F3F">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3.2.6 勘察人在燃气管道、热力管道、动力设备、输水管道、输电线路、临街交通要</w:t>
      </w:r>
      <w:r>
        <w:rPr>
          <w:rFonts w:hint="eastAsia" w:ascii="宋体" w:hAnsi="宋体" w:cs="宋体"/>
          <w:color w:val="auto"/>
          <w:szCs w:val="21"/>
          <w:highlight w:val="none"/>
        </w:rPr>
        <w:t>道及地下通道（地下隧道）附近等风险性较大的地点，以及在易燃易爆地段及放射、有毒环境中进</w:t>
      </w:r>
      <w:r>
        <w:rPr>
          <w:rFonts w:hint="eastAsia" w:ascii="宋体" w:hAnsi="宋体" w:cs="宋体"/>
          <w:color w:val="auto"/>
          <w:kern w:val="0"/>
          <w:szCs w:val="21"/>
          <w:highlight w:val="none"/>
        </w:rPr>
        <w:t>行工程勘察作业时，应编制安全防护方案并制定应急预案。</w:t>
      </w:r>
    </w:p>
    <w:p w14:paraId="3AD48471">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3.2.7 </w:t>
      </w:r>
      <w:r>
        <w:rPr>
          <w:rFonts w:hint="eastAsia" w:ascii="宋体" w:hAnsi="宋体" w:cs="宋体"/>
          <w:color w:val="auto"/>
          <w:szCs w:val="21"/>
          <w:highlight w:val="none"/>
        </w:rPr>
        <w:t>勘察人应在勘察方案中列明环境保护的具体措施，并在合同履行期间采取合理措施保护作业现场环境。</w:t>
      </w:r>
    </w:p>
    <w:p w14:paraId="21671FEE">
      <w:pPr>
        <w:pStyle w:val="5"/>
        <w:rPr>
          <w:rFonts w:hint="eastAsia" w:ascii="宋体" w:hAnsi="宋体" w:cs="宋体"/>
          <w:color w:val="auto"/>
          <w:kern w:val="0"/>
          <w:sz w:val="21"/>
          <w:szCs w:val="21"/>
          <w:highlight w:val="none"/>
        </w:rPr>
      </w:pPr>
      <w:bookmarkStart w:id="204" w:name="_Toc406150438"/>
      <w:bookmarkStart w:id="205" w:name="_Toc457826167"/>
      <w:bookmarkStart w:id="206" w:name="_Toc12417"/>
      <w:r>
        <w:rPr>
          <w:rFonts w:hint="eastAsia" w:ascii="宋体" w:hAnsi="宋体" w:cs="宋体"/>
          <w:color w:val="auto"/>
          <w:kern w:val="0"/>
          <w:sz w:val="21"/>
          <w:szCs w:val="21"/>
          <w:highlight w:val="none"/>
        </w:rPr>
        <w:t>3.3 勘察人代表</w:t>
      </w:r>
      <w:bookmarkEnd w:id="204"/>
      <w:bookmarkEnd w:id="205"/>
      <w:bookmarkEnd w:id="206"/>
    </w:p>
    <w:p w14:paraId="2D93A5AA">
      <w:pPr>
        <w:tabs>
          <w:tab w:val="left" w:pos="360"/>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勘察人接受任务时，应在专用合同条款中明确其负责工程勘察的勘察人代表的姓名、职务、联系方式及授权范围等事项。勘察人代表在勘察人的授权范围内，负责处理合同履行过程中与勘察人有关的具体事宜。</w:t>
      </w:r>
    </w:p>
    <w:p w14:paraId="39F9E8B6">
      <w:pPr>
        <w:pStyle w:val="4"/>
        <w:rPr>
          <w:rFonts w:hint="eastAsia" w:ascii="宋体" w:hAnsi="宋体" w:cs="宋体"/>
          <w:color w:val="auto"/>
          <w:sz w:val="21"/>
          <w:szCs w:val="21"/>
          <w:highlight w:val="none"/>
        </w:rPr>
      </w:pPr>
      <w:bookmarkStart w:id="207" w:name="_Toc9068"/>
      <w:bookmarkStart w:id="208" w:name="_Toc406150439"/>
      <w:bookmarkStart w:id="209" w:name="_Toc457826168"/>
      <w:r>
        <w:rPr>
          <w:rFonts w:hint="eastAsia" w:ascii="宋体" w:hAnsi="宋体" w:cs="宋体"/>
          <w:color w:val="auto"/>
          <w:sz w:val="21"/>
          <w:szCs w:val="21"/>
          <w:highlight w:val="none"/>
        </w:rPr>
        <w:t>第4条 工期</w:t>
      </w:r>
      <w:bookmarkEnd w:id="207"/>
      <w:bookmarkEnd w:id="208"/>
      <w:bookmarkEnd w:id="209"/>
    </w:p>
    <w:p w14:paraId="02A0B2D2">
      <w:pPr>
        <w:pStyle w:val="5"/>
        <w:rPr>
          <w:rFonts w:hint="eastAsia" w:ascii="宋体" w:hAnsi="宋体" w:cs="宋体"/>
          <w:color w:val="auto"/>
          <w:kern w:val="0"/>
          <w:sz w:val="21"/>
          <w:szCs w:val="21"/>
          <w:highlight w:val="none"/>
        </w:rPr>
      </w:pPr>
      <w:bookmarkStart w:id="210" w:name="_Toc2487"/>
      <w:bookmarkStart w:id="211" w:name="_Toc457826169"/>
      <w:bookmarkStart w:id="212" w:name="_Toc406150440"/>
      <w:r>
        <w:rPr>
          <w:rFonts w:hint="eastAsia" w:ascii="宋体" w:hAnsi="宋体" w:cs="宋体"/>
          <w:color w:val="auto"/>
          <w:kern w:val="0"/>
          <w:sz w:val="21"/>
          <w:szCs w:val="21"/>
          <w:highlight w:val="none"/>
        </w:rPr>
        <w:t>4.1 开工及延期开工</w:t>
      </w:r>
      <w:bookmarkEnd w:id="210"/>
      <w:bookmarkEnd w:id="211"/>
      <w:bookmarkEnd w:id="212"/>
    </w:p>
    <w:p w14:paraId="733E9E34">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4.1.1 勘察人应按合同约定的工期进行工程勘察工作，并接受发包人对工程勘察工作进度的监督、检查。</w:t>
      </w:r>
    </w:p>
    <w:p w14:paraId="59538CAC">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4.1.2 因发包人原因不能按照合同约定的日期开工，发包人应以书面形式通知勘察人，推迟开工日期并相应顺延工期。</w:t>
      </w:r>
    </w:p>
    <w:p w14:paraId="1F4298CB">
      <w:pPr>
        <w:pStyle w:val="5"/>
        <w:rPr>
          <w:rFonts w:hint="eastAsia" w:ascii="宋体" w:hAnsi="宋体" w:cs="宋体"/>
          <w:color w:val="auto"/>
          <w:kern w:val="0"/>
          <w:sz w:val="21"/>
          <w:szCs w:val="21"/>
          <w:highlight w:val="none"/>
        </w:rPr>
      </w:pPr>
      <w:bookmarkStart w:id="213" w:name="_Toc457826170"/>
      <w:bookmarkStart w:id="214" w:name="_Toc13535"/>
      <w:bookmarkStart w:id="215" w:name="_Toc406150441"/>
      <w:r>
        <w:rPr>
          <w:rFonts w:hint="eastAsia" w:ascii="宋体" w:hAnsi="宋体" w:cs="宋体"/>
          <w:color w:val="auto"/>
          <w:kern w:val="0"/>
          <w:sz w:val="21"/>
          <w:szCs w:val="21"/>
          <w:highlight w:val="none"/>
        </w:rPr>
        <w:t>4.2 成果提交日期</w:t>
      </w:r>
      <w:bookmarkEnd w:id="213"/>
      <w:bookmarkEnd w:id="214"/>
      <w:bookmarkEnd w:id="215"/>
    </w:p>
    <w:p w14:paraId="1DD06868">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勘察人应按照合同约定的日期或双方同意顺延的工期提交成果资料，具体可在专用合同条款中约定。</w:t>
      </w:r>
    </w:p>
    <w:p w14:paraId="72299EF8">
      <w:pPr>
        <w:pStyle w:val="5"/>
        <w:rPr>
          <w:rFonts w:hint="eastAsia" w:ascii="宋体" w:hAnsi="宋体" w:cs="宋体"/>
          <w:color w:val="auto"/>
          <w:kern w:val="0"/>
          <w:sz w:val="21"/>
          <w:szCs w:val="21"/>
          <w:highlight w:val="none"/>
        </w:rPr>
      </w:pPr>
      <w:bookmarkStart w:id="216" w:name="_Toc1980"/>
      <w:bookmarkStart w:id="217" w:name="_Toc457826171"/>
      <w:r>
        <w:rPr>
          <w:rFonts w:hint="eastAsia" w:ascii="宋体" w:hAnsi="宋体" w:cs="宋体"/>
          <w:color w:val="auto"/>
          <w:kern w:val="0"/>
          <w:sz w:val="21"/>
          <w:szCs w:val="21"/>
          <w:highlight w:val="none"/>
        </w:rPr>
        <w:t>4.3 发包人造成的工期延误</w:t>
      </w:r>
      <w:bookmarkEnd w:id="216"/>
      <w:bookmarkEnd w:id="217"/>
    </w:p>
    <w:p w14:paraId="448DDF5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4.3.1 因以下情形造成工期延误，勘察人有权要求发包人延长工期、增加合同价款和（或）补偿费用：</w:t>
      </w:r>
    </w:p>
    <w:p w14:paraId="1D78020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（1）发包人未能按合同约定提供图纸及开工条件；</w:t>
      </w:r>
    </w:p>
    <w:p w14:paraId="34A1625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（2）发包人未能按合同约定及时支付定金、预付款和（或）进度款；</w:t>
      </w:r>
    </w:p>
    <w:p w14:paraId="6796C28C">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（3）变更导致合同工作量增加；</w:t>
      </w:r>
    </w:p>
    <w:p w14:paraId="05558E4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（4）发包人增加合同工作内容；</w:t>
      </w:r>
    </w:p>
    <w:p w14:paraId="7D81ED1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（5）发包人改变工程勘察技术要求；</w:t>
      </w:r>
    </w:p>
    <w:p w14:paraId="26D3989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（6）发包人导致工期延误的其他情形。</w:t>
      </w:r>
    </w:p>
    <w:p w14:paraId="45218A67">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4.3.2 </w:t>
      </w:r>
      <w:r>
        <w:rPr>
          <w:rFonts w:hint="eastAsia" w:ascii="宋体" w:hAnsi="宋体" w:cs="宋体"/>
          <w:bCs/>
          <w:color w:val="auto"/>
          <w:kern w:val="0"/>
          <w:szCs w:val="21"/>
          <w:highlight w:val="none"/>
        </w:rPr>
        <w:t>除专用合同条款对期限另有约定外，</w:t>
      </w:r>
      <w:r>
        <w:rPr>
          <w:rFonts w:hint="eastAsia" w:ascii="宋体" w:hAnsi="宋体" w:cs="宋体"/>
          <w:color w:val="auto"/>
          <w:kern w:val="0"/>
          <w:szCs w:val="21"/>
          <w:highlight w:val="none"/>
        </w:rPr>
        <w:t>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14:paraId="4BE486DC">
      <w:pPr>
        <w:pStyle w:val="5"/>
        <w:rPr>
          <w:rFonts w:hint="eastAsia" w:ascii="宋体" w:hAnsi="宋体" w:cs="宋体"/>
          <w:color w:val="auto"/>
          <w:kern w:val="0"/>
          <w:sz w:val="21"/>
          <w:szCs w:val="21"/>
          <w:highlight w:val="none"/>
        </w:rPr>
      </w:pPr>
      <w:bookmarkStart w:id="218" w:name="_Toc1750"/>
      <w:bookmarkStart w:id="219" w:name="_Toc457826172"/>
      <w:bookmarkStart w:id="220" w:name="_Toc406150443"/>
      <w:r>
        <w:rPr>
          <w:rFonts w:hint="eastAsia" w:ascii="宋体" w:hAnsi="宋体" w:cs="宋体"/>
          <w:color w:val="auto"/>
          <w:kern w:val="0"/>
          <w:sz w:val="21"/>
          <w:szCs w:val="21"/>
          <w:highlight w:val="none"/>
        </w:rPr>
        <w:t>4.4 勘察人造成的工期延误</w:t>
      </w:r>
      <w:bookmarkEnd w:id="218"/>
      <w:bookmarkEnd w:id="219"/>
      <w:bookmarkEnd w:id="220"/>
    </w:p>
    <w:p w14:paraId="5FC6F16C">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勘察人因以下情形不能按照合同约定的日期或双方同意顺延的工期提交成果资料的，勘察人承担违约责任：</w:t>
      </w:r>
    </w:p>
    <w:p w14:paraId="1E55F3DF">
      <w:pPr>
        <w:spacing w:line="360" w:lineRule="auto"/>
        <w:ind w:firstLine="420" w:firstLineChars="200"/>
        <w:jc w:val="left"/>
        <w:rPr>
          <w:rFonts w:hint="eastAsia" w:ascii="宋体" w:hAnsi="宋体" w:cs="宋体"/>
          <w:color w:val="auto"/>
          <w:kern w:val="0"/>
          <w:szCs w:val="21"/>
          <w:highlight w:val="none"/>
        </w:rPr>
      </w:pPr>
      <w:bookmarkStart w:id="221" w:name="_Toc406150444"/>
      <w:r>
        <w:rPr>
          <w:rFonts w:hint="eastAsia" w:ascii="宋体" w:hAnsi="宋体" w:cs="宋体"/>
          <w:color w:val="auto"/>
          <w:kern w:val="0"/>
          <w:szCs w:val="21"/>
          <w:highlight w:val="none"/>
        </w:rPr>
        <w:t>（1）勘察人未按合同约定开工日期开展工作造成工期延误的；</w:t>
      </w:r>
    </w:p>
    <w:p w14:paraId="7C02B60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（2）勘察人管理不善、组织不力造成工期延误的；</w:t>
      </w:r>
    </w:p>
    <w:p w14:paraId="037E7F1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（3）因弥补勘察人自身原因导致的质量缺陷而造成工期延误的；</w:t>
      </w:r>
    </w:p>
    <w:p w14:paraId="7F38D30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（4）因勘察人成果资料不合格返工造成工期延误的；</w:t>
      </w:r>
    </w:p>
    <w:p w14:paraId="6C8230D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（5）勘察人导致工期延误的其他情形。</w:t>
      </w:r>
    </w:p>
    <w:p w14:paraId="3D34AB4E">
      <w:pPr>
        <w:pStyle w:val="5"/>
        <w:rPr>
          <w:rFonts w:hint="eastAsia" w:ascii="宋体" w:hAnsi="宋体" w:cs="宋体"/>
          <w:color w:val="auto"/>
          <w:kern w:val="0"/>
          <w:sz w:val="21"/>
          <w:szCs w:val="21"/>
          <w:highlight w:val="none"/>
        </w:rPr>
      </w:pPr>
      <w:bookmarkStart w:id="222" w:name="_Toc1127"/>
      <w:bookmarkStart w:id="223" w:name="_Toc457826173"/>
      <w:r>
        <w:rPr>
          <w:rFonts w:hint="eastAsia" w:ascii="宋体" w:hAnsi="宋体" w:cs="宋体"/>
          <w:color w:val="auto"/>
          <w:kern w:val="0"/>
          <w:sz w:val="21"/>
          <w:szCs w:val="21"/>
          <w:highlight w:val="none"/>
        </w:rPr>
        <w:t>4.5 恶劣气候条件</w:t>
      </w:r>
      <w:bookmarkEnd w:id="221"/>
      <w:bookmarkEnd w:id="222"/>
      <w:bookmarkEnd w:id="223"/>
    </w:p>
    <w:p w14:paraId="0DC100C7">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恶劣气候条件影响现场作业，导致现场作业难以进行，造成工期延误的，勘察人有权要求发包人延长工期，具体可参照第4.3.2款处理。</w:t>
      </w:r>
    </w:p>
    <w:p w14:paraId="667B0D41">
      <w:pPr>
        <w:pStyle w:val="4"/>
        <w:rPr>
          <w:rFonts w:hint="eastAsia" w:ascii="宋体" w:hAnsi="宋体" w:cs="宋体"/>
          <w:color w:val="auto"/>
          <w:sz w:val="21"/>
          <w:szCs w:val="21"/>
          <w:highlight w:val="none"/>
        </w:rPr>
      </w:pPr>
      <w:bookmarkStart w:id="224" w:name="_Toc13635"/>
      <w:bookmarkStart w:id="225" w:name="_Toc457826174"/>
      <w:bookmarkStart w:id="226" w:name="_Toc406150445"/>
      <w:r>
        <w:rPr>
          <w:rFonts w:hint="eastAsia" w:ascii="宋体" w:hAnsi="宋体" w:cs="宋体"/>
          <w:color w:val="auto"/>
          <w:sz w:val="21"/>
          <w:szCs w:val="21"/>
          <w:highlight w:val="none"/>
        </w:rPr>
        <w:t>第5条 成果资料</w:t>
      </w:r>
      <w:bookmarkEnd w:id="224"/>
      <w:bookmarkEnd w:id="225"/>
      <w:bookmarkEnd w:id="226"/>
    </w:p>
    <w:p w14:paraId="04E0BEF2">
      <w:pPr>
        <w:pStyle w:val="5"/>
        <w:rPr>
          <w:rFonts w:hint="eastAsia" w:ascii="宋体" w:hAnsi="宋体" w:cs="宋体"/>
          <w:color w:val="auto"/>
          <w:kern w:val="0"/>
          <w:sz w:val="21"/>
          <w:szCs w:val="21"/>
          <w:highlight w:val="none"/>
        </w:rPr>
      </w:pPr>
      <w:bookmarkStart w:id="227" w:name="_Toc406150446"/>
      <w:bookmarkStart w:id="228" w:name="_Toc457826175"/>
      <w:bookmarkStart w:id="229" w:name="_Toc6005"/>
      <w:r>
        <w:rPr>
          <w:rFonts w:hint="eastAsia" w:ascii="宋体" w:hAnsi="宋体" w:cs="宋体"/>
          <w:color w:val="auto"/>
          <w:kern w:val="0"/>
          <w:sz w:val="21"/>
          <w:szCs w:val="21"/>
          <w:highlight w:val="none"/>
        </w:rPr>
        <w:t>5.1 成果质量</w:t>
      </w:r>
      <w:bookmarkEnd w:id="227"/>
      <w:bookmarkEnd w:id="228"/>
      <w:bookmarkEnd w:id="229"/>
    </w:p>
    <w:p w14:paraId="6E24B7A0">
      <w:pPr>
        <w:tabs>
          <w:tab w:val="left" w:pos="540"/>
          <w:tab w:val="left" w:pos="1260"/>
        </w:tabs>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5.1.1 成果质量应符合相关技术标准和深度规定，且满足合同约定的质量要求。</w:t>
      </w:r>
    </w:p>
    <w:p w14:paraId="1520E2D9">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5.1.2 双方对工程勘察成果质量有争议时，由双方同意的第三方机构鉴定，所需费用及因此造成的损失，由责任方承担；双方均有责任的，由双方根据其责任分别承担。</w:t>
      </w:r>
    </w:p>
    <w:p w14:paraId="212E5613">
      <w:pPr>
        <w:pStyle w:val="5"/>
        <w:rPr>
          <w:rFonts w:hint="eastAsia" w:ascii="宋体" w:hAnsi="宋体" w:cs="宋体"/>
          <w:color w:val="auto"/>
          <w:kern w:val="0"/>
          <w:sz w:val="21"/>
          <w:szCs w:val="21"/>
          <w:highlight w:val="none"/>
        </w:rPr>
      </w:pPr>
      <w:bookmarkStart w:id="230" w:name="_Toc457826176"/>
      <w:bookmarkStart w:id="231" w:name="_Toc406150447"/>
      <w:bookmarkStart w:id="232" w:name="_Toc32313"/>
      <w:r>
        <w:rPr>
          <w:rFonts w:hint="eastAsia" w:ascii="宋体" w:hAnsi="宋体" w:cs="宋体"/>
          <w:color w:val="auto"/>
          <w:kern w:val="0"/>
          <w:sz w:val="21"/>
          <w:szCs w:val="21"/>
          <w:highlight w:val="none"/>
        </w:rPr>
        <w:t>5.2 成果份数</w:t>
      </w:r>
      <w:bookmarkEnd w:id="230"/>
      <w:bookmarkEnd w:id="231"/>
      <w:bookmarkEnd w:id="232"/>
    </w:p>
    <w:p w14:paraId="25CA6181">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勘察人应向发包人提交成果资料四份，发包人要求增加的份数，在专用合同条款中另行约定，发包人另行支付相应的费用。</w:t>
      </w:r>
    </w:p>
    <w:p w14:paraId="09D7735C">
      <w:pPr>
        <w:tabs>
          <w:tab w:val="left" w:pos="540"/>
        </w:tabs>
        <w:spacing w:line="360" w:lineRule="auto"/>
        <w:ind w:firstLine="422" w:firstLineChars="200"/>
        <w:jc w:val="left"/>
        <w:outlineLvl w:val="3"/>
        <w:rPr>
          <w:rFonts w:hint="eastAsia" w:ascii="宋体" w:hAnsi="宋体" w:cs="宋体"/>
          <w:color w:val="auto"/>
          <w:kern w:val="0"/>
          <w:szCs w:val="21"/>
          <w:highlight w:val="none"/>
        </w:rPr>
      </w:pPr>
      <w:bookmarkStart w:id="233" w:name="_Toc7886"/>
      <w:bookmarkStart w:id="234" w:name="_Toc457826177"/>
      <w:r>
        <w:rPr>
          <w:rFonts w:hint="eastAsia" w:ascii="宋体" w:hAnsi="宋体" w:cs="宋体"/>
          <w:b/>
          <w:bCs/>
          <w:color w:val="auto"/>
          <w:kern w:val="0"/>
          <w:szCs w:val="21"/>
          <w:highlight w:val="none"/>
        </w:rPr>
        <w:t>5.3 成果交付</w:t>
      </w:r>
      <w:bookmarkEnd w:id="233"/>
      <w:bookmarkEnd w:id="234"/>
    </w:p>
    <w:p w14:paraId="5C97BF23">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勘察人按照约定时间和地点向发包人交付成果资料，发包人应出具书面签收单，内容包括成果名称、成果组成、成果份数、提交和签收日期、提交人与接收人的亲笔签名等。</w:t>
      </w:r>
    </w:p>
    <w:p w14:paraId="265DCEF7">
      <w:pPr>
        <w:pStyle w:val="5"/>
        <w:rPr>
          <w:rFonts w:hint="eastAsia" w:ascii="宋体" w:hAnsi="宋体" w:cs="宋体"/>
          <w:color w:val="auto"/>
          <w:kern w:val="0"/>
          <w:sz w:val="21"/>
          <w:szCs w:val="21"/>
          <w:highlight w:val="none"/>
        </w:rPr>
      </w:pPr>
      <w:bookmarkStart w:id="235" w:name="_Toc457826178"/>
      <w:bookmarkStart w:id="236" w:name="_Toc1949"/>
      <w:r>
        <w:rPr>
          <w:rFonts w:hint="eastAsia" w:ascii="宋体" w:hAnsi="宋体" w:cs="宋体"/>
          <w:color w:val="auto"/>
          <w:kern w:val="0"/>
          <w:sz w:val="21"/>
          <w:szCs w:val="21"/>
          <w:highlight w:val="none"/>
        </w:rPr>
        <w:t>5.4 成果验收</w:t>
      </w:r>
      <w:bookmarkEnd w:id="235"/>
      <w:bookmarkEnd w:id="236"/>
    </w:p>
    <w:p w14:paraId="4896BFE6">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勘察人向发包人提交成果资料后，如需对勘察成果组织验收的，发包人应及时组织验收。</w:t>
      </w:r>
      <w:r>
        <w:rPr>
          <w:rFonts w:hint="eastAsia" w:ascii="宋体" w:hAnsi="宋体" w:cs="宋体"/>
          <w:bCs/>
          <w:color w:val="auto"/>
          <w:kern w:val="0"/>
          <w:szCs w:val="21"/>
          <w:highlight w:val="none"/>
        </w:rPr>
        <w:t>除专用合同条款对期限另有约定外，</w:t>
      </w:r>
      <w:r>
        <w:rPr>
          <w:rFonts w:hint="eastAsia" w:ascii="宋体" w:hAnsi="宋体" w:cs="宋体"/>
          <w:color w:val="auto"/>
          <w:kern w:val="0"/>
          <w:szCs w:val="21"/>
          <w:highlight w:val="none"/>
        </w:rPr>
        <w:t>发包人14天内无正当理由不予组织验收，视为验收通过。</w:t>
      </w:r>
    </w:p>
    <w:p w14:paraId="744F8588">
      <w:pPr>
        <w:pStyle w:val="4"/>
        <w:rPr>
          <w:rFonts w:hint="eastAsia" w:ascii="宋体" w:hAnsi="宋体" w:cs="宋体"/>
          <w:color w:val="auto"/>
          <w:sz w:val="21"/>
          <w:szCs w:val="21"/>
          <w:highlight w:val="none"/>
        </w:rPr>
      </w:pPr>
      <w:bookmarkStart w:id="237" w:name="_Toc20982"/>
      <w:bookmarkStart w:id="238" w:name="_Toc457826179"/>
      <w:bookmarkStart w:id="239" w:name="_Toc406150449"/>
      <w:r>
        <w:rPr>
          <w:rFonts w:hint="eastAsia" w:ascii="宋体" w:hAnsi="宋体" w:cs="宋体"/>
          <w:color w:val="auto"/>
          <w:sz w:val="21"/>
          <w:szCs w:val="21"/>
          <w:highlight w:val="none"/>
        </w:rPr>
        <w:t>第6条 后期服务</w:t>
      </w:r>
      <w:bookmarkEnd w:id="237"/>
      <w:bookmarkEnd w:id="238"/>
      <w:bookmarkEnd w:id="239"/>
    </w:p>
    <w:p w14:paraId="56AEDC65">
      <w:pPr>
        <w:pStyle w:val="5"/>
        <w:rPr>
          <w:rFonts w:hint="eastAsia" w:ascii="宋体" w:hAnsi="宋体" w:cs="宋体"/>
          <w:color w:val="auto"/>
          <w:kern w:val="0"/>
          <w:sz w:val="21"/>
          <w:szCs w:val="21"/>
          <w:highlight w:val="none"/>
        </w:rPr>
      </w:pPr>
      <w:bookmarkStart w:id="240" w:name="_Toc457826180"/>
      <w:bookmarkStart w:id="241" w:name="_Toc30541"/>
      <w:bookmarkStart w:id="242" w:name="_Toc406150450"/>
      <w:r>
        <w:rPr>
          <w:rFonts w:hint="eastAsia" w:ascii="宋体" w:hAnsi="宋体" w:cs="宋体"/>
          <w:color w:val="auto"/>
          <w:kern w:val="0"/>
          <w:sz w:val="21"/>
          <w:szCs w:val="21"/>
          <w:highlight w:val="none"/>
        </w:rPr>
        <w:t>6.1 后续技术服务</w:t>
      </w:r>
      <w:bookmarkEnd w:id="240"/>
      <w:bookmarkEnd w:id="241"/>
      <w:bookmarkEnd w:id="242"/>
    </w:p>
    <w:p w14:paraId="5C8AC83F">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勘察人应派专业技术人员为发包人提供后续技术服务，发包人应为其提供必要的工作和生活条件，后续技术服务的内容、费用和时限应由双方在专用合同条款中另行约定。</w:t>
      </w:r>
    </w:p>
    <w:p w14:paraId="31B3E6AC">
      <w:pPr>
        <w:pStyle w:val="5"/>
        <w:rPr>
          <w:rFonts w:hint="eastAsia" w:ascii="宋体" w:hAnsi="宋体" w:cs="宋体"/>
          <w:color w:val="auto"/>
          <w:kern w:val="0"/>
          <w:sz w:val="21"/>
          <w:szCs w:val="21"/>
          <w:highlight w:val="none"/>
        </w:rPr>
      </w:pPr>
      <w:bookmarkStart w:id="243" w:name="_Toc406150451"/>
      <w:bookmarkStart w:id="244" w:name="_Toc533"/>
      <w:bookmarkStart w:id="245" w:name="_Toc457826181"/>
      <w:r>
        <w:rPr>
          <w:rFonts w:hint="eastAsia" w:ascii="宋体" w:hAnsi="宋体" w:cs="宋体"/>
          <w:color w:val="auto"/>
          <w:kern w:val="0"/>
          <w:sz w:val="21"/>
          <w:szCs w:val="21"/>
          <w:highlight w:val="none"/>
        </w:rPr>
        <w:t>6.2 竣工验收</w:t>
      </w:r>
      <w:bookmarkEnd w:id="243"/>
      <w:bookmarkEnd w:id="244"/>
      <w:bookmarkEnd w:id="245"/>
    </w:p>
    <w:p w14:paraId="583F5E00">
      <w:pPr>
        <w:tabs>
          <w:tab w:val="left" w:pos="54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工程竣工验收时，勘察人应按发包人要求参加竣工验收工作，并提供竣工验收所需相关资料。</w:t>
      </w:r>
    </w:p>
    <w:p w14:paraId="6ED562E0">
      <w:pPr>
        <w:pStyle w:val="4"/>
        <w:rPr>
          <w:rFonts w:hint="eastAsia" w:ascii="宋体" w:hAnsi="宋体" w:cs="宋体"/>
          <w:color w:val="auto"/>
          <w:sz w:val="21"/>
          <w:szCs w:val="21"/>
          <w:highlight w:val="none"/>
        </w:rPr>
      </w:pPr>
      <w:bookmarkStart w:id="246" w:name="_Toc457826182"/>
      <w:bookmarkStart w:id="247" w:name="_Toc6536"/>
      <w:bookmarkStart w:id="248" w:name="_Toc406150452"/>
      <w:r>
        <w:rPr>
          <w:rFonts w:hint="eastAsia" w:ascii="宋体" w:hAnsi="宋体" w:cs="宋体"/>
          <w:color w:val="auto"/>
          <w:sz w:val="21"/>
          <w:szCs w:val="21"/>
          <w:highlight w:val="none"/>
        </w:rPr>
        <w:t>第7条 合同价款与支付</w:t>
      </w:r>
      <w:bookmarkEnd w:id="246"/>
      <w:bookmarkEnd w:id="247"/>
      <w:bookmarkEnd w:id="248"/>
    </w:p>
    <w:p w14:paraId="6371E70E">
      <w:pPr>
        <w:pStyle w:val="5"/>
        <w:rPr>
          <w:rFonts w:hint="eastAsia" w:ascii="宋体" w:hAnsi="宋体" w:cs="宋体"/>
          <w:color w:val="auto"/>
          <w:kern w:val="0"/>
          <w:sz w:val="21"/>
          <w:szCs w:val="21"/>
          <w:highlight w:val="none"/>
        </w:rPr>
      </w:pPr>
      <w:bookmarkStart w:id="249" w:name="_Toc29500"/>
      <w:bookmarkStart w:id="250" w:name="_Toc457826183"/>
      <w:bookmarkStart w:id="251" w:name="_Toc406150453"/>
      <w:r>
        <w:rPr>
          <w:rFonts w:hint="eastAsia" w:ascii="宋体" w:hAnsi="宋体" w:cs="宋体"/>
          <w:color w:val="auto"/>
          <w:kern w:val="0"/>
          <w:sz w:val="21"/>
          <w:szCs w:val="21"/>
          <w:highlight w:val="none"/>
        </w:rPr>
        <w:t>7.1 合同价款与调整</w:t>
      </w:r>
      <w:bookmarkEnd w:id="249"/>
      <w:bookmarkEnd w:id="250"/>
      <w:bookmarkEnd w:id="251"/>
    </w:p>
    <w:p w14:paraId="78B2592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7.1.1 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14:paraId="58166FAC">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7.1.2 合同当事人可任选下列一种合同价款的形式，双方可在专用合同条款中约定：</w:t>
      </w:r>
    </w:p>
    <w:p w14:paraId="0D949E4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（1）总价合同</w:t>
      </w:r>
    </w:p>
    <w:p w14:paraId="7FFF4FF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双方在专用合同条款中约定合同价款包含的风险范围和风险费用的计算方法，在约定的风险范围内合同价款不再调整。风险范围以外的合同价款调整因素和方法，应在专用合同条款中约定。</w:t>
      </w:r>
    </w:p>
    <w:p w14:paraId="3747AEE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（2）单价合同</w:t>
      </w:r>
    </w:p>
    <w:p w14:paraId="065A71E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合同价款根据工作量的变化而调整，合同单价在风险范围内一般不予调整，双方可在专用合同条款中约定合同单价调整因素和方法。</w:t>
      </w:r>
    </w:p>
    <w:p w14:paraId="44A0E92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（3）其他合同价款形式</w:t>
      </w:r>
    </w:p>
    <w:p w14:paraId="4683288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合同当事人可在专用合同条款中约定其他合同价格形式。</w:t>
      </w:r>
    </w:p>
    <w:p w14:paraId="6A3F844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7.1.</w:t>
      </w:r>
      <w:bookmarkStart w:id="252" w:name="_Toc406150454"/>
      <w:r>
        <w:rPr>
          <w:rFonts w:hint="eastAsia" w:ascii="宋体" w:hAnsi="宋体" w:cs="宋体"/>
          <w:color w:val="auto"/>
          <w:kern w:val="0"/>
          <w:szCs w:val="21"/>
          <w:highlight w:val="none"/>
        </w:rPr>
        <w:t>3 需调整合同价款时，合同一方应及时将调整原因、调整金额以书面形式通知对方，双方共同确认调整金额后作为追加或减少的合同价款，与进度款同期支付。</w:t>
      </w:r>
      <w:r>
        <w:rPr>
          <w:rFonts w:hint="eastAsia" w:ascii="宋体" w:hAnsi="宋体" w:cs="宋体"/>
          <w:bCs/>
          <w:color w:val="auto"/>
          <w:kern w:val="0"/>
          <w:szCs w:val="21"/>
          <w:highlight w:val="none"/>
        </w:rPr>
        <w:t>除专用合同条款对期限另有约定外，</w:t>
      </w:r>
      <w:r>
        <w:rPr>
          <w:rFonts w:hint="eastAsia" w:ascii="宋体" w:hAnsi="宋体" w:cs="宋体"/>
          <w:color w:val="auto"/>
          <w:kern w:val="0"/>
          <w:szCs w:val="21"/>
          <w:highlight w:val="none"/>
        </w:rPr>
        <w:t>一方在收到对方的通知后7天内不予确认也不提出修改意见，视为已经同意该项调整。合同当事人就调整事项不能达成一致的，则按照第16条〔争议解决〕的约定处理。</w:t>
      </w:r>
    </w:p>
    <w:p w14:paraId="0283FA2E">
      <w:pPr>
        <w:pStyle w:val="5"/>
        <w:rPr>
          <w:rFonts w:hint="eastAsia" w:ascii="宋体" w:hAnsi="宋体" w:cs="宋体"/>
          <w:color w:val="auto"/>
          <w:kern w:val="0"/>
          <w:sz w:val="21"/>
          <w:szCs w:val="21"/>
          <w:highlight w:val="none"/>
        </w:rPr>
      </w:pPr>
      <w:bookmarkStart w:id="253" w:name="_Toc28580"/>
      <w:bookmarkStart w:id="254" w:name="_Toc457826184"/>
      <w:r>
        <w:rPr>
          <w:rFonts w:hint="eastAsia" w:ascii="宋体" w:hAnsi="宋体" w:cs="宋体"/>
          <w:color w:val="auto"/>
          <w:kern w:val="0"/>
          <w:sz w:val="21"/>
          <w:szCs w:val="21"/>
          <w:highlight w:val="none"/>
        </w:rPr>
        <w:t>7.2 定金或预付款</w:t>
      </w:r>
      <w:bookmarkEnd w:id="252"/>
      <w:bookmarkEnd w:id="253"/>
      <w:bookmarkEnd w:id="254"/>
    </w:p>
    <w:p w14:paraId="5F7D8C6E">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7.2.1 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14:paraId="3D84528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7.2.2 定金或预付款在进度款中抵扣，抵扣办法可在专用合同条款中约定。</w:t>
      </w:r>
    </w:p>
    <w:p w14:paraId="48ED2DD4">
      <w:pPr>
        <w:pStyle w:val="5"/>
        <w:rPr>
          <w:rFonts w:hint="eastAsia" w:ascii="宋体" w:hAnsi="宋体" w:cs="宋体"/>
          <w:color w:val="auto"/>
          <w:kern w:val="0"/>
          <w:sz w:val="21"/>
          <w:szCs w:val="21"/>
          <w:highlight w:val="none"/>
        </w:rPr>
      </w:pPr>
      <w:bookmarkStart w:id="255" w:name="_Toc457826185"/>
      <w:bookmarkStart w:id="256" w:name="_Toc24786"/>
      <w:bookmarkStart w:id="257" w:name="_Toc406150455"/>
      <w:r>
        <w:rPr>
          <w:rFonts w:hint="eastAsia" w:ascii="宋体" w:hAnsi="宋体" w:cs="宋体"/>
          <w:color w:val="auto"/>
          <w:kern w:val="0"/>
          <w:sz w:val="21"/>
          <w:szCs w:val="21"/>
          <w:highlight w:val="none"/>
        </w:rPr>
        <w:t>7.3 进度款支付</w:t>
      </w:r>
      <w:bookmarkEnd w:id="255"/>
      <w:bookmarkEnd w:id="256"/>
      <w:bookmarkEnd w:id="257"/>
    </w:p>
    <w:p w14:paraId="130F7F5C">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7.3.1 发包人应按照专用合同条款约定的进度款支付方式、支付条件和支付时间进行支付。</w:t>
      </w:r>
    </w:p>
    <w:p w14:paraId="68B728CB">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7.3.2 第7.1款〔合同价款与调整〕和第8.2款〔变更合同价款确定〕确定调整的合同价款及其他条款中约定的追加或减少的合同价款，应与进度款同期调整支付。</w:t>
      </w:r>
    </w:p>
    <w:p w14:paraId="5D3258BC">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7.3.3 发包人超过约定的支付时间不支付进度款，勘察人可向发包人发出要求付款的通知，发包人收到勘察人通知后仍不能按要求付款，可与勘察人协商签订延期付款协议，经勘察人同意后可延期支付。</w:t>
      </w:r>
    </w:p>
    <w:p w14:paraId="5C2DEB2F">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7.3.4 发包人不按合同约定支付进度款，双方又未达成延期付款协议，勘察人可停止工程勘察作业和后期服务，由发包人承担违约责任。</w:t>
      </w:r>
    </w:p>
    <w:p w14:paraId="1FF6FE84">
      <w:pPr>
        <w:pStyle w:val="5"/>
        <w:rPr>
          <w:rFonts w:hint="eastAsia" w:ascii="宋体" w:hAnsi="宋体" w:cs="宋体"/>
          <w:color w:val="auto"/>
          <w:kern w:val="0"/>
          <w:sz w:val="21"/>
          <w:szCs w:val="21"/>
          <w:highlight w:val="none"/>
        </w:rPr>
      </w:pPr>
      <w:bookmarkStart w:id="258" w:name="_Toc457826186"/>
      <w:bookmarkStart w:id="259" w:name="_Toc4427"/>
      <w:r>
        <w:rPr>
          <w:rFonts w:hint="eastAsia" w:ascii="宋体" w:hAnsi="宋体" w:cs="宋体"/>
          <w:color w:val="auto"/>
          <w:kern w:val="0"/>
          <w:sz w:val="21"/>
          <w:szCs w:val="21"/>
          <w:highlight w:val="none"/>
        </w:rPr>
        <w:t>7.4 合同价款结算</w:t>
      </w:r>
      <w:bookmarkEnd w:id="258"/>
      <w:bookmarkEnd w:id="259"/>
    </w:p>
    <w:p w14:paraId="193447F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除专用合同条款另有约定外，发包人应在勘察人提交成果资料后28天内，依据第7.1款〔合同价款与调整〕和第8.2款〔变更合同价款确定〕的约定进行最终合同价款确定，并予以全额支付。</w:t>
      </w:r>
    </w:p>
    <w:p w14:paraId="5D90F7BF">
      <w:pPr>
        <w:pStyle w:val="4"/>
        <w:rPr>
          <w:rFonts w:hint="eastAsia" w:ascii="宋体" w:hAnsi="宋体" w:cs="宋体"/>
          <w:color w:val="auto"/>
          <w:sz w:val="21"/>
          <w:szCs w:val="21"/>
          <w:highlight w:val="none"/>
        </w:rPr>
      </w:pPr>
      <w:bookmarkStart w:id="260" w:name="_Toc3651"/>
      <w:bookmarkStart w:id="261" w:name="_Toc457826187"/>
      <w:bookmarkStart w:id="262" w:name="_Toc406150456"/>
      <w:r>
        <w:rPr>
          <w:rFonts w:hint="eastAsia" w:ascii="宋体" w:hAnsi="宋体" w:cs="宋体"/>
          <w:color w:val="auto"/>
          <w:sz w:val="21"/>
          <w:szCs w:val="21"/>
          <w:highlight w:val="none"/>
        </w:rPr>
        <w:t>第8条 变更与调整</w:t>
      </w:r>
      <w:bookmarkEnd w:id="260"/>
      <w:bookmarkEnd w:id="261"/>
      <w:bookmarkEnd w:id="262"/>
    </w:p>
    <w:p w14:paraId="10EAD35F">
      <w:pPr>
        <w:pStyle w:val="5"/>
        <w:rPr>
          <w:rFonts w:hint="eastAsia" w:ascii="宋体" w:hAnsi="宋体" w:cs="宋体"/>
          <w:color w:val="auto"/>
          <w:kern w:val="0"/>
          <w:sz w:val="21"/>
          <w:szCs w:val="21"/>
          <w:highlight w:val="none"/>
        </w:rPr>
      </w:pPr>
      <w:bookmarkStart w:id="263" w:name="_Toc23775"/>
      <w:bookmarkStart w:id="264" w:name="_Toc406150457"/>
      <w:bookmarkStart w:id="265" w:name="_Toc457826188"/>
      <w:r>
        <w:rPr>
          <w:rFonts w:hint="eastAsia" w:ascii="宋体" w:hAnsi="宋体" w:cs="宋体"/>
          <w:color w:val="auto"/>
          <w:kern w:val="0"/>
          <w:sz w:val="21"/>
          <w:szCs w:val="21"/>
          <w:highlight w:val="none"/>
        </w:rPr>
        <w:t>8.1 变更范围与确认</w:t>
      </w:r>
      <w:bookmarkEnd w:id="263"/>
      <w:bookmarkEnd w:id="264"/>
      <w:bookmarkEnd w:id="265"/>
    </w:p>
    <w:p w14:paraId="128171F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8.1.1 变更范围</w:t>
      </w:r>
    </w:p>
    <w:p w14:paraId="3D5A4C4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本合同变更是指在合同签订日后发生的以下变更：</w:t>
      </w:r>
    </w:p>
    <w:p w14:paraId="77306CA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（1）法律法规及技术标准的变化引起的变更；</w:t>
      </w:r>
    </w:p>
    <w:p w14:paraId="325166B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（2）规划方案或设计条件的变化引起的变更；</w:t>
      </w:r>
    </w:p>
    <w:p w14:paraId="3BB9613C">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（3）不利物质条件引起的变更；</w:t>
      </w:r>
    </w:p>
    <w:p w14:paraId="7548340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（4）发包人的要求变化引起的变更；</w:t>
      </w:r>
    </w:p>
    <w:p w14:paraId="24AC90C1">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（5）因政府临时禁令引起的变更；</w:t>
      </w:r>
    </w:p>
    <w:p w14:paraId="1E282F1D">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（6）其他专用合同条款中约定的变更。</w:t>
      </w:r>
    </w:p>
    <w:p w14:paraId="5362F16E">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8.1.2 变更确认</w:t>
      </w:r>
    </w:p>
    <w:p w14:paraId="424BC854">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14:paraId="7B7E1C31">
      <w:pPr>
        <w:pStyle w:val="5"/>
        <w:rPr>
          <w:rFonts w:hint="eastAsia" w:ascii="宋体" w:hAnsi="宋体" w:cs="宋体"/>
          <w:color w:val="auto"/>
          <w:kern w:val="0"/>
          <w:sz w:val="21"/>
          <w:szCs w:val="21"/>
          <w:highlight w:val="none"/>
        </w:rPr>
      </w:pPr>
      <w:bookmarkStart w:id="266" w:name="_Toc457826189"/>
      <w:bookmarkStart w:id="267" w:name="_Toc406150458"/>
      <w:bookmarkStart w:id="268" w:name="_Toc3699"/>
      <w:r>
        <w:rPr>
          <w:rFonts w:hint="eastAsia" w:ascii="宋体" w:hAnsi="宋体" w:cs="宋体"/>
          <w:color w:val="auto"/>
          <w:kern w:val="0"/>
          <w:sz w:val="21"/>
          <w:szCs w:val="21"/>
          <w:highlight w:val="none"/>
        </w:rPr>
        <w:t>8.2 变更合同价款确定</w:t>
      </w:r>
      <w:bookmarkEnd w:id="266"/>
      <w:bookmarkEnd w:id="267"/>
      <w:bookmarkEnd w:id="268"/>
    </w:p>
    <w:p w14:paraId="12170991">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8.2.1 变更合同价款按下列方法进行：</w:t>
      </w:r>
    </w:p>
    <w:p w14:paraId="5A0215B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（1）合同中已有适用于变更工程的价格，按合同已有的价格变更合同价款；</w:t>
      </w:r>
    </w:p>
    <w:p w14:paraId="4C7B9EC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（2）合同中只有类似于变更工程的价格，可以参照类似价格变更合同价款；</w:t>
      </w:r>
    </w:p>
    <w:p w14:paraId="6B156B3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（3）合同中没有适用或类似于变更工程的价格，由勘察人提出适当的变更价格，经发包人确认后执行。</w:t>
      </w:r>
    </w:p>
    <w:p w14:paraId="7E5B6FCA">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8.2.2 除专用合同条款对期限另有约定外，一方应在双方确定变更事项后14天内向对方提出变更合同价款报告，否则视为该项变更不涉及合同价款的变更。</w:t>
      </w:r>
    </w:p>
    <w:p w14:paraId="3092D22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8.2.3 除专用合同条款对期限另有约定外，一方应在收到对方提交的变更合同价款报告之日起14天内予以确认。逾期无正当理由不予确认的，则视为该项变更合同价款报告已被确认。</w:t>
      </w:r>
    </w:p>
    <w:p w14:paraId="4263E256">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8.2.4 一方不同意对方提出的合同价款变更，按第16条〔争议解决〕的约定处理。</w:t>
      </w:r>
    </w:p>
    <w:p w14:paraId="719835BE">
      <w:pPr>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8.2.5 因勘察人自身原因导致的变更，勘察人无权要求追加合同价款。</w:t>
      </w:r>
    </w:p>
    <w:p w14:paraId="1BE3092A">
      <w:pPr>
        <w:pStyle w:val="4"/>
        <w:rPr>
          <w:rFonts w:hint="eastAsia" w:ascii="宋体" w:hAnsi="宋体" w:cs="宋体"/>
          <w:color w:val="auto"/>
          <w:sz w:val="21"/>
          <w:szCs w:val="21"/>
          <w:highlight w:val="none"/>
        </w:rPr>
      </w:pPr>
      <w:bookmarkStart w:id="269" w:name="_Toc406150459"/>
      <w:bookmarkStart w:id="270" w:name="_Toc457826190"/>
      <w:bookmarkStart w:id="271" w:name="_Toc6062"/>
      <w:r>
        <w:rPr>
          <w:rFonts w:hint="eastAsia" w:ascii="宋体" w:hAnsi="宋体" w:cs="宋体"/>
          <w:color w:val="auto"/>
          <w:sz w:val="21"/>
          <w:szCs w:val="21"/>
          <w:highlight w:val="none"/>
        </w:rPr>
        <w:t>第9条 知识产权</w:t>
      </w:r>
      <w:bookmarkEnd w:id="269"/>
      <w:bookmarkEnd w:id="270"/>
      <w:bookmarkEnd w:id="271"/>
    </w:p>
    <w:p w14:paraId="0C36E61D">
      <w:pPr>
        <w:tabs>
          <w:tab w:val="left" w:pos="540"/>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9.1 </w:t>
      </w:r>
      <w:r>
        <w:rPr>
          <w:rFonts w:hint="eastAsia" w:ascii="宋体" w:hAnsi="宋体" w:cs="宋体"/>
          <w:color w:val="auto"/>
          <w:kern w:val="0"/>
          <w:szCs w:val="21"/>
          <w:highlight w:val="none"/>
        </w:rPr>
        <w:t>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14:paraId="5C01321E">
      <w:pPr>
        <w:tabs>
          <w:tab w:val="left" w:pos="720"/>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 xml:space="preserve">9.2 </w:t>
      </w:r>
      <w:r>
        <w:rPr>
          <w:rFonts w:hint="eastAsia" w:ascii="宋体" w:hAnsi="宋体" w:cs="宋体"/>
          <w:color w:val="auto"/>
          <w:kern w:val="0"/>
          <w:szCs w:val="21"/>
          <w:highlight w:val="none"/>
        </w:rPr>
        <w:t>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14:paraId="7DD8027E">
      <w:pPr>
        <w:tabs>
          <w:tab w:val="left" w:pos="720"/>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 xml:space="preserve">9.3 </w:t>
      </w:r>
      <w:r>
        <w:rPr>
          <w:rFonts w:hint="eastAsia" w:ascii="宋体" w:hAnsi="宋体" w:cs="宋体"/>
          <w:color w:val="auto"/>
          <w:kern w:val="0"/>
          <w:szCs w:val="21"/>
          <w:highlight w:val="none"/>
        </w:rPr>
        <w:t>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14:paraId="6E27151F">
      <w:pPr>
        <w:tabs>
          <w:tab w:val="left" w:pos="720"/>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 xml:space="preserve">9.4 </w:t>
      </w:r>
      <w:r>
        <w:rPr>
          <w:rFonts w:hint="eastAsia" w:ascii="宋体" w:hAnsi="宋体" w:cs="宋体"/>
          <w:color w:val="auto"/>
          <w:kern w:val="0"/>
          <w:szCs w:val="21"/>
          <w:highlight w:val="none"/>
        </w:rPr>
        <w:t>在不损害对方利益情况下，合同当事人双方均有权在申报奖项、制作宣传印刷品及出版物时使用有关项目的文字和图片材料。</w:t>
      </w:r>
    </w:p>
    <w:p w14:paraId="5AA7ECC3">
      <w:pPr>
        <w:tabs>
          <w:tab w:val="left" w:pos="720"/>
          <w:tab w:val="left" w:pos="1260"/>
        </w:tabs>
        <w:spacing w:line="360" w:lineRule="auto"/>
        <w:ind w:firstLine="422" w:firstLineChars="200"/>
        <w:jc w:val="left"/>
        <w:rPr>
          <w:rFonts w:hint="eastAsia" w:ascii="宋体" w:hAnsi="宋体" w:cs="宋体"/>
          <w:color w:val="auto"/>
          <w:kern w:val="0"/>
          <w:szCs w:val="21"/>
          <w:highlight w:val="none"/>
        </w:rPr>
      </w:pPr>
      <w:bookmarkStart w:id="272" w:name="_Toc406150461"/>
      <w:r>
        <w:rPr>
          <w:rFonts w:hint="eastAsia" w:ascii="宋体" w:hAnsi="宋体" w:cs="宋体"/>
          <w:b/>
          <w:bCs/>
          <w:color w:val="auto"/>
          <w:kern w:val="0"/>
          <w:szCs w:val="21"/>
          <w:highlight w:val="none"/>
        </w:rPr>
        <w:t>9.5</w:t>
      </w:r>
      <w:bookmarkEnd w:id="272"/>
      <w:r>
        <w:rPr>
          <w:rFonts w:hint="eastAsia" w:ascii="宋体" w:hAnsi="宋体" w:cs="宋体"/>
          <w:b/>
          <w:bCs/>
          <w:color w:val="auto"/>
          <w:kern w:val="0"/>
          <w:szCs w:val="21"/>
          <w:highlight w:val="none"/>
        </w:rPr>
        <w:t xml:space="preserve"> </w:t>
      </w:r>
      <w:r>
        <w:rPr>
          <w:rFonts w:hint="eastAsia" w:ascii="宋体" w:hAnsi="宋体" w:cs="宋体"/>
          <w:color w:val="auto"/>
          <w:kern w:val="0"/>
          <w:szCs w:val="21"/>
          <w:highlight w:val="none"/>
        </w:rPr>
        <w:t>除专用合同条款另有约定外，勘察人在合同签订前和签订时已确定采用的专利、专有技术、技术秘密的使用费已包含在合同价款中。</w:t>
      </w:r>
    </w:p>
    <w:p w14:paraId="39EC468A">
      <w:pPr>
        <w:pStyle w:val="4"/>
        <w:rPr>
          <w:rFonts w:hint="eastAsia" w:ascii="宋体" w:hAnsi="宋体" w:cs="宋体"/>
          <w:color w:val="auto"/>
          <w:sz w:val="21"/>
          <w:szCs w:val="21"/>
          <w:highlight w:val="none"/>
        </w:rPr>
      </w:pPr>
      <w:bookmarkStart w:id="273" w:name="_Toc32644"/>
      <w:bookmarkStart w:id="274" w:name="_Toc406150462"/>
      <w:bookmarkStart w:id="275" w:name="_Toc457826191"/>
      <w:r>
        <w:rPr>
          <w:rFonts w:hint="eastAsia" w:ascii="宋体" w:hAnsi="宋体" w:cs="宋体"/>
          <w:color w:val="auto"/>
          <w:sz w:val="21"/>
          <w:szCs w:val="21"/>
          <w:highlight w:val="none"/>
        </w:rPr>
        <w:t>第10条 不可抗力</w:t>
      </w:r>
      <w:bookmarkEnd w:id="273"/>
      <w:bookmarkEnd w:id="274"/>
      <w:bookmarkEnd w:id="275"/>
    </w:p>
    <w:p w14:paraId="0B473511">
      <w:pPr>
        <w:pStyle w:val="5"/>
        <w:rPr>
          <w:rFonts w:hint="eastAsia" w:ascii="宋体" w:hAnsi="宋体" w:cs="宋体"/>
          <w:color w:val="auto"/>
          <w:kern w:val="0"/>
          <w:sz w:val="21"/>
          <w:szCs w:val="21"/>
          <w:highlight w:val="none"/>
        </w:rPr>
      </w:pPr>
      <w:bookmarkStart w:id="276" w:name="_Toc457826192"/>
      <w:bookmarkStart w:id="277" w:name="_Toc25889"/>
      <w:bookmarkStart w:id="278" w:name="_Toc406150463"/>
      <w:r>
        <w:rPr>
          <w:rFonts w:hint="eastAsia" w:ascii="宋体" w:hAnsi="宋体" w:cs="宋体"/>
          <w:color w:val="auto"/>
          <w:kern w:val="0"/>
          <w:sz w:val="21"/>
          <w:szCs w:val="21"/>
          <w:highlight w:val="none"/>
        </w:rPr>
        <w:t>10.1 不可抗力的确认</w:t>
      </w:r>
      <w:bookmarkEnd w:id="276"/>
      <w:bookmarkEnd w:id="277"/>
      <w:bookmarkEnd w:id="278"/>
    </w:p>
    <w:p w14:paraId="5AAAFBBA">
      <w:pPr>
        <w:tabs>
          <w:tab w:val="left" w:pos="720"/>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10.1.1 不可抗力是在订立合同时不可合理预见，在履行合同中不可避免的发生且不能克服的自然灾害和社会突发事件，如地震、海啸、瘟疫、洪水、骚乱、暴动、战争以及专用条款约定的其他自然灾害和社会突发事件。</w:t>
      </w:r>
    </w:p>
    <w:p w14:paraId="773525A6">
      <w:pPr>
        <w:tabs>
          <w:tab w:val="left" w:pos="720"/>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10.1.2 不可抗力发生后，发包人和勘察人应收集不可抗力发生及造成损失的证据。合同当事双方对是否属于不可抗力或其损失发生争议时，按第16条〔争议解决〕的约定处理。</w:t>
      </w:r>
    </w:p>
    <w:p w14:paraId="1A6F83E8">
      <w:pPr>
        <w:pStyle w:val="5"/>
        <w:rPr>
          <w:rFonts w:hint="eastAsia" w:ascii="宋体" w:hAnsi="宋体" w:cs="宋体"/>
          <w:color w:val="auto"/>
          <w:kern w:val="0"/>
          <w:sz w:val="21"/>
          <w:szCs w:val="21"/>
          <w:highlight w:val="none"/>
        </w:rPr>
      </w:pPr>
      <w:bookmarkStart w:id="279" w:name="_Toc406150464"/>
      <w:bookmarkStart w:id="280" w:name="_Toc9696"/>
      <w:bookmarkStart w:id="281" w:name="_Toc457826193"/>
      <w:r>
        <w:rPr>
          <w:rFonts w:hint="eastAsia" w:ascii="宋体" w:hAnsi="宋体" w:cs="宋体"/>
          <w:color w:val="auto"/>
          <w:kern w:val="0"/>
          <w:sz w:val="21"/>
          <w:szCs w:val="21"/>
          <w:highlight w:val="none"/>
        </w:rPr>
        <w:t>10.2 不可抗力的通知</w:t>
      </w:r>
      <w:bookmarkEnd w:id="279"/>
      <w:bookmarkEnd w:id="280"/>
      <w:bookmarkEnd w:id="281"/>
    </w:p>
    <w:p w14:paraId="69DEF26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10.2.1 遇有不可抗力发生时，发包人和勘察人应立即通知对方，双方应共同采取措施减少损失。除专用合同条款对期限另有约定外，不可抗力持续发生，勘察人应每隔7天向发包人报告一次受害损失情况。</w:t>
      </w:r>
    </w:p>
    <w:p w14:paraId="19DC15EE">
      <w:pPr>
        <w:tabs>
          <w:tab w:val="left" w:pos="162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10.2.2 除专用合同条款对期限另有约定外，不可抗力结束后2天内，勘察人向发包人通报受害损失情况及预计清理和修复的费用；不可抗力结束后14天内，勘察人向发包人提交清理和修复费用的正式报告及有关资料。</w:t>
      </w:r>
    </w:p>
    <w:p w14:paraId="62772F3A">
      <w:pPr>
        <w:pStyle w:val="5"/>
        <w:rPr>
          <w:rFonts w:hint="eastAsia" w:ascii="宋体" w:hAnsi="宋体" w:cs="宋体"/>
          <w:color w:val="auto"/>
          <w:kern w:val="0"/>
          <w:sz w:val="21"/>
          <w:szCs w:val="21"/>
          <w:highlight w:val="none"/>
        </w:rPr>
      </w:pPr>
      <w:bookmarkStart w:id="282" w:name="_Toc406150465"/>
      <w:bookmarkStart w:id="283" w:name="_Toc29709"/>
      <w:bookmarkStart w:id="284" w:name="_Toc457826194"/>
      <w:r>
        <w:rPr>
          <w:rFonts w:hint="eastAsia" w:ascii="宋体" w:hAnsi="宋体" w:cs="宋体"/>
          <w:color w:val="auto"/>
          <w:kern w:val="0"/>
          <w:sz w:val="21"/>
          <w:szCs w:val="21"/>
          <w:highlight w:val="none"/>
        </w:rPr>
        <w:t>10.3 不可抗力后果的承担</w:t>
      </w:r>
      <w:bookmarkEnd w:id="282"/>
      <w:bookmarkEnd w:id="283"/>
      <w:bookmarkEnd w:id="284"/>
    </w:p>
    <w:p w14:paraId="21E12D0A">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10.3.1 因不可抗力发生的费用及延误的工期由双方按以下方法分别承担：</w:t>
      </w:r>
    </w:p>
    <w:p w14:paraId="33F3D998">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（1）发包人和勘察人人员伤亡由合同当事人双方自行负责，并承担相应费用；</w:t>
      </w:r>
    </w:p>
    <w:p w14:paraId="029CC27E">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（2）勘察人机械设备损坏及停工损失，由勘察人承担；</w:t>
      </w:r>
    </w:p>
    <w:p w14:paraId="2367E3B1">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（3）停工期间，勘察人应发包人要求留在作业场地的管理人员及保卫人员的费用由发包人承担；</w:t>
      </w:r>
    </w:p>
    <w:p w14:paraId="5D8FCBA5">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（4）作业场地发生的清理、修复费用由发包人承担；</w:t>
      </w:r>
    </w:p>
    <w:p w14:paraId="33F6DFD5">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（5）延误的工期相应顺延。</w:t>
      </w:r>
    </w:p>
    <w:p w14:paraId="75ED3888">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10.3.2 因合同一方迟延履行合同后发生不可抗力的，不能免除迟延履行方的相应责任。</w:t>
      </w:r>
    </w:p>
    <w:p w14:paraId="6BA3E11D">
      <w:pPr>
        <w:pStyle w:val="4"/>
        <w:rPr>
          <w:rFonts w:hint="eastAsia" w:ascii="宋体" w:hAnsi="宋体" w:cs="宋体"/>
          <w:color w:val="auto"/>
          <w:sz w:val="21"/>
          <w:szCs w:val="21"/>
          <w:highlight w:val="none"/>
        </w:rPr>
      </w:pPr>
      <w:bookmarkStart w:id="285" w:name="_Toc457826195"/>
      <w:bookmarkStart w:id="286" w:name="_Toc26811"/>
      <w:bookmarkStart w:id="287" w:name="_Toc406150466"/>
      <w:r>
        <w:rPr>
          <w:rFonts w:hint="eastAsia" w:ascii="宋体" w:hAnsi="宋体" w:cs="宋体"/>
          <w:color w:val="auto"/>
          <w:sz w:val="21"/>
          <w:szCs w:val="21"/>
          <w:highlight w:val="none"/>
        </w:rPr>
        <w:t>第11条 合同生效与终止</w:t>
      </w:r>
      <w:bookmarkEnd w:id="285"/>
      <w:bookmarkEnd w:id="286"/>
      <w:bookmarkEnd w:id="287"/>
    </w:p>
    <w:p w14:paraId="58648B9C">
      <w:pPr>
        <w:tabs>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11.1 </w:t>
      </w:r>
      <w:r>
        <w:rPr>
          <w:rFonts w:hint="eastAsia" w:ascii="宋体" w:hAnsi="宋体" w:cs="宋体"/>
          <w:color w:val="auto"/>
          <w:kern w:val="0"/>
          <w:szCs w:val="21"/>
          <w:highlight w:val="none"/>
        </w:rPr>
        <w:t>双方在合同协议书中约定合同生效方式。</w:t>
      </w:r>
    </w:p>
    <w:p w14:paraId="185DE495">
      <w:pPr>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11.2 </w:t>
      </w:r>
      <w:r>
        <w:rPr>
          <w:rFonts w:hint="eastAsia" w:ascii="宋体" w:hAnsi="宋体" w:cs="宋体"/>
          <w:color w:val="auto"/>
          <w:kern w:val="0"/>
          <w:szCs w:val="21"/>
          <w:highlight w:val="none"/>
        </w:rPr>
        <w:t>发包人、勘察人履行合同全部义务，合同价款支付完毕，本合同即告终止。</w:t>
      </w:r>
    </w:p>
    <w:p w14:paraId="51CD905A">
      <w:pPr>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11.3 </w:t>
      </w:r>
      <w:r>
        <w:rPr>
          <w:rFonts w:hint="eastAsia" w:ascii="宋体" w:hAnsi="宋体" w:cs="宋体"/>
          <w:color w:val="auto"/>
          <w:kern w:val="0"/>
          <w:szCs w:val="21"/>
          <w:highlight w:val="none"/>
        </w:rPr>
        <w:t>合同的权利义务终止后，合同当事人应遵循诚实信用原则，履行通知、协助和保密等义务。</w:t>
      </w:r>
    </w:p>
    <w:p w14:paraId="21239FCF">
      <w:pPr>
        <w:pStyle w:val="4"/>
        <w:rPr>
          <w:rFonts w:hint="eastAsia" w:ascii="宋体" w:hAnsi="宋体" w:cs="宋体"/>
          <w:color w:val="auto"/>
          <w:sz w:val="21"/>
          <w:szCs w:val="21"/>
          <w:highlight w:val="none"/>
        </w:rPr>
      </w:pPr>
      <w:bookmarkStart w:id="288" w:name="_Toc457826196"/>
      <w:bookmarkStart w:id="289" w:name="_Toc31684"/>
      <w:bookmarkStart w:id="290" w:name="_Toc406150467"/>
      <w:r>
        <w:rPr>
          <w:rFonts w:hint="eastAsia" w:ascii="宋体" w:hAnsi="宋体" w:cs="宋体"/>
          <w:color w:val="auto"/>
          <w:sz w:val="21"/>
          <w:szCs w:val="21"/>
          <w:highlight w:val="none"/>
        </w:rPr>
        <w:t>第12条 合同解除</w:t>
      </w:r>
      <w:bookmarkEnd w:id="288"/>
      <w:bookmarkEnd w:id="289"/>
      <w:bookmarkEnd w:id="290"/>
    </w:p>
    <w:p w14:paraId="65523C58">
      <w:pPr>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12.1 </w:t>
      </w:r>
      <w:r>
        <w:rPr>
          <w:rFonts w:hint="eastAsia" w:ascii="宋体" w:hAnsi="宋体" w:cs="宋体"/>
          <w:color w:val="auto"/>
          <w:kern w:val="0"/>
          <w:szCs w:val="21"/>
          <w:highlight w:val="none"/>
        </w:rPr>
        <w:t>有下列情形之一的，发包人、勘察人可以解除合同：</w:t>
      </w:r>
    </w:p>
    <w:p w14:paraId="77D2299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（1）因不可抗力致使合同无法履行；</w:t>
      </w:r>
    </w:p>
    <w:p w14:paraId="5A04679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（2）发生未按第7.2款〔定金或预付款〕或第7.3款〔进度款支付〕约定按时支付合同价款的情况，停止作业超过28天，勘察人有权解除合同，由发包人承担违约责任；</w:t>
      </w:r>
    </w:p>
    <w:p w14:paraId="36D4E2F1">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（3）勘察人将其承包的全部工程转包给他人或者肢解以后以分包的名义分别转包给他人，发包人有权解除合同，由勘察人承担违约责任；</w:t>
      </w:r>
    </w:p>
    <w:p w14:paraId="11705F5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（4）发包人和勘察人协商一致可以解除合同的其他情形。</w:t>
      </w:r>
    </w:p>
    <w:p w14:paraId="65BEC82A">
      <w:pPr>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12.2 </w:t>
      </w:r>
      <w:r>
        <w:rPr>
          <w:rFonts w:hint="eastAsia" w:ascii="宋体" w:hAnsi="宋体" w:cs="宋体"/>
          <w:color w:val="auto"/>
          <w:kern w:val="0"/>
          <w:szCs w:val="21"/>
          <w:highlight w:val="none"/>
        </w:rPr>
        <w:t>一方依据第12.1款约定要求解除合同的，应以书面形式向对方发出解除合同的通知，并在发出通知前不少于14天告知对方，通知到达对方时合同解除。对解除合同有争议的，按第16条〔争议解决〕的约定处理。</w:t>
      </w:r>
    </w:p>
    <w:p w14:paraId="26647882">
      <w:pPr>
        <w:tabs>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12.3 </w:t>
      </w:r>
      <w:r>
        <w:rPr>
          <w:rFonts w:hint="eastAsia" w:ascii="宋体" w:hAnsi="宋体" w:cs="宋体"/>
          <w:color w:val="auto"/>
          <w:kern w:val="0"/>
          <w:szCs w:val="21"/>
          <w:highlight w:val="none"/>
        </w:rPr>
        <w:t>因不可抗力致使合同无法履行时，发包人应按合同约定向勘察人支付已完工作量相对应比例的合同价款后解除合同。</w:t>
      </w:r>
    </w:p>
    <w:p w14:paraId="60074792">
      <w:pPr>
        <w:tabs>
          <w:tab w:val="left" w:pos="1260"/>
        </w:tabs>
        <w:spacing w:line="360" w:lineRule="auto"/>
        <w:ind w:firstLine="422" w:firstLineChars="200"/>
        <w:jc w:val="left"/>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12.4 </w:t>
      </w:r>
      <w:r>
        <w:rPr>
          <w:rFonts w:hint="eastAsia" w:ascii="宋体" w:hAnsi="宋体" w:cs="宋体"/>
          <w:color w:val="auto"/>
          <w:kern w:val="0"/>
          <w:szCs w:val="21"/>
          <w:highlight w:val="none"/>
        </w:rPr>
        <w:t>合同解除后，勘察人应按发包人要求将自有设备和人员撤出作业场地，发包人应为勘察人撤出提供必要条件。</w:t>
      </w:r>
    </w:p>
    <w:p w14:paraId="42E46198">
      <w:pPr>
        <w:pStyle w:val="4"/>
        <w:rPr>
          <w:rFonts w:hint="eastAsia" w:ascii="宋体" w:hAnsi="宋体" w:cs="宋体"/>
          <w:color w:val="auto"/>
          <w:sz w:val="21"/>
          <w:szCs w:val="21"/>
          <w:highlight w:val="none"/>
        </w:rPr>
      </w:pPr>
      <w:bookmarkStart w:id="291" w:name="_Toc457826197"/>
      <w:bookmarkStart w:id="292" w:name="_Toc406150468"/>
      <w:bookmarkStart w:id="293" w:name="_Toc860"/>
      <w:r>
        <w:rPr>
          <w:rFonts w:hint="eastAsia" w:ascii="宋体" w:hAnsi="宋体" w:cs="宋体"/>
          <w:color w:val="auto"/>
          <w:sz w:val="21"/>
          <w:szCs w:val="21"/>
          <w:highlight w:val="none"/>
        </w:rPr>
        <w:t>第13条 责任与保险</w:t>
      </w:r>
      <w:bookmarkEnd w:id="291"/>
      <w:bookmarkEnd w:id="292"/>
      <w:bookmarkEnd w:id="293"/>
    </w:p>
    <w:p w14:paraId="0F700F50">
      <w:pPr>
        <w:tabs>
          <w:tab w:val="left" w:pos="540"/>
        </w:tabs>
        <w:spacing w:line="360" w:lineRule="auto"/>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13.1 </w:t>
      </w:r>
      <w:r>
        <w:rPr>
          <w:rFonts w:hint="eastAsia" w:ascii="宋体" w:hAnsi="宋体" w:cs="宋体"/>
          <w:color w:val="auto"/>
          <w:kern w:val="0"/>
          <w:szCs w:val="21"/>
          <w:highlight w:val="none"/>
        </w:rPr>
        <w:t>勘察人应运用一切合理的专业技术和经验，按照公认的职业标准尽其全部职责和谨慎、勤勉地履行其在本合同项下的责任和义务。</w:t>
      </w:r>
    </w:p>
    <w:p w14:paraId="045F3C1F">
      <w:pPr>
        <w:tabs>
          <w:tab w:val="left" w:pos="540"/>
        </w:tabs>
        <w:spacing w:line="360" w:lineRule="auto"/>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13.2 </w:t>
      </w:r>
      <w:r>
        <w:rPr>
          <w:rFonts w:hint="eastAsia" w:ascii="宋体" w:hAnsi="宋体" w:cs="宋体"/>
          <w:color w:val="auto"/>
          <w:kern w:val="0"/>
          <w:szCs w:val="21"/>
          <w:highlight w:val="none"/>
        </w:rPr>
        <w:t>合同当事人可按照法律法规的要求在专用合同条款中约定履行本合同所需要的工程勘察责任保险，并使其于合同责任期内保持有效。</w:t>
      </w:r>
    </w:p>
    <w:p w14:paraId="1F472493">
      <w:pPr>
        <w:tabs>
          <w:tab w:val="left" w:pos="540"/>
        </w:tabs>
        <w:spacing w:line="360" w:lineRule="auto"/>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13.3 </w:t>
      </w:r>
      <w:r>
        <w:rPr>
          <w:rFonts w:hint="eastAsia" w:ascii="宋体" w:hAnsi="宋体" w:cs="宋体"/>
          <w:color w:val="auto"/>
          <w:kern w:val="0"/>
          <w:szCs w:val="21"/>
          <w:highlight w:val="none"/>
        </w:rPr>
        <w:t>勘察人应依照法律法规的规定为勘察作业人员参加工伤保险、人身意外伤害险和其他保险。</w:t>
      </w:r>
    </w:p>
    <w:p w14:paraId="4FE97FB9">
      <w:pPr>
        <w:pStyle w:val="4"/>
        <w:rPr>
          <w:rFonts w:hint="eastAsia" w:ascii="宋体" w:hAnsi="宋体" w:cs="宋体"/>
          <w:color w:val="auto"/>
          <w:sz w:val="21"/>
          <w:szCs w:val="21"/>
          <w:highlight w:val="none"/>
        </w:rPr>
      </w:pPr>
      <w:bookmarkStart w:id="294" w:name="_Toc406150469"/>
      <w:bookmarkStart w:id="295" w:name="_Toc457826198"/>
      <w:bookmarkStart w:id="296" w:name="_Toc11946"/>
      <w:r>
        <w:rPr>
          <w:rFonts w:hint="eastAsia" w:ascii="宋体" w:hAnsi="宋体" w:cs="宋体"/>
          <w:color w:val="auto"/>
          <w:sz w:val="21"/>
          <w:szCs w:val="21"/>
          <w:highlight w:val="none"/>
        </w:rPr>
        <w:t>第14条 违约</w:t>
      </w:r>
      <w:bookmarkEnd w:id="294"/>
      <w:bookmarkEnd w:id="295"/>
      <w:bookmarkEnd w:id="296"/>
    </w:p>
    <w:p w14:paraId="3EEE86DA">
      <w:pPr>
        <w:pStyle w:val="5"/>
        <w:rPr>
          <w:rFonts w:hint="eastAsia" w:ascii="宋体" w:hAnsi="宋体" w:cs="宋体"/>
          <w:color w:val="auto"/>
          <w:kern w:val="0"/>
          <w:sz w:val="21"/>
          <w:szCs w:val="21"/>
          <w:highlight w:val="none"/>
        </w:rPr>
      </w:pPr>
      <w:bookmarkStart w:id="297" w:name="_Toc457826199"/>
      <w:bookmarkStart w:id="298" w:name="_Toc406150470"/>
      <w:bookmarkStart w:id="299" w:name="_Toc6637"/>
      <w:r>
        <w:rPr>
          <w:rFonts w:hint="eastAsia" w:ascii="宋体" w:hAnsi="宋体" w:cs="宋体"/>
          <w:color w:val="auto"/>
          <w:kern w:val="0"/>
          <w:sz w:val="21"/>
          <w:szCs w:val="21"/>
          <w:highlight w:val="none"/>
        </w:rPr>
        <w:t>14.1 发包人违约</w:t>
      </w:r>
      <w:bookmarkEnd w:id="297"/>
      <w:bookmarkEnd w:id="298"/>
      <w:bookmarkEnd w:id="299"/>
    </w:p>
    <w:p w14:paraId="75CDD69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14.1.1 发包人违约情形</w:t>
      </w:r>
    </w:p>
    <w:p w14:paraId="709B420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（1）合同生效后，发包人无故要求终止或解除合同；</w:t>
      </w:r>
    </w:p>
    <w:p w14:paraId="2932775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（2）发包人未按第7.2款〔定金或预付款〕约定按时支付定金或预付款；</w:t>
      </w:r>
    </w:p>
    <w:p w14:paraId="44BFF7E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（3）发包人未按第7.3款〔进度款支付〕约定按时支付进度款；</w:t>
      </w:r>
    </w:p>
    <w:p w14:paraId="1F80B681">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（4）发包人不履行合同义务或不按合同约定履行义务的其他情形。</w:t>
      </w:r>
    </w:p>
    <w:p w14:paraId="73DC105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14.1.2 发包人违约责任</w:t>
      </w:r>
    </w:p>
    <w:p w14:paraId="655E2F8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完成计划工作量超过50%的，发包人应支付勘察人合同价款的100%。</w:t>
      </w:r>
    </w:p>
    <w:p w14:paraId="1D486EC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14:paraId="2984BB23">
      <w:pPr>
        <w:pStyle w:val="5"/>
        <w:rPr>
          <w:rFonts w:hint="eastAsia" w:ascii="宋体" w:hAnsi="宋体" w:cs="宋体"/>
          <w:color w:val="auto"/>
          <w:kern w:val="0"/>
          <w:sz w:val="21"/>
          <w:szCs w:val="21"/>
          <w:highlight w:val="none"/>
        </w:rPr>
      </w:pPr>
      <w:bookmarkStart w:id="300" w:name="_Toc13899"/>
      <w:bookmarkStart w:id="301" w:name="_Toc406150471"/>
      <w:bookmarkStart w:id="302" w:name="_Toc457826200"/>
      <w:r>
        <w:rPr>
          <w:rFonts w:hint="eastAsia" w:ascii="宋体" w:hAnsi="宋体" w:cs="宋体"/>
          <w:color w:val="auto"/>
          <w:kern w:val="0"/>
          <w:sz w:val="21"/>
          <w:szCs w:val="21"/>
          <w:highlight w:val="none"/>
        </w:rPr>
        <w:t>14.2 勘察人违约</w:t>
      </w:r>
      <w:bookmarkEnd w:id="300"/>
      <w:bookmarkEnd w:id="301"/>
      <w:bookmarkEnd w:id="302"/>
    </w:p>
    <w:p w14:paraId="5914EC6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14.2.1 勘察人违约情形</w:t>
      </w:r>
    </w:p>
    <w:p w14:paraId="22F3E11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（1）合同生效后，勘察人因自身原因要求终止或解除合同；</w:t>
      </w:r>
    </w:p>
    <w:p w14:paraId="69D9472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（2）因勘察人原因不能按照合同约定的日期或合同当事人同意顺延的工期提交成果资料；</w:t>
      </w:r>
    </w:p>
    <w:p w14:paraId="7FDD1A5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（3）因勘察人原因造成成果资料质量达不到合同约定的质量标准；</w:t>
      </w:r>
    </w:p>
    <w:p w14:paraId="0002F9A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（4）勘察人不履行合同义务或未按约定履行合同义务的其他情形。</w:t>
      </w:r>
    </w:p>
    <w:p w14:paraId="09BC0B0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14.2.2 勘察人违约责任</w:t>
      </w:r>
    </w:p>
    <w:p w14:paraId="54EBEAC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（1）合同生效后，勘察人因自身原因要求终止或解除合同，勘察人应双倍返还发包人已支付的定金或勘察人按照专用合同条款约定向发包人支付违约金。</w:t>
      </w:r>
    </w:p>
    <w:p w14:paraId="3F56702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（2）因勘察人原因造成工期延误的，应按专用合同条款约定向发包人支付违约金。</w:t>
      </w:r>
    </w:p>
    <w:p w14:paraId="02C109D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14:paraId="772B66E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（4）勘察人发生其他违约情形时，勘察人应承担违约责任并赔偿因其违约给发包人造成的损失，双方可在专用合同条款内约定勘察人赔偿发包人损失的计算方法和赔偿金额。</w:t>
      </w:r>
    </w:p>
    <w:p w14:paraId="76B325DB">
      <w:pPr>
        <w:pStyle w:val="4"/>
        <w:rPr>
          <w:rFonts w:hint="eastAsia" w:ascii="宋体" w:hAnsi="宋体" w:cs="宋体"/>
          <w:color w:val="auto"/>
          <w:sz w:val="21"/>
          <w:szCs w:val="21"/>
          <w:highlight w:val="none"/>
        </w:rPr>
      </w:pPr>
      <w:bookmarkStart w:id="303" w:name="_Toc406150472"/>
      <w:bookmarkStart w:id="304" w:name="_Toc457826201"/>
      <w:bookmarkStart w:id="305" w:name="_Toc5548"/>
      <w:r>
        <w:rPr>
          <w:rFonts w:hint="eastAsia" w:ascii="宋体" w:hAnsi="宋体" w:cs="宋体"/>
          <w:color w:val="auto"/>
          <w:sz w:val="21"/>
          <w:szCs w:val="21"/>
          <w:highlight w:val="none"/>
        </w:rPr>
        <w:t>第15条 索赔</w:t>
      </w:r>
      <w:bookmarkEnd w:id="303"/>
      <w:bookmarkEnd w:id="304"/>
      <w:bookmarkEnd w:id="305"/>
    </w:p>
    <w:p w14:paraId="1C2588F2">
      <w:pPr>
        <w:tabs>
          <w:tab w:val="left" w:pos="1260"/>
        </w:tabs>
        <w:spacing w:line="360" w:lineRule="auto"/>
        <w:ind w:firstLine="422" w:firstLineChars="200"/>
        <w:jc w:val="left"/>
        <w:outlineLvl w:val="3"/>
        <w:rPr>
          <w:rFonts w:hint="eastAsia" w:ascii="宋体" w:hAnsi="宋体" w:cs="宋体"/>
          <w:b/>
          <w:color w:val="auto"/>
          <w:kern w:val="0"/>
          <w:szCs w:val="21"/>
          <w:highlight w:val="none"/>
        </w:rPr>
      </w:pPr>
      <w:bookmarkStart w:id="306" w:name="_Toc11591"/>
      <w:r>
        <w:rPr>
          <w:rFonts w:hint="eastAsia" w:ascii="宋体" w:hAnsi="宋体" w:cs="宋体"/>
          <w:b/>
          <w:color w:val="auto"/>
          <w:kern w:val="0"/>
          <w:szCs w:val="21"/>
          <w:highlight w:val="none"/>
        </w:rPr>
        <w:t>15.1 发包人索赔</w:t>
      </w:r>
      <w:bookmarkEnd w:id="306"/>
    </w:p>
    <w:p w14:paraId="6B63C06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勘察人未按合同约定履行义务或发生错误以及应由勘察人承担责任的其他情形，造成工期延误及发包人的经济损失，除专用合同条款另有约定外，发包人可按下列程序以书面形式向勘察人索赔：</w:t>
      </w:r>
    </w:p>
    <w:p w14:paraId="76122FA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（1）违约事件发生后7天内，向勘察人发出索赔意向通知；</w:t>
      </w:r>
    </w:p>
    <w:p w14:paraId="5B1C4AC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（2）发出索赔意向通知后14天内，向勘察人提出经济损失的索赔报告及有关资料；</w:t>
      </w:r>
    </w:p>
    <w:p w14:paraId="5DD635D1">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（3）勘察人在收到发包人送交的索赔报告和有关资料或补充索赔理由、证据后，于28天内给予答复；</w:t>
      </w:r>
    </w:p>
    <w:p w14:paraId="17A79F5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（4）勘察人在收到发包人送交的索赔报告和有关资料后28天内未予答复或未对发包人作进一步要求，视为该项索赔已被认可；</w:t>
      </w:r>
    </w:p>
    <w:p w14:paraId="09EE8CDB">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（5）当该违约事件持续进行时，发包人应阶段性向勘察人发出索赔意向，在违约事件终了后21天内，向勘察人送交索赔的有关资料和最终索赔报告。索赔答复程序与本款第（3）、（4）项约定相同。</w:t>
      </w:r>
    </w:p>
    <w:p w14:paraId="78A4DCAC">
      <w:pPr>
        <w:tabs>
          <w:tab w:val="left" w:pos="1260"/>
        </w:tabs>
        <w:spacing w:line="360" w:lineRule="auto"/>
        <w:ind w:firstLine="422" w:firstLineChars="200"/>
        <w:jc w:val="left"/>
        <w:outlineLvl w:val="3"/>
        <w:rPr>
          <w:rFonts w:hint="eastAsia" w:ascii="宋体" w:hAnsi="宋体" w:cs="宋体"/>
          <w:b/>
          <w:color w:val="auto"/>
          <w:kern w:val="0"/>
          <w:szCs w:val="21"/>
          <w:highlight w:val="none"/>
        </w:rPr>
      </w:pPr>
      <w:bookmarkStart w:id="307" w:name="_Toc2986"/>
      <w:r>
        <w:rPr>
          <w:rFonts w:hint="eastAsia" w:ascii="宋体" w:hAnsi="宋体" w:cs="宋体"/>
          <w:b/>
          <w:color w:val="auto"/>
          <w:kern w:val="0"/>
          <w:szCs w:val="21"/>
          <w:highlight w:val="none"/>
        </w:rPr>
        <w:t>15.2 勘察人索赔</w:t>
      </w:r>
      <w:bookmarkEnd w:id="307"/>
    </w:p>
    <w:p w14:paraId="72E2625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14:paraId="12A0020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（1）违约事件发生后7天内，勘察人可向发包人发出要求其采取有效措施纠正违约行为的通知；发包人收到通知14天内仍不履行合同义务，勘察人有权停止作业，并向发包人发出索赔意向通知。</w:t>
      </w:r>
    </w:p>
    <w:p w14:paraId="16D751D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（2）发出索赔意向通知后14天内，向发包人提出延长工期和（或）补偿经济损失的索赔报告及有关资料；</w:t>
      </w:r>
    </w:p>
    <w:p w14:paraId="144B8A9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（3）发包人在收到勘察人送交的索赔报告和有关资料或补充索赔理由、证据后，于28天内给予答复；</w:t>
      </w:r>
    </w:p>
    <w:p w14:paraId="10173F12">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（4）发包人在收到勘察人送交的索赔报告和有关资料后28天内未予答复或未对勘察人作进一步要求，视为该项索赔已被认可；</w:t>
      </w:r>
    </w:p>
    <w:p w14:paraId="5A9D5B87">
      <w:pPr>
        <w:tabs>
          <w:tab w:val="left" w:pos="1260"/>
        </w:tabs>
        <w:spacing w:line="360" w:lineRule="auto"/>
        <w:ind w:firstLine="420" w:firstLineChars="20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（5）当该索赔事件持续进行时，勘察人应阶段性向发包人发出索赔意向，在索赔事件终了后21天内，向发包人送交索赔的有关资料和最终索赔报告。索赔答复程序与本款第（3）、（4）项约定相同。</w:t>
      </w:r>
    </w:p>
    <w:p w14:paraId="67874F97">
      <w:pPr>
        <w:pStyle w:val="4"/>
        <w:rPr>
          <w:rFonts w:hint="eastAsia" w:ascii="宋体" w:hAnsi="宋体" w:cs="宋体"/>
          <w:color w:val="auto"/>
          <w:sz w:val="21"/>
          <w:szCs w:val="21"/>
          <w:highlight w:val="none"/>
        </w:rPr>
      </w:pPr>
      <w:bookmarkStart w:id="308" w:name="_Toc406150473"/>
      <w:bookmarkStart w:id="309" w:name="_Toc28056"/>
      <w:bookmarkStart w:id="310" w:name="_Toc457826202"/>
      <w:r>
        <w:rPr>
          <w:rFonts w:hint="eastAsia" w:ascii="宋体" w:hAnsi="宋体" w:cs="宋体"/>
          <w:color w:val="auto"/>
          <w:sz w:val="21"/>
          <w:szCs w:val="21"/>
          <w:highlight w:val="none"/>
        </w:rPr>
        <w:t>第16条 争议解决</w:t>
      </w:r>
      <w:bookmarkEnd w:id="308"/>
      <w:bookmarkEnd w:id="309"/>
      <w:bookmarkEnd w:id="310"/>
    </w:p>
    <w:p w14:paraId="2CE14045">
      <w:pPr>
        <w:pStyle w:val="5"/>
        <w:rPr>
          <w:rFonts w:hint="eastAsia" w:ascii="宋体" w:hAnsi="宋体" w:cs="宋体"/>
          <w:color w:val="auto"/>
          <w:kern w:val="0"/>
          <w:sz w:val="21"/>
          <w:szCs w:val="21"/>
          <w:highlight w:val="none"/>
        </w:rPr>
      </w:pPr>
      <w:bookmarkStart w:id="311" w:name="_Toc19068"/>
      <w:bookmarkStart w:id="312" w:name="_Toc457826203"/>
      <w:bookmarkStart w:id="313" w:name="_Toc406150474"/>
      <w:r>
        <w:rPr>
          <w:rFonts w:hint="eastAsia" w:ascii="宋体" w:hAnsi="宋体" w:cs="宋体"/>
          <w:color w:val="auto"/>
          <w:kern w:val="0"/>
          <w:sz w:val="21"/>
          <w:szCs w:val="21"/>
          <w:highlight w:val="none"/>
        </w:rPr>
        <w:t>16.1 和解</w:t>
      </w:r>
      <w:bookmarkEnd w:id="311"/>
      <w:bookmarkEnd w:id="312"/>
      <w:bookmarkEnd w:id="313"/>
    </w:p>
    <w:p w14:paraId="606FE91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因本合同以及与本合同有关事项发生争议的，双方可以就争议自行和解。自行和解达成协议的，经签字并盖章后作为合同补充文件，双方均应遵照执行。</w:t>
      </w:r>
    </w:p>
    <w:p w14:paraId="6F5E8BFB">
      <w:pPr>
        <w:pStyle w:val="5"/>
        <w:rPr>
          <w:rFonts w:hint="eastAsia" w:ascii="宋体" w:hAnsi="宋体" w:cs="宋体"/>
          <w:color w:val="auto"/>
          <w:kern w:val="0"/>
          <w:sz w:val="21"/>
          <w:szCs w:val="21"/>
          <w:highlight w:val="none"/>
        </w:rPr>
      </w:pPr>
      <w:bookmarkStart w:id="314" w:name="_Toc406150475"/>
      <w:bookmarkStart w:id="315" w:name="_Toc32245"/>
      <w:bookmarkStart w:id="316" w:name="_Toc457826204"/>
      <w:r>
        <w:rPr>
          <w:rFonts w:hint="eastAsia" w:ascii="宋体" w:hAnsi="宋体" w:cs="宋体"/>
          <w:color w:val="auto"/>
          <w:kern w:val="0"/>
          <w:sz w:val="21"/>
          <w:szCs w:val="21"/>
          <w:highlight w:val="none"/>
        </w:rPr>
        <w:t>16.2 调解</w:t>
      </w:r>
      <w:bookmarkEnd w:id="314"/>
      <w:bookmarkEnd w:id="315"/>
      <w:bookmarkEnd w:id="316"/>
    </w:p>
    <w:p w14:paraId="3CF78A0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因本合同以及与本合同有关事项发生争议的，双方可以就争议请求行政主管部门、行业协会或其他第三方进行调解。调解达成协议的，经签字并盖章后作为合同补充文件，双方均应遵照执行。</w:t>
      </w:r>
      <w:bookmarkStart w:id="317" w:name="_Toc406150476"/>
    </w:p>
    <w:p w14:paraId="00D16796">
      <w:pPr>
        <w:spacing w:line="360" w:lineRule="auto"/>
        <w:ind w:firstLine="420" w:firstLineChars="200"/>
        <w:jc w:val="left"/>
        <w:rPr>
          <w:rFonts w:hint="eastAsia" w:ascii="宋体" w:hAnsi="宋体" w:cs="宋体"/>
          <w:color w:val="auto"/>
          <w:kern w:val="0"/>
          <w:szCs w:val="21"/>
          <w:highlight w:val="none"/>
        </w:rPr>
      </w:pPr>
    </w:p>
    <w:p w14:paraId="2E33372E">
      <w:pPr>
        <w:spacing w:line="360" w:lineRule="auto"/>
        <w:ind w:firstLine="420" w:firstLineChars="200"/>
        <w:jc w:val="left"/>
        <w:rPr>
          <w:rFonts w:hint="eastAsia" w:ascii="宋体" w:hAnsi="宋体" w:cs="宋体"/>
          <w:color w:val="auto"/>
          <w:kern w:val="0"/>
          <w:szCs w:val="21"/>
          <w:highlight w:val="none"/>
        </w:rPr>
      </w:pPr>
    </w:p>
    <w:p w14:paraId="0A229C74">
      <w:pPr>
        <w:pStyle w:val="5"/>
        <w:rPr>
          <w:rFonts w:hint="eastAsia" w:ascii="宋体" w:hAnsi="宋体" w:cs="宋体"/>
          <w:color w:val="auto"/>
          <w:kern w:val="0"/>
          <w:sz w:val="21"/>
          <w:szCs w:val="21"/>
          <w:highlight w:val="none"/>
        </w:rPr>
      </w:pPr>
      <w:bookmarkStart w:id="318" w:name="_Toc20112"/>
      <w:bookmarkStart w:id="319" w:name="_Toc457826205"/>
      <w:r>
        <w:rPr>
          <w:rFonts w:hint="eastAsia" w:ascii="宋体" w:hAnsi="宋体" w:cs="宋体"/>
          <w:color w:val="auto"/>
          <w:kern w:val="0"/>
          <w:sz w:val="21"/>
          <w:szCs w:val="21"/>
          <w:highlight w:val="none"/>
        </w:rPr>
        <w:t>16.3 仲裁或诉讼</w:t>
      </w:r>
      <w:bookmarkEnd w:id="317"/>
      <w:bookmarkEnd w:id="318"/>
      <w:bookmarkEnd w:id="319"/>
    </w:p>
    <w:p w14:paraId="4008700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因本合同以及与本合同有关事项发生争议的，当事人不愿和解、调解或者和解、调解不成的，双方可以在专用合同条款内约定以下一种方式解决争议：</w:t>
      </w:r>
    </w:p>
    <w:p w14:paraId="70E4422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（1）双方达成仲裁协议，向约定的仲裁委员会申请仲裁；</w:t>
      </w:r>
    </w:p>
    <w:p w14:paraId="4DDD055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（2）向有管辖权的人民法院起诉。</w:t>
      </w:r>
    </w:p>
    <w:p w14:paraId="2C008869">
      <w:pPr>
        <w:pStyle w:val="4"/>
        <w:rPr>
          <w:rFonts w:hint="eastAsia" w:ascii="宋体" w:hAnsi="宋体" w:cs="宋体"/>
          <w:color w:val="auto"/>
          <w:sz w:val="21"/>
          <w:szCs w:val="21"/>
          <w:highlight w:val="none"/>
        </w:rPr>
      </w:pPr>
      <w:bookmarkStart w:id="320" w:name="_Toc406150477"/>
      <w:bookmarkStart w:id="321" w:name="_Toc457826206"/>
      <w:bookmarkStart w:id="322" w:name="_Toc32608"/>
      <w:r>
        <w:rPr>
          <w:rFonts w:hint="eastAsia" w:ascii="宋体" w:hAnsi="宋体" w:cs="宋体"/>
          <w:color w:val="auto"/>
          <w:sz w:val="21"/>
          <w:szCs w:val="21"/>
          <w:highlight w:val="none"/>
        </w:rPr>
        <w:t>第17条 补充条款</w:t>
      </w:r>
      <w:bookmarkEnd w:id="320"/>
      <w:bookmarkEnd w:id="321"/>
      <w:bookmarkEnd w:id="322"/>
    </w:p>
    <w:p w14:paraId="542AB47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双方根据有关法律法规规定，结合实际经协商一致，可对通用合同条款内容具体化、补充或修改，并在专用合同条款内约定。</w:t>
      </w:r>
    </w:p>
    <w:p w14:paraId="0E197820">
      <w:pPr>
        <w:spacing w:line="360" w:lineRule="auto"/>
        <w:ind w:firstLine="562" w:firstLineChars="200"/>
        <w:jc w:val="left"/>
        <w:rPr>
          <w:rFonts w:hint="eastAsia" w:ascii="宋体" w:hAnsi="宋体" w:cs="宋体"/>
          <w:b/>
          <w:color w:val="auto"/>
          <w:kern w:val="0"/>
          <w:sz w:val="28"/>
          <w:szCs w:val="28"/>
          <w:highlight w:val="none"/>
        </w:rPr>
      </w:pPr>
    </w:p>
    <w:p w14:paraId="79118B41">
      <w:pPr>
        <w:pStyle w:val="3"/>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bookmarkStart w:id="323" w:name="_Toc27290"/>
      <w:bookmarkStart w:id="324" w:name="_Toc9457"/>
      <w:bookmarkStart w:id="325" w:name="_Toc6654"/>
      <w:bookmarkStart w:id="326" w:name="_Toc50021817"/>
      <w:bookmarkStart w:id="327" w:name="_Toc21412"/>
      <w:r>
        <w:rPr>
          <w:rFonts w:hint="eastAsia" w:ascii="宋体" w:hAnsi="宋体" w:cs="宋体"/>
          <w:color w:val="auto"/>
          <w:sz w:val="30"/>
          <w:szCs w:val="30"/>
          <w:highlight w:val="none"/>
        </w:rPr>
        <w:t>第三部分</w:t>
      </w:r>
      <w:r>
        <w:rPr>
          <w:rFonts w:hint="eastAsia" w:ascii="宋体" w:hAnsi="宋体" w:cs="宋体"/>
          <w:color w:val="auto"/>
          <w:sz w:val="30"/>
          <w:szCs w:val="30"/>
          <w:highlight w:val="none"/>
          <w:lang w:eastAsia="zh-CN"/>
        </w:rPr>
        <w:t>、</w:t>
      </w:r>
      <w:r>
        <w:rPr>
          <w:rFonts w:hint="eastAsia" w:ascii="宋体" w:hAnsi="宋体" w:cs="宋体"/>
          <w:color w:val="auto"/>
          <w:sz w:val="30"/>
          <w:szCs w:val="30"/>
          <w:highlight w:val="none"/>
        </w:rPr>
        <w:t>专用合同条款</w:t>
      </w:r>
      <w:bookmarkEnd w:id="323"/>
      <w:bookmarkEnd w:id="324"/>
    </w:p>
    <w:p w14:paraId="08E48A49">
      <w:pPr>
        <w:pStyle w:val="5"/>
        <w:spacing w:line="360" w:lineRule="auto"/>
        <w:rPr>
          <w:rFonts w:hint="eastAsia" w:ascii="宋体" w:hAnsi="宋体" w:cs="宋体"/>
          <w:bCs w:val="0"/>
          <w:color w:val="auto"/>
          <w:sz w:val="24"/>
          <w:szCs w:val="24"/>
          <w:highlight w:val="none"/>
        </w:rPr>
      </w:pPr>
      <w:r>
        <w:rPr>
          <w:rFonts w:hint="eastAsia" w:ascii="宋体" w:hAnsi="宋体" w:cs="宋体"/>
          <w:bCs w:val="0"/>
          <w:color w:val="auto"/>
          <w:sz w:val="24"/>
          <w:szCs w:val="24"/>
          <w:highlight w:val="none"/>
        </w:rPr>
        <w:t>1. 一般约定</w:t>
      </w:r>
    </w:p>
    <w:p w14:paraId="5F2705F6">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1.1 词语定义与解释</w:t>
      </w:r>
    </w:p>
    <w:p w14:paraId="522E406A">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1.2 合同文件及优先解释顺序</w:t>
      </w:r>
    </w:p>
    <w:p w14:paraId="2BBB95A9">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1.2.1合同文件组成及优先解释顺序：</w:t>
      </w:r>
      <w:r>
        <w:rPr>
          <w:rFonts w:hint="eastAsia" w:ascii="宋体" w:hAnsi="宋体" w:cs="宋体"/>
          <w:color w:val="auto"/>
          <w:spacing w:val="-1"/>
          <w:szCs w:val="21"/>
          <w:highlight w:val="none"/>
          <w:u w:val="single"/>
        </w:rPr>
        <w:t>合同协议书、成交通知书、竞标函及其附录、专用条款、通用条款、发包人要求、技术标准以及其他合同文件</w:t>
      </w:r>
      <w:r>
        <w:rPr>
          <w:rFonts w:hint="eastAsia" w:ascii="宋体" w:hAnsi="宋体" w:cs="宋体"/>
          <w:color w:val="auto"/>
          <w:szCs w:val="21"/>
          <w:highlight w:val="none"/>
        </w:rPr>
        <w:t>。</w:t>
      </w:r>
    </w:p>
    <w:p w14:paraId="662F77A0">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1.3 适合法律法规</w:t>
      </w:r>
    </w:p>
    <w:p w14:paraId="5E0388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 适合法律法规</w:t>
      </w:r>
    </w:p>
    <w:p w14:paraId="57BD025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需要明示的规范性文件：</w:t>
      </w:r>
      <w:r>
        <w:rPr>
          <w:rFonts w:hint="eastAsia" w:ascii="宋体" w:hAnsi="宋体" w:cs="宋体"/>
          <w:color w:val="auto"/>
          <w:szCs w:val="21"/>
          <w:highlight w:val="none"/>
          <w:u w:val="single"/>
        </w:rPr>
        <w:t>执行通用条款</w:t>
      </w:r>
      <w:r>
        <w:rPr>
          <w:rFonts w:hint="eastAsia" w:ascii="宋体" w:hAnsi="宋体" w:cs="宋体"/>
          <w:color w:val="auto"/>
          <w:szCs w:val="21"/>
          <w:highlight w:val="none"/>
        </w:rPr>
        <w:t>。</w:t>
      </w:r>
    </w:p>
    <w:p w14:paraId="0311FFE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1.3.2 适合技术标准</w:t>
      </w:r>
    </w:p>
    <w:p w14:paraId="60BF4F29">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特别要求：</w:t>
      </w:r>
      <w:r>
        <w:rPr>
          <w:rFonts w:hint="eastAsia" w:ascii="宋体" w:hAnsi="宋体" w:cs="宋体"/>
          <w:color w:val="auto"/>
          <w:spacing w:val="-1"/>
          <w:szCs w:val="21"/>
          <w:highlight w:val="none"/>
          <w:u w:val="single"/>
        </w:rPr>
        <w:t>合格，真实反映地质情况，符合有关国家质量标准、技术规范及规程并满足设计、施工要求，并通过有关行政主管部门备案。</w:t>
      </w:r>
    </w:p>
    <w:p w14:paraId="146B71B1">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使用国外技术标准的名称、提供方、原文版、中译本的份数、时间及费用承担</w:t>
      </w:r>
      <w:r>
        <w:rPr>
          <w:rFonts w:hint="eastAsia" w:ascii="宋体" w:hAnsi="宋体" w:cs="宋体"/>
          <w:color w:val="auto"/>
          <w:szCs w:val="21"/>
          <w:highlight w:val="none"/>
        </w:rPr>
        <w:t>：</w:t>
      </w:r>
      <w:r>
        <w:rPr>
          <w:rFonts w:hint="eastAsia" w:ascii="宋体" w:hAnsi="宋体" w:cs="宋体"/>
          <w:color w:val="auto"/>
          <w:szCs w:val="21"/>
          <w:highlight w:val="none"/>
          <w:u w:val="single"/>
        </w:rPr>
        <w:t></w:t>
      </w:r>
      <w:r>
        <w:rPr>
          <w:rFonts w:hint="eastAsia" w:ascii="宋体" w:hAnsi="宋体" w:cs="宋体"/>
          <w:color w:val="auto"/>
          <w:highlight w:val="none"/>
          <w:u w:val="single"/>
        </w:rPr>
        <w:t>不适用</w:t>
      </w:r>
      <w:r>
        <w:rPr>
          <w:rFonts w:hint="eastAsia" w:ascii="宋体" w:hAnsi="宋体" w:cs="宋体"/>
          <w:color w:val="auto"/>
          <w:szCs w:val="21"/>
          <w:highlight w:val="none"/>
          <w:u w:val="single"/>
        </w:rPr>
        <w:t xml:space="preserve">   。</w:t>
      </w:r>
    </w:p>
    <w:p w14:paraId="561EF1C7">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1.4 语言文字</w:t>
      </w:r>
    </w:p>
    <w:p w14:paraId="439F94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本合同除使用汉语外，还使用</w:t>
      </w:r>
      <w:r>
        <w:rPr>
          <w:rFonts w:hint="eastAsia" w:ascii="宋体" w:hAnsi="宋体" w:cs="宋体"/>
          <w:color w:val="auto"/>
          <w:szCs w:val="21"/>
          <w:highlight w:val="none"/>
          <w:u w:val="single"/>
        </w:rPr>
        <w:t>/语言文字</w:t>
      </w:r>
      <w:r>
        <w:rPr>
          <w:rFonts w:hint="eastAsia" w:ascii="宋体" w:hAnsi="宋体" w:cs="宋体"/>
          <w:color w:val="auto"/>
          <w:szCs w:val="21"/>
          <w:highlight w:val="none"/>
        </w:rPr>
        <w:t>。</w:t>
      </w:r>
    </w:p>
    <w:p w14:paraId="7FB0467B">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1.5 联络</w:t>
      </w:r>
    </w:p>
    <w:p w14:paraId="5BE652C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1.5.1 发包人和勘察人应当在</w:t>
      </w:r>
      <w:r>
        <w:rPr>
          <w:rFonts w:hint="eastAsia" w:ascii="宋体" w:hAnsi="宋体" w:cs="宋体"/>
          <w:color w:val="auto"/>
          <w:szCs w:val="21"/>
          <w:highlight w:val="none"/>
          <w:u w:val="single"/>
        </w:rPr>
        <w:t xml:space="preserve"> 7   </w:t>
      </w:r>
      <w:r>
        <w:rPr>
          <w:rFonts w:hint="eastAsia" w:ascii="宋体" w:hAnsi="宋体" w:cs="宋体"/>
          <w:color w:val="auto"/>
          <w:kern w:val="0"/>
          <w:szCs w:val="21"/>
          <w:highlight w:val="none"/>
        </w:rPr>
        <w:t>天内将与合同有关的通知、批准、证明、证书、指示、指令、要求、请求、同意、确定和决定等书面函件送达对方当事人。</w:t>
      </w:r>
    </w:p>
    <w:p w14:paraId="4CEBB3C8">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1.5.2 发包人与勘察人联系信息</w:t>
      </w:r>
    </w:p>
    <w:p w14:paraId="7795A95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发包人接收文件的地点：</w:t>
      </w:r>
      <w:r>
        <w:rPr>
          <w:rFonts w:hint="eastAsia" w:ascii="宋体" w:hAnsi="宋体" w:cs="宋体"/>
          <w:color w:val="auto"/>
          <w:szCs w:val="21"/>
          <w:highlight w:val="none"/>
          <w:u w:val="single"/>
        </w:rPr>
        <w:t xml:space="preserve">              </w:t>
      </w:r>
      <w:r>
        <w:rPr>
          <w:rFonts w:hint="eastAsia" w:ascii="宋体" w:hAnsi="宋体" w:cs="宋体"/>
          <w:color w:val="auto"/>
          <w:kern w:val="0"/>
          <w:szCs w:val="21"/>
          <w:highlight w:val="none"/>
        </w:rPr>
        <w:t>；</w:t>
      </w:r>
    </w:p>
    <w:p w14:paraId="0FDC755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发包人指定的接收人：</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4B0876F5">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发包人指定的联系电话及传真号码：</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2C5E4D9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发包人指定的电子邮箱：</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063E8F1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勘察人接收文件的地点：</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16D4A909">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勘察人指定的接收人为：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8047D14">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勘察人</w:t>
      </w:r>
      <w:r>
        <w:rPr>
          <w:rFonts w:hint="eastAsia" w:ascii="宋体" w:hAnsi="宋体" w:cs="宋体"/>
          <w:color w:val="auto"/>
          <w:szCs w:val="21"/>
          <w:highlight w:val="none"/>
        </w:rPr>
        <w:t>指定的联系电话及传真号码：</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1D31D35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勘察人指定的电子邮箱：</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09A01A64">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1.7 保密</w:t>
      </w:r>
    </w:p>
    <w:p w14:paraId="65473B6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合同当事人关于保密的约定：</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勘察人提供的技术文件、成果资料、技术秘密等</w:t>
      </w:r>
      <w:r>
        <w:rPr>
          <w:rFonts w:hint="eastAsia"/>
          <w:color w:val="auto"/>
          <w:szCs w:val="21"/>
          <w:highlight w:val="none"/>
          <w:u w:val="single"/>
        </w:rPr>
        <w:t>文件</w:t>
      </w:r>
      <w:r>
        <w:rPr>
          <w:color w:val="auto"/>
          <w:szCs w:val="21"/>
          <w:highlight w:val="none"/>
        </w:rPr>
        <w:t>著作权归属</w:t>
      </w:r>
      <w:r>
        <w:rPr>
          <w:rFonts w:hint="eastAsia"/>
          <w:color w:val="auto"/>
          <w:szCs w:val="21"/>
          <w:highlight w:val="none"/>
        </w:rPr>
        <w:t>于发包人，</w:t>
      </w:r>
      <w:r>
        <w:rPr>
          <w:color w:val="auto"/>
          <w:spacing w:val="-1"/>
          <w:szCs w:val="21"/>
          <w:highlight w:val="none"/>
        </w:rPr>
        <w:t>发包人</w:t>
      </w:r>
      <w:r>
        <w:rPr>
          <w:rFonts w:hint="eastAsia"/>
          <w:color w:val="auto"/>
          <w:szCs w:val="21"/>
          <w:highlight w:val="none"/>
          <w:u w:val="single"/>
        </w:rPr>
        <w:t>可以根据需要使用</w:t>
      </w:r>
      <w:r>
        <w:rPr>
          <w:rFonts w:hint="eastAsia" w:ascii="宋体" w:hAnsi="宋体" w:cs="宋体"/>
          <w:color w:val="auto"/>
          <w:kern w:val="0"/>
          <w:szCs w:val="21"/>
          <w:highlight w:val="none"/>
        </w:rPr>
        <w:t>。</w:t>
      </w:r>
    </w:p>
    <w:p w14:paraId="2CD72688">
      <w:pPr>
        <w:pStyle w:val="5"/>
        <w:spacing w:line="360" w:lineRule="auto"/>
        <w:rPr>
          <w:rFonts w:hint="eastAsia" w:ascii="宋体" w:hAnsi="宋体" w:cs="宋体"/>
          <w:bCs w:val="0"/>
          <w:color w:val="auto"/>
          <w:sz w:val="24"/>
          <w:szCs w:val="24"/>
          <w:highlight w:val="none"/>
        </w:rPr>
      </w:pPr>
      <w:r>
        <w:rPr>
          <w:rFonts w:hint="eastAsia" w:ascii="宋体" w:hAnsi="宋体" w:cs="宋体"/>
          <w:bCs w:val="0"/>
          <w:color w:val="auto"/>
          <w:sz w:val="24"/>
          <w:szCs w:val="24"/>
          <w:highlight w:val="none"/>
        </w:rPr>
        <w:t>2. 发包人</w:t>
      </w:r>
    </w:p>
    <w:p w14:paraId="1EEE5530">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2.2 发包人义务</w:t>
      </w:r>
    </w:p>
    <w:p w14:paraId="75A3DA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 发包人委托勘察人收集的资料：</w:t>
      </w:r>
      <w:r>
        <w:rPr>
          <w:rFonts w:hint="eastAsia" w:ascii="宋体" w:hAnsi="宋体" w:cs="宋体"/>
          <w:color w:val="auto"/>
          <w:szCs w:val="21"/>
          <w:highlight w:val="none"/>
          <w:u w:val="single"/>
        </w:rPr>
        <w:t xml:space="preserve"> </w:t>
      </w:r>
      <w:r>
        <w:rPr>
          <w:rFonts w:hint="eastAsia" w:ascii="宋体" w:hAnsi="宋体" w:cs="宋体"/>
          <w:color w:val="auto"/>
          <w:kern w:val="0"/>
          <w:highlight w:val="none"/>
          <w:u w:val="single"/>
        </w:rPr>
        <w:t>按通用条款</w:t>
      </w:r>
      <w:r>
        <w:rPr>
          <w:rFonts w:hint="eastAsia" w:ascii="宋体" w:hAnsi="宋体" w:cs="宋体"/>
          <w:color w:val="auto"/>
          <w:kern w:val="0"/>
          <w:szCs w:val="21"/>
          <w:highlight w:val="none"/>
        </w:rPr>
        <w:t xml:space="preserve">2.2.2 </w:t>
      </w:r>
      <w:r>
        <w:rPr>
          <w:rFonts w:hint="eastAsia" w:ascii="宋体" w:hAnsi="宋体" w:cs="宋体"/>
          <w:color w:val="auto"/>
          <w:kern w:val="0"/>
          <w:highlight w:val="none"/>
          <w:u w:val="single"/>
        </w:rPr>
        <w:t>执行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9D15C95">
      <w:pPr>
        <w:tabs>
          <w:tab w:val="left" w:pos="54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2.2.3 </w:t>
      </w:r>
      <w:r>
        <w:rPr>
          <w:rFonts w:hint="eastAsia" w:ascii="宋体" w:hAnsi="宋体" w:cs="宋体"/>
          <w:color w:val="auto"/>
          <w:szCs w:val="21"/>
          <w:highlight w:val="none"/>
        </w:rPr>
        <w:t>发包人按项目实际情况，提供相关文件。</w:t>
      </w:r>
    </w:p>
    <w:p w14:paraId="05AC59F3">
      <w:pPr>
        <w:pStyle w:val="33"/>
        <w:tabs>
          <w:tab w:val="left" w:pos="540"/>
          <w:tab w:val="right" w:leader="dot" w:pos="935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2.2.4 发包人应为勘察人提供作业场地及进场通道。</w:t>
      </w:r>
    </w:p>
    <w:p w14:paraId="0052316D">
      <w:pPr>
        <w:tabs>
          <w:tab w:val="left" w:pos="540"/>
        </w:tabs>
        <w:spacing w:line="360" w:lineRule="auto"/>
        <w:ind w:firstLine="420" w:firstLineChars="200"/>
        <w:rPr>
          <w:rFonts w:hint="eastAsia" w:ascii="宋体" w:hAnsi="宋体" w:cs="宋体"/>
          <w:b/>
          <w:color w:val="auto"/>
          <w:szCs w:val="21"/>
          <w:highlight w:val="none"/>
        </w:rPr>
      </w:pPr>
      <w:r>
        <w:rPr>
          <w:rFonts w:hint="eastAsia" w:ascii="宋体" w:hAnsi="宋体" w:cs="宋体"/>
          <w:color w:val="auto"/>
          <w:kern w:val="0"/>
          <w:szCs w:val="21"/>
          <w:highlight w:val="none"/>
        </w:rPr>
        <w:t xml:space="preserve">2.2.6 </w:t>
      </w:r>
      <w:r>
        <w:rPr>
          <w:rFonts w:hint="eastAsia" w:ascii="宋体" w:hAnsi="宋体" w:cs="宋体"/>
          <w:color w:val="auto"/>
          <w:szCs w:val="21"/>
          <w:highlight w:val="none"/>
        </w:rPr>
        <w:t>发包人应按照法律法规规定为勘察人安全生产提供条件，勘察人自行负责安全生产防护费用，发包人不得要求勘察人违反安全生产管理规定进行作业。</w:t>
      </w:r>
    </w:p>
    <w:p w14:paraId="6CB7295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2.2.7 </w:t>
      </w:r>
      <w:r>
        <w:rPr>
          <w:rFonts w:hint="eastAsia" w:ascii="宋体" w:hAnsi="宋体" w:cs="宋体"/>
          <w:color w:val="auto"/>
          <w:szCs w:val="21"/>
          <w:highlight w:val="none"/>
        </w:rPr>
        <w:t>若勘察现场需要看守，特别是在有毒、有害等危险现场作业时，勘察人应派人负责安全保卫工作；勘察人按国家有关规定，对从事危险作业的现场人员进行保健防护，并承担费用。</w:t>
      </w:r>
    </w:p>
    <w:p w14:paraId="72967F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2.2.7 发包人对安全文明施工的特别要求：</w:t>
      </w:r>
      <w:r>
        <w:rPr>
          <w:rFonts w:hint="eastAsia" w:ascii="宋体" w:hAnsi="宋体" w:cs="宋体"/>
          <w:color w:val="auto"/>
          <w:szCs w:val="21"/>
          <w:highlight w:val="none"/>
          <w:u w:val="single"/>
        </w:rPr>
        <w:t xml:space="preserve"> 严格</w:t>
      </w:r>
      <w:r>
        <w:rPr>
          <w:rFonts w:hint="eastAsia" w:ascii="宋体" w:hAnsi="宋体" w:cs="宋体"/>
          <w:color w:val="auto"/>
          <w:spacing w:val="-1"/>
          <w:szCs w:val="21"/>
          <w:highlight w:val="none"/>
          <w:u w:val="single"/>
        </w:rPr>
        <w:t>执行</w:t>
      </w:r>
      <w:r>
        <w:rPr>
          <w:rFonts w:hint="eastAsia" w:cs="宋体"/>
          <w:color w:val="auto"/>
          <w:spacing w:val="-1"/>
          <w:szCs w:val="21"/>
          <w:highlight w:val="none"/>
          <w:u w:val="single"/>
        </w:rPr>
        <w:t>工程所在地</w:t>
      </w:r>
      <w:r>
        <w:rPr>
          <w:rFonts w:hint="eastAsia" w:ascii="宋体" w:hAnsi="宋体" w:cs="宋体"/>
          <w:color w:val="auto"/>
          <w:spacing w:val="-1"/>
          <w:szCs w:val="21"/>
          <w:highlight w:val="none"/>
          <w:u w:val="single"/>
        </w:rPr>
        <w:t>建设主管部门对工</w:t>
      </w:r>
      <w:r>
        <w:rPr>
          <w:rFonts w:hint="eastAsia" w:ascii="宋体" w:hAnsi="宋体" w:cs="宋体"/>
          <w:color w:val="auto"/>
          <w:spacing w:val="-2"/>
          <w:szCs w:val="21"/>
          <w:highlight w:val="none"/>
          <w:u w:val="single"/>
        </w:rPr>
        <w:t>地的相关规定</w:t>
      </w:r>
      <w:r>
        <w:rPr>
          <w:rFonts w:hint="eastAsia" w:ascii="宋体" w:hAnsi="宋体" w:cs="宋体"/>
          <w:color w:val="auto"/>
          <w:szCs w:val="21"/>
          <w:highlight w:val="none"/>
        </w:rPr>
        <w:t>。</w:t>
      </w:r>
    </w:p>
    <w:p w14:paraId="46DA73CB">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2.3 发包人代表</w:t>
      </w:r>
    </w:p>
    <w:p w14:paraId="7DE0FF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p>
    <w:p w14:paraId="2A70FC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33E143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267EDCB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211B1B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53FE00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2BBE6A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22422DB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发包人对发包人代表的授权范围如下：</w:t>
      </w:r>
      <w:r>
        <w:rPr>
          <w:rFonts w:hint="eastAsia" w:ascii="宋体" w:hAnsi="宋体" w:cs="宋体"/>
          <w:color w:val="auto"/>
          <w:kern w:val="0"/>
          <w:highlight w:val="none"/>
          <w:u w:val="single"/>
        </w:rPr>
        <w:t>代表发包人行使本合同约定的权利和义务；与勘察人共同确认本合同勘察实际完成工程量</w:t>
      </w:r>
      <w:r>
        <w:rPr>
          <w:rFonts w:hint="eastAsia" w:ascii="宋体" w:hAnsi="宋体" w:cs="宋体"/>
          <w:color w:val="auto"/>
          <w:szCs w:val="21"/>
          <w:highlight w:val="none"/>
        </w:rPr>
        <w:t>。</w:t>
      </w:r>
    </w:p>
    <w:p w14:paraId="19D037D5">
      <w:pPr>
        <w:pStyle w:val="5"/>
        <w:spacing w:line="360" w:lineRule="auto"/>
        <w:rPr>
          <w:rFonts w:hint="eastAsia" w:ascii="宋体" w:hAnsi="宋体" w:cs="宋体"/>
          <w:bCs w:val="0"/>
          <w:color w:val="auto"/>
          <w:sz w:val="24"/>
          <w:szCs w:val="24"/>
          <w:highlight w:val="none"/>
        </w:rPr>
      </w:pPr>
      <w:r>
        <w:rPr>
          <w:rFonts w:hint="eastAsia" w:ascii="宋体" w:hAnsi="宋体" w:cs="宋体"/>
          <w:bCs w:val="0"/>
          <w:color w:val="auto"/>
          <w:sz w:val="24"/>
          <w:szCs w:val="24"/>
          <w:highlight w:val="none"/>
        </w:rPr>
        <w:t>3. 勘察人</w:t>
      </w:r>
    </w:p>
    <w:p w14:paraId="6536C509">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3.1 勘察人权利</w:t>
      </w:r>
    </w:p>
    <w:p w14:paraId="0ABDD9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3.1.2 关于分包的约定：</w:t>
      </w:r>
      <w:r>
        <w:rPr>
          <w:rFonts w:hint="eastAsia" w:ascii="宋体" w:hAnsi="宋体" w:cs="宋体"/>
          <w:color w:val="auto"/>
          <w:szCs w:val="21"/>
          <w:highlight w:val="none"/>
          <w:u w:val="single"/>
        </w:rPr>
        <w:t xml:space="preserve"> </w:t>
      </w:r>
      <w:r>
        <w:rPr>
          <w:rFonts w:hint="eastAsia" w:ascii="宋体" w:hAnsi="宋体" w:cs="宋体"/>
          <w:color w:val="auto"/>
          <w:kern w:val="0"/>
          <w:highlight w:val="none"/>
          <w:u w:val="single"/>
        </w:rPr>
        <w:t>不允许分包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CB7804">
      <w:pPr>
        <w:pStyle w:val="6"/>
        <w:spacing w:line="360" w:lineRule="auto"/>
        <w:rPr>
          <w:rFonts w:hint="eastAsia" w:ascii="宋体" w:hAnsi="宋体" w:cs="宋体"/>
          <w:b w:val="0"/>
          <w:color w:val="auto"/>
          <w:sz w:val="21"/>
          <w:szCs w:val="21"/>
          <w:highlight w:val="none"/>
        </w:rPr>
      </w:pPr>
      <w:r>
        <w:rPr>
          <w:rFonts w:hint="eastAsia" w:ascii="宋体" w:hAnsi="宋体" w:cs="宋体"/>
          <w:color w:val="auto"/>
          <w:kern w:val="0"/>
          <w:sz w:val="21"/>
          <w:szCs w:val="21"/>
          <w:highlight w:val="none"/>
        </w:rPr>
        <w:t>3.1.3 勘察人提供的技术文件、成果资料、技术秘密等</w:t>
      </w:r>
      <w:r>
        <w:rPr>
          <w:rFonts w:hint="eastAsia"/>
          <w:color w:val="auto"/>
          <w:sz w:val="21"/>
          <w:szCs w:val="21"/>
          <w:highlight w:val="none"/>
          <w:u w:val="single"/>
        </w:rPr>
        <w:t>文件</w:t>
      </w:r>
      <w:r>
        <w:rPr>
          <w:color w:val="auto"/>
          <w:sz w:val="21"/>
          <w:szCs w:val="21"/>
          <w:highlight w:val="none"/>
        </w:rPr>
        <w:t>著作权归属</w:t>
      </w:r>
      <w:r>
        <w:rPr>
          <w:rFonts w:hint="eastAsia"/>
          <w:color w:val="auto"/>
          <w:sz w:val="21"/>
          <w:szCs w:val="21"/>
          <w:highlight w:val="none"/>
        </w:rPr>
        <w:t>于发包人，</w:t>
      </w:r>
      <w:r>
        <w:rPr>
          <w:color w:val="auto"/>
          <w:spacing w:val="-1"/>
          <w:sz w:val="21"/>
          <w:szCs w:val="21"/>
          <w:highlight w:val="none"/>
        </w:rPr>
        <w:t>发包人</w:t>
      </w:r>
      <w:r>
        <w:rPr>
          <w:rFonts w:hint="eastAsia"/>
          <w:color w:val="auto"/>
          <w:sz w:val="21"/>
          <w:szCs w:val="21"/>
          <w:highlight w:val="none"/>
          <w:u w:val="single"/>
        </w:rPr>
        <w:t>可以根据需要使用</w:t>
      </w:r>
      <w:r>
        <w:rPr>
          <w:rFonts w:hint="eastAsia" w:ascii="宋体" w:hAnsi="宋体" w:cs="宋体"/>
          <w:color w:val="auto"/>
          <w:kern w:val="0"/>
          <w:szCs w:val="21"/>
          <w:highlight w:val="none"/>
        </w:rPr>
        <w:t>。</w:t>
      </w:r>
    </w:p>
    <w:p w14:paraId="4EF11491">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3.3 勘察人代表</w:t>
      </w:r>
    </w:p>
    <w:p w14:paraId="2B68D21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勘察人代表：</w:t>
      </w:r>
    </w:p>
    <w:p w14:paraId="544B55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5E3EE0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3B51B2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16A423C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61BCAB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68FA17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0F379B3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勘察人对勘察人代表的授权范围如下：</w:t>
      </w:r>
      <w:r>
        <w:rPr>
          <w:rFonts w:hint="eastAsia" w:ascii="宋体" w:hAnsi="宋体" w:cs="宋体"/>
          <w:color w:val="auto"/>
          <w:kern w:val="0"/>
          <w:highlight w:val="none"/>
          <w:u w:val="single"/>
        </w:rPr>
        <w:t>代表发包人行使本合同约定的权利和义务；与勘察人共同确认本合同勘察实际完成工程量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ECF4DC1">
      <w:pPr>
        <w:pStyle w:val="5"/>
        <w:spacing w:line="360" w:lineRule="auto"/>
        <w:rPr>
          <w:rFonts w:hint="eastAsia" w:ascii="宋体" w:hAnsi="宋体" w:cs="宋体"/>
          <w:bCs w:val="0"/>
          <w:color w:val="auto"/>
          <w:sz w:val="24"/>
          <w:szCs w:val="24"/>
          <w:highlight w:val="none"/>
        </w:rPr>
      </w:pPr>
      <w:r>
        <w:rPr>
          <w:rFonts w:hint="eastAsia" w:ascii="宋体" w:hAnsi="宋体" w:cs="宋体"/>
          <w:color w:val="auto"/>
          <w:szCs w:val="21"/>
          <w:highlight w:val="none"/>
        </w:rPr>
        <w:t>4</w:t>
      </w:r>
      <w:r>
        <w:rPr>
          <w:rFonts w:hint="eastAsia" w:ascii="宋体" w:hAnsi="宋体" w:cs="宋体"/>
          <w:bCs w:val="0"/>
          <w:color w:val="auto"/>
          <w:sz w:val="24"/>
          <w:szCs w:val="24"/>
          <w:highlight w:val="none"/>
        </w:rPr>
        <w:t>. 工期</w:t>
      </w:r>
    </w:p>
    <w:p w14:paraId="4A2766BF">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4.2 成果提交日期</w:t>
      </w:r>
    </w:p>
    <w:p w14:paraId="258D5433">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双方约定工期顺延的其他情况：</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31554E1">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4.3 发包人造成的工期延误</w:t>
      </w:r>
    </w:p>
    <w:p w14:paraId="224ACEBC">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4.3.1 因以下情形造成工期延误，</w:t>
      </w:r>
      <w:r>
        <w:rPr>
          <w:rFonts w:hint="eastAsia"/>
          <w:color w:val="auto"/>
          <w:spacing w:val="-2"/>
          <w:szCs w:val="21"/>
          <w:highlight w:val="none"/>
        </w:rPr>
        <w:t>发包人承担由此延长的工期，但不增加费用：</w:t>
      </w:r>
    </w:p>
    <w:p w14:paraId="65E364F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（1）发包人未能按合同约定提供图纸及开工条件；</w:t>
      </w:r>
    </w:p>
    <w:p w14:paraId="1B9AF11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（2）发包人未能按合同约定及时支付费用；</w:t>
      </w:r>
    </w:p>
    <w:p w14:paraId="272EDF3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（3）变更导致合同工作量增加；</w:t>
      </w:r>
    </w:p>
    <w:p w14:paraId="4E97E26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（4）发包人增加合同工作内容；</w:t>
      </w:r>
    </w:p>
    <w:p w14:paraId="24FE5E9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（5）发包人改变工程勘察技术要求；</w:t>
      </w:r>
    </w:p>
    <w:p w14:paraId="6F2819AD">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（6）发包人导致工期延误的其他情形。</w:t>
      </w:r>
    </w:p>
    <w:p w14:paraId="020605FF">
      <w:pPr>
        <w:spacing w:line="360" w:lineRule="auto"/>
        <w:ind w:firstLine="420" w:firstLineChars="200"/>
        <w:jc w:val="left"/>
        <w:rPr>
          <w:color w:val="auto"/>
          <w:highlight w:val="none"/>
        </w:rPr>
      </w:pPr>
      <w:r>
        <w:rPr>
          <w:rFonts w:hint="eastAsia" w:ascii="宋体" w:hAnsi="宋体" w:cs="宋体"/>
          <w:color w:val="auto"/>
          <w:szCs w:val="21"/>
          <w:highlight w:val="none"/>
        </w:rPr>
        <w:t>4.3.2 双方就工期顺延确定期限的约定：</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勘察人在第4.3.1款情形发生后7天内，应就延误的工期以书面形式向发包人提出报告。发包人在收到报告后28天内予以确认；逾期不予确认也不提出修改意见，视为同意顺延工期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5A52096">
      <w:pPr>
        <w:pStyle w:val="5"/>
        <w:spacing w:line="360" w:lineRule="auto"/>
        <w:rPr>
          <w:rFonts w:hint="eastAsia" w:ascii="宋体" w:hAnsi="宋体" w:cs="宋体"/>
          <w:bCs w:val="0"/>
          <w:color w:val="auto"/>
          <w:sz w:val="24"/>
          <w:szCs w:val="24"/>
          <w:highlight w:val="none"/>
        </w:rPr>
      </w:pPr>
      <w:r>
        <w:rPr>
          <w:rFonts w:hint="eastAsia" w:ascii="宋体" w:hAnsi="宋体" w:cs="宋体"/>
          <w:color w:val="auto"/>
          <w:szCs w:val="21"/>
          <w:highlight w:val="none"/>
        </w:rPr>
        <w:t>5</w:t>
      </w:r>
      <w:r>
        <w:rPr>
          <w:rFonts w:hint="eastAsia" w:ascii="宋体" w:hAnsi="宋体" w:cs="宋体"/>
          <w:bCs w:val="0"/>
          <w:color w:val="auto"/>
          <w:sz w:val="24"/>
          <w:szCs w:val="24"/>
          <w:highlight w:val="none"/>
        </w:rPr>
        <w:t>. 成果资料</w:t>
      </w:r>
    </w:p>
    <w:p w14:paraId="69F288B8">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5.2 成果份数</w:t>
      </w:r>
    </w:p>
    <w:p w14:paraId="29FC1E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勘察人应向发包人提交成果资料四份，发包人要求增加的份数为：按实际需要。</w:t>
      </w:r>
    </w:p>
    <w:p w14:paraId="62199E0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（1）成果要求：</w:t>
      </w:r>
    </w:p>
    <w:p w14:paraId="314CED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①发包人</w:t>
      </w:r>
      <w:r>
        <w:rPr>
          <w:rFonts w:hint="eastAsia" w:ascii="宋体" w:hAnsi="宋体" w:eastAsia="宋体" w:cs="宋体"/>
          <w:bCs/>
          <w:color w:val="auto"/>
          <w:sz w:val="21"/>
          <w:szCs w:val="21"/>
          <w:highlight w:val="none"/>
          <w:lang w:val="en-US" w:eastAsia="zh-CN"/>
        </w:rPr>
        <w:t>确定方案设计后5日内启动勘察，30日历日内完成初步勘察、详细勘察并取得审查合格证书。</w:t>
      </w:r>
      <w:r>
        <w:rPr>
          <w:rFonts w:hint="eastAsia" w:ascii="宋体" w:hAnsi="宋体" w:cs="宋体"/>
          <w:color w:val="auto"/>
          <w:szCs w:val="21"/>
          <w:highlight w:val="none"/>
        </w:rPr>
        <w:t>项目实施过程中负责向发包人和相关参建单位进行资料交底、处理有关岩土工程方面的问题，包括补勘等。</w:t>
      </w:r>
    </w:p>
    <w:p w14:paraId="1D4F49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②勘察人无条件配合发包人分期、分批勘察以及相关报建报批要求。</w:t>
      </w:r>
    </w:p>
    <w:p w14:paraId="428521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③以上提供的技术标准咨询及设计服务成果，按发包人要求进行修订、打印及装订，提交纸质成果一式12份，电子档案光盘1份。</w:t>
      </w:r>
    </w:p>
    <w:p w14:paraId="016F74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（2）服务要求：</w:t>
      </w:r>
    </w:p>
    <w:p w14:paraId="1506DA4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①合同签订生效后，勘察人能在采购方确定方案设计后5个日历日内启动项目勘察工作，指派项目工作人员，全职人员必须与</w:t>
      </w:r>
      <w:r>
        <w:rPr>
          <w:rFonts w:hint="eastAsia" w:ascii="宋体" w:hAnsi="宋体" w:cs="宋体"/>
          <w:color w:val="auto"/>
          <w:szCs w:val="21"/>
          <w:highlight w:val="none"/>
          <w:lang w:eastAsia="zh-CN"/>
        </w:rPr>
        <w:t>响应文件</w:t>
      </w:r>
      <w:r>
        <w:rPr>
          <w:rFonts w:hint="eastAsia" w:ascii="宋体" w:hAnsi="宋体" w:cs="宋体"/>
          <w:color w:val="auto"/>
          <w:szCs w:val="21"/>
          <w:highlight w:val="none"/>
        </w:rPr>
        <w:t>一致。</w:t>
      </w:r>
    </w:p>
    <w:p w14:paraId="46640D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②勘察人应对项目有关情况保密，若因勘察人的管理、工作人员责任心等原因造成发包人项目建设信息或资料外泄，由此产生的全部经济赔偿责任与相关法律责任均由勘察人承担。</w:t>
      </w:r>
    </w:p>
    <w:p w14:paraId="7AE547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③勘察人需具有能完成本项目工作所需的设施设备。</w:t>
      </w:r>
    </w:p>
    <w:p w14:paraId="76072E2D">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5.4 成果验收</w:t>
      </w:r>
    </w:p>
    <w:p w14:paraId="68B53A4E">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highlight w:val="none"/>
        </w:rPr>
        <w:t>双方就成果验收期限的约定：</w:t>
      </w:r>
      <w:r>
        <w:rPr>
          <w:rFonts w:hint="eastAsia" w:ascii="宋体" w:hAnsi="宋体" w:cs="宋体"/>
          <w:color w:val="auto"/>
          <w:kern w:val="0"/>
          <w:highlight w:val="none"/>
          <w:u w:val="single"/>
        </w:rPr>
        <w:t>勘察人提交的勘察成果，通过发包人委托的第三方审查公司审查</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CCED268">
      <w:pPr>
        <w:pStyle w:val="5"/>
        <w:spacing w:line="360" w:lineRule="auto"/>
        <w:rPr>
          <w:rFonts w:hint="eastAsia" w:ascii="宋体" w:hAnsi="宋体" w:cs="宋体"/>
          <w:bCs w:val="0"/>
          <w:color w:val="auto"/>
          <w:sz w:val="24"/>
          <w:szCs w:val="24"/>
          <w:highlight w:val="none"/>
        </w:rPr>
      </w:pPr>
      <w:r>
        <w:rPr>
          <w:rFonts w:hint="eastAsia" w:ascii="宋体" w:hAnsi="宋体" w:cs="宋体"/>
          <w:color w:val="auto"/>
          <w:szCs w:val="21"/>
          <w:highlight w:val="none"/>
        </w:rPr>
        <w:t>6</w:t>
      </w:r>
      <w:r>
        <w:rPr>
          <w:rFonts w:hint="eastAsia" w:ascii="宋体" w:hAnsi="宋体" w:cs="宋体"/>
          <w:bCs w:val="0"/>
          <w:color w:val="auto"/>
          <w:sz w:val="24"/>
          <w:szCs w:val="24"/>
          <w:highlight w:val="none"/>
        </w:rPr>
        <w:t>. 后期服务</w:t>
      </w:r>
    </w:p>
    <w:p w14:paraId="6C35FDC9">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6.1 后续技术服务</w:t>
      </w:r>
    </w:p>
    <w:p w14:paraId="4F0D1A36">
      <w:pPr>
        <w:tabs>
          <w:tab w:val="left" w:pos="540"/>
        </w:tabs>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后续技术服务内容约定：</w:t>
      </w:r>
      <w:r>
        <w:rPr>
          <w:rFonts w:hint="eastAsia" w:ascii="宋体" w:hAnsi="宋体" w:cs="宋体"/>
          <w:color w:val="auto"/>
          <w:kern w:val="0"/>
          <w:highlight w:val="none"/>
          <w:u w:val="single"/>
        </w:rPr>
        <w:t>勘察人应向发包人提供本项目施工全过程的勘察咨询服务，包括但不限于安排相关专业人员查看现场及提供专业意见，配合完成竣工验收等，</w:t>
      </w:r>
      <w:r>
        <w:rPr>
          <w:rFonts w:hint="eastAsia" w:ascii="宋体" w:hAnsi="宋体" w:cs="宋体"/>
          <w:color w:val="auto"/>
          <w:kern w:val="0"/>
          <w:szCs w:val="21"/>
          <w:highlight w:val="none"/>
          <w:u w:val="single"/>
        </w:rPr>
        <w:t>勘察人自行解决必要的工作和生活条件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7BB7C2F">
      <w:pPr>
        <w:tabs>
          <w:tab w:val="left" w:pos="540"/>
        </w:tabs>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后续技术服务费用约定：</w:t>
      </w:r>
      <w:r>
        <w:rPr>
          <w:rFonts w:hint="eastAsia" w:ascii="宋体" w:hAnsi="宋体" w:cs="宋体"/>
          <w:color w:val="auto"/>
          <w:kern w:val="0"/>
          <w:highlight w:val="none"/>
          <w:u w:val="single"/>
        </w:rPr>
        <w:t>勘察人为发包人免费提供本合同约定的后续技术服务</w:t>
      </w:r>
      <w:r>
        <w:rPr>
          <w:rFonts w:hint="eastAsia" w:ascii="宋体" w:hAnsi="宋体" w:cs="宋体"/>
          <w:color w:val="auto"/>
          <w:szCs w:val="21"/>
          <w:highlight w:val="none"/>
        </w:rPr>
        <w:t>。</w:t>
      </w:r>
    </w:p>
    <w:p w14:paraId="244B5469">
      <w:pPr>
        <w:tabs>
          <w:tab w:val="left" w:pos="540"/>
        </w:tabs>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后续技术服务时限约定：</w:t>
      </w:r>
      <w:r>
        <w:rPr>
          <w:rFonts w:hint="eastAsia" w:ascii="宋体" w:hAnsi="宋体" w:cs="宋体"/>
          <w:color w:val="auto"/>
          <w:kern w:val="0"/>
          <w:highlight w:val="none"/>
          <w:u w:val="single"/>
        </w:rPr>
        <w:t>本项目开工至竣工验收</w:t>
      </w:r>
      <w:r>
        <w:rPr>
          <w:rFonts w:hint="eastAsia" w:ascii="宋体" w:hAnsi="宋体" w:cs="宋体"/>
          <w:color w:val="auto"/>
          <w:szCs w:val="21"/>
          <w:highlight w:val="none"/>
        </w:rPr>
        <w:t>。</w:t>
      </w:r>
    </w:p>
    <w:p w14:paraId="1AD4CEA2">
      <w:pPr>
        <w:pStyle w:val="5"/>
        <w:spacing w:line="360" w:lineRule="auto"/>
        <w:rPr>
          <w:rFonts w:hint="eastAsia" w:ascii="宋体" w:hAnsi="宋体" w:cs="宋体"/>
          <w:bCs w:val="0"/>
          <w:color w:val="auto"/>
          <w:sz w:val="24"/>
          <w:szCs w:val="24"/>
          <w:highlight w:val="none"/>
        </w:rPr>
      </w:pPr>
      <w:r>
        <w:rPr>
          <w:rFonts w:hint="eastAsia" w:ascii="宋体" w:hAnsi="宋体" w:cs="宋体"/>
          <w:color w:val="auto"/>
          <w:szCs w:val="21"/>
          <w:highlight w:val="none"/>
        </w:rPr>
        <w:t>7</w:t>
      </w:r>
      <w:r>
        <w:rPr>
          <w:rFonts w:hint="eastAsia" w:ascii="宋体" w:hAnsi="宋体" w:cs="宋体"/>
          <w:bCs w:val="0"/>
          <w:color w:val="auto"/>
          <w:sz w:val="24"/>
          <w:szCs w:val="24"/>
          <w:highlight w:val="none"/>
        </w:rPr>
        <w:t>. 合同价款与支付</w:t>
      </w:r>
    </w:p>
    <w:p w14:paraId="469D9249">
      <w:pPr>
        <w:spacing w:line="360" w:lineRule="auto"/>
        <w:ind w:firstLine="420" w:firstLineChars="200"/>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7.1.1按合同协议书</w:t>
      </w:r>
    </w:p>
    <w:p w14:paraId="19EEC245">
      <w:pPr>
        <w:spacing w:line="360" w:lineRule="auto"/>
        <w:ind w:firstLine="420" w:firstLineChars="200"/>
        <w:jc w:val="left"/>
        <w:rPr>
          <w:rFonts w:hint="default"/>
          <w:b/>
          <w:color w:val="auto"/>
          <w:highlight w:val="none"/>
          <w:lang w:val="en-US"/>
        </w:rPr>
      </w:pPr>
      <w:r>
        <w:rPr>
          <w:rFonts w:hint="eastAsia" w:ascii="宋体" w:hAnsi="宋体" w:cs="宋体"/>
          <w:color w:val="auto"/>
          <w:szCs w:val="21"/>
          <w:highlight w:val="none"/>
          <w:lang w:val="en-US" w:eastAsia="zh-CN"/>
        </w:rPr>
        <w:t>7.1.2</w:t>
      </w:r>
      <w:r>
        <w:rPr>
          <w:rFonts w:hint="eastAsia" w:ascii="宋体" w:hAnsi="宋体" w:cs="宋体"/>
          <w:color w:val="auto"/>
          <w:kern w:val="0"/>
          <w:szCs w:val="21"/>
          <w:highlight w:val="none"/>
        </w:rPr>
        <w:t>（3）其他合同价款形式</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合同总价包干</w:t>
      </w:r>
    </w:p>
    <w:p w14:paraId="457BE171">
      <w:pPr>
        <w:pStyle w:val="18"/>
        <w:widowControl/>
        <w:topLinePunct/>
        <w:autoSpaceDE w:val="0"/>
        <w:autoSpaceDN w:val="0"/>
        <w:adjustRightInd w:val="0"/>
        <w:snapToGrid w:val="0"/>
        <w:spacing w:after="0" w:line="360" w:lineRule="auto"/>
        <w:ind w:firstLine="420" w:firstLineChars="200"/>
        <w:textAlignment w:val="baseline"/>
        <w:rPr>
          <w:rFonts w:hint="eastAsia" w:ascii="宋体" w:hAnsi="宋体" w:cs="宋体"/>
          <w:color w:val="auto"/>
          <w:spacing w:val="-3"/>
          <w:szCs w:val="21"/>
          <w:highlight w:val="none"/>
        </w:rPr>
      </w:pPr>
      <w:r>
        <w:rPr>
          <w:rFonts w:hint="eastAsia" w:ascii="宋体" w:hAnsi="宋体" w:eastAsia="宋体" w:cs="宋体"/>
          <w:color w:val="auto"/>
          <w:kern w:val="0"/>
          <w:sz w:val="21"/>
          <w:szCs w:val="21"/>
          <w:highlight w:val="none"/>
          <w:lang w:val="en-US" w:eastAsia="zh-CN" w:bidi="ar-SA"/>
        </w:rPr>
        <w:t>7.1.3合同价款</w:t>
      </w:r>
      <w:r>
        <w:rPr>
          <w:rFonts w:hint="eastAsia" w:ascii="宋体" w:hAnsi="宋体" w:cs="宋体"/>
          <w:color w:val="auto"/>
          <w:sz w:val="21"/>
          <w:szCs w:val="21"/>
          <w:highlight w:val="none"/>
        </w:rPr>
        <w:t>包括完成本次采购范围内全部</w:t>
      </w:r>
      <w:r>
        <w:rPr>
          <w:rFonts w:hint="eastAsia" w:ascii="宋体" w:hAnsi="宋体" w:cs="宋体"/>
          <w:color w:val="auto"/>
          <w:sz w:val="21"/>
          <w:szCs w:val="21"/>
          <w:highlight w:val="none"/>
          <w:lang w:val="en-US" w:eastAsia="zh-CN"/>
        </w:rPr>
        <w:t>勘察服务</w:t>
      </w:r>
      <w:r>
        <w:rPr>
          <w:rFonts w:hint="eastAsia" w:ascii="宋体" w:hAnsi="宋体" w:cs="宋体"/>
          <w:color w:val="auto"/>
          <w:sz w:val="21"/>
          <w:szCs w:val="21"/>
          <w:highlight w:val="none"/>
        </w:rPr>
        <w:t>工作</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初步勘察及详细勘察</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的所有费用</w:t>
      </w:r>
      <w:r>
        <w:rPr>
          <w:rFonts w:hint="eastAsia" w:ascii="宋体" w:hAnsi="宋体" w:eastAsia="宋体" w:cs="宋体"/>
          <w:color w:val="auto"/>
          <w:kern w:val="0"/>
          <w:sz w:val="21"/>
          <w:szCs w:val="21"/>
          <w:highlight w:val="none"/>
          <w:lang w:val="en-US" w:eastAsia="zh-CN" w:bidi="ar-SA"/>
        </w:rPr>
        <w:t>：包含但不限于勘察设备、劳务、管理、交通、维护、保险、利润、税金与政策性文件规定及合同包含的所有风险、责任等各项应有的费用，包括勘察的临时用地，查明勘察点的地下埋藏物、青苗赔偿、拆除地下障碍物、临时交通道路、临建设施、用水用电以及水上作业船等一切费用；包括钻孔、取样及原位测试、室内试验、工程勘察实物工作收费、技术工作费、人员设备调遣费、临时设施费、钻孔损坏地上及鱼塘附着物的赔偿费用、临时措施费、勘察设备、劳务、管理、交通、维护、保险、利润、税金、政策性文件规定及获取控制点费用，场地租用费、办理城市道路行政许可及城市道路恢复、合同包含的所有风险、责任以及未载明但为完成本工程勘察所必须的全部工作所采取的措施费用等一切费用。</w:t>
      </w:r>
    </w:p>
    <w:p w14:paraId="736237D4">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7.2 定金或预付款</w:t>
      </w:r>
    </w:p>
    <w:p w14:paraId="424174D6">
      <w:pPr>
        <w:spacing w:line="360" w:lineRule="auto"/>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7.2.1发包人向勘察人支付定金金额:</w:t>
      </w:r>
      <w:r>
        <w:rPr>
          <w:rFonts w:hint="eastAsia" w:ascii="宋体" w:hAnsi="宋体" w:cs="宋体"/>
          <w:color w:val="auto"/>
          <w:kern w:val="0"/>
          <w:szCs w:val="21"/>
          <w:highlight w:val="none"/>
          <w:u w:val="single"/>
          <w:lang w:val="en-US" w:eastAsia="zh-CN"/>
        </w:rPr>
        <w:t>合同加价的30%（人民币     ¥       ）</w:t>
      </w:r>
      <w:r>
        <w:rPr>
          <w:rFonts w:hint="eastAsia" w:ascii="宋体" w:hAnsi="宋体" w:cs="宋体"/>
          <w:color w:val="auto"/>
          <w:kern w:val="0"/>
          <w:szCs w:val="21"/>
          <w:highlight w:val="none"/>
          <w:u w:val="single"/>
        </w:rPr>
        <w:t>。</w:t>
      </w:r>
    </w:p>
    <w:p w14:paraId="1FCFD8E0">
      <w:pPr>
        <w:spacing w:line="360" w:lineRule="auto"/>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7.2.2定金或预付款在进度款中的抵扣办法：</w:t>
      </w:r>
      <w:r>
        <w:rPr>
          <w:rFonts w:hint="eastAsia" w:ascii="宋体" w:hAnsi="宋体" w:cs="宋体"/>
          <w:color w:val="auto"/>
          <w:kern w:val="0"/>
          <w:szCs w:val="21"/>
          <w:highlight w:val="none"/>
          <w:u w:val="single"/>
          <w:lang w:val="en-US" w:eastAsia="zh-CN"/>
        </w:rPr>
        <w:t>无</w:t>
      </w:r>
      <w:r>
        <w:rPr>
          <w:rFonts w:hint="eastAsia" w:ascii="宋体" w:hAnsi="宋体" w:cs="宋体"/>
          <w:color w:val="auto"/>
          <w:kern w:val="0"/>
          <w:szCs w:val="21"/>
          <w:highlight w:val="none"/>
          <w:u w:val="single"/>
        </w:rPr>
        <w:t xml:space="preserve"> 。</w:t>
      </w:r>
    </w:p>
    <w:p w14:paraId="440B7494">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7.3 进度款支付</w:t>
      </w:r>
    </w:p>
    <w:p w14:paraId="2575A80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7.3.1</w:t>
      </w:r>
      <w:r>
        <w:rPr>
          <w:rFonts w:hint="eastAsia" w:ascii="宋体" w:hAnsi="宋体" w:cs="宋体"/>
          <w:color w:val="auto"/>
          <w:kern w:val="0"/>
          <w:szCs w:val="21"/>
          <w:highlight w:val="none"/>
        </w:rPr>
        <w:t>双方约定的进度款支付方式、支付条件和支付时间：</w:t>
      </w:r>
    </w:p>
    <w:p w14:paraId="12408834">
      <w:pPr>
        <w:spacing w:line="360" w:lineRule="auto"/>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lang w:val="en-US" w:eastAsia="zh-CN"/>
        </w:rPr>
        <w:t>1.签订合同后7个工作日内预付合同价的30%；完成项目勘察工作及成果经审查获得审查合格书后，支付至合同价的90%，剩余部分经采购人（或采购人委托的第三方咨询机构）审定勘察结算费用后一次性付清。</w:t>
      </w:r>
    </w:p>
    <w:p w14:paraId="6140B8F6">
      <w:pPr>
        <w:spacing w:line="360" w:lineRule="auto"/>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lang w:val="en-US" w:eastAsia="zh-CN"/>
        </w:rPr>
        <w:t>2.成交供应商在向采购人申请拨付服务款项时，须开具同等金额发票给采购人，采购人在收到发票后30个日历日内支付。如成交供应商未按国家要求开具发票，采购人有权拒绝支付。</w:t>
      </w:r>
    </w:p>
    <w:p w14:paraId="1EBFE6D9">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cs="宋体"/>
          <w:color w:val="auto"/>
          <w:highlight w:val="none"/>
        </w:rPr>
        <w:t>注：</w:t>
      </w:r>
      <w:r>
        <w:rPr>
          <w:rFonts w:hint="eastAsia" w:ascii="宋体" w:hAnsi="宋体" w:eastAsia="宋体" w:cs="宋体"/>
          <w:color w:val="auto"/>
          <w:highlight w:val="none"/>
        </w:rPr>
        <w:t>本合同资金来源为财政资金，具体款项支付程序及时间按照财政部门相关规定执行。勘察人应按财政部门要求及时提供相关资料，否则发包人有权不予支付，由此造成勘察费用审批滞后的相关风险由勘察人自行承担。因财政部门审核、拨付流程延迟、资金未及时到位等非发包人原因导致发包人逾期支付勘察费用的，不视为发包人违约，勘察人不得就此向发包人主张违约责任、逾期利息、索赔或提起任何追责诉求。</w:t>
      </w:r>
    </w:p>
    <w:p w14:paraId="6D029FA9">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7.4 合同价款结算</w:t>
      </w:r>
    </w:p>
    <w:p w14:paraId="1EFC70C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本项目勘察合同价款</w:t>
      </w:r>
      <w:r>
        <w:rPr>
          <w:rFonts w:hint="eastAsia" w:ascii="宋体" w:hAnsi="宋体" w:cs="宋体"/>
          <w:color w:val="auto"/>
          <w:highlight w:val="none"/>
        </w:rPr>
        <w:t>按</w:t>
      </w:r>
      <w:r>
        <w:rPr>
          <w:rFonts w:hint="eastAsia" w:ascii="宋体" w:hAnsi="宋体" w:cs="宋体"/>
          <w:color w:val="auto"/>
          <w:highlight w:val="none"/>
          <w:lang w:val="en-US" w:eastAsia="zh-CN"/>
        </w:rPr>
        <w:t>国家计委、建设部</w:t>
      </w:r>
      <w:r>
        <w:rPr>
          <w:rFonts w:hint="eastAsia" w:ascii="宋体" w:hAnsi="宋体" w:cs="宋体"/>
          <w:color w:val="auto"/>
          <w:highlight w:val="none"/>
        </w:rPr>
        <w:t>关于</w:t>
      </w:r>
      <w:r>
        <w:rPr>
          <w:rFonts w:hint="eastAsia" w:ascii="宋体" w:hAnsi="宋体" w:cs="宋体"/>
          <w:color w:val="auto"/>
          <w:highlight w:val="none"/>
          <w:lang w:val="en-US" w:eastAsia="zh-CN"/>
        </w:rPr>
        <w:t>发布</w:t>
      </w:r>
      <w:r>
        <w:rPr>
          <w:rFonts w:hint="eastAsia" w:ascii="宋体" w:hAnsi="宋体" w:cs="宋体"/>
          <w:color w:val="auto"/>
          <w:highlight w:val="none"/>
        </w:rPr>
        <w:t>《</w:t>
      </w:r>
      <w:r>
        <w:rPr>
          <w:rFonts w:hint="eastAsia" w:ascii="宋体" w:hAnsi="宋体" w:cs="宋体"/>
          <w:color w:val="auto"/>
          <w:highlight w:val="none"/>
          <w:lang w:val="en-US" w:eastAsia="zh-CN"/>
        </w:rPr>
        <w:t>工程勘察设计收费管理规定</w:t>
      </w:r>
      <w:r>
        <w:rPr>
          <w:rFonts w:hint="eastAsia" w:ascii="宋体" w:hAnsi="宋体" w:cs="宋体"/>
          <w:color w:val="auto"/>
          <w:highlight w:val="none"/>
        </w:rPr>
        <w:t>》的通知（</w:t>
      </w:r>
      <w:r>
        <w:rPr>
          <w:rFonts w:hint="eastAsia" w:ascii="宋体" w:hAnsi="宋体" w:cs="宋体"/>
          <w:color w:val="auto"/>
          <w:highlight w:val="none"/>
          <w:lang w:val="en-US" w:eastAsia="zh-CN"/>
        </w:rPr>
        <w:t>计价格</w:t>
      </w:r>
      <w:r>
        <w:rPr>
          <w:rFonts w:hint="eastAsia" w:ascii="宋体" w:hAnsi="宋体" w:cs="宋体"/>
          <w:color w:val="auto"/>
          <w:highlight w:val="none"/>
        </w:rPr>
        <w:t>【20</w:t>
      </w:r>
      <w:r>
        <w:rPr>
          <w:rFonts w:hint="eastAsia" w:ascii="宋体" w:hAnsi="宋体" w:cs="宋体"/>
          <w:color w:val="auto"/>
          <w:highlight w:val="none"/>
          <w:lang w:val="en-US" w:eastAsia="zh-CN"/>
        </w:rPr>
        <w:t>02</w:t>
      </w:r>
      <w:r>
        <w:rPr>
          <w:rFonts w:hint="eastAsia" w:ascii="宋体" w:hAnsi="宋体" w:cs="宋体"/>
          <w:color w:val="auto"/>
          <w:highlight w:val="none"/>
        </w:rPr>
        <w:t>】</w:t>
      </w:r>
      <w:r>
        <w:rPr>
          <w:rFonts w:hint="eastAsia" w:ascii="宋体" w:hAnsi="宋体" w:cs="宋体"/>
          <w:color w:val="auto"/>
          <w:highlight w:val="none"/>
          <w:lang w:val="en-US" w:eastAsia="zh-CN"/>
        </w:rPr>
        <w:t>10</w:t>
      </w:r>
      <w:r>
        <w:rPr>
          <w:rFonts w:hint="eastAsia" w:ascii="宋体" w:hAnsi="宋体" w:cs="宋体"/>
          <w:color w:val="auto"/>
          <w:highlight w:val="none"/>
        </w:rPr>
        <w:t>号）收费标准</w:t>
      </w:r>
      <w:r>
        <w:rPr>
          <w:rFonts w:hint="eastAsia" w:ascii="宋体" w:hAnsi="宋体" w:cs="宋体"/>
          <w:color w:val="auto"/>
          <w:highlight w:val="none"/>
          <w:lang w:val="en-US" w:eastAsia="zh-CN"/>
        </w:rPr>
        <w:t>计取，总价包干</w:t>
      </w:r>
      <w:r>
        <w:rPr>
          <w:rFonts w:hint="eastAsia" w:ascii="宋体" w:hAnsi="宋体" w:cs="宋体"/>
          <w:color w:val="auto"/>
          <w:kern w:val="0"/>
          <w:szCs w:val="21"/>
          <w:highlight w:val="none"/>
        </w:rPr>
        <w:t>。</w:t>
      </w:r>
    </w:p>
    <w:p w14:paraId="3DE5027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最终合同价款支付的时间：</w:t>
      </w:r>
      <w:r>
        <w:rPr>
          <w:rFonts w:hint="eastAsia" w:ascii="宋体" w:hAnsi="宋体" w:cs="宋体"/>
          <w:color w:val="auto"/>
          <w:kern w:val="0"/>
          <w:szCs w:val="21"/>
          <w:highlight w:val="none"/>
          <w:u w:val="single"/>
        </w:rPr>
        <w:t>勘察人</w:t>
      </w:r>
      <w:r>
        <w:rPr>
          <w:rFonts w:hint="eastAsia" w:ascii="宋体" w:hAnsi="宋体" w:cs="宋体"/>
          <w:color w:val="auto"/>
          <w:highlight w:val="none"/>
          <w:u w:val="single"/>
        </w:rPr>
        <w:t>提供结算资料经发包人</w:t>
      </w:r>
      <w:r>
        <w:rPr>
          <w:rFonts w:hint="eastAsia" w:ascii="宋体" w:hAnsi="宋体" w:cs="宋体"/>
          <w:color w:val="auto"/>
          <w:highlight w:val="none"/>
          <w:u w:val="single"/>
          <w:lang w:eastAsia="zh-CN"/>
        </w:rPr>
        <w:t>（</w:t>
      </w:r>
      <w:r>
        <w:rPr>
          <w:rFonts w:hint="eastAsia" w:ascii="宋体" w:hAnsi="宋体" w:cs="宋体"/>
          <w:color w:val="auto"/>
          <w:szCs w:val="21"/>
          <w:highlight w:val="none"/>
          <w:lang w:val="en-US" w:eastAsia="zh-CN"/>
        </w:rPr>
        <w:t>或发包人委托的第三方咨询机构</w:t>
      </w:r>
      <w:r>
        <w:rPr>
          <w:rFonts w:hint="eastAsia" w:ascii="宋体" w:hAnsi="宋体" w:cs="宋体"/>
          <w:color w:val="auto"/>
          <w:highlight w:val="none"/>
          <w:u w:val="single"/>
          <w:lang w:eastAsia="zh-CN"/>
        </w:rPr>
        <w:t>）</w:t>
      </w:r>
      <w:r>
        <w:rPr>
          <w:rFonts w:hint="eastAsia" w:ascii="宋体" w:hAnsi="宋体" w:cs="宋体"/>
          <w:color w:val="auto"/>
          <w:highlight w:val="none"/>
          <w:u w:val="single"/>
        </w:rPr>
        <w:t>审核通过后，</w:t>
      </w:r>
      <w:r>
        <w:rPr>
          <w:rFonts w:hint="eastAsia" w:ascii="宋体" w:hAnsi="宋体" w:cs="宋体"/>
          <w:color w:val="auto"/>
          <w:szCs w:val="21"/>
          <w:highlight w:val="none"/>
        </w:rPr>
        <w:t>开具同等金额发票给发包人，发包人在收到发票后30个日历日内按规定支付。</w:t>
      </w:r>
    </w:p>
    <w:p w14:paraId="5C666791">
      <w:pPr>
        <w:pStyle w:val="5"/>
        <w:spacing w:line="360" w:lineRule="auto"/>
        <w:rPr>
          <w:rFonts w:hint="eastAsia" w:ascii="宋体" w:hAnsi="宋体" w:cs="宋体"/>
          <w:bCs w:val="0"/>
          <w:color w:val="auto"/>
          <w:sz w:val="24"/>
          <w:szCs w:val="24"/>
          <w:highlight w:val="none"/>
        </w:rPr>
      </w:pPr>
      <w:r>
        <w:rPr>
          <w:rFonts w:hint="eastAsia" w:ascii="宋体" w:hAnsi="宋体" w:cs="宋体"/>
          <w:bCs w:val="0"/>
          <w:color w:val="auto"/>
          <w:sz w:val="24"/>
          <w:szCs w:val="24"/>
          <w:highlight w:val="none"/>
        </w:rPr>
        <w:t>8. 变更与调整</w:t>
      </w:r>
    </w:p>
    <w:p w14:paraId="6987D23F">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8.1 变更范围与确定</w:t>
      </w:r>
    </w:p>
    <w:p w14:paraId="5E1A72C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8.1.1 变更范围</w:t>
      </w:r>
    </w:p>
    <w:p w14:paraId="15127BA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变更范围的其他约定：</w:t>
      </w:r>
      <w:r>
        <w:rPr>
          <w:rFonts w:hint="eastAsia" w:ascii="宋体" w:hAnsi="宋体" w:cs="宋体"/>
          <w:color w:val="auto"/>
          <w:kern w:val="0"/>
          <w:szCs w:val="21"/>
          <w:highlight w:val="none"/>
          <w:u w:val="single"/>
        </w:rPr>
        <w:t xml:space="preserve">_无  </w:t>
      </w:r>
      <w:r>
        <w:rPr>
          <w:rFonts w:hint="eastAsia" w:ascii="宋体" w:hAnsi="宋体" w:cs="宋体"/>
          <w:color w:val="auto"/>
          <w:kern w:val="0"/>
          <w:szCs w:val="21"/>
          <w:highlight w:val="none"/>
        </w:rPr>
        <w:t>。</w:t>
      </w:r>
    </w:p>
    <w:p w14:paraId="5505F1B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8.1.2变更确定</w:t>
      </w:r>
    </w:p>
    <w:p w14:paraId="766634D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变更提出和确定期限约定：</w:t>
      </w:r>
      <w:r>
        <w:rPr>
          <w:rFonts w:hint="eastAsia" w:ascii="宋体" w:hAnsi="宋体" w:cs="宋体"/>
          <w:color w:val="auto"/>
          <w:kern w:val="0"/>
          <w:szCs w:val="21"/>
          <w:highlight w:val="none"/>
          <w:u w:val="single"/>
        </w:rPr>
        <w:t xml:space="preserve">_无    </w:t>
      </w:r>
      <w:r>
        <w:rPr>
          <w:rFonts w:hint="eastAsia" w:ascii="宋体" w:hAnsi="宋体" w:cs="宋体"/>
          <w:color w:val="auto"/>
          <w:kern w:val="0"/>
          <w:szCs w:val="21"/>
          <w:highlight w:val="none"/>
        </w:rPr>
        <w:t>。</w:t>
      </w:r>
    </w:p>
    <w:p w14:paraId="65F57F05">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8.2 变更合同价款确定</w:t>
      </w:r>
    </w:p>
    <w:p w14:paraId="522A5ED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8.2.1 提出变更合同价款报告期限的约定：无  。</w:t>
      </w:r>
    </w:p>
    <w:p w14:paraId="0483ECE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8.2.2 确定变更合同价款报告期限的约定：_无  。</w:t>
      </w:r>
    </w:p>
    <w:p w14:paraId="023E55D2">
      <w:pPr>
        <w:pStyle w:val="5"/>
        <w:spacing w:line="360" w:lineRule="auto"/>
        <w:rPr>
          <w:rFonts w:hint="eastAsia" w:ascii="宋体" w:hAnsi="宋体" w:cs="宋体"/>
          <w:bCs w:val="0"/>
          <w:color w:val="auto"/>
          <w:sz w:val="24"/>
          <w:szCs w:val="24"/>
          <w:highlight w:val="none"/>
        </w:rPr>
      </w:pPr>
      <w:r>
        <w:rPr>
          <w:rFonts w:hint="eastAsia" w:ascii="宋体" w:hAnsi="宋体" w:cs="宋体"/>
          <w:bCs w:val="0"/>
          <w:color w:val="auto"/>
          <w:sz w:val="24"/>
          <w:szCs w:val="24"/>
          <w:highlight w:val="none"/>
        </w:rPr>
        <w:t>9. 知识产权</w:t>
      </w:r>
    </w:p>
    <w:p w14:paraId="1FB71D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 关于发包人提供给勘察人的图纸、发包人为实施工程自行编制或委托编制的技术规格以及反映发包人关于合同要求或其他类似性质的文件的著作权的归属：</w:t>
      </w:r>
      <w:r>
        <w:rPr>
          <w:rFonts w:hint="eastAsia" w:ascii="宋体" w:hAnsi="宋体" w:cs="宋体"/>
          <w:color w:val="auto"/>
          <w:szCs w:val="21"/>
          <w:highlight w:val="none"/>
          <w:u w:val="single"/>
        </w:rPr>
        <w:t></w:t>
      </w:r>
      <w:r>
        <w:rPr>
          <w:rFonts w:hint="eastAsia" w:ascii="宋体" w:hAnsi="宋体" w:cs="宋体"/>
          <w:color w:val="auto"/>
          <w:kern w:val="0"/>
          <w:highlight w:val="none"/>
          <w:u w:val="single"/>
        </w:rPr>
        <w:t>归发包人所有</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7DF06C4">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rPr>
        <w:t>未经发包人书面同意，勘察人不得为了本合同以外的目的而复制、使用上述文件或将之提供给任何第三方，如果因勘察人未经发包人同意为了本合同以外的目的而复制、使用上述文件或将之提供给任何第三方，由此造成的损失由勘察人承担。</w:t>
      </w:r>
    </w:p>
    <w:p w14:paraId="17EE93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 xml:space="preserve">   </w:t>
      </w:r>
      <w:r>
        <w:rPr>
          <w:color w:val="auto"/>
          <w:spacing w:val="-1"/>
          <w:szCs w:val="21"/>
          <w:highlight w:val="none"/>
          <w:u w:val="single"/>
        </w:rPr>
        <w:t>发包人</w:t>
      </w:r>
      <w:r>
        <w:rPr>
          <w:rFonts w:hint="eastAsia"/>
          <w:color w:val="auto"/>
          <w:szCs w:val="21"/>
          <w:highlight w:val="none"/>
          <w:u w:val="single"/>
        </w:rPr>
        <w:t>可以根据需要使用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C5F2A9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 关于勘察人为实施工程所编制文件的著作权的归属：</w:t>
      </w:r>
      <w:r>
        <w:rPr>
          <w:rFonts w:hint="eastAsia" w:ascii="宋体" w:hAnsi="宋体" w:cs="宋体"/>
          <w:color w:val="auto"/>
          <w:szCs w:val="21"/>
          <w:highlight w:val="none"/>
          <w:u w:val="single"/>
        </w:rPr>
        <w:t xml:space="preserve"> </w:t>
      </w:r>
      <w:r>
        <w:rPr>
          <w:rFonts w:hint="eastAsia" w:ascii="宋体" w:hAnsi="宋体" w:cs="宋体"/>
          <w:color w:val="auto"/>
          <w:kern w:val="0"/>
          <w:highlight w:val="none"/>
          <w:u w:val="single"/>
        </w:rPr>
        <w:t>归发包人所有</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66E3F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关于勘察人提供的上述文件的使用限制的要求：</w:t>
      </w:r>
      <w:r>
        <w:rPr>
          <w:rFonts w:hint="eastAsia" w:ascii="宋体" w:hAnsi="宋体" w:cs="宋体"/>
          <w:color w:val="auto"/>
          <w:szCs w:val="21"/>
          <w:highlight w:val="none"/>
          <w:u w:val="single"/>
        </w:rPr>
        <w:t></w:t>
      </w:r>
      <w:r>
        <w:rPr>
          <w:rFonts w:hint="eastAsia" w:ascii="宋体" w:hAnsi="宋体" w:cs="宋体"/>
          <w:color w:val="auto"/>
          <w:kern w:val="0"/>
          <w:szCs w:val="21"/>
          <w:highlight w:val="none"/>
        </w:rPr>
        <w:t>勘察人提供的技术文件、成果资料、技术秘密等</w:t>
      </w:r>
      <w:r>
        <w:rPr>
          <w:rFonts w:hint="eastAsia"/>
          <w:color w:val="auto"/>
          <w:szCs w:val="21"/>
          <w:highlight w:val="none"/>
          <w:u w:val="single"/>
        </w:rPr>
        <w:t>文件</w:t>
      </w:r>
      <w:r>
        <w:rPr>
          <w:color w:val="auto"/>
          <w:szCs w:val="21"/>
          <w:highlight w:val="none"/>
        </w:rPr>
        <w:t>著作权归属</w:t>
      </w:r>
      <w:r>
        <w:rPr>
          <w:rFonts w:hint="eastAsia"/>
          <w:color w:val="auto"/>
          <w:szCs w:val="21"/>
          <w:highlight w:val="none"/>
        </w:rPr>
        <w:t>于发包人，</w:t>
      </w:r>
      <w:r>
        <w:rPr>
          <w:color w:val="auto"/>
          <w:spacing w:val="-1"/>
          <w:szCs w:val="21"/>
          <w:highlight w:val="none"/>
        </w:rPr>
        <w:t>发包人</w:t>
      </w:r>
      <w:r>
        <w:rPr>
          <w:rFonts w:hint="eastAsia"/>
          <w:color w:val="auto"/>
          <w:szCs w:val="21"/>
          <w:highlight w:val="none"/>
          <w:u w:val="single"/>
        </w:rPr>
        <w:t>可以根据需要使用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26A7A31">
      <w:pPr>
        <w:widowControl/>
        <w:spacing w:line="360" w:lineRule="auto"/>
        <w:ind w:firstLine="420" w:firstLineChars="200"/>
        <w:jc w:val="left"/>
        <w:rPr>
          <w:rFonts w:hint="eastAsia" w:ascii="宋体" w:hAnsi="宋体" w:cs="宋体"/>
          <w:color w:val="auto"/>
          <w:highlight w:val="none"/>
          <w:u w:val="single"/>
        </w:rPr>
      </w:pPr>
      <w:r>
        <w:rPr>
          <w:rFonts w:hint="eastAsia" w:ascii="宋体" w:hAnsi="宋体" w:cs="宋体"/>
          <w:color w:val="auto"/>
          <w:szCs w:val="21"/>
          <w:highlight w:val="none"/>
        </w:rPr>
        <w:t>9.5 勘察人在勘察过程中所采用的专利、专有技术的使用费的承担方式：</w:t>
      </w:r>
      <w:r>
        <w:rPr>
          <w:rFonts w:hint="eastAsia" w:ascii="宋体" w:hAnsi="宋体" w:cs="宋体"/>
          <w:color w:val="auto"/>
          <w:szCs w:val="21"/>
          <w:highlight w:val="none"/>
          <w:u w:val="single"/>
        </w:rPr>
        <w:t xml:space="preserve"> </w:t>
      </w:r>
      <w:r>
        <w:rPr>
          <w:rFonts w:hint="eastAsia" w:ascii="宋体" w:hAnsi="宋体" w:cs="宋体"/>
          <w:color w:val="auto"/>
          <w:kern w:val="0"/>
          <w:highlight w:val="none"/>
          <w:u w:val="single"/>
        </w:rPr>
        <w:t>由勘察人承担。</w:t>
      </w:r>
    </w:p>
    <w:p w14:paraId="6A02E6BD">
      <w:pPr>
        <w:pStyle w:val="5"/>
        <w:spacing w:line="360" w:lineRule="auto"/>
        <w:rPr>
          <w:rFonts w:hint="eastAsia" w:ascii="宋体" w:hAnsi="宋体" w:cs="宋体"/>
          <w:b w:val="0"/>
          <w:color w:val="auto"/>
          <w:szCs w:val="21"/>
          <w:highlight w:val="none"/>
        </w:rPr>
      </w:pPr>
      <w:r>
        <w:rPr>
          <w:rFonts w:hint="eastAsia" w:ascii="宋体" w:hAnsi="宋体" w:cs="宋体"/>
          <w:bCs w:val="0"/>
          <w:color w:val="auto"/>
          <w:sz w:val="24"/>
          <w:szCs w:val="24"/>
          <w:highlight w:val="none"/>
        </w:rPr>
        <w:t>10. 不可抗力</w:t>
      </w:r>
      <w:r>
        <w:rPr>
          <w:rFonts w:hint="eastAsia" w:ascii="宋体" w:hAnsi="宋体" w:cs="宋体"/>
          <w:b w:val="0"/>
          <w:color w:val="auto"/>
          <w:szCs w:val="21"/>
          <w:highlight w:val="none"/>
        </w:rPr>
        <w:t xml:space="preserve"> </w:t>
      </w:r>
    </w:p>
    <w:p w14:paraId="636156C5">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10.1 不可抗力的确认</w:t>
      </w:r>
    </w:p>
    <w:p w14:paraId="4643A8D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10.1.1双方关于不可抗力的其他约定（如政府临时禁令）：</w:t>
      </w:r>
      <w:r>
        <w:rPr>
          <w:rFonts w:hint="eastAsia" w:ascii="宋体" w:hAnsi="宋体" w:cs="宋体"/>
          <w:color w:val="auto"/>
          <w:kern w:val="0"/>
          <w:highlight w:val="none"/>
          <w:u w:val="single"/>
        </w:rPr>
        <w:t>因政府或相关主管部门要求导致项目中断的及通用条款第10.1条约定的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3A2BF23D">
      <w:pPr>
        <w:pStyle w:val="6"/>
        <w:spacing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10.2 不可抗力的通知</w:t>
      </w:r>
    </w:p>
    <w:p w14:paraId="4795F4E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10.2.1不可抗力持续发生，勘察报告受害损失期限的约定：</w:t>
      </w:r>
      <w:r>
        <w:rPr>
          <w:rFonts w:hint="eastAsia" w:ascii="宋体" w:hAnsi="宋体" w:cs="宋体"/>
          <w:color w:val="auto"/>
          <w:szCs w:val="21"/>
          <w:highlight w:val="none"/>
          <w:u w:val="single"/>
        </w:rPr>
        <w:t xml:space="preserve"> </w:t>
      </w:r>
      <w:r>
        <w:rPr>
          <w:rFonts w:hint="eastAsia" w:ascii="宋体" w:hAnsi="宋体" w:cs="宋体"/>
          <w:color w:val="auto"/>
          <w:kern w:val="0"/>
          <w:highlight w:val="none"/>
          <w:u w:val="single"/>
        </w:rPr>
        <w:t>按通用条款第 10.2 条执行</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4B3E76B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10.2.2勘察人向发包人通报受害损失情况及费用期限的约定：</w:t>
      </w:r>
      <w:r>
        <w:rPr>
          <w:rFonts w:hint="eastAsia" w:ascii="宋体" w:hAnsi="宋体" w:cs="宋体"/>
          <w:color w:val="auto"/>
          <w:szCs w:val="21"/>
          <w:highlight w:val="none"/>
          <w:u w:val="single"/>
        </w:rPr>
        <w:t xml:space="preserve"> </w:t>
      </w:r>
      <w:r>
        <w:rPr>
          <w:rFonts w:hint="eastAsia" w:ascii="宋体" w:hAnsi="宋体" w:cs="宋体"/>
          <w:color w:val="auto"/>
          <w:kern w:val="0"/>
          <w:highlight w:val="none"/>
          <w:u w:val="single"/>
        </w:rPr>
        <w:t>按通用条款第 10.2.2 条执行</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77ED35E5">
      <w:pPr>
        <w:pStyle w:val="6"/>
        <w:spacing w:line="360" w:lineRule="auto"/>
        <w:ind w:firstLine="420"/>
        <w:rPr>
          <w:rFonts w:hint="eastAsia" w:ascii="宋体" w:hAnsi="宋体" w:eastAsia="宋体" w:cs="宋体"/>
          <w:b w:val="0"/>
          <w:color w:val="auto"/>
          <w:kern w:val="2"/>
          <w:sz w:val="21"/>
          <w:szCs w:val="21"/>
          <w:highlight w:val="none"/>
        </w:rPr>
      </w:pPr>
      <w:r>
        <w:rPr>
          <w:rFonts w:hint="eastAsia" w:ascii="宋体" w:hAnsi="宋体" w:eastAsia="宋体" w:cs="宋体"/>
          <w:b w:val="0"/>
          <w:color w:val="auto"/>
          <w:kern w:val="2"/>
          <w:sz w:val="21"/>
          <w:szCs w:val="21"/>
          <w:highlight w:val="none"/>
        </w:rPr>
        <w:t>10.3 不可抗力后果的承担</w:t>
      </w:r>
    </w:p>
    <w:p w14:paraId="344CE701">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10.3.1 因不可抗力发生的费用及延误的工期由双方按以下方法分别承担：</w:t>
      </w:r>
    </w:p>
    <w:p w14:paraId="6D1A0D05">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（1）发包人和勘察人人员伤亡由合同当事人双方自行负责，并承担相应费用；</w:t>
      </w:r>
    </w:p>
    <w:p w14:paraId="03C9A67B">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（2）勘察人机械设备损坏及停工损失，由勘察人承担；</w:t>
      </w:r>
    </w:p>
    <w:p w14:paraId="27A1AB77">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（3）停工期间，勘察人应发包人要求留在作业场地的管理人员及保卫人员的费用由勘察人承担；</w:t>
      </w:r>
    </w:p>
    <w:p w14:paraId="699D74CA">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（4）作业场地发生的清理、修复费用由勘察人承担；</w:t>
      </w:r>
    </w:p>
    <w:p w14:paraId="34B3E1DB">
      <w:pPr>
        <w:tabs>
          <w:tab w:val="left" w:pos="1260"/>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（5）延误的工期相应顺延。</w:t>
      </w:r>
    </w:p>
    <w:p w14:paraId="2488C51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10.3.2 因合同一方迟延履行合同后发生不可抗力的，不能免除迟延履行方的相应责任。</w:t>
      </w:r>
    </w:p>
    <w:p w14:paraId="78E420E7">
      <w:pPr>
        <w:pStyle w:val="5"/>
        <w:spacing w:line="360" w:lineRule="auto"/>
        <w:rPr>
          <w:rFonts w:hint="eastAsia" w:ascii="宋体" w:hAnsi="宋体" w:cs="宋体"/>
          <w:bCs w:val="0"/>
          <w:color w:val="auto"/>
          <w:sz w:val="24"/>
          <w:szCs w:val="24"/>
          <w:highlight w:val="none"/>
        </w:rPr>
      </w:pPr>
      <w:r>
        <w:rPr>
          <w:rFonts w:hint="eastAsia" w:ascii="宋体" w:hAnsi="宋体" w:cs="宋体"/>
          <w:bCs w:val="0"/>
          <w:color w:val="auto"/>
          <w:sz w:val="24"/>
          <w:szCs w:val="24"/>
          <w:highlight w:val="none"/>
        </w:rPr>
        <w:t xml:space="preserve">13. 责任与保险 </w:t>
      </w:r>
    </w:p>
    <w:p w14:paraId="57886BA8">
      <w:pPr>
        <w:spacing w:line="360" w:lineRule="auto"/>
        <w:ind w:firstLine="420" w:firstLineChars="200"/>
        <w:jc w:val="left"/>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13.2工程勘察责任保险的约定：</w:t>
      </w:r>
      <w:r>
        <w:rPr>
          <w:rFonts w:hint="eastAsia" w:ascii="宋体" w:hAnsi="宋体" w:cs="宋体"/>
          <w:color w:val="auto"/>
          <w:kern w:val="0"/>
          <w:sz w:val="21"/>
          <w:szCs w:val="21"/>
          <w:highlight w:val="none"/>
          <w:u w:val="single"/>
        </w:rPr>
        <w:t xml:space="preserve"> 按国家相关规定及通用条款执行。</w:t>
      </w:r>
    </w:p>
    <w:p w14:paraId="70DF2556">
      <w:pPr>
        <w:pStyle w:val="18"/>
        <w:widowControl/>
        <w:topLinePunct/>
        <w:autoSpaceDE w:val="0"/>
        <w:autoSpaceDN w:val="0"/>
        <w:adjustRightInd w:val="0"/>
        <w:snapToGrid w:val="0"/>
        <w:spacing w:after="0" w:line="360" w:lineRule="auto"/>
        <w:ind w:firstLine="394" w:firstLineChars="200"/>
        <w:jc w:val="left"/>
        <w:textAlignment w:val="baseline"/>
        <w:outlineLvl w:val="3"/>
        <w:rPr>
          <w:rFonts w:hint="eastAsia" w:ascii="宋体" w:hAnsi="宋体" w:cs="宋体"/>
          <w:color w:val="auto"/>
          <w:sz w:val="21"/>
          <w:szCs w:val="21"/>
          <w:highlight w:val="none"/>
        </w:rPr>
      </w:pPr>
      <w:r>
        <w:rPr>
          <w:rFonts w:hint="eastAsia" w:ascii="宋体" w:hAnsi="宋体" w:cs="宋体"/>
          <w:b/>
          <w:bCs/>
          <w:color w:val="auto"/>
          <w:spacing w:val="-7"/>
          <w:sz w:val="21"/>
          <w:szCs w:val="21"/>
          <w:highlight w:val="none"/>
        </w:rPr>
        <w:t>14.违约</w:t>
      </w:r>
    </w:p>
    <w:p w14:paraId="1993B92B">
      <w:pPr>
        <w:pStyle w:val="18"/>
        <w:widowControl/>
        <w:topLinePunct/>
        <w:autoSpaceDE w:val="0"/>
        <w:autoSpaceDN w:val="0"/>
        <w:adjustRightInd w:val="0"/>
        <w:snapToGrid w:val="0"/>
        <w:spacing w:after="0" w:line="360" w:lineRule="auto"/>
        <w:ind w:firstLine="402" w:firstLineChars="200"/>
        <w:jc w:val="left"/>
        <w:textAlignment w:val="baseline"/>
        <w:outlineLvl w:val="4"/>
        <w:rPr>
          <w:rFonts w:hint="eastAsia" w:ascii="宋体" w:hAnsi="宋体" w:cs="宋体"/>
          <w:color w:val="auto"/>
          <w:sz w:val="21"/>
          <w:szCs w:val="21"/>
          <w:highlight w:val="none"/>
        </w:rPr>
      </w:pPr>
      <w:r>
        <w:rPr>
          <w:rFonts w:hint="eastAsia" w:ascii="宋体" w:hAnsi="宋体" w:cs="宋体"/>
          <w:b/>
          <w:bCs/>
          <w:color w:val="auto"/>
          <w:spacing w:val="-5"/>
          <w:sz w:val="21"/>
          <w:szCs w:val="21"/>
          <w:highlight w:val="none"/>
        </w:rPr>
        <w:t>14.1发包人违约</w:t>
      </w:r>
    </w:p>
    <w:p w14:paraId="6D4B03FF">
      <w:pPr>
        <w:pStyle w:val="18"/>
        <w:widowControl/>
        <w:topLinePunct/>
        <w:autoSpaceDE w:val="0"/>
        <w:autoSpaceDN w:val="0"/>
        <w:adjustRightInd w:val="0"/>
        <w:snapToGrid w:val="0"/>
        <w:spacing w:after="0" w:line="360" w:lineRule="auto"/>
        <w:ind w:firstLine="412"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2"/>
          <w:sz w:val="21"/>
          <w:szCs w:val="21"/>
          <w:highlight w:val="none"/>
        </w:rPr>
        <w:t>14.1.2发包人违约责任</w:t>
      </w:r>
    </w:p>
    <w:p w14:paraId="1121F676">
      <w:pPr>
        <w:pStyle w:val="18"/>
        <w:widowControl/>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（1）发包人支付勘察人的违约金</w:t>
      </w:r>
      <w:r>
        <w:rPr>
          <w:rFonts w:hint="eastAsia" w:ascii="宋体" w:hAnsi="宋体" w:cs="宋体"/>
          <w:b/>
          <w:bCs/>
          <w:color w:val="auto"/>
          <w:spacing w:val="-1"/>
          <w:sz w:val="21"/>
          <w:szCs w:val="21"/>
          <w:highlight w:val="none"/>
        </w:rPr>
        <w:t>：</w:t>
      </w:r>
      <w:r>
        <w:rPr>
          <w:rFonts w:hint="eastAsia" w:ascii="宋体" w:hAnsi="宋体" w:cs="宋体"/>
          <w:color w:val="auto"/>
          <w:sz w:val="21"/>
          <w:szCs w:val="21"/>
          <w:highlight w:val="none"/>
          <w:u w:val="single"/>
        </w:rPr>
        <w:t>1、由于发包人原因造成停工、窝工，工期按实际工日顺延；因发包人原因造成的工作量变化，发包人与勘察人协商后另行指定完工时间。2、合同履行期间，由于非勘察人原因而终止合同或发包人要求解除合同时，勘察人已进行勘察工作的，发包人按勘察人实际完成的工作量支付勘察费。3、发包人无正当理由未按合同约定时间支付合同款项的，每逾期一日，应按逾期金额的万分之一承担逾期违约金。</w:t>
      </w:r>
    </w:p>
    <w:p w14:paraId="3CB2F0F2">
      <w:pPr>
        <w:pStyle w:val="18"/>
        <w:widowControl/>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（2）发包人发生其他违约情形应承担的违约责任</w:t>
      </w:r>
      <w:r>
        <w:rPr>
          <w:rFonts w:hint="eastAsia" w:ascii="宋体" w:hAnsi="宋体" w:cs="宋体"/>
          <w:b/>
          <w:bCs/>
          <w:color w:val="auto"/>
          <w:spacing w:val="-1"/>
          <w:sz w:val="21"/>
          <w:szCs w:val="21"/>
          <w:highlight w:val="none"/>
        </w:rPr>
        <w:t>：</w:t>
      </w:r>
      <w:r>
        <w:rPr>
          <w:rFonts w:hint="eastAsia" w:ascii="宋体" w:hAnsi="宋体" w:cs="宋体"/>
          <w:color w:val="auto"/>
          <w:spacing w:val="-1"/>
          <w:sz w:val="21"/>
          <w:szCs w:val="21"/>
          <w:highlight w:val="none"/>
          <w:u w:val="single"/>
        </w:rPr>
        <w:t>无。</w:t>
      </w:r>
    </w:p>
    <w:p w14:paraId="06243E69">
      <w:pPr>
        <w:pStyle w:val="18"/>
        <w:widowControl/>
        <w:topLinePunct/>
        <w:autoSpaceDE w:val="0"/>
        <w:autoSpaceDN w:val="0"/>
        <w:adjustRightInd w:val="0"/>
        <w:snapToGrid w:val="0"/>
        <w:spacing w:after="0" w:line="360" w:lineRule="auto"/>
        <w:ind w:firstLine="402" w:firstLineChars="200"/>
        <w:jc w:val="left"/>
        <w:textAlignment w:val="baseline"/>
        <w:outlineLvl w:val="4"/>
        <w:rPr>
          <w:rFonts w:hint="eastAsia" w:ascii="宋体" w:hAnsi="宋体" w:cs="宋体"/>
          <w:color w:val="auto"/>
          <w:sz w:val="21"/>
          <w:szCs w:val="21"/>
          <w:highlight w:val="none"/>
        </w:rPr>
      </w:pPr>
      <w:r>
        <w:rPr>
          <w:rFonts w:hint="eastAsia" w:ascii="宋体" w:hAnsi="宋体" w:cs="宋体"/>
          <w:b/>
          <w:bCs/>
          <w:color w:val="auto"/>
          <w:spacing w:val="-5"/>
          <w:sz w:val="21"/>
          <w:szCs w:val="21"/>
          <w:highlight w:val="none"/>
        </w:rPr>
        <w:t>14.2勘察人违约</w:t>
      </w:r>
    </w:p>
    <w:p w14:paraId="358D5CA9">
      <w:pPr>
        <w:pStyle w:val="18"/>
        <w:widowControl/>
        <w:topLinePunct/>
        <w:autoSpaceDE w:val="0"/>
        <w:autoSpaceDN w:val="0"/>
        <w:adjustRightInd w:val="0"/>
        <w:snapToGrid w:val="0"/>
        <w:spacing w:after="0" w:line="360" w:lineRule="auto"/>
        <w:ind w:firstLine="408"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3"/>
          <w:sz w:val="21"/>
          <w:szCs w:val="21"/>
          <w:highlight w:val="none"/>
        </w:rPr>
        <w:t>14.2.1勘察人违约责任</w:t>
      </w:r>
    </w:p>
    <w:p w14:paraId="65DB0132">
      <w:pPr>
        <w:pStyle w:val="18"/>
        <w:widowControl/>
        <w:topLinePunct/>
        <w:autoSpaceDE w:val="0"/>
        <w:autoSpaceDN w:val="0"/>
        <w:adjustRightInd w:val="0"/>
        <w:snapToGrid w:val="0"/>
        <w:spacing w:after="0" w:line="360" w:lineRule="auto"/>
        <w:ind w:firstLine="404"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4"/>
          <w:sz w:val="21"/>
          <w:szCs w:val="21"/>
          <w:highlight w:val="none"/>
        </w:rPr>
        <w:t>（1）勘察人支付发包人的违约金</w:t>
      </w:r>
      <w:r>
        <w:rPr>
          <w:rFonts w:hint="eastAsia" w:ascii="宋体" w:hAnsi="宋体" w:cs="宋体"/>
          <w:b/>
          <w:bCs/>
          <w:color w:val="auto"/>
          <w:spacing w:val="-4"/>
          <w:sz w:val="21"/>
          <w:szCs w:val="21"/>
          <w:highlight w:val="none"/>
        </w:rPr>
        <w:t>：</w:t>
      </w:r>
      <w:r>
        <w:rPr>
          <w:rFonts w:hint="eastAsia" w:ascii="宋体" w:hAnsi="宋体" w:cs="宋体"/>
          <w:color w:val="auto"/>
          <w:spacing w:val="-4"/>
          <w:sz w:val="21"/>
          <w:szCs w:val="21"/>
          <w:highlight w:val="none"/>
          <w:u w:val="single"/>
        </w:rPr>
        <w:t>由于勘察人原因未按合同规定时间(日期)</w:t>
      </w:r>
      <w:r>
        <w:rPr>
          <w:rFonts w:hint="eastAsia" w:ascii="宋体" w:hAnsi="宋体" w:cs="宋体"/>
          <w:color w:val="auto"/>
          <w:spacing w:val="-6"/>
          <w:sz w:val="21"/>
          <w:szCs w:val="21"/>
          <w:highlight w:val="none"/>
          <w:u w:val="single"/>
        </w:rPr>
        <w:t>提交勘察成果资料，每超过一日，应减收勘察费</w:t>
      </w:r>
      <w:r>
        <w:rPr>
          <w:rFonts w:hint="eastAsia" w:ascii="宋体" w:hAnsi="宋体" w:cs="宋体"/>
          <w:color w:val="auto"/>
          <w:spacing w:val="-6"/>
          <w:sz w:val="21"/>
          <w:szCs w:val="21"/>
          <w:highlight w:val="none"/>
          <w:u w:val="single"/>
          <w:lang w:val="en-US" w:eastAsia="zh-CN"/>
        </w:rPr>
        <w:t>万</w:t>
      </w:r>
      <w:r>
        <w:rPr>
          <w:rFonts w:hint="eastAsia" w:ascii="宋体" w:hAnsi="宋体" w:cs="宋体"/>
          <w:color w:val="auto"/>
          <w:spacing w:val="-6"/>
          <w:sz w:val="21"/>
          <w:szCs w:val="21"/>
          <w:highlight w:val="none"/>
          <w:u w:val="single"/>
        </w:rPr>
        <w:t>分之</w:t>
      </w:r>
      <w:r>
        <w:rPr>
          <w:rFonts w:hint="eastAsia" w:ascii="宋体" w:hAnsi="宋体" w:cs="宋体"/>
          <w:color w:val="auto"/>
          <w:spacing w:val="-6"/>
          <w:sz w:val="21"/>
          <w:szCs w:val="21"/>
          <w:highlight w:val="none"/>
          <w:u w:val="single"/>
          <w:lang w:val="en-US" w:eastAsia="zh-CN"/>
        </w:rPr>
        <w:t>一</w:t>
      </w:r>
      <w:r>
        <w:rPr>
          <w:rFonts w:hint="eastAsia" w:ascii="宋体" w:hAnsi="宋体" w:cs="宋体"/>
          <w:color w:val="auto"/>
          <w:spacing w:val="-6"/>
          <w:sz w:val="21"/>
          <w:szCs w:val="21"/>
          <w:highlight w:val="none"/>
          <w:u w:val="single"/>
        </w:rPr>
        <w:t>。逾期超过十天的，发包人有权解除合同。因勘察人原因导致发包人解除合同的，勘察人除退还已收取的全部费</w:t>
      </w:r>
      <w:r>
        <w:rPr>
          <w:rFonts w:hint="eastAsia" w:ascii="宋体" w:hAnsi="宋体" w:cs="宋体"/>
          <w:color w:val="auto"/>
          <w:spacing w:val="-5"/>
          <w:sz w:val="21"/>
          <w:szCs w:val="21"/>
          <w:highlight w:val="none"/>
          <w:u w:val="single"/>
        </w:rPr>
        <w:t>用外，并按本合同总额的20%向发包人支付违约金。</w:t>
      </w:r>
    </w:p>
    <w:p w14:paraId="38159596">
      <w:pPr>
        <w:pStyle w:val="18"/>
        <w:widowControl/>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（2）勘察人造成工程延误应承担的违约责任</w:t>
      </w:r>
      <w:r>
        <w:rPr>
          <w:rFonts w:hint="eastAsia" w:ascii="宋体" w:hAnsi="宋体" w:cs="宋体"/>
          <w:b/>
          <w:bCs/>
          <w:color w:val="auto"/>
          <w:spacing w:val="-1"/>
          <w:sz w:val="21"/>
          <w:szCs w:val="21"/>
          <w:highlight w:val="none"/>
        </w:rPr>
        <w:t>：</w:t>
      </w:r>
      <w:r>
        <w:rPr>
          <w:rFonts w:hint="eastAsia" w:ascii="宋体" w:hAnsi="宋体" w:cs="宋体"/>
          <w:color w:val="auto"/>
          <w:spacing w:val="-1"/>
          <w:sz w:val="21"/>
          <w:szCs w:val="21"/>
          <w:highlight w:val="none"/>
          <w:u w:val="single"/>
        </w:rPr>
        <w:t>因勘察人原因未按合同约定时</w:t>
      </w:r>
      <w:r>
        <w:rPr>
          <w:rFonts w:hint="eastAsia" w:ascii="宋体" w:hAnsi="宋体" w:cs="宋体"/>
          <w:color w:val="auto"/>
          <w:sz w:val="21"/>
          <w:szCs w:val="21"/>
          <w:highlight w:val="none"/>
          <w:u w:val="single"/>
        </w:rPr>
        <w:t>提交勘察成果资料，每超过壹日，应减收本合同价款</w:t>
      </w:r>
      <w:r>
        <w:rPr>
          <w:rFonts w:hint="eastAsia" w:ascii="宋体" w:hAnsi="宋体" w:cs="宋体"/>
          <w:color w:val="auto"/>
          <w:sz w:val="21"/>
          <w:szCs w:val="21"/>
          <w:highlight w:val="none"/>
          <w:u w:val="single"/>
          <w:lang w:val="en-US" w:eastAsia="zh-CN"/>
        </w:rPr>
        <w:t>万</w:t>
      </w:r>
      <w:r>
        <w:rPr>
          <w:rFonts w:hint="eastAsia" w:ascii="宋体" w:hAnsi="宋体" w:cs="宋体"/>
          <w:color w:val="auto"/>
          <w:sz w:val="21"/>
          <w:szCs w:val="21"/>
          <w:highlight w:val="none"/>
          <w:u w:val="single"/>
        </w:rPr>
        <w:t>分之</w:t>
      </w:r>
      <w:r>
        <w:rPr>
          <w:rFonts w:hint="eastAsia" w:ascii="宋体" w:hAnsi="宋体" w:cs="宋体"/>
          <w:color w:val="auto"/>
          <w:sz w:val="21"/>
          <w:szCs w:val="21"/>
          <w:highlight w:val="none"/>
          <w:u w:val="single"/>
          <w:lang w:val="en-US" w:eastAsia="zh-CN"/>
        </w:rPr>
        <w:t>一</w:t>
      </w:r>
      <w:r>
        <w:rPr>
          <w:rFonts w:hint="eastAsia" w:ascii="宋体" w:hAnsi="宋体" w:cs="宋体"/>
          <w:color w:val="auto"/>
          <w:spacing w:val="-1"/>
          <w:sz w:val="21"/>
          <w:szCs w:val="21"/>
          <w:highlight w:val="none"/>
          <w:u w:val="single"/>
        </w:rPr>
        <w:t>。逾期超过十天的，</w:t>
      </w:r>
      <w:r>
        <w:rPr>
          <w:rFonts w:hint="eastAsia" w:ascii="宋体" w:hAnsi="宋体" w:cs="宋体"/>
          <w:color w:val="auto"/>
          <w:spacing w:val="-2"/>
          <w:sz w:val="21"/>
          <w:szCs w:val="21"/>
          <w:highlight w:val="none"/>
          <w:u w:val="single"/>
        </w:rPr>
        <w:t>发包人有权解除合同。勘察人有2次（含2次）以上不依据发包人的通知或函告执</w:t>
      </w:r>
      <w:r>
        <w:rPr>
          <w:rFonts w:hint="eastAsia" w:ascii="宋体" w:hAnsi="宋体" w:cs="宋体"/>
          <w:color w:val="auto"/>
          <w:sz w:val="21"/>
          <w:szCs w:val="21"/>
          <w:highlight w:val="none"/>
          <w:u w:val="single"/>
        </w:rPr>
        <w:t>行，发包人有权解除本合同。因勘察人原因导致发包人解</w:t>
      </w:r>
      <w:r>
        <w:rPr>
          <w:rFonts w:hint="eastAsia" w:ascii="宋体" w:hAnsi="宋体" w:cs="宋体"/>
          <w:color w:val="auto"/>
          <w:spacing w:val="-1"/>
          <w:sz w:val="21"/>
          <w:szCs w:val="21"/>
          <w:highlight w:val="none"/>
          <w:u w:val="single"/>
        </w:rPr>
        <w:t>除合同的，勘察人除退还</w:t>
      </w:r>
      <w:r>
        <w:rPr>
          <w:rFonts w:hint="eastAsia" w:ascii="宋体" w:hAnsi="宋体" w:cs="宋体"/>
          <w:color w:val="auto"/>
          <w:sz w:val="21"/>
          <w:szCs w:val="21"/>
          <w:highlight w:val="none"/>
          <w:u w:val="single"/>
        </w:rPr>
        <w:t>已收取的全部费用外，并按本合同总额的20%</w:t>
      </w:r>
      <w:r>
        <w:rPr>
          <w:rFonts w:hint="eastAsia" w:ascii="宋体" w:hAnsi="宋体" w:cs="宋体"/>
          <w:color w:val="auto"/>
          <w:spacing w:val="-1"/>
          <w:sz w:val="21"/>
          <w:szCs w:val="21"/>
          <w:highlight w:val="none"/>
          <w:u w:val="single"/>
        </w:rPr>
        <w:t>向发包人支付违约金。</w:t>
      </w:r>
    </w:p>
    <w:p w14:paraId="3D54212F">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（3）因勘察人原因导致工期质量安全事故</w:t>
      </w:r>
      <w:r>
        <w:rPr>
          <w:rFonts w:hint="eastAsia" w:ascii="宋体" w:hAnsi="宋体" w:cs="宋体"/>
          <w:color w:val="auto"/>
          <w:spacing w:val="-1"/>
          <w:sz w:val="21"/>
          <w:szCs w:val="21"/>
          <w:highlight w:val="none"/>
        </w:rPr>
        <w:t>或其他事故时赔偿金上限</w:t>
      </w:r>
      <w:r>
        <w:rPr>
          <w:rFonts w:hint="eastAsia" w:ascii="宋体" w:hAnsi="宋体" w:cs="宋体"/>
          <w:b/>
          <w:bCs/>
          <w:color w:val="auto"/>
          <w:spacing w:val="-1"/>
          <w:sz w:val="21"/>
          <w:szCs w:val="21"/>
          <w:highlight w:val="none"/>
        </w:rPr>
        <w:t>：</w:t>
      </w:r>
      <w:r>
        <w:rPr>
          <w:rFonts w:hint="eastAsia" w:ascii="宋体" w:hAnsi="宋体" w:cs="宋体"/>
          <w:color w:val="auto"/>
          <w:spacing w:val="-1"/>
          <w:sz w:val="21"/>
          <w:szCs w:val="21"/>
          <w:highlight w:val="none"/>
          <w:u w:val="single"/>
        </w:rPr>
        <w:t>若勘察</w:t>
      </w:r>
      <w:r>
        <w:rPr>
          <w:rFonts w:hint="eastAsia" w:ascii="宋体" w:hAnsi="宋体" w:cs="宋体"/>
          <w:color w:val="auto"/>
          <w:sz w:val="21"/>
          <w:szCs w:val="21"/>
          <w:highlight w:val="none"/>
          <w:u w:val="single"/>
        </w:rPr>
        <w:t>现场需要看守，特别是在有毒、有害等危险现场作业时</w:t>
      </w:r>
      <w:r>
        <w:rPr>
          <w:rFonts w:hint="eastAsia" w:ascii="宋体" w:hAnsi="宋体" w:cs="宋体"/>
          <w:color w:val="auto"/>
          <w:spacing w:val="-1"/>
          <w:sz w:val="21"/>
          <w:szCs w:val="21"/>
          <w:highlight w:val="none"/>
          <w:u w:val="single"/>
        </w:rPr>
        <w:t>，勘察人应负责安全保卫工</w:t>
      </w:r>
      <w:r>
        <w:rPr>
          <w:rFonts w:hint="eastAsia" w:ascii="宋体" w:hAnsi="宋体" w:cs="宋体"/>
          <w:color w:val="auto"/>
          <w:sz w:val="21"/>
          <w:szCs w:val="21"/>
          <w:highlight w:val="none"/>
          <w:u w:val="single"/>
        </w:rPr>
        <w:t>作，按国家有关规定，对从事危险作业的现场人员进行</w:t>
      </w:r>
      <w:r>
        <w:rPr>
          <w:rFonts w:hint="eastAsia" w:ascii="宋体" w:hAnsi="宋体" w:cs="宋体"/>
          <w:color w:val="auto"/>
          <w:spacing w:val="-1"/>
          <w:sz w:val="21"/>
          <w:szCs w:val="21"/>
          <w:highlight w:val="none"/>
          <w:u w:val="single"/>
        </w:rPr>
        <w:t>保健防护，并承担费用。勘</w:t>
      </w:r>
      <w:r>
        <w:rPr>
          <w:rFonts w:hint="eastAsia" w:ascii="宋体" w:hAnsi="宋体" w:cs="宋体"/>
          <w:color w:val="auto"/>
          <w:sz w:val="21"/>
          <w:szCs w:val="21"/>
          <w:highlight w:val="none"/>
          <w:u w:val="single"/>
        </w:rPr>
        <w:t>察人应自行投保职工意外伤害险，若勘察人在勘察工作</w:t>
      </w:r>
      <w:r>
        <w:rPr>
          <w:rFonts w:hint="eastAsia" w:ascii="宋体" w:hAnsi="宋体" w:cs="宋体"/>
          <w:color w:val="auto"/>
          <w:spacing w:val="-1"/>
          <w:sz w:val="21"/>
          <w:szCs w:val="21"/>
          <w:highlight w:val="none"/>
          <w:u w:val="single"/>
        </w:rPr>
        <w:t>过程中发生人身伤害，由勘察人自行承担，发包人不承担责任。</w:t>
      </w:r>
    </w:p>
    <w:p w14:paraId="695B1B79">
      <w:pPr>
        <w:pStyle w:val="18"/>
        <w:widowControl/>
        <w:topLinePunct/>
        <w:autoSpaceDE w:val="0"/>
        <w:autoSpaceDN w:val="0"/>
        <w:adjustRightInd w:val="0"/>
        <w:snapToGrid w:val="0"/>
        <w:spacing w:after="0" w:line="360" w:lineRule="auto"/>
        <w:ind w:firstLine="408"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3"/>
          <w:sz w:val="21"/>
          <w:szCs w:val="21"/>
          <w:highlight w:val="none"/>
        </w:rPr>
        <w:t>（4）勘察工作完成后（或阶段性完成后）7个日历天内，必须通知发包人进行</w:t>
      </w:r>
      <w:r>
        <w:rPr>
          <w:rFonts w:hint="eastAsia" w:ascii="宋体" w:hAnsi="宋体" w:cs="宋体"/>
          <w:color w:val="auto"/>
          <w:sz w:val="21"/>
          <w:szCs w:val="21"/>
          <w:highlight w:val="none"/>
        </w:rPr>
        <w:t>收方，由于勘察人不及时通知发包人进行收方，造成的勘察成果损坏无法收方的，</w:t>
      </w:r>
      <w:r>
        <w:rPr>
          <w:rFonts w:hint="eastAsia" w:ascii="宋体" w:hAnsi="宋体" w:cs="宋体"/>
          <w:color w:val="auto"/>
          <w:spacing w:val="-5"/>
          <w:sz w:val="21"/>
          <w:szCs w:val="21"/>
          <w:highlight w:val="none"/>
        </w:rPr>
        <w:t>由勘察人自行承担责任。</w:t>
      </w:r>
    </w:p>
    <w:p w14:paraId="32AFB5FD">
      <w:pPr>
        <w:pStyle w:val="18"/>
        <w:widowControl/>
        <w:topLinePunct/>
        <w:autoSpaceDE w:val="0"/>
        <w:autoSpaceDN w:val="0"/>
        <w:adjustRightInd w:val="0"/>
        <w:snapToGrid w:val="0"/>
        <w:spacing w:after="0" w:line="360" w:lineRule="auto"/>
        <w:ind w:firstLine="432"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3"/>
          <w:sz w:val="21"/>
          <w:szCs w:val="21"/>
          <w:highlight w:val="none"/>
        </w:rPr>
        <w:t>(5)未按合同文件约定配备相对应的项目负责人和各专业负责人，</w:t>
      </w:r>
      <w:r>
        <w:rPr>
          <w:rFonts w:hint="eastAsia" w:ascii="宋体" w:hAnsi="宋体" w:cs="宋体"/>
          <w:color w:val="auto"/>
          <w:spacing w:val="2"/>
          <w:sz w:val="21"/>
          <w:szCs w:val="21"/>
          <w:highlight w:val="none"/>
        </w:rPr>
        <w:t>技术人员数</w:t>
      </w:r>
      <w:r>
        <w:rPr>
          <w:rFonts w:hint="eastAsia" w:ascii="宋体" w:hAnsi="宋体" w:cs="宋体"/>
          <w:color w:val="auto"/>
          <w:spacing w:val="-7"/>
          <w:sz w:val="21"/>
          <w:szCs w:val="21"/>
          <w:highlight w:val="none"/>
        </w:rPr>
        <w:t>量、资质、职务、职称、技术能力等任一项不足的，每缺1项扣减勘察费5000元。</w:t>
      </w:r>
      <w:r>
        <w:rPr>
          <w:rFonts w:hint="eastAsia" w:ascii="宋体" w:hAnsi="宋体" w:cs="宋体"/>
          <w:color w:val="auto"/>
          <w:sz w:val="21"/>
          <w:szCs w:val="21"/>
          <w:highlight w:val="none"/>
        </w:rPr>
        <w:t>合同签订后，主要勘察人员不得随意变更，如确需变更需</w:t>
      </w:r>
      <w:r>
        <w:rPr>
          <w:rFonts w:hint="eastAsia" w:ascii="宋体" w:hAnsi="宋体" w:cs="宋体"/>
          <w:color w:val="auto"/>
          <w:spacing w:val="-1"/>
          <w:sz w:val="21"/>
          <w:szCs w:val="21"/>
          <w:highlight w:val="none"/>
        </w:rPr>
        <w:t>在10个工作日内书面函</w:t>
      </w:r>
      <w:r>
        <w:rPr>
          <w:rFonts w:hint="eastAsia" w:ascii="宋体" w:hAnsi="宋体" w:cs="宋体"/>
          <w:color w:val="auto"/>
          <w:spacing w:val="-6"/>
          <w:sz w:val="21"/>
          <w:szCs w:val="21"/>
          <w:highlight w:val="none"/>
        </w:rPr>
        <w:t>询甲方意见并经甲方确认同意变更，未经甲方同意的，项目负责人变更扣减勘察费2</w:t>
      </w:r>
      <w:r>
        <w:rPr>
          <w:rFonts w:hint="eastAsia" w:ascii="宋体" w:hAnsi="宋体" w:cs="宋体"/>
          <w:color w:val="auto"/>
          <w:spacing w:val="-5"/>
          <w:sz w:val="21"/>
          <w:szCs w:val="21"/>
          <w:highlight w:val="none"/>
        </w:rPr>
        <w:t>万元，各专业负责人每变更1人扣减勘察费1万元，其他人员每变更1人扣减勘</w:t>
      </w:r>
      <w:r>
        <w:rPr>
          <w:rFonts w:hint="eastAsia" w:ascii="宋体" w:hAnsi="宋体" w:cs="宋体"/>
          <w:color w:val="auto"/>
          <w:spacing w:val="-6"/>
          <w:sz w:val="21"/>
          <w:szCs w:val="21"/>
          <w:highlight w:val="none"/>
        </w:rPr>
        <w:t>察费5000元。</w:t>
      </w:r>
    </w:p>
    <w:p w14:paraId="05264CAE">
      <w:pPr>
        <w:pStyle w:val="18"/>
        <w:topLinePunct/>
        <w:autoSpaceDE w:val="0"/>
        <w:autoSpaceDN w:val="0"/>
        <w:adjustRightInd w:val="0"/>
        <w:snapToGrid w:val="0"/>
        <w:spacing w:after="0" w:line="360" w:lineRule="auto"/>
        <w:ind w:firstLine="432"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3"/>
          <w:sz w:val="21"/>
          <w:szCs w:val="21"/>
          <w:highlight w:val="none"/>
        </w:rPr>
        <w:t>(6)未按勘察规范及标准和经发包人、设计单位审核通过的勘察方</w:t>
      </w:r>
      <w:r>
        <w:rPr>
          <w:rFonts w:hint="eastAsia" w:ascii="宋体" w:hAnsi="宋体" w:cs="宋体"/>
          <w:color w:val="auto"/>
          <w:spacing w:val="2"/>
          <w:sz w:val="21"/>
          <w:szCs w:val="21"/>
          <w:highlight w:val="none"/>
        </w:rPr>
        <w:t>案开展工作</w:t>
      </w:r>
      <w:r>
        <w:rPr>
          <w:rFonts w:hint="eastAsia" w:ascii="宋体" w:hAnsi="宋体" w:cs="宋体"/>
          <w:color w:val="auto"/>
          <w:sz w:val="21"/>
          <w:szCs w:val="21"/>
          <w:highlight w:val="none"/>
        </w:rPr>
        <w:t>的，超出的勘察内容不予计算工作量；如现场与勘察方案确有较大出入，需经</w:t>
      </w:r>
      <w:r>
        <w:rPr>
          <w:rFonts w:hint="eastAsia" w:ascii="宋体" w:hAnsi="宋体" w:cs="宋体"/>
          <w:color w:val="auto"/>
          <w:spacing w:val="-1"/>
          <w:sz w:val="21"/>
          <w:szCs w:val="21"/>
          <w:highlight w:val="none"/>
        </w:rPr>
        <w:t>发包</w:t>
      </w:r>
      <w:r>
        <w:rPr>
          <w:rFonts w:hint="eastAsia" w:ascii="宋体" w:hAnsi="宋体" w:cs="宋体"/>
          <w:color w:val="auto"/>
          <w:spacing w:val="-4"/>
          <w:sz w:val="21"/>
          <w:szCs w:val="21"/>
          <w:highlight w:val="none"/>
        </w:rPr>
        <w:t>人、设计单位及勘察人三方现场签字确认。未按约定时间提交合</w:t>
      </w:r>
      <w:r>
        <w:rPr>
          <w:rFonts w:hint="eastAsia" w:ascii="宋体" w:hAnsi="宋体" w:cs="宋体"/>
          <w:color w:val="auto"/>
          <w:spacing w:val="-5"/>
          <w:sz w:val="21"/>
          <w:szCs w:val="21"/>
          <w:highlight w:val="none"/>
        </w:rPr>
        <w:t>同要求相关成果的，</w:t>
      </w:r>
      <w:r>
        <w:rPr>
          <w:rFonts w:hint="eastAsia" w:ascii="宋体" w:hAnsi="宋体" w:cs="宋体"/>
          <w:color w:val="auto"/>
          <w:spacing w:val="-3"/>
          <w:sz w:val="21"/>
          <w:szCs w:val="21"/>
          <w:highlight w:val="none"/>
        </w:rPr>
        <w:t>每延误一天，扣减勘察费的千分之五。</w:t>
      </w:r>
    </w:p>
    <w:p w14:paraId="29F8CE07">
      <w:pPr>
        <w:pStyle w:val="18"/>
        <w:topLinePunct/>
        <w:autoSpaceDE w:val="0"/>
        <w:autoSpaceDN w:val="0"/>
        <w:adjustRightInd w:val="0"/>
        <w:snapToGrid w:val="0"/>
        <w:spacing w:after="0" w:line="360" w:lineRule="auto"/>
        <w:ind w:firstLine="404"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4"/>
          <w:sz w:val="21"/>
          <w:szCs w:val="21"/>
          <w:highlight w:val="none"/>
        </w:rPr>
        <w:t>(7)勘察人提供的勘察成果资料质量不合格，勘察人应无条件负责在规定的时间</w:t>
      </w:r>
      <w:r>
        <w:rPr>
          <w:rFonts w:hint="eastAsia" w:ascii="宋体" w:hAnsi="宋体" w:cs="宋体"/>
          <w:color w:val="auto"/>
          <w:sz w:val="21"/>
          <w:szCs w:val="21"/>
          <w:highlight w:val="none"/>
        </w:rPr>
        <w:t>内完成返工并使其达到合格，若勘察人未在规定时间内完成，则视为勘察人无力补充完善，发包人可另行委托其他单位完成，勘察人应承担全部勘察费用，还应向发</w:t>
      </w:r>
      <w:r>
        <w:rPr>
          <w:rFonts w:hint="eastAsia" w:ascii="宋体" w:hAnsi="宋体" w:cs="宋体"/>
          <w:color w:val="auto"/>
          <w:spacing w:val="-4"/>
          <w:sz w:val="21"/>
          <w:szCs w:val="21"/>
          <w:highlight w:val="none"/>
        </w:rPr>
        <w:t>包人支付合同价暂定价5%的违约金。</w:t>
      </w:r>
    </w:p>
    <w:p w14:paraId="48FFC5D4">
      <w:pPr>
        <w:pStyle w:val="18"/>
        <w:topLinePunct/>
        <w:autoSpaceDE w:val="0"/>
        <w:autoSpaceDN w:val="0"/>
        <w:adjustRightInd w:val="0"/>
        <w:snapToGrid w:val="0"/>
        <w:spacing w:after="0" w:line="360" w:lineRule="auto"/>
        <w:ind w:firstLine="404"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4"/>
          <w:sz w:val="21"/>
          <w:szCs w:val="21"/>
          <w:highlight w:val="none"/>
        </w:rPr>
        <w:t>(8)勘察报告审查超过2次以上（不含2次）审查合格的，每超过</w:t>
      </w:r>
      <w:r>
        <w:rPr>
          <w:rFonts w:hint="eastAsia" w:ascii="宋体" w:hAnsi="宋体" w:cs="宋体"/>
          <w:color w:val="auto"/>
          <w:spacing w:val="-5"/>
          <w:sz w:val="21"/>
          <w:szCs w:val="21"/>
          <w:highlight w:val="none"/>
        </w:rPr>
        <w:t>一次，扣除</w:t>
      </w:r>
      <w:r>
        <w:rPr>
          <w:rFonts w:hint="eastAsia" w:ascii="宋体" w:hAnsi="宋体" w:cs="宋体"/>
          <w:color w:val="auto"/>
          <w:spacing w:val="-10"/>
          <w:sz w:val="21"/>
          <w:szCs w:val="21"/>
          <w:highlight w:val="none"/>
        </w:rPr>
        <w:t>勘察费1万元。</w:t>
      </w:r>
    </w:p>
    <w:p w14:paraId="33C2E383">
      <w:pPr>
        <w:pStyle w:val="18"/>
        <w:topLinePunct/>
        <w:autoSpaceDE w:val="0"/>
        <w:autoSpaceDN w:val="0"/>
        <w:adjustRightInd w:val="0"/>
        <w:snapToGrid w:val="0"/>
        <w:spacing w:after="0" w:line="360" w:lineRule="auto"/>
        <w:ind w:firstLine="39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6"/>
          <w:sz w:val="21"/>
          <w:szCs w:val="21"/>
          <w:highlight w:val="none"/>
        </w:rPr>
        <w:t>(9)勘察报告审查过程中发现违反强条超过1次以上（不含1次）的，每超过1条，扣除勘察费5万元。</w:t>
      </w:r>
    </w:p>
    <w:p w14:paraId="0CF8DF8C">
      <w:pPr>
        <w:pStyle w:val="18"/>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(10)项目负责人及各专业负责人因故不参加政府相关部门及项目甲方组织召开</w:t>
      </w:r>
      <w:r>
        <w:rPr>
          <w:rFonts w:hint="eastAsia" w:ascii="宋体" w:hAnsi="宋体" w:cs="宋体"/>
          <w:color w:val="auto"/>
          <w:spacing w:val="-5"/>
          <w:sz w:val="21"/>
          <w:szCs w:val="21"/>
          <w:highlight w:val="none"/>
        </w:rPr>
        <w:t>的各种会议的，每缺席1次，扣除1万元每人次。</w:t>
      </w:r>
    </w:p>
    <w:p w14:paraId="08D90BAE">
      <w:pPr>
        <w:pStyle w:val="18"/>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(11)不配合项目发包人开展项目竣工验收、决算审计、档案移交，未按要求时</w:t>
      </w:r>
      <w:r>
        <w:rPr>
          <w:rFonts w:hint="eastAsia" w:ascii="宋体" w:hAnsi="宋体" w:cs="宋体"/>
          <w:color w:val="auto"/>
          <w:sz w:val="21"/>
          <w:szCs w:val="21"/>
          <w:highlight w:val="none"/>
        </w:rPr>
        <w:t>间提交相关成果的，不予支付勘察设计尾款，并列入发包人公司诚信数据库，并建</w:t>
      </w:r>
      <w:r>
        <w:rPr>
          <w:rFonts w:hint="eastAsia" w:ascii="宋体" w:hAnsi="宋体" w:cs="宋体"/>
          <w:color w:val="auto"/>
          <w:spacing w:val="-3"/>
          <w:sz w:val="21"/>
          <w:szCs w:val="21"/>
          <w:highlight w:val="none"/>
        </w:rPr>
        <w:t>议行政主管部门对责任单位进行处罚。</w:t>
      </w:r>
    </w:p>
    <w:p w14:paraId="1CD8D555">
      <w:pPr>
        <w:pStyle w:val="18"/>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（12）勘察人发生其他违约情形应承担的违约责任：</w:t>
      </w:r>
      <w:r>
        <w:rPr>
          <w:rFonts w:hint="eastAsia" w:ascii="宋体" w:hAnsi="宋体" w:cs="宋体"/>
          <w:color w:val="auto"/>
          <w:spacing w:val="-1"/>
          <w:sz w:val="21"/>
          <w:szCs w:val="21"/>
          <w:highlight w:val="none"/>
          <w:u w:val="single"/>
        </w:rPr>
        <w:t>由于勘察人提供的勘察成</w:t>
      </w:r>
      <w:r>
        <w:rPr>
          <w:rFonts w:hint="eastAsia" w:ascii="宋体" w:hAnsi="宋体" w:cs="宋体"/>
          <w:color w:val="auto"/>
          <w:spacing w:val="-6"/>
          <w:sz w:val="21"/>
          <w:szCs w:val="21"/>
          <w:highlight w:val="none"/>
          <w:u w:val="single"/>
        </w:rPr>
        <w:t>果资料质量不合格，勘察人应负责无偿补充完善使其达到质量合格；若勘察人无力补</w:t>
      </w:r>
      <w:r>
        <w:rPr>
          <w:rFonts w:hint="eastAsia" w:ascii="宋体" w:hAnsi="宋体" w:cs="宋体"/>
          <w:color w:val="auto"/>
          <w:spacing w:val="-2"/>
          <w:sz w:val="21"/>
          <w:szCs w:val="21"/>
          <w:highlight w:val="none"/>
          <w:u w:val="single"/>
        </w:rPr>
        <w:t>充完善，需另委托其他单位时，勘察人应承担全部勘察费用；或因勘察质量造成重</w:t>
      </w:r>
      <w:r>
        <w:rPr>
          <w:rFonts w:hint="eastAsia" w:ascii="宋体" w:hAnsi="宋体" w:cs="宋体"/>
          <w:color w:val="auto"/>
          <w:spacing w:val="-4"/>
          <w:sz w:val="21"/>
          <w:szCs w:val="21"/>
          <w:highlight w:val="none"/>
          <w:u w:val="single"/>
        </w:rPr>
        <w:t>大经济损失或工程事故时，勘察人除应负法律责任和免收直接损失</w:t>
      </w:r>
      <w:r>
        <w:rPr>
          <w:rFonts w:hint="eastAsia" w:ascii="宋体" w:hAnsi="宋体" w:cs="宋体"/>
          <w:color w:val="auto"/>
          <w:spacing w:val="-5"/>
          <w:sz w:val="21"/>
          <w:szCs w:val="21"/>
          <w:highlight w:val="none"/>
          <w:u w:val="single"/>
        </w:rPr>
        <w:t>部分的勘察费外，</w:t>
      </w:r>
      <w:r>
        <w:rPr>
          <w:rFonts w:hint="eastAsia" w:ascii="宋体" w:hAnsi="宋体" w:cs="宋体"/>
          <w:color w:val="auto"/>
          <w:sz w:val="21"/>
          <w:szCs w:val="21"/>
          <w:highlight w:val="none"/>
          <w:u w:val="single"/>
        </w:rPr>
        <w:t>并根据损失程度向发包人支付赔偿金，赔偿金为实际</w:t>
      </w:r>
      <w:r>
        <w:rPr>
          <w:rFonts w:hint="eastAsia" w:ascii="宋体" w:hAnsi="宋体" w:cs="宋体"/>
          <w:color w:val="auto"/>
          <w:spacing w:val="-1"/>
          <w:sz w:val="21"/>
          <w:szCs w:val="21"/>
          <w:highlight w:val="none"/>
          <w:u w:val="single"/>
        </w:rPr>
        <w:t>损失的100%。</w:t>
      </w:r>
    </w:p>
    <w:p w14:paraId="237099BB">
      <w:pPr>
        <w:pStyle w:val="18"/>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以上有关违约处罚，所有违约金全部从勘察人履约保证金中扣除。在</w:t>
      </w:r>
      <w:r>
        <w:rPr>
          <w:rFonts w:hint="eastAsia" w:ascii="宋体" w:hAnsi="宋体" w:cs="宋体"/>
          <w:color w:val="auto"/>
          <w:spacing w:val="-2"/>
          <w:sz w:val="21"/>
          <w:szCs w:val="21"/>
          <w:highlight w:val="none"/>
        </w:rPr>
        <w:t>本合同期</w:t>
      </w:r>
      <w:r>
        <w:rPr>
          <w:rFonts w:hint="eastAsia" w:ascii="宋体" w:hAnsi="宋体" w:cs="宋体"/>
          <w:color w:val="auto"/>
          <w:spacing w:val="-1"/>
          <w:sz w:val="21"/>
          <w:szCs w:val="21"/>
          <w:highlight w:val="none"/>
        </w:rPr>
        <w:t>内，履约保证金因勘察人违约而扣除罚金后，勘察人应在接收到发包人通知后5个</w:t>
      </w:r>
      <w:r>
        <w:rPr>
          <w:rFonts w:hint="eastAsia" w:ascii="宋体" w:hAnsi="宋体" w:cs="宋体"/>
          <w:color w:val="auto"/>
          <w:spacing w:val="-4"/>
          <w:sz w:val="21"/>
          <w:szCs w:val="21"/>
          <w:highlight w:val="none"/>
        </w:rPr>
        <w:t>工作日内补足履约保证金。</w:t>
      </w:r>
    </w:p>
    <w:p w14:paraId="7C02E6C9">
      <w:pPr>
        <w:pStyle w:val="18"/>
        <w:widowControl/>
        <w:topLinePunct/>
        <w:autoSpaceDE w:val="0"/>
        <w:autoSpaceDN w:val="0"/>
        <w:adjustRightInd w:val="0"/>
        <w:snapToGrid w:val="0"/>
        <w:spacing w:after="0" w:line="360" w:lineRule="auto"/>
        <w:ind w:firstLine="386" w:firstLineChars="200"/>
        <w:jc w:val="left"/>
        <w:textAlignment w:val="baseline"/>
        <w:outlineLvl w:val="3"/>
        <w:rPr>
          <w:rFonts w:hint="eastAsia" w:ascii="宋体" w:hAnsi="宋体" w:cs="宋体"/>
          <w:color w:val="auto"/>
          <w:sz w:val="21"/>
          <w:szCs w:val="21"/>
          <w:highlight w:val="none"/>
        </w:rPr>
      </w:pPr>
      <w:r>
        <w:rPr>
          <w:rFonts w:hint="eastAsia" w:ascii="宋体" w:hAnsi="宋体" w:cs="宋体"/>
          <w:b/>
          <w:bCs/>
          <w:color w:val="auto"/>
          <w:spacing w:val="-9"/>
          <w:sz w:val="21"/>
          <w:szCs w:val="21"/>
          <w:highlight w:val="none"/>
        </w:rPr>
        <w:t>15.索赔</w:t>
      </w:r>
    </w:p>
    <w:p w14:paraId="4D3196E7">
      <w:pPr>
        <w:pStyle w:val="18"/>
        <w:widowControl/>
        <w:topLinePunct/>
        <w:autoSpaceDE w:val="0"/>
        <w:autoSpaceDN w:val="0"/>
        <w:adjustRightInd w:val="0"/>
        <w:snapToGrid w:val="0"/>
        <w:spacing w:after="0" w:line="360" w:lineRule="auto"/>
        <w:ind w:firstLine="402" w:firstLineChars="200"/>
        <w:jc w:val="left"/>
        <w:textAlignment w:val="baseline"/>
        <w:outlineLvl w:val="4"/>
        <w:rPr>
          <w:rFonts w:hint="eastAsia" w:ascii="宋体" w:hAnsi="宋体" w:cs="宋体"/>
          <w:color w:val="auto"/>
          <w:sz w:val="21"/>
          <w:szCs w:val="21"/>
          <w:highlight w:val="none"/>
        </w:rPr>
      </w:pPr>
      <w:r>
        <w:rPr>
          <w:rFonts w:hint="eastAsia" w:ascii="宋体" w:hAnsi="宋体" w:cs="宋体"/>
          <w:b/>
          <w:bCs/>
          <w:color w:val="auto"/>
          <w:spacing w:val="-5"/>
          <w:sz w:val="21"/>
          <w:szCs w:val="21"/>
          <w:highlight w:val="none"/>
        </w:rPr>
        <w:t>15.1发包人索赔</w:t>
      </w:r>
    </w:p>
    <w:p w14:paraId="5CD5B928">
      <w:pPr>
        <w:pStyle w:val="18"/>
        <w:widowControl/>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索赔程序和期限的约定</w:t>
      </w:r>
      <w:r>
        <w:rPr>
          <w:rFonts w:hint="eastAsia" w:ascii="宋体" w:hAnsi="宋体" w:cs="宋体"/>
          <w:b/>
          <w:bCs/>
          <w:color w:val="auto"/>
          <w:spacing w:val="-1"/>
          <w:sz w:val="21"/>
          <w:szCs w:val="21"/>
          <w:highlight w:val="none"/>
        </w:rPr>
        <w:t>：</w:t>
      </w:r>
      <w:r>
        <w:rPr>
          <w:rFonts w:hint="eastAsia" w:ascii="宋体" w:hAnsi="宋体" w:cs="宋体"/>
          <w:color w:val="auto"/>
          <w:spacing w:val="-1"/>
          <w:sz w:val="21"/>
          <w:szCs w:val="21"/>
          <w:highlight w:val="none"/>
          <w:u w:val="single"/>
        </w:rPr>
        <w:t>按通用条款第15条执行。</w:t>
      </w:r>
    </w:p>
    <w:p w14:paraId="295D4415">
      <w:pPr>
        <w:pStyle w:val="18"/>
        <w:widowControl/>
        <w:topLinePunct/>
        <w:autoSpaceDE w:val="0"/>
        <w:autoSpaceDN w:val="0"/>
        <w:adjustRightInd w:val="0"/>
        <w:snapToGrid w:val="0"/>
        <w:spacing w:after="0" w:line="360" w:lineRule="auto"/>
        <w:ind w:firstLine="402" w:firstLineChars="200"/>
        <w:jc w:val="left"/>
        <w:textAlignment w:val="baseline"/>
        <w:outlineLvl w:val="4"/>
        <w:rPr>
          <w:rFonts w:hint="eastAsia" w:ascii="宋体" w:hAnsi="宋体" w:cs="宋体"/>
          <w:color w:val="auto"/>
          <w:sz w:val="21"/>
          <w:szCs w:val="21"/>
          <w:highlight w:val="none"/>
        </w:rPr>
      </w:pPr>
      <w:r>
        <w:rPr>
          <w:rFonts w:hint="eastAsia" w:ascii="宋体" w:hAnsi="宋体" w:cs="宋体"/>
          <w:b/>
          <w:bCs/>
          <w:color w:val="auto"/>
          <w:spacing w:val="-5"/>
          <w:sz w:val="21"/>
          <w:szCs w:val="21"/>
          <w:highlight w:val="none"/>
        </w:rPr>
        <w:t>15.2勘察人索赔</w:t>
      </w:r>
    </w:p>
    <w:p w14:paraId="5D924E33">
      <w:pPr>
        <w:pStyle w:val="18"/>
        <w:widowControl/>
        <w:topLinePunct/>
        <w:autoSpaceDE w:val="0"/>
        <w:autoSpaceDN w:val="0"/>
        <w:adjustRightInd w:val="0"/>
        <w:snapToGrid w:val="0"/>
        <w:spacing w:after="0" w:line="360" w:lineRule="auto"/>
        <w:ind w:firstLine="416"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1"/>
          <w:sz w:val="21"/>
          <w:szCs w:val="21"/>
          <w:highlight w:val="none"/>
        </w:rPr>
        <w:t>索赔程序和期限的约定</w:t>
      </w:r>
      <w:r>
        <w:rPr>
          <w:rFonts w:hint="eastAsia" w:ascii="宋体" w:hAnsi="宋体" w:cs="宋体"/>
          <w:b/>
          <w:bCs/>
          <w:color w:val="auto"/>
          <w:spacing w:val="-1"/>
          <w:sz w:val="21"/>
          <w:szCs w:val="21"/>
          <w:highlight w:val="none"/>
        </w:rPr>
        <w:t>：</w:t>
      </w:r>
      <w:r>
        <w:rPr>
          <w:rFonts w:hint="eastAsia" w:ascii="宋体" w:hAnsi="宋体" w:cs="宋体"/>
          <w:color w:val="auto"/>
          <w:spacing w:val="-1"/>
          <w:sz w:val="21"/>
          <w:szCs w:val="21"/>
          <w:highlight w:val="none"/>
          <w:u w:val="single"/>
        </w:rPr>
        <w:t>按通用条款第15条执行。</w:t>
      </w:r>
    </w:p>
    <w:p w14:paraId="7A3B005A">
      <w:pPr>
        <w:pStyle w:val="18"/>
        <w:widowControl/>
        <w:topLinePunct/>
        <w:autoSpaceDE w:val="0"/>
        <w:autoSpaceDN w:val="0"/>
        <w:adjustRightInd w:val="0"/>
        <w:snapToGrid w:val="0"/>
        <w:spacing w:after="0" w:line="360" w:lineRule="auto"/>
        <w:ind w:firstLine="390" w:firstLineChars="200"/>
        <w:jc w:val="left"/>
        <w:textAlignment w:val="baseline"/>
        <w:outlineLvl w:val="3"/>
        <w:rPr>
          <w:rFonts w:hint="eastAsia" w:ascii="宋体" w:hAnsi="宋体" w:cs="宋体"/>
          <w:color w:val="auto"/>
          <w:sz w:val="21"/>
          <w:szCs w:val="21"/>
          <w:highlight w:val="none"/>
        </w:rPr>
      </w:pPr>
      <w:r>
        <w:rPr>
          <w:rFonts w:hint="eastAsia" w:ascii="宋体" w:hAnsi="宋体" w:cs="宋体"/>
          <w:b/>
          <w:bCs/>
          <w:color w:val="auto"/>
          <w:spacing w:val="-8"/>
          <w:sz w:val="21"/>
          <w:szCs w:val="21"/>
          <w:highlight w:val="none"/>
        </w:rPr>
        <w:t>16.争议解决</w:t>
      </w:r>
    </w:p>
    <w:p w14:paraId="547889D6">
      <w:pPr>
        <w:pStyle w:val="18"/>
        <w:widowControl/>
        <w:topLinePunct/>
        <w:autoSpaceDE w:val="0"/>
        <w:autoSpaceDN w:val="0"/>
        <w:adjustRightInd w:val="0"/>
        <w:snapToGrid w:val="0"/>
        <w:spacing w:after="0" w:line="360" w:lineRule="auto"/>
        <w:ind w:firstLine="402" w:firstLineChars="200"/>
        <w:jc w:val="left"/>
        <w:textAlignment w:val="baseline"/>
        <w:outlineLvl w:val="4"/>
        <w:rPr>
          <w:rFonts w:hint="eastAsia" w:ascii="宋体" w:hAnsi="宋体" w:cs="宋体"/>
          <w:color w:val="auto"/>
          <w:sz w:val="21"/>
          <w:szCs w:val="21"/>
          <w:highlight w:val="none"/>
        </w:rPr>
      </w:pPr>
      <w:r>
        <w:rPr>
          <w:rFonts w:hint="eastAsia" w:ascii="宋体" w:hAnsi="宋体" w:cs="宋体"/>
          <w:b/>
          <w:bCs/>
          <w:color w:val="auto"/>
          <w:spacing w:val="-5"/>
          <w:sz w:val="21"/>
          <w:szCs w:val="21"/>
          <w:highlight w:val="none"/>
        </w:rPr>
        <w:t>16.3仲裁或诉讼</w:t>
      </w:r>
    </w:p>
    <w:p w14:paraId="75BC52A2">
      <w:pPr>
        <w:pStyle w:val="18"/>
        <w:widowControl/>
        <w:topLinePunct/>
        <w:autoSpaceDE w:val="0"/>
        <w:autoSpaceDN w:val="0"/>
        <w:adjustRightInd w:val="0"/>
        <w:snapToGrid w:val="0"/>
        <w:spacing w:after="0" w:line="360" w:lineRule="auto"/>
        <w:ind w:firstLine="404"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4"/>
          <w:sz w:val="21"/>
          <w:szCs w:val="21"/>
          <w:highlight w:val="none"/>
        </w:rPr>
        <w:t>双方约定在履行合同过程中产生争议时，采取下列第</w:t>
      </w:r>
      <w:r>
        <w:rPr>
          <w:rFonts w:hint="eastAsia" w:ascii="宋体" w:hAnsi="宋体" w:cs="宋体"/>
          <w:color w:val="auto"/>
          <w:spacing w:val="-4"/>
          <w:sz w:val="21"/>
          <w:szCs w:val="21"/>
          <w:highlight w:val="none"/>
          <w:u w:val="single"/>
        </w:rPr>
        <w:t>（1）</w:t>
      </w:r>
      <w:r>
        <w:rPr>
          <w:rFonts w:hint="eastAsia" w:ascii="宋体" w:hAnsi="宋体" w:cs="宋体"/>
          <w:color w:val="auto"/>
          <w:spacing w:val="-4"/>
          <w:sz w:val="21"/>
          <w:szCs w:val="21"/>
          <w:highlight w:val="none"/>
        </w:rPr>
        <w:t>种方式解决：</w:t>
      </w:r>
    </w:p>
    <w:p w14:paraId="439F921B">
      <w:pPr>
        <w:pStyle w:val="18"/>
        <w:widowControl/>
        <w:topLinePunct/>
        <w:autoSpaceDE w:val="0"/>
        <w:autoSpaceDN w:val="0"/>
        <w:adjustRightInd w:val="0"/>
        <w:snapToGrid w:val="0"/>
        <w:spacing w:after="0" w:line="360" w:lineRule="auto"/>
        <w:ind w:firstLine="408"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3"/>
          <w:sz w:val="21"/>
          <w:szCs w:val="21"/>
          <w:highlight w:val="none"/>
        </w:rPr>
        <w:t>（1）因本协议及本协议在履行过程中发生的争议，由各方友好协商解</w:t>
      </w:r>
      <w:r>
        <w:rPr>
          <w:rFonts w:hint="eastAsia" w:ascii="宋体" w:hAnsi="宋体" w:cs="宋体"/>
          <w:color w:val="auto"/>
          <w:spacing w:val="-4"/>
          <w:sz w:val="21"/>
          <w:szCs w:val="21"/>
          <w:highlight w:val="none"/>
        </w:rPr>
        <w:t>决，协商</w:t>
      </w:r>
      <w:r>
        <w:rPr>
          <w:rFonts w:hint="eastAsia" w:ascii="宋体" w:hAnsi="宋体" w:cs="宋体"/>
          <w:color w:val="auto"/>
          <w:spacing w:val="-1"/>
          <w:sz w:val="21"/>
          <w:szCs w:val="21"/>
          <w:highlight w:val="none"/>
        </w:rPr>
        <w:t>不成的，任何一方均有权向</w:t>
      </w:r>
      <w:r>
        <w:rPr>
          <w:rFonts w:hint="eastAsia" w:ascii="宋体" w:hAnsi="宋体" w:cs="宋体"/>
          <w:color w:val="auto"/>
          <w:spacing w:val="-1"/>
          <w:sz w:val="21"/>
          <w:szCs w:val="21"/>
          <w:highlight w:val="none"/>
          <w:u w:val="single"/>
        </w:rPr>
        <w:t>发包人所在地有</w:t>
      </w:r>
      <w:r>
        <w:rPr>
          <w:rFonts w:hint="eastAsia" w:ascii="宋体" w:hAnsi="宋体" w:cs="宋体"/>
          <w:color w:val="auto"/>
          <w:spacing w:val="-2"/>
          <w:sz w:val="21"/>
          <w:szCs w:val="21"/>
          <w:highlight w:val="none"/>
          <w:u w:val="single"/>
        </w:rPr>
        <w:t>管辖权</w:t>
      </w:r>
      <w:r>
        <w:rPr>
          <w:rFonts w:hint="eastAsia" w:ascii="宋体" w:hAnsi="宋体" w:cs="宋体"/>
          <w:color w:val="auto"/>
          <w:spacing w:val="-2"/>
          <w:sz w:val="21"/>
          <w:szCs w:val="21"/>
          <w:highlight w:val="none"/>
        </w:rPr>
        <w:t>的人民法院起诉。</w:t>
      </w:r>
    </w:p>
    <w:p w14:paraId="6E4F49B5">
      <w:pPr>
        <w:pStyle w:val="18"/>
        <w:widowControl/>
        <w:topLinePunct/>
        <w:autoSpaceDE w:val="0"/>
        <w:autoSpaceDN w:val="0"/>
        <w:adjustRightInd w:val="0"/>
        <w:snapToGrid w:val="0"/>
        <w:spacing w:after="0" w:line="360" w:lineRule="auto"/>
        <w:ind w:firstLine="408" w:firstLineChars="200"/>
        <w:jc w:val="left"/>
        <w:textAlignment w:val="baseline"/>
        <w:rPr>
          <w:rFonts w:hint="eastAsia" w:ascii="宋体" w:hAnsi="宋体" w:cs="宋体"/>
          <w:color w:val="auto"/>
          <w:sz w:val="21"/>
          <w:szCs w:val="21"/>
          <w:highlight w:val="none"/>
        </w:rPr>
      </w:pPr>
      <w:r>
        <w:rPr>
          <w:rFonts w:hint="eastAsia" w:ascii="宋体" w:hAnsi="宋体" w:cs="宋体"/>
          <w:color w:val="auto"/>
          <w:spacing w:val="-3"/>
          <w:sz w:val="21"/>
          <w:szCs w:val="21"/>
          <w:highlight w:val="none"/>
        </w:rPr>
        <w:t>（2）提请</w:t>
      </w:r>
      <w:r>
        <w:rPr>
          <w:rFonts w:hint="eastAsia" w:cs="宋体"/>
          <w:color w:val="auto"/>
          <w:spacing w:val="-1"/>
          <w:sz w:val="21"/>
          <w:szCs w:val="21"/>
          <w:highlight w:val="none"/>
          <w:u w:val="single"/>
        </w:rPr>
        <w:t>工程所在地</w:t>
      </w:r>
      <w:r>
        <w:rPr>
          <w:rFonts w:hint="eastAsia" w:ascii="宋体" w:hAnsi="宋体" w:cs="宋体"/>
          <w:color w:val="auto"/>
          <w:spacing w:val="-3"/>
          <w:sz w:val="21"/>
          <w:szCs w:val="21"/>
          <w:highlight w:val="none"/>
        </w:rPr>
        <w:t>仲裁委员会按照该会仲裁规则进行仲</w:t>
      </w:r>
      <w:r>
        <w:rPr>
          <w:rFonts w:hint="eastAsia" w:ascii="宋体" w:hAnsi="宋体" w:cs="宋体"/>
          <w:color w:val="auto"/>
          <w:spacing w:val="-4"/>
          <w:sz w:val="21"/>
          <w:szCs w:val="21"/>
          <w:highlight w:val="none"/>
        </w:rPr>
        <w:t>裁，仲裁裁决是终局的，对</w:t>
      </w:r>
      <w:r>
        <w:rPr>
          <w:rFonts w:hint="eastAsia" w:ascii="宋体" w:hAnsi="宋体" w:cs="宋体"/>
          <w:color w:val="auto"/>
          <w:spacing w:val="-5"/>
          <w:sz w:val="21"/>
          <w:szCs w:val="21"/>
          <w:highlight w:val="none"/>
        </w:rPr>
        <w:t>合同双方均有约束力。</w:t>
      </w:r>
    </w:p>
    <w:p w14:paraId="6C151827">
      <w:pPr>
        <w:pStyle w:val="18"/>
        <w:widowControl/>
        <w:topLinePunct/>
        <w:autoSpaceDE w:val="0"/>
        <w:autoSpaceDN w:val="0"/>
        <w:adjustRightInd w:val="0"/>
        <w:snapToGrid w:val="0"/>
        <w:spacing w:after="0" w:line="360" w:lineRule="auto"/>
        <w:ind w:firstLine="390" w:firstLineChars="200"/>
        <w:jc w:val="left"/>
        <w:textAlignment w:val="baseline"/>
        <w:outlineLvl w:val="3"/>
        <w:rPr>
          <w:rFonts w:hint="eastAsia" w:ascii="宋体" w:hAnsi="宋体" w:cs="宋体"/>
          <w:color w:val="auto"/>
          <w:sz w:val="21"/>
          <w:szCs w:val="21"/>
          <w:highlight w:val="none"/>
        </w:rPr>
      </w:pPr>
      <w:r>
        <w:rPr>
          <w:rFonts w:hint="eastAsia" w:ascii="宋体" w:hAnsi="宋体" w:cs="宋体"/>
          <w:b/>
          <w:bCs/>
          <w:color w:val="auto"/>
          <w:spacing w:val="-8"/>
          <w:sz w:val="21"/>
          <w:szCs w:val="21"/>
          <w:highlight w:val="none"/>
        </w:rPr>
        <w:t>17.补充条款</w:t>
      </w:r>
    </w:p>
    <w:p w14:paraId="669C4949">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双方根据有关法律法规规定，结合实际协商一致，补充约定如下：</w:t>
      </w:r>
    </w:p>
    <w:p w14:paraId="0AE649E7">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（1）勘察工作完成后（或阶段性完成后）7个日历天内，必须通知发包人进行收方，由于勘察人不及时通知发包人进行收方，造成的勘察成果损坏无法收方的，由勘察人自行承担责任。</w:t>
      </w:r>
    </w:p>
    <w:p w14:paraId="41AD41BC">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（2）因勘察人原因造成勘察文件不合格致使审查无法通过达到3次的，发包人有权单方面解除合同。</w:t>
      </w:r>
    </w:p>
    <w:p w14:paraId="54644FB9">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勘察人应按附件3以及发包人根据工程进展情况要求的期限交付勘察文件，单次交付阶段逾期超过15日历天的，发包人有权单方面解除合同。勘察人有2次（含2次）以上不依据发包人的通知或函告执行，发包人有权解除本合同。</w:t>
      </w:r>
    </w:p>
    <w:p w14:paraId="5D82F365">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勘察人需按发包人要求及合同约定时按质履行合同义务，如果勘察人存在不符合合同约定的违约行为，发包人有权将该部分工作直接分割，分包给第三方完成，所需费用由勘察人承担，发包人有权从合同款中予以扣除，同时勘察人所需承担责任不免除。</w:t>
      </w:r>
    </w:p>
    <w:p w14:paraId="29CB02E8">
      <w:pPr>
        <w:pStyle w:val="18"/>
        <w:widowControl/>
        <w:topLinePunct/>
        <w:autoSpaceDE w:val="0"/>
        <w:autoSpaceDN w:val="0"/>
        <w:adjustRightInd w:val="0"/>
        <w:snapToGrid w:val="0"/>
        <w:spacing w:after="0" w:line="360" w:lineRule="auto"/>
        <w:ind w:firstLine="420" w:firstLineChars="200"/>
        <w:jc w:val="lef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5）本合同载明的通讯地址为双方指定收件地址，今后凡与本合同相关的任何通知、函件、法律文书（包括但不限于律师函、起诉状、应诉通知、传票、判决书、裁定书等）均送达至该地址，自EMS邮件加盖邮戳之日起第三日起视为送达，任一方有变更应书面通知对方，否则均为有效送达，未及时告知的不良后果由该方承担。</w:t>
      </w:r>
    </w:p>
    <w:p w14:paraId="194F404F">
      <w:pPr>
        <w:widowControl/>
        <w:topLinePunct/>
        <w:autoSpaceDE w:val="0"/>
        <w:autoSpaceDN w:val="0"/>
        <w:adjustRightInd w:val="0"/>
        <w:snapToGrid w:val="0"/>
        <w:spacing w:line="360" w:lineRule="auto"/>
        <w:ind w:firstLine="420" w:firstLineChars="200"/>
        <w:textAlignment w:val="baseline"/>
        <w:rPr>
          <w:rFonts w:hint="eastAsia" w:ascii="宋体" w:hAnsi="宋体" w:cs="宋体"/>
          <w:color w:val="auto"/>
          <w:sz w:val="21"/>
          <w:szCs w:val="21"/>
          <w:highlight w:val="none"/>
        </w:rPr>
      </w:pPr>
    </w:p>
    <w:p w14:paraId="70DC9A1A">
      <w:pPr>
        <w:pStyle w:val="18"/>
        <w:widowControl/>
        <w:topLinePunct/>
        <w:autoSpaceDE w:val="0"/>
        <w:autoSpaceDN w:val="0"/>
        <w:adjustRightInd w:val="0"/>
        <w:snapToGrid w:val="0"/>
        <w:spacing w:line="360" w:lineRule="auto"/>
        <w:ind w:firstLine="390" w:firstLineChars="200"/>
        <w:textAlignment w:val="baseline"/>
        <w:rPr>
          <w:rFonts w:hint="eastAsia" w:ascii="宋体" w:hAnsi="宋体" w:cs="宋体"/>
          <w:color w:val="auto"/>
          <w:szCs w:val="21"/>
          <w:highlight w:val="none"/>
        </w:rPr>
      </w:pPr>
      <w:r>
        <w:rPr>
          <w:rFonts w:hint="eastAsia" w:ascii="宋体" w:hAnsi="宋体" w:cs="宋体"/>
          <w:b/>
          <w:bCs/>
          <w:color w:val="auto"/>
          <w:spacing w:val="-8"/>
          <w:szCs w:val="21"/>
          <w:highlight w:val="none"/>
        </w:rPr>
        <w:t>附件</w:t>
      </w:r>
    </w:p>
    <w:p w14:paraId="74D16C8A">
      <w:pPr>
        <w:pStyle w:val="302"/>
        <w:spacing w:line="360" w:lineRule="auto"/>
        <w:ind w:firstLine="420" w:firstLineChars="200"/>
        <w:rPr>
          <w:rFonts w:hint="eastAsia" w:ascii="宋体" w:hAnsi="宋体" w:cs="宋体"/>
          <w:color w:val="auto"/>
          <w:sz w:val="24"/>
          <w:highlight w:val="none"/>
        </w:rPr>
      </w:pPr>
      <w:r>
        <w:rPr>
          <w:rFonts w:hint="eastAsia" w:ascii="宋体" w:hAnsi="宋体" w:cs="宋体"/>
          <w:color w:val="auto"/>
          <w:szCs w:val="21"/>
          <w:highlight w:val="none"/>
        </w:rPr>
        <w:t>附件：廉洁协议</w:t>
      </w:r>
    </w:p>
    <w:p w14:paraId="7A76D085">
      <w:pPr>
        <w:pStyle w:val="302"/>
        <w:spacing w:line="400" w:lineRule="exact"/>
        <w:rPr>
          <w:rFonts w:hint="eastAsia" w:ascii="宋体" w:hAnsi="宋体" w:cs="宋体"/>
          <w:color w:val="auto"/>
          <w:sz w:val="24"/>
          <w:highlight w:val="none"/>
        </w:rPr>
      </w:pPr>
    </w:p>
    <w:p w14:paraId="4DDB6DF6">
      <w:pPr>
        <w:pStyle w:val="302"/>
        <w:spacing w:line="360" w:lineRule="auto"/>
        <w:ind w:firstLine="480" w:firstLineChars="200"/>
        <w:jc w:val="left"/>
        <w:rPr>
          <w:rFonts w:hint="eastAsia" w:ascii="宋体" w:hAnsi="宋体" w:cs="宋体"/>
          <w:color w:val="auto"/>
          <w:szCs w:val="21"/>
          <w:highlight w:val="none"/>
        </w:rPr>
      </w:pPr>
      <w:r>
        <w:rPr>
          <w:rFonts w:hint="eastAsia" w:ascii="宋体" w:hAnsi="宋体" w:cs="宋体"/>
          <w:color w:val="auto"/>
          <w:sz w:val="24"/>
          <w:highlight w:val="none"/>
        </w:rPr>
        <w:br w:type="page"/>
      </w:r>
      <w:r>
        <w:rPr>
          <w:rFonts w:hint="eastAsia" w:ascii="宋体" w:hAnsi="宋体" w:cs="宋体"/>
          <w:b/>
          <w:bCs/>
          <w:color w:val="auto"/>
          <w:sz w:val="28"/>
          <w:szCs w:val="28"/>
          <w:highlight w:val="none"/>
        </w:rPr>
        <w:t>附件：廉洁协议</w:t>
      </w:r>
    </w:p>
    <w:p w14:paraId="4802F7E6">
      <w:pPr>
        <w:pStyle w:val="302"/>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廉洁协议</w:t>
      </w:r>
    </w:p>
    <w:p w14:paraId="0F539587">
      <w:pPr>
        <w:pStyle w:val="302"/>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甲方：</w:t>
      </w:r>
      <w:r>
        <w:rPr>
          <w:rFonts w:hint="eastAsia" w:ascii="宋体" w:hAnsi="宋体" w:cs="宋体"/>
          <w:color w:val="auto"/>
          <w:szCs w:val="21"/>
          <w:highlight w:val="none"/>
          <w:u w:val="single"/>
        </w:rPr>
        <w:t xml:space="preserve">                           </w:t>
      </w:r>
    </w:p>
    <w:p w14:paraId="2739BAD8">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w:t>
      </w:r>
      <w:r>
        <w:rPr>
          <w:rFonts w:hint="eastAsia" w:ascii="宋体" w:hAnsi="宋体" w:cs="宋体"/>
          <w:color w:val="auto"/>
          <w:szCs w:val="21"/>
          <w:highlight w:val="none"/>
          <w:u w:val="single"/>
        </w:rPr>
        <w:t xml:space="preserve">                           </w:t>
      </w:r>
    </w:p>
    <w:p w14:paraId="50A84DDD">
      <w:pPr>
        <w:pStyle w:val="302"/>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为加强廉洁建设，规范甲乙双方的履约行为，防止发生各种谋取不正当利益的违法违纪行为，保护各方的合法权益，根据国家和甲方公司、上级单位对有关工程承发包和廉政建设的各项规定，甲乙双方就《</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合同》（以下简称“经济合同”）履行过程中的廉洁要求协商一致签署本协议，以资双方共同遵守。</w:t>
      </w:r>
    </w:p>
    <w:p w14:paraId="63CA146E">
      <w:pPr>
        <w:pStyle w:val="302"/>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第一条  双方的责任</w:t>
      </w:r>
    </w:p>
    <w:p w14:paraId="3F53ACF7">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1.双方应加强对本方工作人员的法制教育和廉洁从业教育，建立和健全相关规章制度，并监督执行；</w:t>
      </w:r>
    </w:p>
    <w:p w14:paraId="24865BCC">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2.双方应严格遵守国家有关建设工程管理的法律法规、相关政策和规定；</w:t>
      </w:r>
    </w:p>
    <w:p w14:paraId="6DB15FB5">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双方必须坚持公开、公平、公正、诚信、透明的原则(除法律法规另有规定者外)，在公开的办公场所洽谈业务，不得在非工作场所洽谈业务，不得私下单独交易；不得为获取不正当的利益，损害国家、集体和对方利益；</w:t>
      </w:r>
    </w:p>
    <w:p w14:paraId="44456A07">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4.如发现对方在业务活动中有违规、违纪、违法行为的，应及时提醒对方，情节严重的应向其上级主管部门、纪检监察机构、司法机关举报。</w:t>
      </w:r>
    </w:p>
    <w:p w14:paraId="4CE0AC37">
      <w:pPr>
        <w:pStyle w:val="302"/>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第二条  甲方的责任</w:t>
      </w:r>
    </w:p>
    <w:p w14:paraId="381E2854">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甲方的领导人员和有关工作人员，应遵守以下规定：</w:t>
      </w:r>
    </w:p>
    <w:p w14:paraId="0277F473">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1.不以任何方式和理由索要或接受乙方的回扣、礼金、有价证券、礼品和好处费、感谢费等；</w:t>
      </w:r>
    </w:p>
    <w:p w14:paraId="62E0C0D5">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2.不在乙方报销任何应由甲方或个人支付的费用，也不得向乙方借款私用；</w:t>
      </w:r>
    </w:p>
    <w:p w14:paraId="5783E26F">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3.不要求、暗示和接受乙方为个人装修住房、婚丧嫁娶、配偶子女的工作安排以及出国(境)、旅游等方面提供方便；</w:t>
      </w:r>
    </w:p>
    <w:p w14:paraId="57D2BCBA">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4.不参加有可能影响公正执行公务的宴请或健身、娱乐等消费活动；</w:t>
      </w:r>
    </w:p>
    <w:p w14:paraId="2271E047">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5.不向乙方推荐或介绍任何材料、设备供应商或工程分包商(招标文件或合同中明确由甲方指定供应商的除外)；</w:t>
      </w:r>
    </w:p>
    <w:p w14:paraId="7C9E8AAD">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6.不得因个人原因使用乙方提供的通讯工具、交通工具、电脑或其它办公用品；   </w:t>
      </w:r>
    </w:p>
    <w:p w14:paraId="44083DF3">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不准向乙方介绍或为配偶、子女、亲属等特定关系人参与同甲方项目工程施工合同有关的设备、材料、工程分包、劳务等经济活动。不得以任何理由向乙方和相关单位推荐分包单位或要求乙方购买项目工程施工合同规定以外的材料、设备等。</w:t>
      </w:r>
    </w:p>
    <w:p w14:paraId="62B5B85B">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8.不得有其他违背廉洁规定的行为。</w:t>
      </w:r>
    </w:p>
    <w:p w14:paraId="5DC01A99">
      <w:pPr>
        <w:pStyle w:val="302"/>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第三条  乙方的责任</w:t>
      </w:r>
    </w:p>
    <w:p w14:paraId="35A704CB">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乙方应与甲方保持正常的业务交往，按照有关法律法规和程序开展工作，并遵守以下规定：</w:t>
      </w:r>
    </w:p>
    <w:p w14:paraId="19987BC6">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1.不以任何理由向甲方及其工作人员赠送礼金、有价证券、礼品和感谢费、咨询费等；</w:t>
      </w:r>
    </w:p>
    <w:p w14:paraId="4970B376">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2.不以任何理由为甲方报销应由对方或个人支付的费用；</w:t>
      </w:r>
    </w:p>
    <w:p w14:paraId="00F12A68">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3.不以任何方式为甲方工作人员个人装修住房、婚丧嫁娶、配偶子女的工作安排以及出国(境)、旅游等提供方便；</w:t>
      </w:r>
    </w:p>
    <w:p w14:paraId="2C32FE5E">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4.不以任何理由为甲方工作人员组织有可能影响公正执行公务的宴请、健身、娱乐等活动；</w:t>
      </w:r>
    </w:p>
    <w:p w14:paraId="068A8556">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5.不以任何其他不正当手段与甲方工作人员发生金钱、实物等往来；</w:t>
      </w:r>
    </w:p>
    <w:p w14:paraId="6BCEBEB8">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6.不准以任何理由拒绝为甲方上级单位审计、监察部门的纪检监察工作予以配合和提供便利。</w:t>
      </w:r>
    </w:p>
    <w:p w14:paraId="33632B92">
      <w:pPr>
        <w:pStyle w:val="302"/>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第四条  违反廉洁约定的处理</w:t>
      </w:r>
    </w:p>
    <w:p w14:paraId="2A26731C">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双方一致保证信守廉洁约定，并同意：</w:t>
      </w:r>
    </w:p>
    <w:p w14:paraId="2F1995F5">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如甲方工作人员违反廉洁约定，乙方人员主动举报且经查证属实的，甲方承诺保护举报人的合法权益。对有受贿索贿等违法违纪行为的当事人，甲方要给予相应的纪律处分；涉嫌犯罪的，移送司法机关处理。同时，向乙方通报处理结果。</w:t>
      </w:r>
    </w:p>
    <w:p w14:paraId="1A8F6B92">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如乙方(或委托他人)向甲方工作人员行贿或有其他违反廉洁约定的行为，经查证属实的，乙方承诺按照司法机关(或纪检监察机构)确认的违纪金额的双倍向甲方支付赔偿金，如赔偿金低于甲方实际损失的，乙方应赔偿甲方实际损失。对有行贿等违法违纪行为的当事人，乙方要给予相应的纪律处分；涉嫌犯罪的，移送司法机关处理。</w:t>
      </w:r>
    </w:p>
    <w:p w14:paraId="43CADB0C">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甲方发现乙方有违反本协议或者采用不正当的手段行贿甲方工作人员，甲方根据具体情节和造成的后果追究乙方的违约责任，乙方应当向甲方支付不低于经济合同总额的20%的违约金。由此给甲方造成的损失均由乙方承担；情况严重的，甲方有权终止或解除经济合同，并且乙方应当向甲方支付经济合同总额20%的违约金。</w:t>
      </w:r>
    </w:p>
    <w:p w14:paraId="4EAFCFCC">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4.如因发生上述情形甲方提出解除经济合同的，乙方支付的违约金不足以弥补甲方实际损失的，乙方应当在接到甲方通知后立即予以补足。</w:t>
      </w:r>
    </w:p>
    <w:p w14:paraId="188393D5">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5.若经济合同约定乙方须缴纳廉政保证金的，若乙方无本协议约定的行为的，保证金在约定时限内无息返还，若乙方存在前述行为的，甲方有权不予退还。</w:t>
      </w:r>
    </w:p>
    <w:p w14:paraId="201B9DD0">
      <w:pPr>
        <w:pStyle w:val="302"/>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第五条  其他说明</w:t>
      </w:r>
    </w:p>
    <w:p w14:paraId="408790CC">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所称的“甲方实际损失”，包括因乙方的行贿行为或其他违反廉洁约定的行为导致甲方多支出的合同项目费用或维修维护费用)等、甲方(或司法机关)为查处违法违纪行为发生的办案费用、律师费用、鉴定费用、评估费用等支出。</w:t>
      </w:r>
    </w:p>
    <w:p w14:paraId="7C309B60">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2.双方保证已全面理解本协议的内容，并采取有效措施使相关人员知悉其所应承担的廉洁责任。</w:t>
      </w:r>
    </w:p>
    <w:p w14:paraId="5F193E6E">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3.本协议经双方加盖公章或合同专用章之日起生效。</w:t>
      </w:r>
    </w:p>
    <w:p w14:paraId="3CE885EC">
      <w:pPr>
        <w:pStyle w:val="302"/>
        <w:spacing w:line="360" w:lineRule="auto"/>
        <w:ind w:firstLine="420" w:firstLineChars="200"/>
        <w:rPr>
          <w:rFonts w:hint="eastAsia" w:ascii="宋体" w:hAnsi="宋体" w:cs="宋体"/>
          <w:color w:val="auto"/>
          <w:szCs w:val="21"/>
          <w:highlight w:val="none"/>
        </w:rPr>
      </w:pPr>
    </w:p>
    <w:p w14:paraId="284E91D7">
      <w:pPr>
        <w:pStyle w:val="30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甲  方：（公章)                   乙  方：(公章) </w:t>
      </w:r>
    </w:p>
    <w:p w14:paraId="4F2F7113">
      <w:pPr>
        <w:pStyle w:val="302"/>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日期：</w:t>
      </w:r>
      <w:r>
        <w:rPr>
          <w:rFonts w:hint="eastAsia" w:ascii="宋体" w:hAnsi="宋体" w:cs="宋体"/>
          <w:bCs/>
          <w:color w:val="auto"/>
          <w:szCs w:val="21"/>
          <w:highlight w:val="none"/>
        </w:rPr>
        <w:t xml:space="preserve">   年   月   日             </w:t>
      </w:r>
      <w:r>
        <w:rPr>
          <w:rFonts w:hint="eastAsia" w:ascii="宋体" w:hAnsi="宋体" w:cs="宋体"/>
          <w:color w:val="auto"/>
          <w:szCs w:val="21"/>
          <w:highlight w:val="none"/>
        </w:rPr>
        <w:t>日期：</w:t>
      </w:r>
      <w:r>
        <w:rPr>
          <w:rFonts w:hint="eastAsia" w:ascii="宋体" w:hAnsi="宋体" w:cs="宋体"/>
          <w:bCs/>
          <w:color w:val="auto"/>
          <w:szCs w:val="21"/>
          <w:highlight w:val="none"/>
        </w:rPr>
        <w:t xml:space="preserve">   年   月   日</w:t>
      </w:r>
    </w:p>
    <w:bookmarkEnd w:id="137"/>
    <w:bookmarkEnd w:id="138"/>
    <w:bookmarkEnd w:id="139"/>
    <w:bookmarkEnd w:id="140"/>
    <w:bookmarkEnd w:id="141"/>
    <w:bookmarkEnd w:id="142"/>
    <w:bookmarkEnd w:id="325"/>
    <w:bookmarkEnd w:id="326"/>
    <w:bookmarkEnd w:id="327"/>
    <w:p w14:paraId="0CF52E58">
      <w:pPr>
        <w:spacing w:line="460" w:lineRule="exact"/>
        <w:rPr>
          <w:color w:val="auto"/>
          <w:highlight w:val="none"/>
        </w:rPr>
      </w:pPr>
    </w:p>
    <w:bookmarkEnd w:id="328"/>
    <w:sectPr>
      <w:headerReference r:id="rId14" w:type="first"/>
      <w:footerReference r:id="rId16" w:type="first"/>
      <w:headerReference r:id="rId13" w:type="default"/>
      <w:footerReference r:id="rId15" w:type="default"/>
      <w:pgSz w:w="11906" w:h="16838"/>
      <w:pgMar w:top="1417" w:right="1417" w:bottom="1417" w:left="1417" w:header="851" w:footer="567"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 w:name="Consolas">
    <w:panose1 w:val="020B0609020204030204"/>
    <w:charset w:val="00"/>
    <w:family w:val="auto"/>
    <w:pitch w:val="default"/>
    <w:sig w:usb0="E00006FF" w:usb1="0000FCFF" w:usb2="00000001" w:usb3="00000000" w:csb0="6000019F" w:csb1="DFD70000"/>
  </w:font>
  <w:font w:name="Calibri Light">
    <w:panose1 w:val="020F0302020204030204"/>
    <w:charset w:val="00"/>
    <w:family w:val="auto"/>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9E679">
    <w:pPr>
      <w:pStyle w:val="30"/>
      <w:tabs>
        <w:tab w:val="center" w:pos="4439"/>
        <w:tab w:val="clear" w:pos="4153"/>
      </w:tabs>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0DD75E9E">
                          <w:pPr>
                            <w:pStyle w:val="30"/>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&#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i91E0AAAAAIBAAAPAAAAAAAAAAEAIAAAACIAAABk&#10;cnMvZG93bnJldi54bWxQSwECFAAUAAAACACHTuJA0JuP4w4CAAAPBAAADgAAAAAAAAABACAAAAAf&#10;AQAAZHJzL2Uyb0RvYy54bWxQSwUGAAAAAAYABgBZAQAAnwUAAAAA&#10;">
              <v:fill on="f" focussize="0,0"/>
              <v:stroke on="f"/>
              <v:imagedata o:title=""/>
              <o:lock v:ext="edit" aspectratio="f"/>
              <v:textbox inset="0mm,0mm,0mm,0mm" style="mso-fit-shape-to-text:t;">
                <w:txbxContent>
                  <w:p w14:paraId="0DD75E9E">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53579036">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887CF">
    <w:pPr>
      <w:pStyle w:val="30"/>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53035"/>
              <wp:effectExtent l="0" t="0" r="0" b="0"/>
              <wp:wrapNone/>
              <wp:docPr id="2"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7B56B02E"/>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2.05pt;width:9.05pt;mso-position-horizontal:center;mso-position-horizontal-relative:margin;mso-wrap-style:none;z-index:251662336;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&#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kFT5rQAAAAAwEAAA8AAAAAAAAAAQAgAAAAIgAAAGRy&#10;cy9kb3ducmV2LnhtbFBLAQIUABQAAAAIAIdO4kDqxEp6DQIAABAEAAAOAAAAAAAAAAEAIAAAAB8B&#10;AABkcnMvZTJvRG9jLnhtbFBLBQYAAAAABgAGAFkBAACeBQAAAAA=&#10;">
              <v:fill on="f" focussize="0,0"/>
              <v:stroke on="f"/>
              <v:imagedata o:title=""/>
              <o:lock v:ext="edit" aspectratio="f"/>
              <v:textbox inset="0mm,0mm,0mm,0mm" style="mso-fit-shape-to-text:t;">
                <w:txbxContent>
                  <w:p w14:paraId="7B56B02E"/>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99469">
    <w:pPr>
      <w:pStyle w:val="3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09671F">
                          <w:pPr>
                            <w:pStyle w:val="30"/>
                            <w:rPr>
                              <w:rStyle w:val="304"/>
                            </w:rPr>
                          </w:pPr>
                          <w:r>
                            <w:fldChar w:fldCharType="begin"/>
                          </w:r>
                          <w:r>
                            <w:rPr>
                              <w:rStyle w:val="304"/>
                            </w:rPr>
                            <w:instrText xml:space="preserve">PAGE  </w:instrText>
                          </w:r>
                          <w:r>
                            <w:fldChar w:fldCharType="separate"/>
                          </w:r>
                          <w:r>
                            <w:rPr>
                              <w:rStyle w:val="304"/>
                            </w:rP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5C09671F">
                    <w:pPr>
                      <w:pStyle w:val="30"/>
                      <w:rPr>
                        <w:rStyle w:val="304"/>
                      </w:rPr>
                    </w:pPr>
                    <w:r>
                      <w:fldChar w:fldCharType="begin"/>
                    </w:r>
                    <w:r>
                      <w:rPr>
                        <w:rStyle w:val="304"/>
                      </w:rPr>
                      <w:instrText xml:space="preserve">PAGE  </w:instrText>
                    </w:r>
                    <w:r>
                      <w:fldChar w:fldCharType="separate"/>
                    </w:r>
                    <w:r>
                      <w:rPr>
                        <w:rStyle w:val="304"/>
                      </w:rPr>
                      <w:t>79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8837C">
    <w:pPr>
      <w:pStyle w:val="30"/>
      <w:framePr w:wrap="around" w:vAnchor="text" w:hAnchor="margin" w:xAlign="center" w:y="1"/>
      <w:rPr>
        <w:rStyle w:val="304"/>
      </w:rPr>
    </w:pPr>
    <w:r>
      <w:fldChar w:fldCharType="begin"/>
    </w:r>
    <w:r>
      <w:rPr>
        <w:rStyle w:val="304"/>
      </w:rPr>
      <w:instrText xml:space="preserve">PAGE  </w:instrText>
    </w:r>
    <w:r>
      <w:fldChar w:fldCharType="separate"/>
    </w:r>
    <w:r>
      <w:rPr>
        <w:rStyle w:val="304"/>
      </w:rPr>
      <w:t>8</w:t>
    </w:r>
    <w:r>
      <w:fldChar w:fldCharType="end"/>
    </w:r>
  </w:p>
  <w:p w14:paraId="2B478544">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A18D6">
    <w:pPr>
      <w:pStyle w:val="3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142B46">
                          <w:pPr>
                            <w:pStyle w:val="30"/>
                          </w:pPr>
                          <w:r>
                            <w:fldChar w:fldCharType="begin"/>
                          </w:r>
                          <w:r>
                            <w:instrText xml:space="preserve"> PAGE  \* MERGEFORMAT </w:instrText>
                          </w:r>
                          <w:r>
                            <w:fldChar w:fldCharType="separate"/>
                          </w:r>
                          <w:r>
                            <w:t>12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41142B46">
                    <w:pPr>
                      <w:pStyle w:val="30"/>
                    </w:pPr>
                    <w:r>
                      <w:fldChar w:fldCharType="begin"/>
                    </w:r>
                    <w:r>
                      <w:instrText xml:space="preserve"> PAGE  \* MERGEFORMAT </w:instrText>
                    </w:r>
                    <w:r>
                      <w:fldChar w:fldCharType="separate"/>
                    </w:r>
                    <w:r>
                      <w:t>12</w:t>
                    </w:r>
                    <w:r>
                      <w:fldChar w:fldCharType="end"/>
                    </w:r>
                  </w:p>
                </w:txbxContent>
              </v:textbox>
            </v:shape>
          </w:pict>
        </mc:Fallback>
      </mc:AlternateContent>
    </w:r>
  </w:p>
  <w:p w14:paraId="31C9396E">
    <w:pPr>
      <w:pStyle w:val="3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56E2">
    <w:pPr>
      <w:pStyle w:val="3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3"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3CB465AC">
                          <w:pPr>
                            <w:pStyle w:val="30"/>
                            <w:jc w:val="center"/>
                          </w:pPr>
                          <w:r>
                            <w:fldChar w:fldCharType="begin"/>
                          </w:r>
                          <w:r>
                            <w:instrText xml:space="preserve"> PAGE  \* MERGEFORMAT </w:instrText>
                          </w:r>
                          <w:r>
                            <w:fldChar w:fldCharType="separate"/>
                          </w:r>
                          <w:r>
                            <w:t>72</w:t>
                          </w:r>
                          <w: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4vdRNAAAAACAQAADwAAAAAAAAABACAAAAAiAAAA&#10;ZHJzL2Rvd25yZXYueG1sUEsBAhQAFAAAAAgAh07iQNQHt0IPAgAADwQAAA4AAAAAAAAAAQAgAAAA&#10;HwEAAGRycy9lMm9Eb2MueG1sUEsFBgAAAAAGAAYAWQEAAKAFAAAAAA==&#10;">
              <v:fill on="f" focussize="0,0"/>
              <v:stroke on="f"/>
              <v:imagedata o:title=""/>
              <o:lock v:ext="edit" aspectratio="f"/>
              <v:textbox inset="0mm,0mm,0mm,0mm" style="mso-fit-shape-to-text:t;">
                <w:txbxContent>
                  <w:p w14:paraId="3CB465AC">
                    <w:pPr>
                      <w:pStyle w:val="30"/>
                      <w:jc w:val="center"/>
                    </w:pPr>
                    <w:r>
                      <w:fldChar w:fldCharType="begin"/>
                    </w:r>
                    <w:r>
                      <w:instrText xml:space="preserve"> PAGE  \* MERGEFORMAT </w:instrText>
                    </w:r>
                    <w:r>
                      <w:fldChar w:fldCharType="separate"/>
                    </w:r>
                    <w:r>
                      <w:t>72</w:t>
                    </w:r>
                    <w:r>
                      <w:fldChar w:fldCharType="end"/>
                    </w:r>
                  </w:p>
                </w:txbxContent>
              </v:textbox>
            </v:shape>
          </w:pict>
        </mc:Fallback>
      </mc:AlternateContent>
    </w:r>
  </w:p>
  <w:p w14:paraId="7E266F0F">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2E385">
    <w:pPr>
      <w:pStyle w:val="3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31445"/>
              <wp:effectExtent l="0" t="0" r="0" b="0"/>
              <wp:wrapNone/>
              <wp:docPr id="4"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04643850">
                          <w:pPr>
                            <w:pStyle w:val="3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4vdRNAAAAACAQAADwAAAAAAAAABACAAAAAiAAAA&#10;ZHJzL2Rvd25yZXYueG1sUEsBAhQAFAAAAAgAh07iQJvrEyoPAgAADwQAAA4AAAAAAAAAAQAgAAAA&#10;HwEAAGRycy9lMm9Eb2MueG1sUEsFBgAAAAAGAAYAWQEAAKAFAAAAAA==&#10;">
              <v:fill on="f" focussize="0,0"/>
              <v:stroke on="f"/>
              <v:imagedata o:title=""/>
              <o:lock v:ext="edit" aspectratio="f"/>
              <v:textbox inset="0mm,0mm,0mm,0mm" style="mso-fit-shape-to-text:t;">
                <w:txbxContent>
                  <w:p w14:paraId="04643850">
                    <w:pPr>
                      <w:pStyle w:val="3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01A0B">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47E77">
    <w:pPr>
      <w:pStyle w:val="3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43F3">
    <w:pPr>
      <w:pStyle w:val="32"/>
      <w:pBdr>
        <w:bottom w:val="none" w:color="auto" w:sz="0" w:space="0"/>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6B73">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72E5A">
    <w:pPr>
      <w:pStyle w:val="32"/>
      <w:pBdr>
        <w:bottom w:val="none" w:color="auto" w:sz="0" w:space="0"/>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8D039">
    <w:pPr>
      <w:pStyle w:val="32"/>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CE19C">
    <w:pPr>
      <w:pStyle w:val="3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C5686E"/>
    <w:multiLevelType w:val="multilevel"/>
    <w:tmpl w:val="74C5686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dit="trackedChanges" w:enforcement="0"/>
  <w:defaultTabStop w:val="420"/>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030CD"/>
    <w:rsid w:val="0BA63CB2"/>
    <w:rsid w:val="181528C7"/>
    <w:rsid w:val="18277578"/>
    <w:rsid w:val="2A563096"/>
    <w:rsid w:val="2CD67FBE"/>
    <w:rsid w:val="320605D6"/>
    <w:rsid w:val="32A15E27"/>
    <w:rsid w:val="33EB12CC"/>
    <w:rsid w:val="3B852106"/>
    <w:rsid w:val="3DD5155A"/>
    <w:rsid w:val="43377A90"/>
    <w:rsid w:val="447A2AD1"/>
    <w:rsid w:val="4540363F"/>
    <w:rsid w:val="480F1172"/>
    <w:rsid w:val="486E60A3"/>
    <w:rsid w:val="508E3509"/>
    <w:rsid w:val="5FA74D51"/>
    <w:rsid w:val="60CE4002"/>
    <w:rsid w:val="67F70DF9"/>
    <w:rsid w:val="6ADA7C7F"/>
    <w:rsid w:val="6BC57F01"/>
    <w:rsid w:val="731E487C"/>
    <w:rsid w:val="7F3156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0" w:semiHidden="0" w:name="annotation reference"/>
    <w:lsdException w:uiPriority="99" w:name="line number"/>
    <w:lsdException w:uiPriority="99" w:name="page number"/>
    <w:lsdException w:qFormat="1" w:uiPriority="99" w:semiHidden="0"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206"/>
    <w:qFormat/>
    <w:uiPriority w:val="9"/>
    <w:pPr>
      <w:keepNext/>
      <w:keepLines/>
      <w:spacing w:before="340" w:after="330" w:line="578" w:lineRule="auto"/>
      <w:outlineLvl w:val="0"/>
    </w:pPr>
    <w:rPr>
      <w:b/>
      <w:bCs/>
      <w:sz w:val="44"/>
      <w:szCs w:val="44"/>
    </w:rPr>
  </w:style>
  <w:style w:type="paragraph" w:styleId="3">
    <w:name w:val="heading 2"/>
    <w:basedOn w:val="1"/>
    <w:next w:val="1"/>
    <w:link w:val="207"/>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sz w:val="27"/>
      <w:szCs w:val="27"/>
      <w:lang w:val="en-US" w:eastAsia="zh-CN" w:bidi="ar"/>
    </w:rPr>
  </w:style>
  <w:style w:type="paragraph" w:styleId="5">
    <w:name w:val="heading 4"/>
    <w:basedOn w:val="1"/>
    <w:next w:val="1"/>
    <w:link w:val="208"/>
    <w:qFormat/>
    <w:uiPriority w:val="0"/>
    <w:pPr>
      <w:tabs>
        <w:tab w:val="left" w:pos="2155"/>
      </w:tabs>
      <w:spacing w:before="120" w:line="360" w:lineRule="auto"/>
      <w:ind w:left="2155" w:hanging="1078"/>
      <w:outlineLvl w:val="3"/>
    </w:pPr>
    <w:rPr>
      <w:rFonts w:ascii="Arial" w:eastAsia="黑体"/>
      <w:sz w:val="28"/>
      <w:szCs w:val="20"/>
    </w:rPr>
  </w:style>
  <w:style w:type="paragraph" w:styleId="6">
    <w:name w:val="heading 5"/>
    <w:basedOn w:val="1"/>
    <w:next w:val="1"/>
    <w:link w:val="209"/>
    <w:qFormat/>
    <w:uiPriority w:val="9"/>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rPr>
  </w:style>
  <w:style w:type="paragraph" w:styleId="8">
    <w:name w:val="heading 7"/>
    <w:basedOn w:val="1"/>
    <w:next w:val="1"/>
    <w:link w:val="210"/>
    <w:qFormat/>
    <w:uiPriority w:val="0"/>
    <w:pPr>
      <w:keepNext/>
      <w:keepLines/>
      <w:spacing w:before="240" w:after="64" w:line="320" w:lineRule="auto"/>
      <w:outlineLvl w:val="6"/>
    </w:pPr>
    <w:rPr>
      <w:b/>
      <w:bCs/>
      <w:sz w:val="24"/>
    </w:rPr>
  </w:style>
  <w:style w:type="paragraph" w:styleId="9">
    <w:name w:val="heading 8"/>
    <w:basedOn w:val="1"/>
    <w:next w:val="1"/>
    <w:link w:val="211"/>
    <w:qFormat/>
    <w:uiPriority w:val="9"/>
    <w:pPr>
      <w:keepNext/>
      <w:keepLines/>
      <w:spacing w:before="240" w:after="64" w:line="320" w:lineRule="auto"/>
      <w:outlineLvl w:val="7"/>
    </w:pPr>
    <w:rPr>
      <w:rFonts w:ascii="等线 Light" w:hAnsi="等线 Light" w:eastAsia="等线 Light"/>
      <w:sz w:val="24"/>
    </w:rPr>
  </w:style>
  <w:style w:type="paragraph" w:styleId="10">
    <w:name w:val="heading 9"/>
    <w:basedOn w:val="1"/>
    <w:next w:val="1"/>
    <w:link w:val="67"/>
    <w:unhideWhenUsed/>
    <w:qFormat/>
    <w:uiPriority w:val="9"/>
    <w:pPr>
      <w:keepNext/>
      <w:keepLines/>
      <w:spacing w:before="320" w:after="200"/>
      <w:outlineLvl w:val="8"/>
    </w:pPr>
    <w:rPr>
      <w:rFonts w:ascii="Arial" w:hAnsi="Arial" w:eastAsia="Arial" w:cs="Arial"/>
      <w:i/>
      <w:iCs/>
      <w:sz w:val="21"/>
      <w:szCs w:val="21"/>
    </w:rPr>
  </w:style>
  <w:style w:type="character" w:default="1" w:styleId="47">
    <w:name w:val="Default Paragraph Font"/>
    <w:unhideWhenUsed/>
    <w:qFormat/>
    <w:uiPriority w:val="1"/>
  </w:style>
  <w:style w:type="table" w:default="1" w:styleId="45">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index 8"/>
    <w:basedOn w:val="1"/>
    <w:next w:val="1"/>
    <w:qFormat/>
    <w:uiPriority w:val="0"/>
    <w:pPr>
      <w:ind w:left="2940"/>
    </w:pPr>
  </w:style>
  <w:style w:type="paragraph" w:styleId="13">
    <w:name w:val="List Number"/>
    <w:basedOn w:val="1"/>
    <w:qFormat/>
    <w:uiPriority w:val="0"/>
    <w:pPr>
      <w:widowControl/>
      <w:tabs>
        <w:tab w:val="left" w:pos="454"/>
        <w:tab w:val="left" w:pos="720"/>
        <w:tab w:val="left" w:pos="840"/>
      </w:tabs>
      <w:spacing w:after="50"/>
      <w:ind w:left="454" w:hanging="284"/>
      <w:jc w:val="left"/>
    </w:pPr>
    <w:rPr>
      <w:sz w:val="24"/>
      <w:szCs w:val="20"/>
    </w:rPr>
  </w:style>
  <w:style w:type="paragraph" w:styleId="14">
    <w:name w:val="Normal Indent"/>
    <w:basedOn w:val="1"/>
    <w:qFormat/>
    <w:uiPriority w:val="0"/>
    <w:pPr>
      <w:ind w:firstLine="420"/>
    </w:pPr>
    <w:rPr>
      <w:sz w:val="20"/>
      <w:szCs w:val="20"/>
    </w:r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annotation text"/>
    <w:basedOn w:val="1"/>
    <w:link w:val="212"/>
    <w:qFormat/>
    <w:uiPriority w:val="0"/>
    <w:pPr>
      <w:jc w:val="left"/>
    </w:pPr>
  </w:style>
  <w:style w:type="paragraph" w:styleId="17">
    <w:name w:val="Body Text 3"/>
    <w:basedOn w:val="1"/>
    <w:link w:val="213"/>
    <w:unhideWhenUsed/>
    <w:qFormat/>
    <w:uiPriority w:val="99"/>
    <w:pPr>
      <w:spacing w:after="120"/>
    </w:pPr>
    <w:rPr>
      <w:sz w:val="16"/>
      <w:szCs w:val="16"/>
    </w:rPr>
  </w:style>
  <w:style w:type="paragraph" w:styleId="18">
    <w:name w:val="Body Text"/>
    <w:basedOn w:val="1"/>
    <w:next w:val="19"/>
    <w:link w:val="214"/>
    <w:unhideWhenUsed/>
    <w:qFormat/>
    <w:uiPriority w:val="0"/>
    <w:pPr>
      <w:spacing w:after="120"/>
    </w:pPr>
  </w:style>
  <w:style w:type="paragraph" w:styleId="19">
    <w:name w:val="Subtitle"/>
    <w:basedOn w:val="1"/>
    <w:next w:val="1"/>
    <w:link w:val="70"/>
    <w:qFormat/>
    <w:uiPriority w:val="11"/>
    <w:pPr>
      <w:spacing w:before="200" w:after="200"/>
    </w:pPr>
    <w:rPr>
      <w:sz w:val="24"/>
      <w:szCs w:val="24"/>
    </w:rPr>
  </w:style>
  <w:style w:type="paragraph" w:styleId="20">
    <w:name w:val="Body Text Indent"/>
    <w:basedOn w:val="1"/>
    <w:link w:val="215"/>
    <w:qFormat/>
    <w:uiPriority w:val="0"/>
    <w:pPr>
      <w:ind w:firstLine="830"/>
    </w:pPr>
    <w:rPr>
      <w:rFonts w:ascii="仿宋_GB2312" w:eastAsia="仿宋_GB2312"/>
      <w:sz w:val="32"/>
      <w:szCs w:val="20"/>
    </w:rPr>
  </w:style>
  <w:style w:type="paragraph" w:styleId="21">
    <w:name w:val="List 2"/>
    <w:basedOn w:val="1"/>
    <w:unhideWhenUsed/>
    <w:qFormat/>
    <w:uiPriority w:val="99"/>
    <w:pPr>
      <w:ind w:left="100" w:hanging="200"/>
      <w:contextualSpacing/>
    </w:pPr>
  </w:style>
  <w:style w:type="paragraph" w:styleId="22">
    <w:name w:val="toc 5"/>
    <w:basedOn w:val="1"/>
    <w:next w:val="1"/>
    <w:unhideWhenUsed/>
    <w:qFormat/>
    <w:uiPriority w:val="39"/>
    <w:pPr>
      <w:spacing w:after="57"/>
      <w:ind w:left="1134" w:right="0" w:firstLine="0"/>
    </w:pPr>
  </w:style>
  <w:style w:type="paragraph" w:styleId="23">
    <w:name w:val="toc 3"/>
    <w:basedOn w:val="1"/>
    <w:next w:val="1"/>
    <w:unhideWhenUsed/>
    <w:qFormat/>
    <w:uiPriority w:val="39"/>
    <w:pPr>
      <w:spacing w:after="57"/>
      <w:ind w:left="567" w:right="0" w:firstLine="0"/>
    </w:pPr>
  </w:style>
  <w:style w:type="paragraph" w:styleId="24">
    <w:name w:val="Plain Text"/>
    <w:basedOn w:val="1"/>
    <w:next w:val="1"/>
    <w:link w:val="216"/>
    <w:qFormat/>
    <w:uiPriority w:val="0"/>
    <w:rPr>
      <w:rFonts w:ascii="宋体" w:hAnsi="Courier New"/>
      <w:sz w:val="20"/>
      <w:szCs w:val="21"/>
    </w:rPr>
  </w:style>
  <w:style w:type="paragraph" w:styleId="25">
    <w:name w:val="toc 8"/>
    <w:basedOn w:val="1"/>
    <w:next w:val="1"/>
    <w:unhideWhenUsed/>
    <w:qFormat/>
    <w:uiPriority w:val="39"/>
    <w:pPr>
      <w:spacing w:after="57"/>
      <w:ind w:left="1984" w:right="0" w:firstLine="0"/>
    </w:pPr>
  </w:style>
  <w:style w:type="paragraph" w:styleId="26">
    <w:name w:val="Date"/>
    <w:basedOn w:val="1"/>
    <w:next w:val="1"/>
    <w:link w:val="217"/>
    <w:unhideWhenUsed/>
    <w:qFormat/>
    <w:uiPriority w:val="99"/>
    <w:pPr>
      <w:ind w:left="100"/>
    </w:pPr>
  </w:style>
  <w:style w:type="paragraph" w:styleId="27">
    <w:name w:val="Body Text Indent 2"/>
    <w:basedOn w:val="1"/>
    <w:link w:val="218"/>
    <w:unhideWhenUsed/>
    <w:qFormat/>
    <w:uiPriority w:val="99"/>
    <w:pPr>
      <w:spacing w:after="120" w:line="480" w:lineRule="auto"/>
      <w:ind w:left="420"/>
    </w:pPr>
  </w:style>
  <w:style w:type="paragraph" w:styleId="28">
    <w:name w:val="endnote text"/>
    <w:basedOn w:val="1"/>
    <w:link w:val="204"/>
    <w:semiHidden/>
    <w:unhideWhenUsed/>
    <w:qFormat/>
    <w:uiPriority w:val="99"/>
    <w:pPr>
      <w:spacing w:after="0" w:line="240" w:lineRule="auto"/>
    </w:pPr>
    <w:rPr>
      <w:sz w:val="20"/>
    </w:rPr>
  </w:style>
  <w:style w:type="paragraph" w:styleId="29">
    <w:name w:val="Balloon Text"/>
    <w:basedOn w:val="1"/>
    <w:link w:val="219"/>
    <w:semiHidden/>
    <w:qFormat/>
    <w:uiPriority w:val="0"/>
    <w:rPr>
      <w:sz w:val="18"/>
      <w:szCs w:val="18"/>
    </w:rPr>
  </w:style>
  <w:style w:type="paragraph" w:styleId="30">
    <w:name w:val="footer"/>
    <w:basedOn w:val="1"/>
    <w:link w:val="220"/>
    <w:unhideWhenUsed/>
    <w:qFormat/>
    <w:uiPriority w:val="99"/>
    <w:pPr>
      <w:tabs>
        <w:tab w:val="center" w:pos="4153"/>
        <w:tab w:val="right" w:pos="8306"/>
      </w:tabs>
      <w:jc w:val="left"/>
    </w:pPr>
    <w:rPr>
      <w:rFonts w:ascii="Calibri" w:hAnsi="Calibri" w:eastAsia="宋体" w:cs="Times New Roman"/>
      <w:sz w:val="18"/>
      <w:szCs w:val="18"/>
    </w:rPr>
  </w:style>
  <w:style w:type="paragraph" w:styleId="31">
    <w:name w:val="envelope return"/>
    <w:basedOn w:val="1"/>
    <w:qFormat/>
    <w:uiPriority w:val="0"/>
    <w:rPr>
      <w:rFonts w:ascii="Arial" w:hAnsi="Arial"/>
    </w:rPr>
  </w:style>
  <w:style w:type="paragraph" w:styleId="32">
    <w:name w:val="header"/>
    <w:basedOn w:val="1"/>
    <w:link w:val="221"/>
    <w:unhideWhenUsed/>
    <w:qFormat/>
    <w:uiPriority w:val="99"/>
    <w:pPr>
      <w:pBdr>
        <w:bottom w:val="single" w:color="auto" w:sz="6" w:space="1"/>
      </w:pBdr>
      <w:tabs>
        <w:tab w:val="center" w:pos="4153"/>
        <w:tab w:val="right" w:pos="8306"/>
      </w:tabs>
      <w:jc w:val="center"/>
    </w:pPr>
    <w:rPr>
      <w:rFonts w:ascii="Calibri" w:hAnsi="Calibri" w:eastAsia="宋体" w:cs="Times New Roman"/>
      <w:sz w:val="18"/>
      <w:szCs w:val="18"/>
    </w:rPr>
  </w:style>
  <w:style w:type="paragraph" w:styleId="33">
    <w:name w:val="toc 1"/>
    <w:basedOn w:val="1"/>
    <w:next w:val="1"/>
    <w:unhideWhenUsed/>
    <w:qFormat/>
    <w:uiPriority w:val="39"/>
  </w:style>
  <w:style w:type="paragraph" w:styleId="34">
    <w:name w:val="toc 4"/>
    <w:basedOn w:val="1"/>
    <w:next w:val="1"/>
    <w:unhideWhenUsed/>
    <w:qFormat/>
    <w:uiPriority w:val="39"/>
    <w:pPr>
      <w:spacing w:after="57"/>
      <w:ind w:left="850" w:right="0" w:firstLine="0"/>
    </w:pPr>
  </w:style>
  <w:style w:type="paragraph" w:styleId="35">
    <w:name w:val="footnote text"/>
    <w:basedOn w:val="1"/>
    <w:link w:val="222"/>
    <w:unhideWhenUsed/>
    <w:qFormat/>
    <w:uiPriority w:val="99"/>
    <w:pPr>
      <w:jc w:val="left"/>
    </w:pPr>
    <w:rPr>
      <w:sz w:val="18"/>
      <w:szCs w:val="18"/>
    </w:rPr>
  </w:style>
  <w:style w:type="paragraph" w:styleId="36">
    <w:name w:val="toc 6"/>
    <w:basedOn w:val="1"/>
    <w:next w:val="1"/>
    <w:unhideWhenUsed/>
    <w:qFormat/>
    <w:uiPriority w:val="39"/>
    <w:pPr>
      <w:spacing w:after="57"/>
      <w:ind w:left="1417" w:right="0" w:firstLine="0"/>
    </w:pPr>
  </w:style>
  <w:style w:type="paragraph" w:styleId="37">
    <w:name w:val="table of figures"/>
    <w:basedOn w:val="1"/>
    <w:next w:val="1"/>
    <w:unhideWhenUsed/>
    <w:qFormat/>
    <w:uiPriority w:val="99"/>
    <w:pPr>
      <w:spacing w:after="0" w:afterAutospacing="0"/>
    </w:pPr>
  </w:style>
  <w:style w:type="paragraph" w:styleId="38">
    <w:name w:val="toc 2"/>
    <w:basedOn w:val="1"/>
    <w:next w:val="1"/>
    <w:unhideWhenUsed/>
    <w:qFormat/>
    <w:uiPriority w:val="39"/>
    <w:pPr>
      <w:tabs>
        <w:tab w:val="right" w:leader="dot" w:pos="8296"/>
      </w:tabs>
      <w:ind w:left="420"/>
    </w:pPr>
  </w:style>
  <w:style w:type="paragraph" w:styleId="39">
    <w:name w:val="toc 9"/>
    <w:basedOn w:val="1"/>
    <w:next w:val="1"/>
    <w:unhideWhenUsed/>
    <w:qFormat/>
    <w:uiPriority w:val="39"/>
    <w:pPr>
      <w:spacing w:after="57"/>
      <w:ind w:left="2268" w:right="0" w:firstLine="0"/>
    </w:pPr>
  </w:style>
  <w:style w:type="paragraph" w:styleId="40">
    <w:name w:val="Normal (Web)"/>
    <w:basedOn w:val="1"/>
    <w:unhideWhenUsed/>
    <w:qFormat/>
    <w:uiPriority w:val="99"/>
    <w:rPr>
      <w:rFonts w:ascii="Calibri" w:hAnsi="Calibri"/>
      <w:sz w:val="24"/>
    </w:rPr>
  </w:style>
  <w:style w:type="paragraph" w:styleId="41">
    <w:name w:val="Title"/>
    <w:basedOn w:val="1"/>
    <w:next w:val="1"/>
    <w:link w:val="223"/>
    <w:qFormat/>
    <w:uiPriority w:val="0"/>
    <w:pPr>
      <w:spacing w:before="240" w:after="60"/>
      <w:jc w:val="center"/>
      <w:outlineLvl w:val="0"/>
    </w:pPr>
    <w:rPr>
      <w:rFonts w:ascii="Arial" w:hAnsi="Arial" w:cs="Arial"/>
      <w:b/>
      <w:bCs/>
      <w:sz w:val="32"/>
      <w:szCs w:val="32"/>
    </w:rPr>
  </w:style>
  <w:style w:type="paragraph" w:styleId="42">
    <w:name w:val="annotation subject"/>
    <w:basedOn w:val="16"/>
    <w:next w:val="16"/>
    <w:link w:val="224"/>
    <w:qFormat/>
    <w:uiPriority w:val="99"/>
    <w:rPr>
      <w:b/>
      <w:bCs/>
    </w:rPr>
  </w:style>
  <w:style w:type="paragraph" w:styleId="43">
    <w:name w:val="Body Text First Indent"/>
    <w:basedOn w:val="18"/>
    <w:next w:val="1"/>
    <w:qFormat/>
    <w:uiPriority w:val="0"/>
    <w:pPr>
      <w:ind w:firstLine="420"/>
    </w:pPr>
    <w:rPr>
      <w:rFonts w:ascii="Tahoma" w:hAnsi="Tahoma"/>
      <w:sz w:val="24"/>
    </w:rPr>
  </w:style>
  <w:style w:type="paragraph" w:styleId="44">
    <w:name w:val="Body Text First Indent 2"/>
    <w:basedOn w:val="20"/>
    <w:next w:val="1"/>
    <w:link w:val="226"/>
    <w:qFormat/>
    <w:uiPriority w:val="99"/>
    <w:pPr>
      <w:ind w:firstLine="420"/>
    </w:pPr>
    <w:rPr>
      <w:rFonts w:ascii="宋体" w:hAnsi="Courier New"/>
      <w:spacing w:val="-4"/>
      <w:sz w:val="18"/>
    </w:rPr>
  </w:style>
  <w:style w:type="table" w:styleId="46">
    <w:name w:val="Table Grid"/>
    <w:basedOn w:val="4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basedOn w:val="47"/>
    <w:qFormat/>
    <w:uiPriority w:val="22"/>
    <w:rPr>
      <w:b/>
      <w:bCs/>
    </w:rPr>
  </w:style>
  <w:style w:type="character" w:styleId="49">
    <w:name w:val="endnote reference"/>
    <w:unhideWhenUsed/>
    <w:qFormat/>
    <w:uiPriority w:val="99"/>
    <w:rPr>
      <w:vertAlign w:val="superscript"/>
    </w:rPr>
  </w:style>
  <w:style w:type="character" w:styleId="50">
    <w:name w:val="FollowedHyperlink"/>
    <w:basedOn w:val="47"/>
    <w:unhideWhenUsed/>
    <w:qFormat/>
    <w:uiPriority w:val="99"/>
    <w:rPr>
      <w:color w:val="4D7AD8"/>
      <w:u w:val="none"/>
    </w:rPr>
  </w:style>
  <w:style w:type="character" w:styleId="51">
    <w:name w:val="HTML Definition"/>
    <w:basedOn w:val="47"/>
    <w:unhideWhenUsed/>
    <w:qFormat/>
    <w:uiPriority w:val="99"/>
    <w:rPr>
      <w:i/>
      <w:iCs/>
    </w:rPr>
  </w:style>
  <w:style w:type="character" w:styleId="52">
    <w:name w:val="Hyperlink"/>
    <w:basedOn w:val="47"/>
    <w:unhideWhenUsed/>
    <w:qFormat/>
    <w:uiPriority w:val="99"/>
    <w:rPr>
      <w:color w:val="4D7AD8"/>
      <w:u w:val="none"/>
    </w:rPr>
  </w:style>
  <w:style w:type="character" w:styleId="53">
    <w:name w:val="HTML Code"/>
    <w:basedOn w:val="47"/>
    <w:unhideWhenUsed/>
    <w:qFormat/>
    <w:uiPriority w:val="99"/>
    <w:rPr>
      <w:rFonts w:hint="default" w:ascii="Consolas" w:hAnsi="Consolas" w:eastAsia="Consolas" w:cs="Consolas"/>
      <w:sz w:val="21"/>
      <w:szCs w:val="21"/>
    </w:rPr>
  </w:style>
  <w:style w:type="character" w:styleId="54">
    <w:name w:val="annotation reference"/>
    <w:qFormat/>
    <w:uiPriority w:val="0"/>
    <w:rPr>
      <w:sz w:val="21"/>
      <w:szCs w:val="21"/>
    </w:rPr>
  </w:style>
  <w:style w:type="character" w:styleId="55">
    <w:name w:val="footnote reference"/>
    <w:basedOn w:val="47"/>
    <w:unhideWhenUsed/>
    <w:qFormat/>
    <w:uiPriority w:val="99"/>
    <w:rPr>
      <w:vertAlign w:val="superscript"/>
    </w:rPr>
  </w:style>
  <w:style w:type="character" w:styleId="56">
    <w:name w:val="HTML Keyboard"/>
    <w:basedOn w:val="47"/>
    <w:unhideWhenUsed/>
    <w:qFormat/>
    <w:uiPriority w:val="99"/>
    <w:rPr>
      <w:rFonts w:ascii="Consolas" w:hAnsi="Consolas" w:eastAsia="Consolas" w:cs="Consolas"/>
      <w:sz w:val="21"/>
      <w:szCs w:val="21"/>
    </w:rPr>
  </w:style>
  <w:style w:type="character" w:styleId="57">
    <w:name w:val="HTML Sample"/>
    <w:basedOn w:val="47"/>
    <w:unhideWhenUsed/>
    <w:qFormat/>
    <w:uiPriority w:val="99"/>
    <w:rPr>
      <w:rFonts w:hint="default" w:ascii="Consolas" w:hAnsi="Consolas" w:eastAsia="Consolas" w:cs="Consolas"/>
      <w:sz w:val="21"/>
      <w:szCs w:val="21"/>
    </w:rPr>
  </w:style>
  <w:style w:type="paragraph" w:customStyle="1" w:styleId="58">
    <w:name w:val="Default"/>
    <w:qFormat/>
    <w:uiPriority w:val="0"/>
    <w:pPr>
      <w:widowControl w:val="0"/>
    </w:pPr>
    <w:rPr>
      <w:rFonts w:hint="default" w:ascii="Arial" w:hAnsi="Arial" w:eastAsia="宋体" w:cs="Arial"/>
      <w:color w:val="000000"/>
      <w:sz w:val="24"/>
      <w:szCs w:val="24"/>
      <w:lang w:val="en-US" w:eastAsia="zh-CN" w:bidi="ar-SA"/>
    </w:rPr>
  </w:style>
  <w:style w:type="character" w:customStyle="1" w:styleId="59">
    <w:name w:val="Heading 1 Char"/>
    <w:basedOn w:val="47"/>
    <w:qFormat/>
    <w:uiPriority w:val="9"/>
    <w:rPr>
      <w:rFonts w:ascii="Arial" w:hAnsi="Arial" w:eastAsia="Arial" w:cs="Arial"/>
      <w:sz w:val="40"/>
      <w:szCs w:val="40"/>
    </w:rPr>
  </w:style>
  <w:style w:type="character" w:customStyle="1" w:styleId="60">
    <w:name w:val="Heading 2 Char"/>
    <w:basedOn w:val="47"/>
    <w:qFormat/>
    <w:uiPriority w:val="9"/>
    <w:rPr>
      <w:rFonts w:ascii="Arial" w:hAnsi="Arial" w:eastAsia="Arial" w:cs="Arial"/>
      <w:sz w:val="34"/>
    </w:rPr>
  </w:style>
  <w:style w:type="character" w:customStyle="1" w:styleId="61">
    <w:name w:val="Heading 3 Char"/>
    <w:basedOn w:val="47"/>
    <w:qFormat/>
    <w:uiPriority w:val="9"/>
    <w:rPr>
      <w:rFonts w:ascii="Arial" w:hAnsi="Arial" w:eastAsia="Arial" w:cs="Arial"/>
      <w:sz w:val="30"/>
      <w:szCs w:val="30"/>
    </w:rPr>
  </w:style>
  <w:style w:type="character" w:customStyle="1" w:styleId="62">
    <w:name w:val="Heading 4 Char"/>
    <w:basedOn w:val="47"/>
    <w:qFormat/>
    <w:uiPriority w:val="9"/>
    <w:rPr>
      <w:rFonts w:ascii="Arial" w:hAnsi="Arial" w:eastAsia="Arial" w:cs="Arial"/>
      <w:b/>
      <w:bCs/>
      <w:sz w:val="26"/>
      <w:szCs w:val="26"/>
    </w:rPr>
  </w:style>
  <w:style w:type="character" w:customStyle="1" w:styleId="63">
    <w:name w:val="Heading 5 Char"/>
    <w:basedOn w:val="47"/>
    <w:qFormat/>
    <w:uiPriority w:val="9"/>
    <w:rPr>
      <w:rFonts w:ascii="Arial" w:hAnsi="Arial" w:eastAsia="Arial" w:cs="Arial"/>
      <w:b/>
      <w:bCs/>
      <w:sz w:val="24"/>
      <w:szCs w:val="24"/>
    </w:rPr>
  </w:style>
  <w:style w:type="character" w:customStyle="1" w:styleId="64">
    <w:name w:val="Heading 6 Char"/>
    <w:basedOn w:val="47"/>
    <w:qFormat/>
    <w:uiPriority w:val="9"/>
    <w:rPr>
      <w:rFonts w:ascii="Arial" w:hAnsi="Arial" w:eastAsia="Arial" w:cs="Arial"/>
      <w:b/>
      <w:bCs/>
      <w:sz w:val="22"/>
      <w:szCs w:val="22"/>
    </w:rPr>
  </w:style>
  <w:style w:type="character" w:customStyle="1" w:styleId="65">
    <w:name w:val="Heading 7 Char"/>
    <w:basedOn w:val="47"/>
    <w:qFormat/>
    <w:uiPriority w:val="9"/>
    <w:rPr>
      <w:rFonts w:ascii="Arial" w:hAnsi="Arial" w:eastAsia="Arial" w:cs="Arial"/>
      <w:b/>
      <w:bCs/>
      <w:i/>
      <w:iCs/>
      <w:sz w:val="22"/>
      <w:szCs w:val="22"/>
    </w:rPr>
  </w:style>
  <w:style w:type="character" w:customStyle="1" w:styleId="66">
    <w:name w:val="Heading 8 Char"/>
    <w:basedOn w:val="47"/>
    <w:qFormat/>
    <w:uiPriority w:val="9"/>
    <w:rPr>
      <w:rFonts w:ascii="Arial" w:hAnsi="Arial" w:eastAsia="Arial" w:cs="Arial"/>
      <w:i/>
      <w:iCs/>
      <w:sz w:val="22"/>
      <w:szCs w:val="22"/>
    </w:rPr>
  </w:style>
  <w:style w:type="character" w:customStyle="1" w:styleId="67">
    <w:name w:val="Heading 9 Char"/>
    <w:basedOn w:val="47"/>
    <w:link w:val="10"/>
    <w:qFormat/>
    <w:uiPriority w:val="9"/>
    <w:rPr>
      <w:rFonts w:ascii="Arial" w:hAnsi="Arial" w:eastAsia="Arial" w:cs="Arial"/>
      <w:i/>
      <w:iCs/>
      <w:sz w:val="21"/>
      <w:szCs w:val="21"/>
    </w:rPr>
  </w:style>
  <w:style w:type="paragraph" w:styleId="68">
    <w:name w:val="No Spacing"/>
    <w:qFormat/>
    <w:uiPriority w:val="1"/>
    <w:pPr>
      <w:spacing w:before="0" w:after="0" w:line="240" w:lineRule="auto"/>
    </w:pPr>
    <w:rPr>
      <w:rFonts w:hint="default" w:ascii="Times New Roman" w:hAnsi="Times New Roman" w:eastAsia="宋体" w:cs="Times New Roman"/>
    </w:rPr>
  </w:style>
  <w:style w:type="character" w:customStyle="1" w:styleId="69">
    <w:name w:val="Title Char"/>
    <w:basedOn w:val="47"/>
    <w:qFormat/>
    <w:uiPriority w:val="10"/>
    <w:rPr>
      <w:sz w:val="48"/>
      <w:szCs w:val="48"/>
    </w:rPr>
  </w:style>
  <w:style w:type="character" w:customStyle="1" w:styleId="70">
    <w:name w:val="Subtitle Char"/>
    <w:basedOn w:val="47"/>
    <w:link w:val="19"/>
    <w:qFormat/>
    <w:uiPriority w:val="11"/>
    <w:rPr>
      <w:sz w:val="24"/>
      <w:szCs w:val="24"/>
    </w:rPr>
  </w:style>
  <w:style w:type="paragraph" w:styleId="71">
    <w:name w:val="Quote"/>
    <w:basedOn w:val="1"/>
    <w:next w:val="1"/>
    <w:link w:val="72"/>
    <w:qFormat/>
    <w:uiPriority w:val="29"/>
    <w:pPr>
      <w:ind w:left="720" w:right="720"/>
    </w:pPr>
    <w:rPr>
      <w:i/>
    </w:rPr>
  </w:style>
  <w:style w:type="character" w:customStyle="1" w:styleId="72">
    <w:name w:val="Quote Char"/>
    <w:link w:val="71"/>
    <w:qFormat/>
    <w:uiPriority w:val="29"/>
    <w:rPr>
      <w:i/>
    </w:rPr>
  </w:style>
  <w:style w:type="paragraph" w:styleId="73">
    <w:name w:val="Intense Quote"/>
    <w:basedOn w:val="1"/>
    <w:next w:val="1"/>
    <w:link w:val="7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74">
    <w:name w:val="Intense Quote Char"/>
    <w:link w:val="73"/>
    <w:qFormat/>
    <w:uiPriority w:val="30"/>
    <w:rPr>
      <w:i/>
    </w:rPr>
  </w:style>
  <w:style w:type="character" w:customStyle="1" w:styleId="75">
    <w:name w:val="Header Char"/>
    <w:basedOn w:val="47"/>
    <w:qFormat/>
    <w:uiPriority w:val="99"/>
  </w:style>
  <w:style w:type="character" w:customStyle="1" w:styleId="76">
    <w:name w:val="Footer Char"/>
    <w:basedOn w:val="47"/>
    <w:qFormat/>
    <w:uiPriority w:val="99"/>
  </w:style>
  <w:style w:type="character" w:customStyle="1" w:styleId="77">
    <w:name w:val="Caption Char"/>
    <w:qFormat/>
    <w:uiPriority w:val="99"/>
  </w:style>
  <w:style w:type="table" w:customStyle="1" w:styleId="78">
    <w:name w:val="Table Grid Light"/>
    <w:basedOn w:val="4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79">
    <w:name w:val="Plain Table 1"/>
    <w:basedOn w:val="4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0">
    <w:name w:val="Plain Table 2"/>
    <w:basedOn w:val="4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1">
    <w:name w:val="Plain Table 3"/>
    <w:basedOn w:val="4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2">
    <w:name w:val="Plain Table 4"/>
    <w:basedOn w:val="4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3">
    <w:name w:val="Plain Table 5"/>
    <w:basedOn w:val="4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4">
    <w:name w:val="Grid Table 1 Light"/>
    <w:basedOn w:val="4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5">
    <w:name w:val="Grid Table 1 Light - Accent 1"/>
    <w:basedOn w:val="4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86">
    <w:name w:val="Grid Table 1 Light - Accent 2"/>
    <w:basedOn w:val="4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87">
    <w:name w:val="Grid Table 1 Light - Accent 3"/>
    <w:basedOn w:val="4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88">
    <w:name w:val="Grid Table 1 Light - Accent 4"/>
    <w:basedOn w:val="4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89">
    <w:name w:val="Grid Table 1 Light - Accent 5"/>
    <w:basedOn w:val="4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0">
    <w:name w:val="Grid Table 1 Light - Accent 6"/>
    <w:basedOn w:val="4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1">
    <w:name w:val="Grid Table 2"/>
    <w:basedOn w:val="4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2">
    <w:name w:val="Grid Table 2 - Accent 1"/>
    <w:basedOn w:val="4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3">
    <w:name w:val="Grid Table 2 - Accent 2"/>
    <w:basedOn w:val="4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4">
    <w:name w:val="Grid Table 2 - Accent 3"/>
    <w:basedOn w:val="4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5">
    <w:name w:val="Grid Table 2 - Accent 4"/>
    <w:basedOn w:val="4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6">
    <w:name w:val="Grid Table 2 - Accent 5"/>
    <w:basedOn w:val="4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7">
    <w:name w:val="Grid Table 2 - Accent 6"/>
    <w:basedOn w:val="4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8">
    <w:name w:val="Grid Table 3"/>
    <w:basedOn w:val="4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9">
    <w:name w:val="Grid Table 3 - Accent 1"/>
    <w:basedOn w:val="4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0">
    <w:name w:val="Grid Table 3 - Accent 2"/>
    <w:basedOn w:val="4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1">
    <w:name w:val="Grid Table 3 - Accent 3"/>
    <w:basedOn w:val="4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2">
    <w:name w:val="Grid Table 3 - Accent 4"/>
    <w:basedOn w:val="4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3">
    <w:name w:val="Grid Table 3 - Accent 5"/>
    <w:basedOn w:val="4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4">
    <w:name w:val="Grid Table 3 - Accent 6"/>
    <w:basedOn w:val="4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5">
    <w:name w:val="Grid Table 4"/>
    <w:basedOn w:val="4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6">
    <w:name w:val="Grid Table 4 - Accent 1"/>
    <w:basedOn w:val="4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07">
    <w:name w:val="Grid Table 4 - Accent 2"/>
    <w:basedOn w:val="45"/>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8">
    <w:name w:val="Grid Table 4 - Accent 3"/>
    <w:basedOn w:val="4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9">
    <w:name w:val="Grid Table 4 - Accent 4"/>
    <w:basedOn w:val="4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0">
    <w:name w:val="Grid Table 4 - Accent 5"/>
    <w:basedOn w:val="4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1">
    <w:name w:val="Grid Table 4 - Accent 6"/>
    <w:basedOn w:val="4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2">
    <w:name w:val="Grid Table 5 Dark"/>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3">
    <w:name w:val="Grid Table 5 Dark- Accent 1"/>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4">
    <w:name w:val="Grid Table 5 Dark - Accent 2"/>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5">
    <w:name w:val="Grid Table 5 Dark - Accent 3"/>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6">
    <w:name w:val="Grid Table 5 Dark- Accent 4"/>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17">
    <w:name w:val="Grid Table 5 Dark - Accent 5"/>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18">
    <w:name w:val="Grid Table 5 Dark - Accent 6"/>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9">
    <w:name w:val="Grid Table 6 Colorful"/>
    <w:basedOn w:val="4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0">
    <w:name w:val="Grid Table 6 Colorful - Accent 1"/>
    <w:basedOn w:val="4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1">
    <w:name w:val="Grid Table 6 Colorful - Accent 2"/>
    <w:basedOn w:val="4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2">
    <w:name w:val="Grid Table 6 Colorful - Accent 3"/>
    <w:basedOn w:val="45"/>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3">
    <w:name w:val="Grid Table 6 Colorful - Accent 4"/>
    <w:basedOn w:val="4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4">
    <w:name w:val="Grid Table 6 Colorful - Accent 5"/>
    <w:basedOn w:val="4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5">
    <w:name w:val="Grid Table 6 Colorful - Accent 6"/>
    <w:basedOn w:val="4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6">
    <w:name w:val="Grid Table 7 Colorful"/>
    <w:basedOn w:val="4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7">
    <w:name w:val="Grid Table 7 Colorful - Accent 1"/>
    <w:basedOn w:val="4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8">
    <w:name w:val="Grid Table 7 Colorful - Accent 2"/>
    <w:basedOn w:val="45"/>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9">
    <w:name w:val="Grid Table 7 Colorful - Accent 3"/>
    <w:basedOn w:val="45"/>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0">
    <w:name w:val="Grid Table 7 Colorful - Accent 4"/>
    <w:basedOn w:val="45"/>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1">
    <w:name w:val="Grid Table 7 Colorful - Accent 5"/>
    <w:basedOn w:val="4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2">
    <w:name w:val="Grid Table 7 Colorful - Accent 6"/>
    <w:basedOn w:val="45"/>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3">
    <w:name w:val="List Table 1 Light"/>
    <w:basedOn w:val="4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4">
    <w:name w:val="List Table 1 Light - Accent 1"/>
    <w:basedOn w:val="45"/>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5">
    <w:name w:val="List Table 1 Light - Accent 2"/>
    <w:basedOn w:val="45"/>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6">
    <w:name w:val="List Table 1 Light - Accent 3"/>
    <w:basedOn w:val="45"/>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37">
    <w:name w:val="List Table 1 Light - Accent 4"/>
    <w:basedOn w:val="45"/>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38">
    <w:name w:val="List Table 1 Light - Accent 5"/>
    <w:basedOn w:val="4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9">
    <w:name w:val="List Table 1 Light - Accent 6"/>
    <w:basedOn w:val="45"/>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0">
    <w:name w:val="List Table 2"/>
    <w:basedOn w:val="4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1">
    <w:name w:val="List Table 2 - Accent 1"/>
    <w:basedOn w:val="45"/>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2">
    <w:name w:val="List Table 2 - Accent 2"/>
    <w:basedOn w:val="45"/>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3">
    <w:name w:val="List Table 2 - Accent 3"/>
    <w:basedOn w:val="45"/>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4">
    <w:name w:val="List Table 2 - Accent 4"/>
    <w:basedOn w:val="45"/>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5">
    <w:name w:val="List Table 2 - Accent 5"/>
    <w:basedOn w:val="4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6">
    <w:name w:val="List Table 2 - Accent 6"/>
    <w:basedOn w:val="4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7">
    <w:name w:val="List Table 3"/>
    <w:basedOn w:val="4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48">
    <w:name w:val="List Table 3 - Accent 1"/>
    <w:basedOn w:val="4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9">
    <w:name w:val="List Table 3 - Accent 2"/>
    <w:basedOn w:val="4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0">
    <w:name w:val="List Table 3 - Accent 3"/>
    <w:basedOn w:val="45"/>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1">
    <w:name w:val="List Table 3 - Accent 4"/>
    <w:basedOn w:val="4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2">
    <w:name w:val="List Table 3 - Accent 5"/>
    <w:basedOn w:val="4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3">
    <w:name w:val="List Table 3 - Accent 6"/>
    <w:basedOn w:val="45"/>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4">
    <w:name w:val="List Table 4"/>
    <w:basedOn w:val="4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5">
    <w:name w:val="List Table 4 - Accent 1"/>
    <w:basedOn w:val="4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6">
    <w:name w:val="List Table 4 - Accent 2"/>
    <w:basedOn w:val="4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7">
    <w:name w:val="List Table 4 - Accent 3"/>
    <w:basedOn w:val="4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8">
    <w:name w:val="List Table 4 - Accent 4"/>
    <w:basedOn w:val="45"/>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9">
    <w:name w:val="List Table 4 - Accent 5"/>
    <w:basedOn w:val="4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0">
    <w:name w:val="List Table 4 - Accent 6"/>
    <w:basedOn w:val="45"/>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1">
    <w:name w:val="List Table 5 Dark"/>
    <w:basedOn w:val="4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2">
    <w:name w:val="List Table 5 Dark - Accent 1"/>
    <w:basedOn w:val="45"/>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3">
    <w:name w:val="List Table 5 Dark - Accent 2"/>
    <w:basedOn w:val="45"/>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4">
    <w:name w:val="List Table 5 Dark - Accent 3"/>
    <w:basedOn w:val="4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5">
    <w:name w:val="List Table 5 Dark - Accent 4"/>
    <w:basedOn w:val="45"/>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6">
    <w:name w:val="List Table 5 Dark - Accent 5"/>
    <w:basedOn w:val="4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7">
    <w:name w:val="List Table 5 Dark - Accent 6"/>
    <w:basedOn w:val="45"/>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68">
    <w:name w:val="List Table 6 Colorful"/>
    <w:basedOn w:val="4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9">
    <w:name w:val="List Table 6 Colorful - Accent 1"/>
    <w:basedOn w:val="45"/>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0">
    <w:name w:val="List Table 6 Colorful - Accent 2"/>
    <w:basedOn w:val="45"/>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1">
    <w:name w:val="List Table 6 Colorful - Accent 3"/>
    <w:basedOn w:val="4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2">
    <w:name w:val="List Table 6 Colorful - Accent 4"/>
    <w:basedOn w:val="4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3">
    <w:name w:val="List Table 6 Colorful - Accent 5"/>
    <w:basedOn w:val="4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4">
    <w:name w:val="List Table 6 Colorful - Accent 6"/>
    <w:basedOn w:val="4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5">
    <w:name w:val="List Table 7 Colorful"/>
    <w:basedOn w:val="4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6">
    <w:name w:val="List Table 7 Colorful - Accent 1"/>
    <w:basedOn w:val="45"/>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7">
    <w:name w:val="List Table 7 Colorful - Accent 2"/>
    <w:basedOn w:val="45"/>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8">
    <w:name w:val="List Table 7 Colorful - Accent 3"/>
    <w:basedOn w:val="45"/>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9">
    <w:name w:val="List Table 7 Colorful - Accent 4"/>
    <w:basedOn w:val="45"/>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0">
    <w:name w:val="List Table 7 Colorful - Accent 5"/>
    <w:basedOn w:val="4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1">
    <w:name w:val="List Table 7 Colorful - Accent 6"/>
    <w:basedOn w:val="4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2">
    <w:name w:val="Lined - Accent"/>
    <w:basedOn w:val="45"/>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3">
    <w:name w:val="Lined - Accent 1"/>
    <w:basedOn w:val="45"/>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4">
    <w:name w:val="Lined - Accent 2"/>
    <w:basedOn w:val="45"/>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5">
    <w:name w:val="Lined - Accent 3"/>
    <w:basedOn w:val="45"/>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6">
    <w:name w:val="Lined - Accent 4"/>
    <w:basedOn w:val="45"/>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7">
    <w:name w:val="Lined - Accent 5"/>
    <w:basedOn w:val="4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8">
    <w:name w:val="Lined - Accent 6"/>
    <w:basedOn w:val="45"/>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9">
    <w:name w:val="Bordered &amp; Lined - Accent"/>
    <w:basedOn w:val="4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0">
    <w:name w:val="Bordered &amp; Lined - Accent 1"/>
    <w:basedOn w:val="45"/>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1">
    <w:name w:val="Bordered &amp; Lined - Accent 2"/>
    <w:basedOn w:val="45"/>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2">
    <w:name w:val="Bordered &amp; Lined - Accent 3"/>
    <w:basedOn w:val="45"/>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3">
    <w:name w:val="Bordered &amp; Lined - Accent 4"/>
    <w:basedOn w:val="45"/>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4">
    <w:name w:val="Bordered &amp; Lined - Accent 5"/>
    <w:basedOn w:val="4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5">
    <w:name w:val="Bordered &amp; Lined - Accent 6"/>
    <w:basedOn w:val="4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6">
    <w:name w:val="Bordered"/>
    <w:basedOn w:val="4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7">
    <w:name w:val="Bordered - Accent 1"/>
    <w:basedOn w:val="4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98">
    <w:name w:val="Bordered - Accent 2"/>
    <w:basedOn w:val="4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9">
    <w:name w:val="Bordered - Accent 3"/>
    <w:basedOn w:val="4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0">
    <w:name w:val="Bordered - Accent 4"/>
    <w:basedOn w:val="4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1">
    <w:name w:val="Bordered - Accent 5"/>
    <w:basedOn w:val="4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2">
    <w:name w:val="Bordered - Accent 6"/>
    <w:basedOn w:val="4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3">
    <w:name w:val="Footnote Text Char"/>
    <w:qFormat/>
    <w:uiPriority w:val="99"/>
    <w:rPr>
      <w:sz w:val="18"/>
    </w:rPr>
  </w:style>
  <w:style w:type="character" w:customStyle="1" w:styleId="204">
    <w:name w:val="Endnote Text Char"/>
    <w:link w:val="28"/>
    <w:qFormat/>
    <w:uiPriority w:val="99"/>
    <w:rPr>
      <w:sz w:val="20"/>
    </w:rPr>
  </w:style>
  <w:style w:type="paragraph" w:customStyle="1" w:styleId="205">
    <w:name w:val="TOC Heading"/>
    <w:unhideWhenUsed/>
    <w:qFormat/>
    <w:uiPriority w:val="39"/>
    <w:rPr>
      <w:rFonts w:hint="default" w:ascii="Times New Roman" w:hAnsi="Times New Roman" w:eastAsia="宋体" w:cs="Times New Roman"/>
    </w:rPr>
  </w:style>
  <w:style w:type="character" w:customStyle="1" w:styleId="206">
    <w:name w:val="标题 1 字符"/>
    <w:basedOn w:val="47"/>
    <w:link w:val="2"/>
    <w:qFormat/>
    <w:uiPriority w:val="9"/>
    <w:rPr>
      <w:rFonts w:ascii="Times New Roman" w:hAnsi="Times New Roman" w:eastAsia="宋体" w:cs="Times New Roman"/>
      <w:b/>
      <w:bCs/>
      <w:sz w:val="44"/>
      <w:szCs w:val="44"/>
    </w:rPr>
  </w:style>
  <w:style w:type="character" w:customStyle="1" w:styleId="207">
    <w:name w:val="标题 2 字符"/>
    <w:basedOn w:val="47"/>
    <w:link w:val="3"/>
    <w:qFormat/>
    <w:uiPriority w:val="0"/>
    <w:rPr>
      <w:rFonts w:ascii="Cambria" w:hAnsi="Cambria" w:eastAsia="宋体" w:cs="Times New Roman"/>
      <w:b/>
      <w:bCs/>
      <w:sz w:val="32"/>
      <w:szCs w:val="32"/>
    </w:rPr>
  </w:style>
  <w:style w:type="character" w:customStyle="1" w:styleId="208">
    <w:name w:val="标题 4 字符"/>
    <w:basedOn w:val="47"/>
    <w:link w:val="5"/>
    <w:qFormat/>
    <w:uiPriority w:val="0"/>
    <w:rPr>
      <w:rFonts w:ascii="Arial" w:hAnsi="Times New Roman" w:eastAsia="黑体" w:cs="Times New Roman"/>
      <w:sz w:val="28"/>
      <w:szCs w:val="20"/>
    </w:rPr>
  </w:style>
  <w:style w:type="character" w:customStyle="1" w:styleId="209">
    <w:name w:val="标题 5 字符"/>
    <w:basedOn w:val="47"/>
    <w:link w:val="6"/>
    <w:qFormat/>
    <w:uiPriority w:val="9"/>
    <w:rPr>
      <w:rFonts w:ascii="Times New Roman" w:hAnsi="Times New Roman" w:eastAsia="宋体" w:cs="Times New Roman"/>
      <w:b/>
      <w:bCs/>
      <w:sz w:val="28"/>
      <w:szCs w:val="28"/>
    </w:rPr>
  </w:style>
  <w:style w:type="character" w:customStyle="1" w:styleId="210">
    <w:name w:val="标题 7 字符"/>
    <w:basedOn w:val="47"/>
    <w:link w:val="8"/>
    <w:qFormat/>
    <w:uiPriority w:val="0"/>
    <w:rPr>
      <w:rFonts w:ascii="Times New Roman" w:hAnsi="Times New Roman" w:eastAsia="宋体" w:cs="Times New Roman"/>
      <w:b/>
      <w:bCs/>
      <w:sz w:val="24"/>
      <w:szCs w:val="24"/>
    </w:rPr>
  </w:style>
  <w:style w:type="character" w:customStyle="1" w:styleId="211">
    <w:name w:val="标题 8 字符"/>
    <w:basedOn w:val="47"/>
    <w:link w:val="9"/>
    <w:qFormat/>
    <w:uiPriority w:val="9"/>
    <w:rPr>
      <w:rFonts w:ascii="等线 Light" w:hAnsi="等线 Light" w:eastAsia="等线 Light" w:cs="Times New Roman"/>
      <w:sz w:val="24"/>
      <w:szCs w:val="24"/>
    </w:rPr>
  </w:style>
  <w:style w:type="character" w:customStyle="1" w:styleId="212">
    <w:name w:val="批注文字 字符2"/>
    <w:link w:val="16"/>
    <w:qFormat/>
    <w:uiPriority w:val="0"/>
    <w:rPr>
      <w:rFonts w:ascii="Times New Roman" w:hAnsi="Times New Roman" w:eastAsia="宋体" w:cs="Times New Roman"/>
      <w:sz w:val="24"/>
      <w:szCs w:val="24"/>
    </w:rPr>
  </w:style>
  <w:style w:type="character" w:customStyle="1" w:styleId="213">
    <w:name w:val="正文文本 3 字符"/>
    <w:basedOn w:val="47"/>
    <w:link w:val="17"/>
    <w:qFormat/>
    <w:uiPriority w:val="99"/>
    <w:rPr>
      <w:rFonts w:ascii="Times New Roman" w:hAnsi="Times New Roman" w:eastAsia="宋体" w:cs="Times New Roman"/>
      <w:sz w:val="16"/>
      <w:szCs w:val="16"/>
    </w:rPr>
  </w:style>
  <w:style w:type="character" w:customStyle="1" w:styleId="214">
    <w:name w:val="正文文本 字符1"/>
    <w:link w:val="18"/>
    <w:qFormat/>
    <w:uiPriority w:val="0"/>
    <w:rPr>
      <w:rFonts w:ascii="Times New Roman" w:hAnsi="Times New Roman" w:eastAsia="宋体" w:cs="Times New Roman"/>
      <w:sz w:val="24"/>
      <w:szCs w:val="24"/>
    </w:rPr>
  </w:style>
  <w:style w:type="character" w:customStyle="1" w:styleId="215">
    <w:name w:val="正文文本缩进 字符"/>
    <w:basedOn w:val="47"/>
    <w:link w:val="20"/>
    <w:qFormat/>
    <w:uiPriority w:val="0"/>
    <w:rPr>
      <w:rFonts w:ascii="仿宋_GB2312" w:hAnsi="Times New Roman" w:eastAsia="仿宋_GB2312" w:cs="Times New Roman"/>
      <w:sz w:val="32"/>
      <w:szCs w:val="20"/>
    </w:rPr>
  </w:style>
  <w:style w:type="character" w:customStyle="1" w:styleId="216">
    <w:name w:val="纯文本 字符3"/>
    <w:link w:val="24"/>
    <w:qFormat/>
    <w:uiPriority w:val="0"/>
    <w:rPr>
      <w:rFonts w:ascii="宋体" w:hAnsi="Courier New" w:eastAsia="宋体" w:cs="Times New Roman"/>
      <w:sz w:val="20"/>
      <w:szCs w:val="21"/>
    </w:rPr>
  </w:style>
  <w:style w:type="character" w:customStyle="1" w:styleId="217">
    <w:name w:val="日期 字符"/>
    <w:basedOn w:val="47"/>
    <w:link w:val="26"/>
    <w:qFormat/>
    <w:uiPriority w:val="99"/>
    <w:rPr>
      <w:rFonts w:ascii="Times New Roman" w:hAnsi="Times New Roman" w:eastAsia="宋体" w:cs="Times New Roman"/>
      <w:sz w:val="24"/>
      <w:szCs w:val="24"/>
    </w:rPr>
  </w:style>
  <w:style w:type="character" w:customStyle="1" w:styleId="218">
    <w:name w:val="正文文本缩进 2 字符"/>
    <w:basedOn w:val="47"/>
    <w:link w:val="27"/>
    <w:semiHidden/>
    <w:qFormat/>
    <w:uiPriority w:val="99"/>
    <w:rPr>
      <w:rFonts w:ascii="Times New Roman" w:hAnsi="Times New Roman" w:eastAsia="宋体" w:cs="Times New Roman"/>
      <w:sz w:val="24"/>
      <w:szCs w:val="24"/>
    </w:rPr>
  </w:style>
  <w:style w:type="character" w:customStyle="1" w:styleId="219">
    <w:name w:val="批注框文本 字符"/>
    <w:basedOn w:val="47"/>
    <w:link w:val="29"/>
    <w:semiHidden/>
    <w:qFormat/>
    <w:uiPriority w:val="0"/>
    <w:rPr>
      <w:rFonts w:ascii="Times New Roman" w:hAnsi="Times New Roman" w:eastAsia="宋体" w:cs="Times New Roman"/>
      <w:sz w:val="18"/>
      <w:szCs w:val="18"/>
    </w:rPr>
  </w:style>
  <w:style w:type="character" w:customStyle="1" w:styleId="220">
    <w:name w:val="页脚 字符"/>
    <w:basedOn w:val="47"/>
    <w:link w:val="30"/>
    <w:qFormat/>
    <w:uiPriority w:val="99"/>
    <w:rPr>
      <w:sz w:val="18"/>
      <w:szCs w:val="18"/>
    </w:rPr>
  </w:style>
  <w:style w:type="character" w:customStyle="1" w:styleId="221">
    <w:name w:val="页眉 字符"/>
    <w:basedOn w:val="47"/>
    <w:link w:val="32"/>
    <w:qFormat/>
    <w:uiPriority w:val="99"/>
    <w:rPr>
      <w:sz w:val="18"/>
      <w:szCs w:val="18"/>
    </w:rPr>
  </w:style>
  <w:style w:type="character" w:customStyle="1" w:styleId="222">
    <w:name w:val="脚注文本 字符"/>
    <w:basedOn w:val="47"/>
    <w:link w:val="35"/>
    <w:qFormat/>
    <w:uiPriority w:val="99"/>
    <w:rPr>
      <w:rFonts w:ascii="Times New Roman" w:hAnsi="Times New Roman" w:eastAsia="宋体" w:cs="Times New Roman"/>
      <w:sz w:val="18"/>
      <w:szCs w:val="18"/>
    </w:rPr>
  </w:style>
  <w:style w:type="character" w:customStyle="1" w:styleId="223">
    <w:name w:val="标题 字符"/>
    <w:basedOn w:val="47"/>
    <w:link w:val="41"/>
    <w:qFormat/>
    <w:uiPriority w:val="0"/>
    <w:rPr>
      <w:rFonts w:ascii="Arial" w:hAnsi="Arial" w:eastAsia="宋体" w:cs="Arial"/>
      <w:b/>
      <w:bCs/>
      <w:sz w:val="32"/>
      <w:szCs w:val="32"/>
    </w:rPr>
  </w:style>
  <w:style w:type="character" w:customStyle="1" w:styleId="224">
    <w:name w:val="批注主题 字符"/>
    <w:basedOn w:val="225"/>
    <w:link w:val="42"/>
    <w:qFormat/>
    <w:uiPriority w:val="99"/>
    <w:rPr>
      <w:rFonts w:ascii="Times New Roman" w:hAnsi="Times New Roman" w:eastAsia="宋体" w:cs="Times New Roman"/>
      <w:b/>
      <w:bCs/>
      <w:sz w:val="24"/>
      <w:szCs w:val="24"/>
    </w:rPr>
  </w:style>
  <w:style w:type="character" w:customStyle="1" w:styleId="225">
    <w:name w:val="批注文字 字符"/>
    <w:basedOn w:val="47"/>
    <w:qFormat/>
    <w:uiPriority w:val="0"/>
    <w:rPr>
      <w:rFonts w:ascii="Times New Roman" w:hAnsi="Times New Roman" w:eastAsia="宋体" w:cs="Times New Roman"/>
      <w:sz w:val="24"/>
      <w:szCs w:val="24"/>
    </w:rPr>
  </w:style>
  <w:style w:type="character" w:customStyle="1" w:styleId="226">
    <w:name w:val="正文首行缩进 2 字符"/>
    <w:basedOn w:val="215"/>
    <w:link w:val="44"/>
    <w:qFormat/>
    <w:uiPriority w:val="99"/>
    <w:rPr>
      <w:rFonts w:ascii="宋体" w:hAnsi="Courier New" w:eastAsia="仿宋_GB2312" w:cs="Times New Roman"/>
      <w:spacing w:val="-4"/>
      <w:sz w:val="18"/>
      <w:szCs w:val="20"/>
    </w:rPr>
  </w:style>
  <w:style w:type="paragraph" w:customStyle="1" w:styleId="227">
    <w:name w:val="表格文字"/>
    <w:basedOn w:val="20"/>
    <w:next w:val="18"/>
    <w:qFormat/>
    <w:uiPriority w:val="0"/>
    <w:pPr>
      <w:spacing w:line="420" w:lineRule="atLeast"/>
      <w:jc w:val="left"/>
    </w:pPr>
    <w:rPr>
      <w:rFonts w:hAnsi="Times New Roman" w:cs="Times New Roman"/>
    </w:rPr>
  </w:style>
  <w:style w:type="character" w:customStyle="1" w:styleId="228">
    <w:name w:val="正文文本 字符"/>
    <w:basedOn w:val="47"/>
    <w:qFormat/>
    <w:uiPriority w:val="0"/>
    <w:rPr>
      <w:rFonts w:ascii="Times New Roman" w:hAnsi="Times New Roman" w:eastAsia="宋体" w:cs="Times New Roman"/>
      <w:sz w:val="24"/>
      <w:szCs w:val="24"/>
    </w:rPr>
  </w:style>
  <w:style w:type="character" w:customStyle="1" w:styleId="229">
    <w:name w:val="纯文本 字符"/>
    <w:basedOn w:val="47"/>
    <w:qFormat/>
    <w:uiPriority w:val="0"/>
    <w:rPr>
      <w:rFonts w:ascii="宋体" w:hAnsi="Courier New" w:cs="Courier New"/>
      <w:sz w:val="24"/>
      <w:szCs w:val="24"/>
    </w:rPr>
  </w:style>
  <w:style w:type="character" w:customStyle="1" w:styleId="230">
    <w:name w:val="纯文本 字符1"/>
    <w:qFormat/>
    <w:uiPriority w:val="0"/>
    <w:rPr>
      <w:rFonts w:ascii="宋体" w:hAnsi="Courier New"/>
    </w:rPr>
  </w:style>
  <w:style w:type="character" w:customStyle="1" w:styleId="231">
    <w:name w:val="正文文本 Char"/>
    <w:qFormat/>
    <w:uiPriority w:val="0"/>
    <w:rPr>
      <w:rFonts w:ascii="Times New Roman" w:hAnsi="Times New Roman"/>
      <w:sz w:val="21"/>
      <w:szCs w:val="24"/>
    </w:rPr>
  </w:style>
  <w:style w:type="character" w:customStyle="1" w:styleId="232">
    <w:name w:val="纯文本 字符2"/>
    <w:qFormat/>
    <w:uiPriority w:val="0"/>
    <w:rPr>
      <w:rFonts w:ascii="宋体" w:hAnsi="Courier New" w:eastAsia="宋体" w:cs="Courier New"/>
      <w:sz w:val="21"/>
      <w:szCs w:val="21"/>
    </w:rPr>
  </w:style>
  <w:style w:type="character" w:customStyle="1" w:styleId="233">
    <w:name w:val="apple-style-span"/>
    <w:qFormat/>
    <w:uiPriority w:val="0"/>
  </w:style>
  <w:style w:type="character" w:customStyle="1" w:styleId="234">
    <w:name w:val="批注文字 Char"/>
    <w:qFormat/>
    <w:uiPriority w:val="0"/>
    <w:rPr>
      <w:rFonts w:ascii="Times New Roman" w:hAnsi="Times New Roman"/>
      <w:sz w:val="21"/>
      <w:szCs w:val="24"/>
    </w:rPr>
  </w:style>
  <w:style w:type="character" w:customStyle="1" w:styleId="235">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36">
    <w:name w:val="textcontents"/>
    <w:qFormat/>
    <w:uiPriority w:val="0"/>
  </w:style>
  <w:style w:type="character" w:customStyle="1" w:styleId="237">
    <w:name w:val="标题 1 字符1"/>
    <w:qFormat/>
    <w:uiPriority w:val="0"/>
    <w:rPr>
      <w:b/>
      <w:bCs/>
      <w:sz w:val="44"/>
      <w:szCs w:val="44"/>
    </w:rPr>
  </w:style>
  <w:style w:type="character" w:customStyle="1" w:styleId="238">
    <w:name w:val="批注文字 Char2"/>
    <w:qFormat/>
    <w:uiPriority w:val="0"/>
    <w:rPr>
      <w:rFonts w:ascii="Times New Roman" w:hAnsi="Times New Roman"/>
      <w:sz w:val="21"/>
      <w:szCs w:val="24"/>
    </w:rPr>
  </w:style>
  <w:style w:type="character" w:customStyle="1" w:styleId="239">
    <w:name w:val="标题 2 Char"/>
    <w:qFormat/>
    <w:uiPriority w:val="0"/>
    <w:rPr>
      <w:rFonts w:ascii="Cambria" w:hAnsi="Cambria" w:eastAsia="宋体" w:cs="Times New Roman"/>
      <w:b/>
      <w:bCs/>
      <w:sz w:val="32"/>
      <w:szCs w:val="32"/>
    </w:rPr>
  </w:style>
  <w:style w:type="character" w:customStyle="1" w:styleId="240">
    <w:name w:val="纯文本 Char"/>
    <w:qFormat/>
    <w:uiPriority w:val="0"/>
    <w:rPr>
      <w:rFonts w:ascii="宋体" w:hAnsi="Courier New" w:eastAsia="宋体" w:cs="Courier New"/>
      <w:sz w:val="21"/>
      <w:szCs w:val="21"/>
    </w:rPr>
  </w:style>
  <w:style w:type="character" w:customStyle="1" w:styleId="241">
    <w:name w:val="标题 8 Char"/>
    <w:qFormat/>
    <w:uiPriority w:val="0"/>
    <w:rPr>
      <w:rFonts w:ascii="Arial" w:hAnsi="Arial" w:eastAsia="黑体"/>
      <w:sz w:val="24"/>
      <w:szCs w:val="24"/>
    </w:rPr>
  </w:style>
  <w:style w:type="character" w:customStyle="1" w:styleId="242">
    <w:name w:val="font51"/>
    <w:qFormat/>
    <w:uiPriority w:val="0"/>
    <w:rPr>
      <w:rFonts w:hint="default" w:ascii="Times New Roman" w:hAnsi="Times New Roman" w:cs="Times New Roman"/>
      <w:b/>
      <w:color w:val="000000"/>
      <w:sz w:val="18"/>
      <w:szCs w:val="18"/>
      <w:u w:val="none"/>
    </w:rPr>
  </w:style>
  <w:style w:type="character" w:customStyle="1" w:styleId="243">
    <w:name w:val="批注文字 字符1"/>
    <w:qFormat/>
    <w:uiPriority w:val="0"/>
    <w:rPr>
      <w:rFonts w:ascii="Times New Roman" w:hAnsi="Times New Roman"/>
      <w:sz w:val="21"/>
      <w:szCs w:val="24"/>
    </w:rPr>
  </w:style>
  <w:style w:type="paragraph" w:customStyle="1" w:styleId="244">
    <w:name w:val="表内文字"/>
    <w:basedOn w:val="1"/>
    <w:qFormat/>
    <w:uiPriority w:val="0"/>
    <w:pPr>
      <w:spacing w:before="50" w:after="50"/>
      <w:jc w:val="center"/>
    </w:pPr>
    <w:rPr>
      <w:rFonts w:ascii="仿宋_GB2312" w:hAnsi="宋体" w:eastAsia="仿宋_GB2312"/>
      <w:b/>
      <w:color w:val="000000"/>
      <w:sz w:val="32"/>
      <w:szCs w:val="32"/>
    </w:rPr>
  </w:style>
  <w:style w:type="paragraph" w:styleId="245">
    <w:name w:val="List Paragraph"/>
    <w:basedOn w:val="1"/>
    <w:qFormat/>
    <w:uiPriority w:val="34"/>
    <w:pPr>
      <w:ind w:firstLine="420"/>
    </w:pPr>
  </w:style>
  <w:style w:type="paragraph" w:customStyle="1" w:styleId="246">
    <w:name w:val="Title1"/>
    <w:basedOn w:val="1"/>
    <w:next w:val="1"/>
    <w:qFormat/>
    <w:uiPriority w:val="0"/>
    <w:pPr>
      <w:jc w:val="center"/>
      <w:outlineLvl w:val="0"/>
    </w:pPr>
    <w:rPr>
      <w:rFonts w:ascii="Calibri Light" w:hAnsi="Calibri Light" w:eastAsia="Arial Unicode MS"/>
      <w:b/>
    </w:rPr>
  </w:style>
  <w:style w:type="paragraph" w:customStyle="1" w:styleId="247">
    <w:name w:val="默认段落字体 Para Char Char Char Char Char Char Char Char Char1 Char Char Char Char"/>
    <w:basedOn w:val="1"/>
    <w:qFormat/>
    <w:uiPriority w:val="0"/>
    <w:rPr>
      <w:rFonts w:ascii="Tahoma" w:hAnsi="Tahoma"/>
      <w:sz w:val="24"/>
      <w:szCs w:val="20"/>
    </w:rPr>
  </w:style>
  <w:style w:type="paragraph" w:customStyle="1" w:styleId="248">
    <w:name w:val="样式 0正文 + 首行缩进:  2 字符1"/>
    <w:basedOn w:val="1"/>
    <w:qFormat/>
    <w:uiPriority w:val="99"/>
    <w:pPr>
      <w:spacing w:line="360" w:lineRule="auto"/>
      <w:ind w:firstLine="200"/>
    </w:pPr>
    <w:rPr>
      <w:sz w:val="20"/>
      <w:szCs w:val="20"/>
    </w:rPr>
  </w:style>
  <w:style w:type="paragraph" w:customStyle="1" w:styleId="249">
    <w:name w:val="无间隔1"/>
    <w:qFormat/>
    <w:uiPriority w:val="99"/>
    <w:pPr>
      <w:widowControl w:val="0"/>
      <w:jc w:val="both"/>
    </w:pPr>
    <w:rPr>
      <w:rFonts w:hint="default" w:ascii="Times New Roman" w:hAnsi="Times New Roman" w:eastAsia="宋体" w:cs="Times New Roman"/>
      <w:sz w:val="21"/>
      <w:szCs w:val="22"/>
      <w:lang w:val="en-US" w:eastAsia="zh-CN" w:bidi="ar-SA"/>
    </w:rPr>
  </w:style>
  <w:style w:type="paragraph" w:customStyle="1" w:styleId="250">
    <w:name w:val="Table Paragraph"/>
    <w:basedOn w:val="1"/>
    <w:qFormat/>
    <w:uiPriority w:val="1"/>
    <w:pPr>
      <w:jc w:val="left"/>
    </w:pPr>
    <w:rPr>
      <w:rFonts w:ascii="Calibri" w:hAnsi="Calibri"/>
      <w:sz w:val="22"/>
      <w:szCs w:val="22"/>
      <w:lang w:eastAsia="en-US"/>
    </w:rPr>
  </w:style>
  <w:style w:type="paragraph" w:customStyle="1" w:styleId="251">
    <w:name w:val="正文-公11"/>
    <w:basedOn w:val="1"/>
    <w:qFormat/>
    <w:uiPriority w:val="0"/>
    <w:pPr>
      <w:ind w:firstLine="200"/>
      <w:jc w:val="left"/>
    </w:pPr>
    <w:rPr>
      <w:rFonts w:eastAsia="仿宋_GB2312"/>
    </w:rPr>
  </w:style>
  <w:style w:type="paragraph" w:customStyle="1" w:styleId="252">
    <w:name w:val="my正文"/>
    <w:basedOn w:val="1"/>
    <w:link w:val="253"/>
    <w:qFormat/>
    <w:uiPriority w:val="0"/>
    <w:pPr>
      <w:spacing w:line="360" w:lineRule="auto"/>
      <w:ind w:firstLine="480"/>
    </w:pPr>
    <w:rPr>
      <w:sz w:val="24"/>
      <w:lang w:val="zh-CN"/>
    </w:rPr>
  </w:style>
  <w:style w:type="character" w:customStyle="1" w:styleId="253">
    <w:name w:val="my正文 Char"/>
    <w:link w:val="252"/>
    <w:qFormat/>
    <w:uiPriority w:val="0"/>
    <w:rPr>
      <w:rFonts w:ascii="Times New Roman" w:hAnsi="Times New Roman" w:eastAsia="宋体" w:cs="Times New Roman"/>
      <w:sz w:val="24"/>
      <w:szCs w:val="24"/>
      <w:lang w:val="zh-CN"/>
    </w:rPr>
  </w:style>
  <w:style w:type="character" w:customStyle="1" w:styleId="254">
    <w:name w:val="纯文本 Char2"/>
    <w:qFormat/>
    <w:uiPriority w:val="0"/>
    <w:rPr>
      <w:rFonts w:ascii="宋体" w:hAnsi="Courier New" w:eastAsia="宋体" w:cs="Courier New"/>
      <w:sz w:val="21"/>
      <w:szCs w:val="21"/>
    </w:rPr>
  </w:style>
  <w:style w:type="character" w:customStyle="1" w:styleId="255">
    <w:name w:val="NormalCharacter"/>
    <w:qFormat/>
    <w:uiPriority w:val="0"/>
  </w:style>
  <w:style w:type="character" w:customStyle="1" w:styleId="256">
    <w:name w:val="not-pass-node"/>
    <w:basedOn w:val="47"/>
    <w:qFormat/>
    <w:uiPriority w:val="0"/>
    <w:rPr>
      <w:shd w:val="clear" w:color="auto" w:fill="BFF3C3"/>
    </w:rPr>
  </w:style>
  <w:style w:type="character" w:customStyle="1" w:styleId="257">
    <w:name w:val="ant-select-tree-checkbox"/>
    <w:basedOn w:val="47"/>
    <w:qFormat/>
    <w:uiPriority w:val="0"/>
  </w:style>
  <w:style w:type="character" w:customStyle="1" w:styleId="258">
    <w:name w:val="hover40"/>
    <w:basedOn w:val="47"/>
    <w:qFormat/>
    <w:uiPriority w:val="0"/>
    <w:rPr>
      <w:color w:val="009DFF"/>
    </w:rPr>
  </w:style>
  <w:style w:type="character" w:customStyle="1" w:styleId="259">
    <w:name w:val="hover41"/>
    <w:basedOn w:val="47"/>
    <w:qFormat/>
    <w:uiPriority w:val="0"/>
    <w:rPr>
      <w:color w:val="009DFF"/>
    </w:rPr>
  </w:style>
  <w:style w:type="character" w:customStyle="1" w:styleId="260">
    <w:name w:val="ant-tree-switcher"/>
    <w:basedOn w:val="47"/>
    <w:qFormat/>
    <w:uiPriority w:val="0"/>
  </w:style>
  <w:style w:type="character" w:customStyle="1" w:styleId="261">
    <w:name w:val="label16"/>
    <w:basedOn w:val="47"/>
    <w:qFormat/>
    <w:uiPriority w:val="0"/>
  </w:style>
  <w:style w:type="character" w:customStyle="1" w:styleId="262">
    <w:name w:val="label17"/>
    <w:basedOn w:val="47"/>
    <w:qFormat/>
    <w:uiPriority w:val="0"/>
  </w:style>
  <w:style w:type="character" w:customStyle="1" w:styleId="263">
    <w:name w:val="first-child"/>
    <w:basedOn w:val="47"/>
    <w:qFormat/>
    <w:uiPriority w:val="0"/>
  </w:style>
  <w:style w:type="character" w:customStyle="1" w:styleId="264">
    <w:name w:val="first-child1"/>
    <w:basedOn w:val="47"/>
    <w:qFormat/>
    <w:uiPriority w:val="0"/>
    <w:rPr>
      <w:color w:val="999999"/>
      <w:sz w:val="33"/>
      <w:szCs w:val="33"/>
    </w:rPr>
  </w:style>
  <w:style w:type="character" w:customStyle="1" w:styleId="265">
    <w:name w:val="first-child2"/>
    <w:basedOn w:val="47"/>
    <w:qFormat/>
    <w:uiPriority w:val="0"/>
  </w:style>
  <w:style w:type="character" w:customStyle="1" w:styleId="266">
    <w:name w:val="wea-thumbnails-doc-content-subtitle"/>
    <w:basedOn w:val="47"/>
    <w:qFormat/>
    <w:uiPriority w:val="0"/>
    <w:rPr>
      <w:color w:val="9A9A9A"/>
    </w:rPr>
  </w:style>
  <w:style w:type="character" w:customStyle="1" w:styleId="267">
    <w:name w:val="ant-radio+*"/>
    <w:basedOn w:val="47"/>
    <w:qFormat/>
    <w:uiPriority w:val="0"/>
  </w:style>
  <w:style w:type="character" w:customStyle="1" w:styleId="268">
    <w:name w:val="nth-child(2)"/>
    <w:basedOn w:val="47"/>
    <w:qFormat/>
    <w:uiPriority w:val="0"/>
  </w:style>
  <w:style w:type="character" w:customStyle="1" w:styleId="269">
    <w:name w:val="ant-select-tree-iconele"/>
    <w:basedOn w:val="47"/>
    <w:qFormat/>
    <w:uiPriority w:val="0"/>
  </w:style>
  <w:style w:type="character" w:customStyle="1" w:styleId="270">
    <w:name w:val="top-label"/>
    <w:basedOn w:val="47"/>
    <w:qFormat/>
    <w:uiPriority w:val="0"/>
  </w:style>
  <w:style w:type="character" w:customStyle="1" w:styleId="271">
    <w:name w:val="ant-table-row-expand-icon4"/>
    <w:basedOn w:val="47"/>
    <w:qFormat/>
    <w:uiPriority w:val="0"/>
    <w:rPr>
      <w:vanish/>
    </w:rPr>
  </w:style>
  <w:style w:type="character" w:customStyle="1" w:styleId="272">
    <w:name w:val="disabled4"/>
    <w:basedOn w:val="47"/>
    <w:qFormat/>
    <w:uiPriority w:val="0"/>
    <w:rPr>
      <w:color w:val="AAAAAA"/>
      <w:shd w:val="clear" w:color="auto" w:fill="F7F7F7"/>
    </w:rPr>
  </w:style>
  <w:style w:type="character" w:customStyle="1" w:styleId="273">
    <w:name w:val="tmpztreemove_arrow"/>
    <w:basedOn w:val="47"/>
    <w:qFormat/>
    <w:uiPriority w:val="0"/>
  </w:style>
  <w:style w:type="character" w:customStyle="1" w:styleId="274">
    <w:name w:val="ant-tree-checkbox7"/>
    <w:basedOn w:val="47"/>
    <w:qFormat/>
    <w:uiPriority w:val="0"/>
  </w:style>
  <w:style w:type="character" w:customStyle="1" w:styleId="275">
    <w:name w:val="ant-tree-iconele"/>
    <w:basedOn w:val="47"/>
    <w:qFormat/>
    <w:uiPriority w:val="0"/>
  </w:style>
  <w:style w:type="character" w:customStyle="1" w:styleId="276">
    <w:name w:val="ant-select-tree-switcher"/>
    <w:basedOn w:val="47"/>
    <w:qFormat/>
    <w:uiPriority w:val="0"/>
  </w:style>
  <w:style w:type="character" w:customStyle="1" w:styleId="277">
    <w:name w:val="button"/>
    <w:basedOn w:val="47"/>
    <w:qFormat/>
    <w:uiPriority w:val="0"/>
  </w:style>
  <w:style w:type="character" w:customStyle="1" w:styleId="278">
    <w:name w:val="button1"/>
    <w:basedOn w:val="47"/>
    <w:qFormat/>
    <w:uiPriority w:val="0"/>
  </w:style>
  <w:style w:type="character" w:customStyle="1" w:styleId="279">
    <w:name w:val="first-of-type"/>
    <w:basedOn w:val="47"/>
    <w:qFormat/>
    <w:uiPriority w:val="0"/>
    <w:rPr>
      <w:color w:val="FF0000"/>
    </w:rPr>
  </w:style>
  <w:style w:type="character" w:customStyle="1" w:styleId="280">
    <w:name w:val="first-of-type1"/>
    <w:basedOn w:val="47"/>
    <w:qFormat/>
    <w:uiPriority w:val="0"/>
    <w:rPr>
      <w:color w:val="FF0000"/>
    </w:rPr>
  </w:style>
  <w:style w:type="character" w:customStyle="1" w:styleId="281">
    <w:name w:val="first-of-type2"/>
    <w:basedOn w:val="47"/>
    <w:qFormat/>
    <w:uiPriority w:val="0"/>
    <w:rPr>
      <w:color w:val="FF0000"/>
    </w:rPr>
  </w:style>
  <w:style w:type="character" w:customStyle="1" w:styleId="282">
    <w:name w:val="current-node"/>
    <w:basedOn w:val="47"/>
    <w:qFormat/>
    <w:uiPriority w:val="0"/>
    <w:rPr>
      <w:shd w:val="clear" w:color="auto" w:fill="FFE8CC"/>
    </w:rPr>
  </w:style>
  <w:style w:type="character" w:customStyle="1" w:styleId="283">
    <w:name w:val="auto-pass-node"/>
    <w:basedOn w:val="47"/>
    <w:qFormat/>
    <w:uiPriority w:val="0"/>
    <w:rPr>
      <w:shd w:val="clear" w:color="auto" w:fill="A9E2FF"/>
    </w:rPr>
  </w:style>
  <w:style w:type="character" w:customStyle="1" w:styleId="284">
    <w:name w:val="passed-node"/>
    <w:basedOn w:val="47"/>
    <w:qFormat/>
    <w:uiPriority w:val="0"/>
    <w:rPr>
      <w:shd w:val="clear" w:color="auto" w:fill="A9E3FF"/>
    </w:rPr>
  </w:style>
  <w:style w:type="character" w:customStyle="1" w:styleId="285">
    <w:name w:val="last-child1"/>
    <w:basedOn w:val="47"/>
    <w:qFormat/>
    <w:uiPriority w:val="0"/>
  </w:style>
  <w:style w:type="character" w:customStyle="1" w:styleId="286">
    <w:name w:val="wea-dropdown-triangle2"/>
    <w:basedOn w:val="47"/>
    <w:qFormat/>
    <w:uiPriority w:val="0"/>
  </w:style>
  <w:style w:type="character" w:customStyle="1" w:styleId="287">
    <w:name w:val="isrevision"/>
    <w:basedOn w:val="47"/>
    <w:qFormat/>
    <w:uiPriority w:val="0"/>
    <w:rPr>
      <w:color w:val="000000"/>
      <w:sz w:val="18"/>
      <w:szCs w:val="18"/>
      <w:shd w:val="clear" w:color="auto" w:fill="FFFFFF"/>
    </w:rPr>
  </w:style>
  <w:style w:type="paragraph" w:customStyle="1" w:styleId="288">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289">
    <w:name w:val="Table Text"/>
    <w:basedOn w:val="1"/>
    <w:semiHidden/>
    <w:qFormat/>
    <w:uiPriority w:val="0"/>
    <w:rPr>
      <w:rFonts w:ascii="宋体" w:hAnsi="宋体" w:cs="宋体"/>
      <w:sz w:val="24"/>
      <w:lang w:eastAsia="en-US"/>
    </w:rPr>
  </w:style>
  <w:style w:type="table" w:customStyle="1" w:styleId="290">
    <w:name w:val="Table Normal"/>
    <w:unhideWhenUsed/>
    <w:qFormat/>
    <w:uiPriority w:val="0"/>
    <w:tblPr>
      <w:tblCellMar>
        <w:top w:w="0" w:type="dxa"/>
        <w:left w:w="0" w:type="dxa"/>
        <w:bottom w:w="0" w:type="dxa"/>
        <w:right w:w="0" w:type="dxa"/>
      </w:tblCellMar>
    </w:tblPr>
  </w:style>
  <w:style w:type="paragraph" w:customStyle="1" w:styleId="291">
    <w:name w:val="ds-markdown-paragraph"/>
    <w:basedOn w:val="1"/>
    <w:qFormat/>
    <w:uiPriority w:val="0"/>
    <w:pPr>
      <w:widowControl/>
      <w:spacing w:before="100" w:beforeAutospacing="1" w:after="100" w:afterAutospacing="1"/>
      <w:jc w:val="left"/>
    </w:pPr>
    <w:rPr>
      <w:rFonts w:ascii="宋体" w:hAnsi="宋体" w:cs="宋体"/>
      <w:sz w:val="24"/>
    </w:rPr>
  </w:style>
  <w:style w:type="character" w:customStyle="1" w:styleId="292">
    <w:name w:val="ant-tree-switcher16"/>
    <w:basedOn w:val="47"/>
    <w:qFormat/>
    <w:uiPriority w:val="0"/>
  </w:style>
  <w:style w:type="character" w:customStyle="1" w:styleId="293">
    <w:name w:val="ant-select-tree-checkbox2"/>
    <w:basedOn w:val="47"/>
    <w:qFormat/>
    <w:uiPriority w:val="0"/>
  </w:style>
  <w:style w:type="character" w:customStyle="1" w:styleId="294">
    <w:name w:val="ant-table-row-expand-icon3"/>
    <w:basedOn w:val="47"/>
    <w:qFormat/>
    <w:uiPriority w:val="0"/>
    <w:rPr>
      <w:vanish/>
    </w:rPr>
  </w:style>
  <w:style w:type="character" w:customStyle="1" w:styleId="295">
    <w:name w:val="label15"/>
    <w:basedOn w:val="47"/>
    <w:qFormat/>
    <w:uiPriority w:val="0"/>
  </w:style>
  <w:style w:type="character" w:customStyle="1" w:styleId="296">
    <w:name w:val="nth-child(2)2"/>
    <w:basedOn w:val="47"/>
    <w:qFormat/>
    <w:uiPriority w:val="0"/>
  </w:style>
  <w:style w:type="character" w:customStyle="1" w:styleId="297">
    <w:name w:val="first-child3"/>
    <w:basedOn w:val="47"/>
    <w:qFormat/>
    <w:uiPriority w:val="0"/>
  </w:style>
  <w:style w:type="character" w:customStyle="1" w:styleId="298">
    <w:name w:val="first-child4"/>
    <w:basedOn w:val="47"/>
    <w:qFormat/>
    <w:uiPriority w:val="0"/>
  </w:style>
  <w:style w:type="character" w:customStyle="1" w:styleId="299">
    <w:name w:val="disabled3"/>
    <w:basedOn w:val="47"/>
    <w:qFormat/>
    <w:uiPriority w:val="0"/>
    <w:rPr>
      <w:color w:val="AAAAAA"/>
      <w:shd w:val="clear" w:color="auto" w:fill="F7F7F7"/>
    </w:rPr>
  </w:style>
  <w:style w:type="paragraph" w:customStyle="1" w:styleId="300">
    <w:name w:val="_Style 1"/>
    <w:basedOn w:val="1"/>
    <w:qFormat/>
    <w:uiPriority w:val="34"/>
    <w:pPr>
      <w:spacing w:line="560" w:lineRule="exact"/>
      <w:ind w:firstLine="420" w:firstLineChars="200"/>
    </w:pPr>
    <w:rPr>
      <w:szCs w:val="21"/>
    </w:rPr>
  </w:style>
  <w:style w:type="paragraph" w:customStyle="1" w:styleId="301">
    <w:name w:val="Normal_1"/>
    <w:qFormat/>
    <w:uiPriority w:val="0"/>
    <w:rPr>
      <w:rFonts w:ascii="Times New Roman" w:hAnsi="Times New Roman" w:eastAsia="Times New Roman" w:cs="Times New Roman"/>
      <w:sz w:val="24"/>
      <w:szCs w:val="24"/>
      <w:lang w:val="en-US" w:eastAsia="zh-CN" w:bidi="ar-SA"/>
    </w:rPr>
  </w:style>
  <w:style w:type="paragraph" w:customStyle="1" w:styleId="302">
    <w:name w:val="正文_2"/>
    <w:next w:val="30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3">
    <w:name w:val="标题 1_0"/>
    <w:basedOn w:val="302"/>
    <w:next w:val="302"/>
    <w:qFormat/>
    <w:uiPriority w:val="0"/>
    <w:pPr>
      <w:keepNext/>
      <w:keepLines/>
      <w:spacing w:before="340" w:after="330" w:line="578" w:lineRule="auto"/>
      <w:outlineLvl w:val="0"/>
    </w:pPr>
    <w:rPr>
      <w:rFonts w:ascii="Times New Roman" w:hAnsi="Times New Roman" w:eastAsia="黑体"/>
      <w:b/>
      <w:bCs/>
      <w:kern w:val="44"/>
      <w:sz w:val="32"/>
      <w:szCs w:val="44"/>
    </w:rPr>
  </w:style>
  <w:style w:type="character" w:customStyle="1" w:styleId="304">
    <w:name w:val="页码1"/>
    <w:qFormat/>
    <w:uiPriority w:val="0"/>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3.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w:settings xmlns:w="http://schemas.openxmlformats.org/wordprocessingml/2006/main">
  <w:SpecialFormsHighlight w:val="c9c8ff"/>
</w:settings>
</file>

<file path=customXml/item3.xml><?xml version="1.0" encoding="utf-8"?>
<contractReview xmlns="http://schemas.wps.cn/vas-ai-hub/contract-review">
  <reviewItems>
    <reviewItem>
      <errorID>372fded3-c308-40c5-9f5b-f6f8fc76cfeb</errorID>
      <errorWord>、或</errorWord>
      <group>L1_Word</group>
      <groupName>字词问题</groupName>
      <ability>L2_Typo</ability>
      <abilityName>字词错误</abilityName>
      <candidateList>
        <item>或</item>
      </candidateList>
      <explain/>
      <paraID>2A71B966</paraID>
      <start>51</start>
      <end>52</end>
      <status>modified</status>
      <modifiedWord>或</modifiedWord>
      <trackRevisions>false</trackRevisions>
    </reviewItem>
    <reviewItem>
      <errorID>688b06d6-fd37-4e93-9986-28492c88da74</errorID>
      <errorWord>（</errorWord>
      <group>L1_Punc</group>
      <groupName>标点问题</groupName>
      <ability>L2_Punc_CN</ability>
      <abilityName>标点符号问题</abilityName>
      <candidateList/>
      <explain>同一形式括号套用。</explain>
      <paraID>2A71B966</paraID>
      <start>64</start>
      <end>65</end>
      <status>unmodified</status>
      <modifiedWord/>
      <trackRevisions>false</trackRevisions>
    </reviewItem>
    <reviewItem>
      <errorID>c246aa8b-1c85-4624-9d8f-89fdd427ab18</errorID>
      <errorWord>）</errorWord>
      <group>L1_Punc</group>
      <groupName>标点问题</groupName>
      <ability>L2_Punc_CN</ability>
      <abilityName>标点符号问题</abilityName>
      <candidateList/>
      <explain>同一形式括号套用。</explain>
      <paraID>2A71B966</paraID>
      <start>67</start>
      <end>68</end>
      <status>unmodified</status>
      <modifiedWord/>
      <trackRevisions>false</trackRevisions>
    </reviewItem>
    <reviewItem>
      <errorID>01da804c-eeaf-412f-8e36-70bb1ed9a263</errorID>
      <errorWord>日至2026年</errorWord>
      <group>L1_Word</group>
      <groupName>字词问题</groupName>
      <ability>L2_Typo</ability>
      <abilityName>字词错误</abilityName>
      <candidateList>
        <item>日起至2026年</item>
      </candidateList>
      <explain/>
      <paraID>4C3DAF5E</paraID>
      <start>13</start>
      <end>20</end>
      <status>unmodified</status>
      <modifiedWord/>
      <trackRevisions>false</trackRevisions>
    </reviewItem>
    <reviewItem>
      <errorID>b1a95f4f-863b-402d-9899-05ef9e98eec4</errorID>
      <errorWord>上午00:00</errorWord>
      <group>L1_Knowledge</group>
      <groupName>知识性问题</groupName>
      <ability>L2_Time</ability>
      <abilityName>日期时间</abilityName>
      <candidateList/>
      <explain>时间与前缀不匹配，可能的时间前缀有“下午、晚上、凌晨、午夜”。</explain>
      <paraID>4C3DAF5E</paraID>
      <start>29</start>
      <end>36</end>
      <status>unmodified</status>
      <modifiedWord/>
      <trackRevisions>false</trackRevisions>
    </reviewItem>
    <reviewItem>
      <errorID>987e9fce-674e-4f4c-b095-4c71bf4c156d</errorID>
      <errorWord>-</errorWord>
      <group>L1_Format</group>
      <groupName>格式问题</groupName>
      <ability>L2_HalfPunc_CN</ability>
      <abilityName>全半角问题</abilityName>
      <candidateList>
        <item>－</item>
      </candidateList>
      <explain>文本全半角错误。</explain>
      <paraID>6CFA4A8F</paraID>
      <start>110</start>
      <end>111</end>
      <status>modified</status>
      <modifiedWord>－</modifiedWord>
      <trackRevisions>false</trackRevisions>
    </reviewItem>
    <reviewItem>
      <errorID>82febad4-2ddf-4b4b-a07d-404243dc60b3</errorID>
      <errorWord>-</errorWord>
      <group>L1_Format</group>
      <groupName>格式问题</groupName>
      <ability>L2_HalfPunc_CN</ability>
      <abilityName>全半角问题</abilityName>
      <candidateList>
        <item>－</item>
      </candidateList>
      <explain>文本全半角错误。</explain>
      <paraID>6CFA4A8F</paraID>
      <start>115</start>
      <end>116</end>
      <status>modified</status>
      <modifiedWord>－</modifiedWord>
      <trackRevisions>false</trackRevisions>
    </reviewItem>
    <reviewItem>
      <errorID>35daff00-3977-4e41-896e-050962483841</errorID>
      <errorWord>-</errorWord>
      <group>L1_Format</group>
      <groupName>格式问题</groupName>
      <ability>L2_HalfPunc_CN</ability>
      <abilityName>全半角问题</abilityName>
      <candidateList>
        <item>－</item>
      </candidateList>
      <explain>文本全半角错误。</explain>
      <paraID>6CFA4A8F</paraID>
      <start>122</start>
      <end>123</end>
      <status>modified</status>
      <modifiedWord>－</modifiedWord>
      <trackRevisions>false</trackRevisions>
    </reviewItem>
    <reviewItem>
      <errorID>5d7f43f4-45dc-49ca-8922-b4cd513052d9</errorID>
      <errorWord>-</errorWord>
      <group>L1_Format</group>
      <groupName>格式问题</groupName>
      <ability>L2_HalfPunc_CN</ability>
      <abilityName>全半角问题</abilityName>
      <candidateList>
        <item>－</item>
      </candidateList>
      <explain>文本全半角错误。</explain>
      <paraID>6CFA4A8F</paraID>
      <start>128</start>
      <end>129</end>
      <status>modified</status>
      <modifiedWord>－</modifiedWord>
      <trackRevisions>false</trackRevisions>
    </reviewItem>
    <reviewItem>
      <errorID>ed8db0d6-8e40-46c1-b1ef-d8d3c7c6ea29</errorID>
      <errorWord>(</errorWord>
      <group>L1_Format</group>
      <groupName>格式问题</groupName>
      <ability>L2_HalfPunc_CN</ability>
      <abilityName>全半角问题</abilityName>
      <candidateList>
        <item>（</item>
      </candidateList>
      <explain>文本全半角错误。</explain>
      <paraID>4D93682E</paraID>
      <start>63</start>
      <end>64</end>
      <status>unmodified</status>
      <modifiedWord/>
      <trackRevisions>false</trackRevisions>
    </reviewItem>
    <reviewItem>
      <errorID>6d2bb0bd-29da-4dce-ba67-211dd579824a</errorID>
      <errorWord>)</errorWord>
      <group>L1_Format</group>
      <groupName>格式问题</groupName>
      <ability>L2_HalfPunc_CN</ability>
      <abilityName>全半角问题</abilityName>
      <candidateList>
        <item>）</item>
      </candidateList>
      <explain>文本全半角错误。</explain>
      <paraID>4D93682E</paraID>
      <start>86</start>
      <end>87</end>
      <status>unmodified</status>
      <modifiedWord/>
      <trackRevisions>false</trackRevisions>
    </reviewItem>
    <reviewItem>
      <errorID>8f6a436f-2742-4329-b5cd-1f39386539c0</errorID>
      <errorWord>(</errorWord>
      <group>L1_Format</group>
      <groupName>格式问题</groupName>
      <ability>L2_HalfPunc_CN</ability>
      <abilityName>全半角问题</abilityName>
      <candidateList>
        <item>（</item>
      </candidateList>
      <explain>文本全半角错误。</explain>
      <paraID>4D93682E</paraID>
      <start>96</start>
      <end>97</end>
      <status>unmodified</status>
      <modifiedWord/>
      <trackRevisions>false</trackRevisions>
    </reviewItem>
    <reviewItem>
      <errorID>d9519e92-1fc8-47e9-beec-6be9477678e5</errorID>
      <errorWord>)</errorWord>
      <group>L1_Format</group>
      <groupName>格式问题</groupName>
      <ability>L2_HalfPunc_CN</ability>
      <abilityName>全半角问题</abilityName>
      <candidateList>
        <item>）</item>
      </candidateList>
      <explain>文本全半角错误。</explain>
      <paraID>4D93682E</paraID>
      <start>112</start>
      <end>113</end>
      <status>unmodified</status>
      <modifiedWord/>
      <trackRevisions>false</trackRevisions>
    </reviewItem>
    <reviewItem>
      <errorID>3f4fb87f-70cb-414f-8ad3-1578d624dc51</errorID>
      <errorWord>操作合</errorWord>
      <group>L1_Word</group>
      <groupName>字词问题</groupName>
      <ability>L2_Typo</ability>
      <abilityName>字词错误</abilityName>
      <candidateList>
        <item>操作台</item>
      </candidateList>
      <explain/>
      <paraID>68982E6D</paraID>
      <start>8</start>
      <end>11</end>
      <status>unmodified</status>
      <modifiedWord/>
      <trackRevisions>false</trackRevisions>
    </reviewItem>
    <reviewItem>
      <errorID>7185781f-3a1e-421c-906f-50f026d4fbc5</errorID>
      <errorWord>须要</errorWord>
      <group>L1_Word</group>
      <groupName>字词问题</groupName>
      <ability>L2_Typo</ability>
      <abilityName>字词错误</abilityName>
      <candidateList>
        <item>需要</item>
      </candidateList>
      <explain>存在发音相同字词的误用。</explain>
      <paraID>48D146E2</paraID>
      <start>21</start>
      <end>23</end>
      <status>modified</status>
      <modifiedWord>需要</modifiedWord>
      <trackRevisions>false</trackRevisions>
    </reviewItem>
    <reviewItem>
      <errorID>e21ee694-7f39-4671-92d9-d1c02d7c96e8</errorID>
      <errorWord>具备有</errorWord>
      <group>L1_Word</group>
      <groupName>字词问题</groupName>
      <ability>L2_Typo</ability>
      <abilityName>字词错误</abilityName>
      <candidateList>
        <item>具备</item>
      </candidateList>
      <explain/>
      <paraID>547BA37D</paraID>
      <start>8</start>
      <end>11</end>
      <status>unmodified</status>
      <modifiedWord/>
      <trackRevisions>false</trackRevisions>
    </reviewItem>
    <reviewItem>
      <errorID>2c09a714-4930-4fa6-b654-42f798d679b2</errorID>
      <errorWord>（</errorWord>
      <group>L1_Punc</group>
      <groupName>标点问题</groupName>
      <ability>L2_Punc_CN</ability>
      <abilityName>标点符号问题</abilityName>
      <candidateList/>
      <explain>同一形式括号套用。</explain>
      <paraID>259A69E6</paraID>
      <start>40</start>
      <end>41</end>
      <status>unmodified</status>
      <modifiedWord/>
      <trackRevisions>false</trackRevisions>
    </reviewItem>
    <reviewItem>
      <errorID>5d2afb3b-aa1a-437a-9124-da07d1b292f5</errorID>
      <errorWord>）</errorWord>
      <group>L1_Punc</group>
      <groupName>标点问题</groupName>
      <ability>L2_Punc_CN</ability>
      <abilityName>标点符号问题</abilityName>
      <candidateList/>
      <explain>同一形式括号套用。</explain>
      <paraID>259A69E6</paraID>
      <start>84</start>
      <end>85</end>
      <status>unmodified</status>
      <modifiedWord/>
      <trackRevisions>false</trackRevisions>
    </reviewItem>
    <reviewItem>
      <errorID>5a8ef93c-cd79-4834-b0c9-627cca65ad81</errorID>
      <errorWord>（</errorWord>
      <group>L1_Punc</group>
      <groupName>标点问题</groupName>
      <ability>L2_Punc_CN</ability>
      <abilityName>标点符号问题</abilityName>
      <candidateList/>
      <explain>同一形式括号套用。</explain>
      <paraID>1B1952F1</paraID>
      <start>49</start>
      <end>50</end>
      <status>unmodified</status>
      <modifiedWord/>
      <trackRevisions>false</trackRevisions>
    </reviewItem>
    <reviewItem>
      <errorID>d89f2b52-eeae-431f-bd5b-019a906ea435</errorID>
      <errorWord>）</errorWord>
      <group>L1_Punc</group>
      <groupName>标点问题</groupName>
      <ability>L2_Punc_CN</ability>
      <abilityName>标点符号问题</abilityName>
      <candidateList/>
      <explain>同一形式括号套用。</explain>
      <paraID>1B1952F1</paraID>
      <start>57</start>
      <end>58</end>
      <status>unmodified</status>
      <modifiedWord/>
      <trackRevisions>false</trackRevisions>
    </reviewItem>
    <reviewItem>
      <errorID>8bf19a11-07df-4266-8f55-f8e5986e4fe5</errorID>
      <errorWord>:</errorWord>
      <group>L1_Format</group>
      <groupName>格式问题</groupName>
      <ability>L2_HalfPunc_CN</ability>
      <abilityName>全半角问题</abilityName>
      <candidateList>
        <item>：</item>
      </candidateList>
      <explain>文本全半角错误。</explain>
      <paraID>11A5C402</paraID>
      <start>17</start>
      <end>18</end>
      <status>unmodified</status>
      <modifiedWord/>
      <trackRevisions>false</trackRevisions>
    </reviewItem>
    <reviewItem>
      <errorID>8947703c-10bb-461e-908c-befd86cf0312</errorID>
      <errorWord>:</errorWord>
      <group>L1_Format</group>
      <groupName>格式问题</groupName>
      <ability>L2_HalfPunc_CN</ability>
      <abilityName>全半角问题</abilityName>
      <candidateList>
        <item>：</item>
      </candidateList>
      <explain>文本全半角错误。</explain>
      <paraID>44F16E3A</paraID>
      <start>17</start>
      <end>18</end>
      <status>unmodified</status>
      <modifiedWord/>
      <trackRevisions>false</trackRevisions>
    </reviewItem>
    <reviewItem>
      <errorID>c8110774-1657-47cf-b969-a7ef08330cc0</errorID>
      <errorWord>下午15:00</errorWord>
      <group>L1_Knowledge</group>
      <groupName>知识性问题</groupName>
      <ability>L2_Time</ability>
      <abilityName>日期时间</abilityName>
      <candidateList>
        <item>15:00</item>
      </candidateList>
      <explain>24小时制的时间，不需要强调“下午”。</explain>
      <paraID>4705825B</paraID>
      <start>22</start>
      <end>29</end>
      <status>unmodified</status>
      <modifiedWord/>
      <trackRevisions>false</trackRevisions>
    </reviewItem>
    <reviewItem>
      <errorID>4a0cb75d-c498-402c-b9aa-bf50ad4f0a9c</errorID>
      <errorWord>，</errorWord>
      <group>L1_Word</group>
      <groupName>字词问题</groupName>
      <ability>L2_Typo</ability>
      <abilityName>字词错误</abilityName>
      <candidateList>
        <item>，在</item>
      </candidateList>
      <explain/>
      <paraID>73F082EE</paraID>
      <start>40</start>
      <end>41</end>
      <status>unmodified</status>
      <modifiedWord/>
      <trackRevisions>false</trackRevisions>
    </reviewItem>
    <reviewItem>
      <errorID>e770d21c-65e5-4533-b9fc-0985730d32ca</errorID>
      <errorWord>管理规定，用供应商</errorWord>
      <group>L1_Word</group>
      <groupName>字词问题</groupName>
      <ability>L2_Typo</ability>
      <abilityName>字词错误</abilityName>
      <candidateList>
        <item>管理规定，使用供应商</item>
      </candidateList>
      <explain/>
      <paraID>2CD29EBB</paraID>
      <start>28</start>
      <end>37</end>
      <status>unmodified</status>
      <modifiedWord/>
      <trackRevisions>false</trackRevisions>
    </reviewItem>
    <reviewItem>
      <errorID>07152d96-10ca-417f-9b15-e2dc52d40510</errorID>
      <errorWord>法律、法规</errorWord>
      <group>L1_Word</group>
      <groupName>字词问题</groupName>
      <ability>L2_Typo</ability>
      <abilityName>字词错误</abilityName>
      <candidateList>
        <item>法律法规</item>
      </candidateList>
      <explain/>
      <paraID>5114E181</paraID>
      <start>38</start>
      <end>42</end>
      <status>modified</status>
      <modifiedWord>法律法规</modifiedWord>
      <trackRevisions>false</trackRevisions>
    </reviewItem>
    <reviewItem>
      <errorID>3b162e82-7db2-4f16-a5d9-787d89b02807</errorID>
      <errorWord>置</errorWord>
      <group>L1_Word</group>
      <groupName>字词问题</groupName>
      <ability>L2_Typo</ability>
      <abilityName>字词错误</abilityName>
      <candidateList>
        <item>置加</item>
      </candidateList>
      <explain/>
      <paraID>419C5697</paraID>
      <start>17</start>
      <end>19</end>
      <status>modified</status>
      <modifiedWord>置加</modifiedWord>
      <trackRevisions>false</trackRevisions>
    </reviewItem>
    <reviewItem>
      <errorID>e5835972-aec0-4c53-a292-8f19c60362d0</errorID>
      <errorWord>接受</errorWord>
      <group>L1_Word</group>
      <groupName>字词问题</groupName>
      <ability>L2_Typo</ability>
      <abilityName>字词错误</abilityName>
      <candidateList>
        <item>接收</item>
      </candidateList>
      <explain>存在发音相同字词的误用。</explain>
      <paraID>2FE1F237</paraID>
      <start>57</start>
      <end>59</end>
      <status>unmodified</status>
      <modifiedWord/>
      <trackRevisions>false</trackRevisions>
    </reviewItem>
    <reviewItem>
      <errorID>8189a3f9-fc76-494d-9c1e-0f0e2e267317</errorID>
      <errorWord>详见在</errorWord>
      <group>L1_Word</group>
      <groupName>字词问题</groupName>
      <ability>L2_Typo</ability>
      <abilityName>字词错误</abilityName>
      <candidateList>
        <item>详见</item>
      </candidateList>
      <explain/>
      <paraID>2FE1F237</paraID>
      <start>67</start>
      <end>70</end>
      <status>unmodified</status>
      <modifiedWord/>
      <trackRevisions>false</trackRevisions>
    </reviewItem>
    <reviewItem>
      <errorID>e49652a5-87a4-4b88-a1a5-cb317f36b6b3</errorID>
      <errorWord>，</errorWord>
      <group>L1_Word</group>
      <groupName>字词问题</groupName>
      <ability>L2_Typo</ability>
      <abilityName>字词错误</abilityName>
      <candidateList>
        <item>，在</item>
      </candidateList>
      <explain/>
      <paraID>5CC58A58</paraID>
      <start>37</start>
      <end>38</end>
      <status>unmodified</status>
      <modifiedWord/>
      <trackRevisions>false</trackRevisions>
    </reviewItem>
    <reviewItem>
      <errorID>f48f1325-270e-4ef4-8e82-aa87bcae354c</errorID>
      <errorWord>原则做出结论</errorWord>
      <group>L1_Word</group>
      <groupName>字词问题</groupName>
      <ability>L2_Typo</ability>
      <abilityName>字词错误</abilityName>
      <candidateList>
        <item>原则作出结论</item>
      </candidateList>
      <explain/>
      <paraID>11C22ED2</paraID>
      <start>62</start>
      <end>68</end>
      <status>modified</status>
      <modifiedWord>原则作出结论</modifiedWord>
      <trackRevisions>false</trackRevisions>
    </reviewItem>
    <reviewItem>
      <errorID>5a6792f8-94b2-4fe7-86b5-8a107e5540ea</errorID>
      <errorWord>&lt;</errorWord>
      <group>L1_Format</group>
      <groupName>格式问题</groupName>
      <ability>L2_HalfPunc_CN</ability>
      <abilityName>全半角问题</abilityName>
      <candidateList>
        <item>〈</item>
      </candidateList>
      <explain>文本全半角错误。</explain>
      <paraID>5193FF54</paraID>
      <start>50</start>
      <end>51</end>
      <status>unmodified</status>
      <modifiedWord/>
      <trackRevisions>false</trackRevisions>
    </reviewItem>
    <reviewItem>
      <errorID>102ae253-1342-40fe-bdd2-c9c40d494eae</errorID>
      <errorWord>&lt;</errorWord>
      <group>L1_Format</group>
      <groupName>格式问题</groupName>
      <ability>L2_HalfPunc_CN</ability>
      <abilityName>全半角问题</abilityName>
      <candidateList>
        <item>〈</item>
      </candidateList>
      <explain>文本全半角错误。</explain>
      <paraID>7D26D605</paraID>
      <start>50</start>
      <end>51</end>
      <status>unmodified</status>
      <modifiedWord/>
      <trackRevisions>false</trackRevisions>
    </reviewItem>
    <reviewItem>
      <errorID>21dc4a8f-e88a-4024-b0f5-5a57adf2206f</errorID>
      <errorWord>&lt;</errorWord>
      <group>L1_Format</group>
      <groupName>格式问题</groupName>
      <ability>L2_HalfPunc_CN</ability>
      <abilityName>全半角问题</abilityName>
      <candidateList>
        <item>〈</item>
      </candidateList>
      <explain>文本全半角错误。</explain>
      <paraID>470564C0</paraID>
      <start>35</start>
      <end>36</end>
      <status>unmodified</status>
      <modifiedWord/>
      <trackRevisions>false</trackRevisions>
    </reviewItem>
    <reviewItem>
      <errorID>e9467c98-334b-45c7-8a12-ee8436550a62</errorID>
      <errorWord>，</errorWord>
      <group>L1_Word</group>
      <groupName>字词问题</groupName>
      <ability>L2_Typo</ability>
      <abilityName>字词错误</abilityName>
      <candidateList>
        <item>，并</item>
      </candidateList>
      <explain/>
      <paraID>201F0F23</paraID>
      <start>74</start>
      <end>75</end>
      <status>unmodified</status>
      <modifiedWord/>
      <trackRevisions>false</trackRevisions>
    </reviewItem>
    <reviewItem>
      <errorID>270e2fcb-809c-49ee-a021-8d8ef18c0179</errorID>
      <errorWord>做出</errorWord>
      <group>L1_Word</group>
      <groupName>字词问题</groupName>
      <ability>L2_Typo</ability>
      <abilityName>字词错误</abilityName>
      <candidateList>
        <item>作出</item>
      </candidateList>
      <explain/>
      <paraID>725D93F6</paraID>
      <start>70</start>
      <end>72</end>
      <status>modified</status>
      <modifiedWord>作出</modifiedWord>
      <trackRevisions>false</trackRevisions>
    </reviewItem>
    <reviewItem>
      <errorID>82739437-a8c7-4774-839c-e7f4e0d53099</errorID>
      <errorWord>务</errorWord>
      <group>L1_Word</group>
      <groupName>字词问题</groupName>
      <ability>L2_Typo</ability>
      <abilityName>字词错误</abilityName>
      <candidateList>
        <item>务费</item>
      </candidateList>
      <explain/>
      <paraID> 943A0C4</paraID>
      <start>13</start>
      <end>15</end>
      <status>modified</status>
      <modifiedWord>务费</modifiedWord>
      <trackRevisions>false</trackRevisions>
    </reviewItem>
    <reviewItem>
      <errorID>e4c25382-e38f-4bbc-995c-485af6573e4d</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4F587906</paraID>
      <start>0</start>
      <end>8</end>
      <status>unmodified</status>
      <modifiedWord/>
      <trackRevisions>false</trackRevisions>
    </reviewItem>
    <reviewItem>
      <errorID>be38543e-acc2-41c9-96c9-fcd833a5f25f</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34F1FB72</paraID>
      <start>0</start>
      <end>9</end>
      <status>unmodified</status>
      <modifiedWord/>
      <trackRevisions>false</trackRevisions>
    </reviewItem>
    <reviewItem>
      <errorID>255f0cf1-b306-41bb-818a-1c28a173aced</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3E1D0BD9</paraID>
      <start>0</start>
      <end>10</end>
      <status>unmodified</status>
      <modifiedWord/>
      <trackRevisions>false</trackRevisions>
    </reviewItem>
    <reviewItem>
      <errorID>63001c58-fe05-40ca-9ffb-3d204dc64ea2</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4632170</paraID>
      <start>0</start>
      <end>4</end>
      <status>unmodified</status>
      <modifiedWord/>
      <trackRevisions>false</trackRevisions>
    </reviewItem>
    <reviewItem>
      <errorID>c2348f54-5dac-49de-9fd7-c4981794dd6d</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4F07D15B</paraID>
      <start>0</start>
      <end>5</end>
      <status>unmodified</status>
      <modifiedWord/>
      <trackRevisions>false</trackRevisions>
    </reviewItem>
    <reviewItem>
      <errorID>bd289437-e3b0-4bc2-9e6c-3824529f76b1</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328D17C8</paraID>
      <start>0</start>
      <end>6</end>
      <status>unmodified</status>
      <modifiedWord/>
      <trackRevisions>false</trackRevisions>
    </reviewItem>
    <reviewItem>
      <errorID>afff5555-aa6c-4b73-9fa5-6be3a7904ec2</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5001C6D1</paraID>
      <start>0</start>
      <end>7</end>
      <status>unmodified</status>
      <modifiedWord/>
      <trackRevisions>false</trackRevisions>
    </reviewItem>
    <reviewItem>
      <errorID>cf293372-7e4b-45ff-aab8-92f31fe951fd</errorID>
      <errorWord>终生</errorWord>
      <group>L1_Word</group>
      <groupName>字词问题</groupName>
      <ability>L2_Typo</ability>
      <abilityName>字词错误</abilityName>
      <candidateList>
        <item>终身</item>
      </candidateList>
      <explain/>
      <paraID>7414E655</paraID>
      <start>91</start>
      <end>93</end>
      <status>modified</status>
      <modifiedWord>终身</modifiedWord>
      <trackRevisions>false</trackRevisions>
    </reviewItem>
    <reviewItem>
      <errorID>a28cc859-3ebf-4474-bc06-b5cd6d608c25</errorID>
      <errorWord>法律、法规</errorWord>
      <group>L1_Word</group>
      <groupName>字词问题</groupName>
      <ability>L2_Typo</ability>
      <abilityName>字词错误</abilityName>
      <candidateList>
        <item>法律法规</item>
      </candidateList>
      <explain/>
      <paraID>736AA980</paraID>
      <start>44</start>
      <end>48</end>
      <status>modified</status>
      <modifiedWord>法律法规</modifiedWord>
      <trackRevisions>false</trackRevisions>
    </reviewItem>
    <reviewItem>
      <errorID>a8f6c645-e55e-4e33-9b16-7d60864ba6cd</errorID>
      <errorWord>给予</errorWord>
      <group>L1_Grammar</group>
      <groupName>语法问题</groupName>
      <ability>L2_Grammar</ability>
      <abilityName>语法错误</abilityName>
      <candidateList>
        <item>得到</item>
      </candidateList>
      <explain>“给予～贯彻”搭配不当，建议修改为“得到～贯彻”。</explain>
      <paraID>   6FB7B</paraID>
      <start>68</start>
      <end>70</end>
      <status>modified</status>
      <modifiedWord>得到</modifiedWord>
      <trackRevisions>false</trackRevisions>
    </reviewItem>
    <reviewItem>
      <errorID>fb7212f5-c2ee-4b14-a871-a625d1f220ba</errorID>
      <errorWord>需</errorWord>
      <group>L1_Word</group>
      <groupName>字词问题</groupName>
      <ability>L2_Typo</ability>
      <abilityName>字词错误</abilityName>
      <candidateList>
        <item>须</item>
      </candidateList>
      <explain>存在发音相同字词的误用。</explain>
      <paraID>1063E370</paraID>
      <start>8</start>
      <end>9</end>
      <status>modified</status>
      <modifiedWord>须</modifiedWord>
      <trackRevisions>false</trackRevisions>
    </reviewItem>
    <reviewItem>
      <errorID>6d0f4243-17bb-4e1d-95d6-440c25bd9bc7</errorID>
      <errorWord>:</errorWord>
      <group>L1_Format</group>
      <groupName>格式问题</groupName>
      <ability>L2_HalfPunc_CN</ability>
      <abilityName>全半角问题</abilityName>
      <candidateList>
        <item>：</item>
      </candidateList>
      <explain>文本全半角错误。</explain>
      <paraID>7B66ABEA</paraID>
      <start>5</start>
      <end>6</end>
      <status>modified</status>
      <modifiedWord>：</modifiedWord>
      <trackRevisions>false</trackRevisions>
    </reviewItem>
    <reviewItem>
      <errorID>f681daf6-617a-4c50-b059-bda4d7cca2cf</errorID>
      <errorWord>[2011]300号</errorWord>
      <group>L1_Knowledge</group>
      <groupName>知识性问题</groupName>
      <ability>L2_Knowledge</ability>
      <abilityName>其他知识</abilityName>
      <candidateList>
        <item>〔2011〕300号</item>
      </candidateList>
      <explain>发文字号格式错误。</explain>
      <paraID>6A8F1048</paraID>
      <start>35</start>
      <end>45</end>
      <status>unmodified</status>
      <modifiedWord/>
      <trackRevisions>false</trackRevisions>
    </reviewItem>
    <reviewItem>
      <errorID>9d5ae5c8-4de5-49c1-8f25-339e7f082568</errorID>
      <errorWord>须</errorWord>
      <group>L1_Word</group>
      <groupName>字词问题</groupName>
      <ability>L2_Typo</ability>
      <abilityName>字词错误</abilityName>
      <candidateList>
        <item>需</item>
      </candidateList>
      <explain>存在发音相同字词的误用。</explain>
      <paraID>6A8F1048</paraID>
      <start>82</start>
      <end>83</end>
      <status>modified</status>
      <modifiedWord>需</modifiedWord>
      <trackRevisions>false</trackRevisions>
    </reviewItem>
    <reviewItem>
      <errorID>af86dd50-ae58-4130-8c84-3a9a895378e7</errorID>
      <errorWord>(</errorWord>
      <group>L1_Format</group>
      <groupName>格式问题</groupName>
      <ability>L2_HalfPunc_CN</ability>
      <abilityName>全半角问题</abilityName>
      <candidateList>
        <item>（</item>
      </candidateList>
      <explain>文本全半角错误。</explain>
      <paraID>60FE9327</paraID>
      <start>73</start>
      <end>74</end>
      <status>unmodified</status>
      <modifiedWord/>
      <trackRevisions>false</trackRevisions>
    </reviewItem>
    <reviewItem>
      <errorID>b207ba3d-6fa1-4574-8fdb-dd2f534c1ea2</errorID>
      <errorWord>)</errorWord>
      <group>L1_Format</group>
      <groupName>格式问题</groupName>
      <ability>L2_HalfPunc_CN</ability>
      <abilityName>全半角问题</abilityName>
      <candidateList>
        <item>）</item>
      </candidateList>
      <explain>文本全半角错误。</explain>
      <paraID>60FE9327</paraID>
      <start>96</start>
      <end>97</end>
      <status>unmodified</status>
      <modifiedWord/>
      <trackRevisions>false</trackRevisions>
    </reviewItem>
    <reviewItem>
      <errorID>75cc208f-133c-44a9-b376-00ca7007fd47</errorID>
      <errorWord>(</errorWord>
      <group>L1_Format</group>
      <groupName>格式问题</groupName>
      <ability>L2_HalfPunc_CN</ability>
      <abilityName>全半角问题</abilityName>
      <candidateList>
        <item>（</item>
      </candidateList>
      <explain>文本全半角错误。</explain>
      <paraID>60FE9327</paraID>
      <start>106</start>
      <end>107</end>
      <status>unmodified</status>
      <modifiedWord/>
      <trackRevisions>false</trackRevisions>
    </reviewItem>
    <reviewItem>
      <errorID>020810f8-b4d6-4323-8e68-943854d30cda</errorID>
      <errorWord>)</errorWord>
      <group>L1_Format</group>
      <groupName>格式问题</groupName>
      <ability>L2_HalfPunc_CN</ability>
      <abilityName>全半角问题</abilityName>
      <candidateList>
        <item>）</item>
      </candidateList>
      <explain>文本全半角错误。</explain>
      <paraID>60FE9327</paraID>
      <start>122</start>
      <end>123</end>
      <status>unmodified</status>
      <modifiedWord/>
      <trackRevisions>false</trackRevisions>
    </reviewItem>
    <reviewItem>
      <errorID>5e03b7e1-6cb3-4bcd-a482-640fd94e45ca</errorID>
      <errorWord>相应</errorWord>
      <group>L1_Word</group>
      <groupName>字词问题</groupName>
      <ability>L2_Typo</ability>
      <abilityName>字词错误</abilityName>
      <candidateList>
        <item>响应</item>
      </candidateList>
      <explain/>
      <paraID>73F4D004</paraID>
      <start>19</start>
      <end>21</end>
      <status>unmodified</status>
      <modifiedWord/>
      <trackRevisions>false</trackRevisions>
    </reviewItem>
    <reviewItem>
      <errorID>11aac597-b33d-46db-ac73-54c723eb5740</errorID>
      <errorWord>-</errorWord>
      <group>L1_Format</group>
      <groupName>格式问题</groupName>
      <ability>L2_HalfPunc_CN</ability>
      <abilityName>全半角问题</abilityName>
      <candidateList>
        <item>－</item>
      </candidateList>
      <explain>文本全半角错误。</explain>
      <paraID>2191F2B6</paraID>
      <start>20</start>
      <end>21</end>
      <status>unmodified</status>
      <modifiedWord/>
      <trackRevisions>false</trackRevisions>
    </reviewItem>
    <reviewItem>
      <errorID>09f0558d-555d-4c9d-acc9-8fcc161559b2</errorID>
      <errorWord>法律、法规</errorWord>
      <group>L1_Word</group>
      <groupName>字词问题</groupName>
      <ability>L2_Typo</ability>
      <abilityName>字词错误</abilityName>
      <candidateList>
        <item>法律法规</item>
      </candidateList>
      <explain/>
      <paraID> 1D7AC29</paraID>
      <start>3</start>
      <end>8</end>
      <status>unmodified</status>
      <modifiedWord/>
      <trackRevisions>false</trackRevisions>
    </reviewItem>
    <reviewItem>
      <errorID>90b8a38d-093a-4f18-a81b-9332ee5ee5c2</errorID>
      <errorWord>&lt;</errorWord>
      <group>L1_Format</group>
      <groupName>格式问题</groupName>
      <ability>L2_HalfPunc_CN</ability>
      <abilityName>全半角问题</abilityName>
      <candidateList>
        <item>〈</item>
      </candidateList>
      <explain>文本全半角错误。</explain>
      <paraID>582B2C8E</paraID>
      <start>48</start>
      <end>49</end>
      <status>unmodified</status>
      <modifiedWord/>
      <trackRevisions>false</trackRevisions>
    </reviewItem>
    <reviewItem>
      <errorID>63194335-cee8-4d51-acb4-a968c40b2a9e</errorID>
      <errorWord>&lt;</errorWord>
      <group>L1_Format</group>
      <groupName>格式问题</groupName>
      <ability>L2_HalfPunc_CN</ability>
      <abilityName>全半角问题</abilityName>
      <candidateList>
        <item>〈</item>
      </candidateList>
      <explain>文本全半角错误。</explain>
      <paraID>600B5CD5</paraID>
      <start>48</start>
      <end>49</end>
      <status>unmodified</status>
      <modifiedWord/>
      <trackRevisions>false</trackRevisions>
    </reviewItem>
    <reviewItem>
      <errorID>b6e22909-9b78-4efb-a2ff-e78b5c9e931a</errorID>
      <errorWord>&lt;</errorWord>
      <group>L1_Format</group>
      <groupName>格式问题</groupName>
      <ability>L2_HalfPunc_CN</ability>
      <abilityName>全半角问题</abilityName>
      <candidateList>
        <item>〈</item>
      </candidateList>
      <explain>文本全半角错误。</explain>
      <paraID>2352EFA3</paraID>
      <start>33</start>
      <end>34</end>
      <status>unmodified</status>
      <modifiedWord/>
      <trackRevisions>false</trackRevisions>
    </reviewItem>
    <reviewItem>
      <errorID>9263693e-28b9-410b-a2df-e2989893ec64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165F492E</paraID>
      <start>0</start>
      <end>2</end>
      <status>unmodified</status>
      <modifiedWord/>
      <trackRevisions>false</trackRevisions>
    </reviewItem>
    <reviewItem>
      <errorID>1cb5d8e5-7fd9-4302-a4e9-caa33ee0da48</errorID>
      <errorWord>，</errorWord>
      <group>L1_Word</group>
      <groupName>字词问题</groupName>
      <ability>L2_Typo</ability>
      <abilityName>字词错误</abilityName>
      <candidateList>
        <item>，并</item>
      </candidateList>
      <explain/>
      <paraID>165F492E</paraID>
      <start>70</start>
      <end>71</end>
      <status>unmodified</status>
      <modifiedWord/>
      <trackRevisions>false</trackRevisions>
    </reviewItem>
    <reviewItem>
      <errorID>7a87d91f-6091-44e2-9d1b-1bd343b0ec2f</errorID>
      <errorWord>&lt;</errorWord>
      <group>L1_Format</group>
      <groupName>格式问题</groupName>
      <ability>L2_HalfPunc_CN</ability>
      <abilityName>全半角问题</abilityName>
      <candidateList>
        <item>〈</item>
      </candidateList>
      <explain>文本全半角错误。</explain>
      <paraID>7D2A3E52</paraID>
      <start>38</start>
      <end>39</end>
      <status>unmodified</status>
      <modifiedWord/>
      <trackRevisions>false</trackRevisions>
    </reviewItem>
    <reviewItem>
      <errorID>0fcb1836-8187-41d5-9096-1429640aea2c</errorID>
      <errorWord>&lt;</errorWord>
      <group>L1_Format</group>
      <groupName>格式问题</groupName>
      <ability>L2_HalfPunc_CN</ability>
      <abilityName>全半角问题</abilityName>
      <candidateList>
        <item>〈</item>
      </candidateList>
      <explain>文本全半角错误。</explain>
      <paraID>65A6A73D</paraID>
      <start>38</start>
      <end>39</end>
      <status>unmodified</status>
      <modifiedWord/>
      <trackRevisions>false</trackRevisions>
    </reviewItem>
    <reviewItem>
      <errorID>6a09e03b-c834-4e8d-863f-9bd82cf64fcf</errorID>
      <errorWord>&lt;</errorWord>
      <group>L1_Format</group>
      <groupName>格式问题</groupName>
      <ability>L2_HalfPunc_CN</ability>
      <abilityName>全半角问题</abilityName>
      <candidateList>
        <item>〈</item>
      </candidateList>
      <explain>文本全半角错误。</explain>
      <paraID>7BCA1EBE</paraID>
      <start>27</start>
      <end>28</end>
      <status>unmodified</status>
      <modifiedWord/>
      <trackRevisions>false</trackRevisions>
    </reviewItem>
    <reviewItem>
      <errorID>fb5da19a-aa78-4115-9df1-39dd084527c6</errorID>
      <errorWord>容</errorWord>
      <group>L1_Word</group>
      <groupName>字词问题</groupName>
      <ability>L2_Typo</ability>
      <abilityName>字词错误</abilityName>
      <candidateList>
        <item>容和</item>
      </candidateList>
      <explain/>
      <paraID>6DA78FEC</paraID>
      <start>21</start>
      <end>22</end>
      <status>unmodified</status>
      <modifiedWord/>
      <trackRevisions>false</trackRevisions>
    </reviewItem>
    <reviewItem>
      <errorID>de7d6ac8-5f6c-49e4-b89b-7b1088ef51dc</errorID>
      <errorWord>(</errorWord>
      <group>L1_Format</group>
      <groupName>格式问题</groupName>
      <ability>L2_HalfPunc_CN</ability>
      <abilityName>全半角问题</abilityName>
      <candidateList>
        <item>（</item>
      </candidateList>
      <explain>文本全半角错误。</explain>
      <paraID> 7E01DBA</paraID>
      <start>7</start>
      <end>8</end>
      <status>unmodified</status>
      <modifiedWord/>
      <trackRevisions>false</trackRevisions>
    </reviewItem>
    <reviewItem>
      <errorID>044771e5-68da-4fad-8a8c-38246b4c3475</errorID>
      <errorWord>)</errorWord>
      <group>L1_Format</group>
      <groupName>格式问题</groupName>
      <ability>L2_HalfPunc_CN</ability>
      <abilityName>全半角问题</abilityName>
      <candidateList>
        <item>）</item>
      </candidateList>
      <explain>文本全半角错误。</explain>
      <paraID> 7E01DBA</paraID>
      <start>10</start>
      <end>11</end>
      <status>unmodified</status>
      <modifiedWord/>
      <trackRevisions>false</trackRevisions>
    </reviewItem>
    <reviewItem>
      <errorID>2f232533-acf1-4d6d-b286-d730854ac8d1</errorID>
      <errorWord>(</errorWord>
      <group>L1_Format</group>
      <groupName>格式问题</groupName>
      <ability>L2_HalfPunc_CN</ability>
      <abilityName>全半角问题</abilityName>
      <candidateList>
        <item>（</item>
      </candidateList>
      <explain>文本全半角错误。</explain>
      <paraID>3D94CC20</paraID>
      <start>1</start>
      <end>2</end>
      <status>unmodified</status>
      <modifiedWord/>
      <trackRevisions>false</trackRevisions>
    </reviewItem>
    <reviewItem>
      <errorID>31fb4310-fa1c-4769-949c-59f5a8959956</errorID>
      <errorWord>)</errorWord>
      <group>L1_Format</group>
      <groupName>格式问题</groupName>
      <ability>L2_HalfPunc_CN</ability>
      <abilityName>全半角问题</abilityName>
      <candidateList>
        <item>）</item>
      </candidateList>
      <explain>文本全半角错误。</explain>
      <paraID>3D94CC20</paraID>
      <start>6</start>
      <end>7</end>
      <status>unmodified</status>
      <modifiedWord/>
      <trackRevisions>false</trackRevisions>
    </reviewItem>
    <reviewItem>
      <errorID>713d8d2c-fe04-4101-9b8f-500e07f3bca9</errorID>
      <errorWord>(</errorWord>
      <group>L1_Format</group>
      <groupName>格式问题</groupName>
      <ability>L2_HalfPunc_CN</ability>
      <abilityName>全半角问题</abilityName>
      <candidateList>
        <item>（</item>
      </candidateList>
      <explain>文本全半角错误。</explain>
      <paraID>6982B2F7</paraID>
      <start>1</start>
      <end>2</end>
      <status>unmodified</status>
      <modifiedWord/>
      <trackRevisions>false</trackRevisions>
    </reviewItem>
    <reviewItem>
      <errorID>5e45afcc-7c44-4ffb-8409-42a66a905ee0</errorID>
      <errorWord>)</errorWord>
      <group>L1_Format</group>
      <groupName>格式问题</groupName>
      <ability>L2_HalfPunc_CN</ability>
      <abilityName>全半角问题</abilityName>
      <candidateList>
        <item>）</item>
      </candidateList>
      <explain>文本全半角错误。</explain>
      <paraID>6982B2F7</paraID>
      <start>5</start>
      <end>6</end>
      <status>unmodified</status>
      <modifiedWord/>
      <trackRevisions>false</trackRevisions>
    </reviewItem>
    <reviewItem>
      <errorID>38491339-d2e4-49b2-8be8-249550108ec3</errorID>
      <errorWord>(</errorWord>
      <group>L1_Format</group>
      <groupName>格式问题</groupName>
      <ability>L2_HalfPunc_CN</ability>
      <abilityName>全半角问题</abilityName>
      <candidateList>
        <item>（</item>
      </candidateList>
      <explain>文本全半角错误。</explain>
      <paraID>21546C19</paraID>
      <start>1</start>
      <end>2</end>
      <status>unmodified</status>
      <modifiedWord/>
      <trackRevisions>false</trackRevisions>
    </reviewItem>
    <reviewItem>
      <errorID>08988768-9696-4f08-9318-5ac314ce5bf6</errorID>
      <errorWord>)</errorWord>
      <group>L1_Format</group>
      <groupName>格式问题</groupName>
      <ability>L2_HalfPunc_CN</ability>
      <abilityName>全半角问题</abilityName>
      <candidateList>
        <item>）</item>
      </candidateList>
      <explain>文本全半角错误。</explain>
      <paraID>21546C19</paraID>
      <start>4</start>
      <end>5</end>
      <status>unmodified</status>
      <modifiedWord/>
      <trackRevisions>false</trackRevisions>
    </reviewItem>
    <reviewItem>
      <errorID>b397e116-6be4-484c-a944-325b520d326a</errorID>
      <errorWord>(</errorWord>
      <group>L1_Format</group>
      <groupName>格式问题</groupName>
      <ability>L2_HalfPunc_CN</ability>
      <abilityName>全半角问题</abilityName>
      <candidateList>
        <item>（</item>
      </candidateList>
      <explain>文本全半角错误。</explain>
      <paraID>4D4B23CE</paraID>
      <start>2</start>
      <end>3</end>
      <status>unmodified</status>
      <modifiedWord/>
      <trackRevisions>false</trackRevisions>
    </reviewItem>
    <reviewItem>
      <errorID>e42456dc-393c-4191-b660-ceef4e9f5ae1</errorID>
      <errorWord>)</errorWord>
      <group>L1_Format</group>
      <groupName>格式问题</groupName>
      <ability>L2_HalfPunc_CN</ability>
      <abilityName>全半角问题</abilityName>
      <candidateList>
        <item>）</item>
      </candidateList>
      <explain>文本全半角错误。</explain>
      <paraID>4D4B23CE</paraID>
      <start>5</start>
      <end>6</end>
      <status>unmodified</status>
      <modifiedWord/>
      <trackRevisions>false</trackRevisions>
    </reviewItem>
    <reviewItem>
      <errorID>fe600d52-810f-43f6-8fb8-14f26562e948</errorID>
      <errorWord>(</errorWord>
      <group>L1_Format</group>
      <groupName>格式问题</groupName>
      <ability>L2_HalfPunc_CN</ability>
      <abilityName>全半角问题</abilityName>
      <candidateList>
        <item>（</item>
      </candidateList>
      <explain>文本全半角错误。</explain>
      <paraID>37EBBD9D</paraID>
      <start>1</start>
      <end>2</end>
      <status>unmodified</status>
      <modifiedWord/>
      <trackRevisions>false</trackRevisions>
    </reviewItem>
    <reviewItem>
      <errorID>62357578-b805-43eb-8162-b53a9b952135</errorID>
      <errorWord>)</errorWord>
      <group>L1_Format</group>
      <groupName>格式问题</groupName>
      <ability>L2_HalfPunc_CN</ability>
      <abilityName>全半角问题</abilityName>
      <candidateList>
        <item>）</item>
      </candidateList>
      <explain>文本全半角错误。</explain>
      <paraID>37EBBD9D</paraID>
      <start>4</start>
      <end>5</end>
      <status>unmodified</status>
      <modifiedWord/>
      <trackRevisions>false</trackRevisions>
    </reviewItem>
    <reviewItem>
      <errorID>916e3bcf-1dcc-481f-a33d-40861bb7df26</errorID>
      <errorWord>；</errorWord>
      <group>L1_Word</group>
      <groupName>字词问题</groupName>
      <ability>L2_Typo</ability>
      <abilityName>字词错误</abilityName>
      <candidateList>
        <item>；具</item>
      </candidateList>
      <explain/>
      <paraID>2AC16F54</paraID>
      <start>27</start>
      <end>28</end>
      <status>unmodified</status>
      <modifiedWord/>
      <trackRevisions>false</trackRevisions>
    </reviewItem>
    <reviewItem>
      <errorID>3ca721dc-b223-42e4-bac5-9e9a6ebdd68e</errorID>
      <errorWord>(</errorWord>
      <group>L1_Format</group>
      <groupName>格式问题</groupName>
      <ability>L2_HalfPunc_CN</ability>
      <abilityName>全半角问题</abilityName>
      <candidateList>
        <item>（</item>
      </candidateList>
      <explain>文本全半角错误。</explain>
      <paraID>26E6588D</paraID>
      <start>9</start>
      <end>10</end>
      <status>unmodified</status>
      <modifiedWord/>
      <trackRevisions>false</trackRevisions>
    </reviewItem>
    <reviewItem>
      <errorID>d242b4ef-adf8-4798-8a00-0205ece278be</errorID>
      <errorWord>)</errorWord>
      <group>L1_Format</group>
      <groupName>格式问题</groupName>
      <ability>L2_HalfPunc_CN</ability>
      <abilityName>全半角问题</abilityName>
      <candidateList>
        <item>）</item>
      </candidateList>
      <explain>文本全半角错误。</explain>
      <paraID>26E6588D</paraID>
      <start>12</start>
      <end>13</end>
      <status>unmodified</status>
      <modifiedWord/>
      <trackRevisions>false</trackRevisions>
    </reviewItem>
    <reviewItem>
      <errorID>44a516d3-d806-49df-83c9-b7a0ebfa3a8a</errorID>
      <errorWord>股东大会</errorWord>
      <group>L1_Knowledge</group>
      <groupName>知识性问题</groupName>
      <ability>L2_Knowledge</ability>
      <abilityName>其他知识</abilityName>
      <candidateList>
        <item>股东会</item>
      </candidateList>
      <explain/>
      <paraID>154A62A9</paraID>
      <start>113</start>
      <end>117</end>
      <status>unmodified</status>
      <modifiedWord/>
      <trackRevisions>false</trackRevisions>
    </reviewItem>
    <reviewItem>
      <errorID>1a8f3d8b-87ed-4ffe-b677-6b5bb8ad31c6</errorID>
      <errorWord>者</errorWord>
      <group>L1_Word</group>
      <groupName>字词问题</groupName>
      <ability>L2_Typo</ability>
      <abilityName>字词错误</abilityName>
      <candidateList>
        <item>者加</item>
      </candidateList>
      <explain/>
      <paraID>5C71CECF</paraID>
      <start>36</start>
      <end>37</end>
      <status>unmodified</status>
      <modifiedWord/>
      <trackRevisions>false</trackRevisions>
    </reviewItem>
    <reviewItem>
      <errorID>3e33b740-9bee-46a1-9192-5c6855499ff0</errorID>
      <errorWord>位</errorWord>
      <group>L1_Word</group>
      <groupName>字词问题</groupName>
      <ability>L2_Typo</ability>
      <abilityName>字词错误</abilityName>
      <candidateList>
        <item>位公</item>
      </candidateList>
      <explain/>
      <paraID>5C71CECF</paraID>
      <start>39</start>
      <end>40</end>
      <status>unmodified</status>
      <modifiedWord/>
      <trackRevisions>false</trackRevisions>
    </reviewItem>
    <reviewItem>
      <errorID>b665de28-f882-4d10-9717-d4c84e7e8f4a</errorID>
      <errorWord>:</errorWord>
      <group>L1_Format</group>
      <groupName>格式问题</groupName>
      <ability>L2_HalfPunc_CN</ability>
      <abilityName>全半角问题</abilityName>
      <candidateList>
        <item>：</item>
      </candidateList>
      <explain>文本全半角错误。</explain>
      <paraID>2329CCAA</paraID>
      <start>1</start>
      <end>2</end>
      <status>unmodified</status>
      <modifiedWord/>
      <trackRevisions>false</trackRevisions>
    </reviewItem>
    <reviewItem>
      <errorID>254f5ea7-f1fd-41b9-8f48-ee22b730486d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4F4C2C0C</paraID>
      <start>36</start>
      <end>39</end>
      <status>unmodified</status>
      <modifiedWord/>
      <trackRevisions>false</trackRevisions>
    </reviewItem>
    <reviewItem>
      <errorID>a208b027-30bd-4faf-bf8b-bffd2afdae2c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5F40475B</paraID>
      <start>37</start>
      <end>40</end>
      <status>unmodified</status>
      <modifiedWord/>
      <trackRevisions>false</trackRevisions>
    </reviewItem>
    <reviewItem>
      <errorID>d82016cb-4557-458c-ba33-77de8f1a3741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537854C7</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0AEA6B-E499-4EEF-98A3-AFBB261C493E}">
  <ds:schemaRefs/>
</ds:datastoreItem>
</file>

<file path=customXml/itemProps3.xml><?xml version="1.0" encoding="utf-8"?>
<ds:datastoreItem xmlns:ds="http://schemas.openxmlformats.org/officeDocument/2006/customXml" ds:itemID="{4ce01d62-5542-420d-9a81-b16c9655832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100</Pages>
  <Words>82</Words>
  <Characters>107</Characters>
  <TotalTime>4</TotalTime>
  <ScaleCrop>false</ScaleCrop>
  <LinksUpToDate>false</LinksUpToDate>
  <CharactersWithSpaces>115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2025-05-15T00:33:00Z</dcterms:created>
  <dc:creator>TSE James</dc:creator>
  <cp:lastModifiedBy>bIn</cp:lastModifiedBy>
  <cp:lastPrinted>2026-08-21T00:24:00Z</cp:lastPrinted>
  <dcterms:modified xsi:type="dcterms:W3CDTF">2026-08-21T01:41:29Z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E7EECA80E2D249FEB5CA294D19FE89AD_13</vt:lpwstr>
  </property>
  <property fmtid="{D5CDD505-2E9C-101B-9397-08002B2CF9AE}" pid="4" name="KSOTemplateDocerSaveRecord">
    <vt:lpwstr>eyJoZGlkIjoiN2I5Mjg4ZWU0MzAxMjlmNzkxMzdhNWZiMGRiZGU2OGEiLCJ1c2VySWQiOiI1NDAxNjk5MTkifQ==</vt:lpwstr>
  </property>
</Properties>
</file>